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1CD67">
      <w:pPr>
        <w:ind w:firstLine="420" w:firstLineChars="0"/>
        <w:rPr>
          <w:rFonts w:eastAsia="仿宋_GB2312"/>
          <w:color w:val="auto"/>
          <w:sz w:val="36"/>
          <w:szCs w:val="36"/>
        </w:rPr>
      </w:pPr>
    </w:p>
    <w:p w14:paraId="3C81D00B">
      <w:pPr>
        <w:rPr>
          <w:rFonts w:eastAsia="仿宋_GB2312"/>
          <w:color w:val="auto"/>
          <w:sz w:val="36"/>
          <w:szCs w:val="36"/>
        </w:rPr>
      </w:pPr>
    </w:p>
    <w:p w14:paraId="5B1717DA">
      <w:pPr>
        <w:rPr>
          <w:rFonts w:eastAsia="仿宋_GB2312"/>
          <w:color w:val="auto"/>
          <w:sz w:val="36"/>
          <w:szCs w:val="36"/>
        </w:rPr>
      </w:pPr>
    </w:p>
    <w:p w14:paraId="1FFAE894">
      <w:pPr>
        <w:rPr>
          <w:rFonts w:eastAsia="仿宋_GB2312"/>
          <w:color w:val="auto"/>
          <w:sz w:val="36"/>
          <w:szCs w:val="36"/>
        </w:rPr>
      </w:pPr>
    </w:p>
    <w:p w14:paraId="77B93C32">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1847407B">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00815AF8">
      <w:pPr>
        <w:adjustRightInd w:val="0"/>
        <w:snapToGrid w:val="0"/>
        <w:spacing w:line="288" w:lineRule="auto"/>
        <w:jc w:val="center"/>
        <w:outlineLvl w:val="0"/>
        <w:rPr>
          <w:rFonts w:eastAsia="华文仿宋"/>
          <w:color w:val="auto"/>
          <w:kern w:val="44"/>
          <w:sz w:val="44"/>
          <w:szCs w:val="44"/>
        </w:rPr>
      </w:pPr>
    </w:p>
    <w:p w14:paraId="7D8B9CFA">
      <w:pPr>
        <w:jc w:val="center"/>
        <w:rPr>
          <w:rFonts w:eastAsia="仿宋"/>
          <w:color w:val="auto"/>
          <w:sz w:val="52"/>
          <w:szCs w:val="52"/>
        </w:rPr>
      </w:pPr>
    </w:p>
    <w:p w14:paraId="70122E8F">
      <w:pPr>
        <w:ind w:firstLine="1040"/>
        <w:rPr>
          <w:rFonts w:eastAsia="仿宋"/>
          <w:color w:val="auto"/>
          <w:sz w:val="44"/>
          <w:szCs w:val="44"/>
        </w:rPr>
      </w:pPr>
    </w:p>
    <w:p w14:paraId="0491268E">
      <w:pPr>
        <w:ind w:firstLine="1040"/>
        <w:rPr>
          <w:rFonts w:eastAsia="仿宋"/>
          <w:color w:val="auto"/>
          <w:sz w:val="44"/>
          <w:szCs w:val="44"/>
        </w:rPr>
      </w:pPr>
    </w:p>
    <w:p w14:paraId="4F80B9C7">
      <w:pPr>
        <w:ind w:firstLine="1040"/>
        <w:rPr>
          <w:rFonts w:eastAsia="仿宋"/>
          <w:color w:val="auto"/>
          <w:sz w:val="44"/>
          <w:szCs w:val="44"/>
        </w:rPr>
      </w:pPr>
    </w:p>
    <w:p w14:paraId="1863D6DF">
      <w:pPr>
        <w:ind w:firstLine="1040"/>
        <w:rPr>
          <w:rFonts w:eastAsia="仿宋"/>
          <w:color w:val="auto"/>
          <w:sz w:val="44"/>
          <w:szCs w:val="4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5964"/>
      </w:tblGrid>
      <w:tr w14:paraId="4284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tcBorders>
              <w:top w:val="nil"/>
              <w:left w:val="nil"/>
              <w:bottom w:val="nil"/>
              <w:right w:val="nil"/>
            </w:tcBorders>
            <w:noWrap w:val="0"/>
            <w:vAlign w:val="bottom"/>
          </w:tcPr>
          <w:p w14:paraId="1E3C8907">
            <w:pPr>
              <w:adjustRightInd w:val="0"/>
              <w:snapToGrid w:val="0"/>
              <w:spacing w:line="620" w:lineRule="exact"/>
              <w:ind w:firstLine="0" w:firstLineChars="0"/>
              <w:jc w:val="center"/>
              <w:rPr>
                <w:rFonts w:hint="eastAsia" w:eastAsia="仿宋"/>
                <w:color w:val="auto"/>
                <w:position w:val="-6"/>
              </w:rPr>
            </w:pPr>
            <w:bookmarkStart w:id="0" w:name="_Hlk57884087"/>
            <w:r>
              <w:rPr>
                <w:rFonts w:hint="eastAsia" w:ascii="仿宋" w:hAnsi="仿宋" w:eastAsia="仿宋"/>
                <w:color w:val="auto"/>
                <w:spacing w:val="160"/>
                <w:kern w:val="0"/>
                <w:position w:val="-6"/>
                <w:sz w:val="32"/>
                <w:szCs w:val="36"/>
                <w:fitText w:val="2880" w:id="1447428863"/>
              </w:rPr>
              <w:t>项目名称</w:t>
            </w:r>
            <w:r>
              <w:rPr>
                <w:rFonts w:hint="eastAsia" w:ascii="仿宋" w:hAnsi="仿宋" w:eastAsia="仿宋"/>
                <w:color w:val="auto"/>
                <w:spacing w:val="0"/>
                <w:kern w:val="0"/>
                <w:position w:val="-6"/>
                <w:sz w:val="32"/>
                <w:szCs w:val="36"/>
                <w:fitText w:val="2880" w:id="1447428863"/>
              </w:rPr>
              <w:t>：</w:t>
            </w:r>
          </w:p>
        </w:tc>
        <w:tc>
          <w:tcPr>
            <w:tcW w:w="6390" w:type="dxa"/>
            <w:tcBorders>
              <w:top w:val="nil"/>
              <w:left w:val="nil"/>
              <w:bottom w:val="single" w:color="auto" w:sz="4" w:space="0"/>
              <w:right w:val="nil"/>
            </w:tcBorders>
            <w:noWrap w:val="0"/>
            <w:vAlign w:val="bottom"/>
          </w:tcPr>
          <w:p w14:paraId="23AEA17B">
            <w:pPr>
              <w:adjustRightInd w:val="0"/>
              <w:snapToGrid w:val="0"/>
              <w:spacing w:line="620" w:lineRule="exact"/>
              <w:ind w:firstLine="0" w:firstLineChars="0"/>
              <w:jc w:val="center"/>
              <w:rPr>
                <w:rFonts w:hint="eastAsia" w:ascii="仿宋" w:hAnsi="仿宋" w:eastAsia="仿宋" w:cs="仿宋"/>
                <w:color w:val="auto"/>
                <w:sz w:val="32"/>
                <w:szCs w:val="32"/>
              </w:rPr>
            </w:pPr>
            <w:r>
              <w:rPr>
                <w:rFonts w:hint="eastAsia" w:ascii="仿宋" w:hAnsi="仿宋" w:eastAsia="仿宋" w:cs="仿宋"/>
                <w:color w:val="auto"/>
                <w:w w:val="90"/>
                <w:sz w:val="32"/>
                <w:szCs w:val="32"/>
                <w:lang w:val="en-US" w:eastAsia="zh-CN"/>
              </w:rPr>
              <w:t>原料、产品罐区安全环保提升技术改造</w:t>
            </w:r>
            <w:r>
              <w:rPr>
                <w:rFonts w:hint="eastAsia" w:ascii="仿宋" w:hAnsi="仿宋" w:eastAsia="仿宋" w:cs="仿宋"/>
                <w:color w:val="auto"/>
                <w:w w:val="90"/>
                <w:sz w:val="32"/>
                <w:szCs w:val="32"/>
              </w:rPr>
              <w:t>项目</w:t>
            </w:r>
          </w:p>
        </w:tc>
      </w:tr>
      <w:tr w14:paraId="625C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tcBorders>
              <w:top w:val="nil"/>
              <w:left w:val="nil"/>
              <w:bottom w:val="nil"/>
              <w:right w:val="nil"/>
            </w:tcBorders>
            <w:noWrap w:val="0"/>
            <w:vAlign w:val="bottom"/>
          </w:tcPr>
          <w:p w14:paraId="751BE35E">
            <w:pPr>
              <w:adjustRightInd w:val="0"/>
              <w:snapToGrid w:val="0"/>
              <w:spacing w:line="620" w:lineRule="exact"/>
              <w:ind w:firstLine="0" w:firstLineChars="0"/>
              <w:jc w:val="center"/>
              <w:rPr>
                <w:rFonts w:hint="eastAsia" w:eastAsia="仿宋"/>
                <w:color w:val="auto"/>
                <w:position w:val="-6"/>
              </w:rPr>
            </w:pPr>
            <w:r>
              <w:rPr>
                <w:rFonts w:hint="eastAsia" w:ascii="仿宋" w:hAnsi="仿宋" w:eastAsia="仿宋"/>
                <w:color w:val="auto"/>
                <w:position w:val="-6"/>
                <w:sz w:val="32"/>
                <w:szCs w:val="36"/>
              </w:rPr>
              <w:t>建设单位（盖章）：</w:t>
            </w:r>
          </w:p>
        </w:tc>
        <w:tc>
          <w:tcPr>
            <w:tcW w:w="6390" w:type="dxa"/>
            <w:tcBorders>
              <w:top w:val="single" w:color="auto" w:sz="4" w:space="0"/>
              <w:left w:val="nil"/>
              <w:bottom w:val="single" w:color="auto" w:sz="4" w:space="0"/>
              <w:right w:val="nil"/>
            </w:tcBorders>
            <w:noWrap w:val="0"/>
            <w:vAlign w:val="bottom"/>
          </w:tcPr>
          <w:p w14:paraId="1C60102D">
            <w:pPr>
              <w:adjustRightInd w:val="0"/>
              <w:snapToGrid w:val="0"/>
              <w:spacing w:line="620" w:lineRule="exact"/>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山东</w:t>
            </w:r>
            <w:r>
              <w:rPr>
                <w:rFonts w:hint="eastAsia" w:ascii="仿宋" w:hAnsi="仿宋" w:eastAsia="仿宋" w:cs="仿宋"/>
                <w:color w:val="auto"/>
                <w:sz w:val="32"/>
                <w:szCs w:val="32"/>
                <w:lang w:val="en-US" w:eastAsia="zh-CN"/>
              </w:rPr>
              <w:t>诚光工贸</w:t>
            </w:r>
            <w:r>
              <w:rPr>
                <w:rFonts w:hint="eastAsia" w:ascii="仿宋" w:hAnsi="仿宋" w:eastAsia="仿宋" w:cs="仿宋"/>
                <w:color w:val="auto"/>
                <w:sz w:val="32"/>
                <w:szCs w:val="32"/>
              </w:rPr>
              <w:t>有限公司</w:t>
            </w:r>
          </w:p>
        </w:tc>
      </w:tr>
      <w:tr w14:paraId="1BB8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tcBorders>
              <w:top w:val="nil"/>
              <w:left w:val="nil"/>
              <w:bottom w:val="nil"/>
              <w:right w:val="nil"/>
            </w:tcBorders>
            <w:noWrap w:val="0"/>
            <w:vAlign w:val="bottom"/>
          </w:tcPr>
          <w:p w14:paraId="0FBEFE3D">
            <w:pPr>
              <w:adjustRightInd w:val="0"/>
              <w:snapToGrid w:val="0"/>
              <w:spacing w:line="620" w:lineRule="exact"/>
              <w:ind w:firstLine="0" w:firstLineChars="0"/>
              <w:jc w:val="center"/>
              <w:rPr>
                <w:rFonts w:hint="eastAsia" w:eastAsia="仿宋"/>
                <w:color w:val="auto"/>
                <w:position w:val="-6"/>
              </w:rPr>
            </w:pPr>
            <w:r>
              <w:rPr>
                <w:rFonts w:hint="eastAsia" w:ascii="仿宋" w:hAnsi="仿宋" w:eastAsia="仿宋"/>
                <w:color w:val="auto"/>
                <w:spacing w:val="160"/>
                <w:kern w:val="0"/>
                <w:position w:val="-6"/>
                <w:sz w:val="32"/>
                <w:szCs w:val="36"/>
                <w:fitText w:val="2880" w:id="144382732"/>
              </w:rPr>
              <w:t>编制日期</w:t>
            </w:r>
            <w:r>
              <w:rPr>
                <w:rFonts w:hint="eastAsia" w:ascii="仿宋" w:hAnsi="仿宋" w:eastAsia="仿宋"/>
                <w:color w:val="auto"/>
                <w:spacing w:val="0"/>
                <w:kern w:val="0"/>
                <w:position w:val="-6"/>
                <w:sz w:val="32"/>
                <w:szCs w:val="36"/>
                <w:fitText w:val="2880" w:id="144382732"/>
              </w:rPr>
              <w:t>：</w:t>
            </w:r>
          </w:p>
        </w:tc>
        <w:tc>
          <w:tcPr>
            <w:tcW w:w="6390" w:type="dxa"/>
            <w:tcBorders>
              <w:top w:val="single" w:color="auto" w:sz="4" w:space="0"/>
              <w:left w:val="nil"/>
              <w:bottom w:val="single" w:color="auto" w:sz="4" w:space="0"/>
              <w:right w:val="nil"/>
            </w:tcBorders>
            <w:noWrap w:val="0"/>
            <w:vAlign w:val="bottom"/>
          </w:tcPr>
          <w:p w14:paraId="2C3D3380">
            <w:pPr>
              <w:adjustRightInd w:val="0"/>
              <w:snapToGrid w:val="0"/>
              <w:spacing w:line="620" w:lineRule="exact"/>
              <w:ind w:firstLine="0" w:firstLineChars="0"/>
              <w:jc w:val="center"/>
              <w:rPr>
                <w:rFonts w:hint="eastAsia" w:ascii="仿宋" w:hAnsi="仿宋" w:eastAsia="仿宋" w:cs="仿宋"/>
                <w:color w:val="auto"/>
                <w:sz w:val="32"/>
                <w:szCs w:val="32"/>
              </w:rPr>
            </w:pPr>
            <w:r>
              <w:rPr>
                <w:rFonts w:hint="default" w:ascii="Times New Roman" w:hAnsi="Times New Roman" w:eastAsia="仿宋" w:cs="Times New Roman"/>
                <w:color w:val="auto"/>
                <w:sz w:val="32"/>
                <w:szCs w:val="32"/>
              </w:rPr>
              <w:t>202</w:t>
            </w:r>
            <w:r>
              <w:rPr>
                <w:rFonts w:hint="default" w:ascii="Times New Roman" w:hAnsi="Times New Roman" w:eastAsia="仿宋" w:cs="Times New Roman"/>
                <w:color w:val="auto"/>
                <w:sz w:val="32"/>
                <w:szCs w:val="32"/>
                <w:lang w:val="en-US" w:eastAsia="zh-CN"/>
              </w:rPr>
              <w:t>6</w:t>
            </w:r>
            <w:r>
              <w:rPr>
                <w:rFonts w:hint="default" w:ascii="Times New Roman" w:hAnsi="Times New Roman" w:eastAsia="仿宋" w:cs="Times New Roman"/>
                <w:color w:val="auto"/>
                <w:sz w:val="32"/>
                <w:szCs w:val="32"/>
              </w:rPr>
              <w:t>年</w:t>
            </w:r>
            <w:r>
              <w:rPr>
                <w:rFonts w:hint="default" w:ascii="Times New Roman" w:hAnsi="Times New Roman" w:eastAsia="仿宋" w:cs="Times New Roman"/>
                <w:color w:val="auto"/>
                <w:sz w:val="32"/>
                <w:szCs w:val="32"/>
                <w:lang w:val="en-US" w:eastAsia="zh-CN"/>
              </w:rPr>
              <w:t>6</w:t>
            </w:r>
            <w:r>
              <w:rPr>
                <w:rFonts w:hint="default" w:ascii="Times New Roman" w:hAnsi="Times New Roman" w:eastAsia="仿宋" w:cs="Times New Roman"/>
                <w:color w:val="auto"/>
                <w:sz w:val="32"/>
                <w:szCs w:val="32"/>
              </w:rPr>
              <w:t>月</w:t>
            </w:r>
          </w:p>
        </w:tc>
      </w:tr>
    </w:tbl>
    <w:p w14:paraId="24DCC3D7">
      <w:pPr>
        <w:adjustRightInd w:val="0"/>
        <w:snapToGrid w:val="0"/>
        <w:spacing w:line="288" w:lineRule="auto"/>
        <w:ind w:firstLine="720" w:firstLineChars="200"/>
        <w:jc w:val="both"/>
        <w:rPr>
          <w:rFonts w:hint="default" w:eastAsia="仿宋_GB2312"/>
          <w:color w:val="auto"/>
          <w:sz w:val="36"/>
          <w:szCs w:val="36"/>
          <w:u w:val="single"/>
          <w:lang w:val="en-US"/>
        </w:rPr>
      </w:pPr>
    </w:p>
    <w:p w14:paraId="338A8B4D">
      <w:pPr>
        <w:adjustRightInd w:val="0"/>
        <w:snapToGrid w:val="0"/>
        <w:spacing w:line="288" w:lineRule="auto"/>
        <w:ind w:firstLine="1040"/>
        <w:rPr>
          <w:rFonts w:eastAsia="仿宋_GB2312"/>
          <w:color w:val="auto"/>
          <w:sz w:val="36"/>
          <w:szCs w:val="36"/>
        </w:rPr>
      </w:pPr>
    </w:p>
    <w:p w14:paraId="650ECF67">
      <w:pPr>
        <w:adjustRightInd w:val="0"/>
        <w:snapToGrid w:val="0"/>
        <w:spacing w:line="288" w:lineRule="auto"/>
        <w:ind w:firstLine="1040"/>
        <w:rPr>
          <w:rFonts w:eastAsia="仿宋_GB2312"/>
          <w:color w:val="auto"/>
          <w:sz w:val="36"/>
          <w:szCs w:val="36"/>
        </w:rPr>
      </w:pPr>
    </w:p>
    <w:p w14:paraId="043798BC">
      <w:pPr>
        <w:adjustRightInd w:val="0"/>
        <w:snapToGrid w:val="0"/>
        <w:spacing w:line="288" w:lineRule="auto"/>
        <w:ind w:firstLine="1040"/>
        <w:rPr>
          <w:rFonts w:eastAsia="仿宋_GB2312"/>
          <w:color w:val="auto"/>
          <w:sz w:val="36"/>
          <w:szCs w:val="36"/>
        </w:rPr>
      </w:pPr>
    </w:p>
    <w:p w14:paraId="63EB1081">
      <w:pPr>
        <w:adjustRightInd w:val="0"/>
        <w:snapToGrid w:val="0"/>
        <w:spacing w:line="288" w:lineRule="auto"/>
        <w:ind w:firstLine="1040"/>
        <w:rPr>
          <w:rFonts w:eastAsia="仿宋_GB2312"/>
          <w:color w:val="auto"/>
          <w:sz w:val="36"/>
          <w:szCs w:val="36"/>
        </w:rPr>
      </w:pPr>
    </w:p>
    <w:p w14:paraId="4BE50525">
      <w:pPr>
        <w:adjustRightInd w:val="0"/>
        <w:snapToGrid w:val="0"/>
        <w:spacing w:line="288" w:lineRule="auto"/>
        <w:ind w:firstLine="1040"/>
        <w:rPr>
          <w:rFonts w:eastAsia="仿宋_GB2312"/>
          <w:color w:val="auto"/>
          <w:sz w:val="36"/>
          <w:szCs w:val="36"/>
        </w:rPr>
      </w:pPr>
    </w:p>
    <w:p w14:paraId="2C0345F1">
      <w:pPr>
        <w:adjustRightInd w:val="0"/>
        <w:snapToGrid w:val="0"/>
        <w:spacing w:line="288" w:lineRule="auto"/>
        <w:ind w:firstLine="1040"/>
        <w:rPr>
          <w:rFonts w:eastAsia="仿宋_GB2312"/>
          <w:color w:val="auto"/>
          <w:sz w:val="36"/>
          <w:szCs w:val="36"/>
        </w:rPr>
      </w:pPr>
    </w:p>
    <w:bookmarkEnd w:id="0"/>
    <w:p w14:paraId="149EFECD">
      <w:pPr>
        <w:adjustRightInd w:val="0"/>
        <w:snapToGrid w:val="0"/>
        <w:spacing w:line="288" w:lineRule="auto"/>
        <w:jc w:val="center"/>
        <w:rPr>
          <w:rFonts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z w:val="36"/>
          <w:szCs w:val="36"/>
        </w:rPr>
        <w:t>中华人民共和国生态环境部制</w:t>
      </w:r>
    </w:p>
    <w:p w14:paraId="32A1C68E">
      <w:pPr>
        <w:adjustRightInd w:val="0"/>
        <w:snapToGrid w:val="0"/>
        <w:spacing w:line="288" w:lineRule="auto"/>
        <w:jc w:val="center"/>
        <w:rPr>
          <w:rFonts w:eastAsia="楷体_GB2312"/>
          <w:color w:val="auto"/>
          <w:sz w:val="36"/>
          <w:szCs w:val="36"/>
        </w:rPr>
      </w:pPr>
    </w:p>
    <w:p w14:paraId="034B0563">
      <w:pPr>
        <w:adjustRightInd w:val="0"/>
        <w:snapToGrid w:val="0"/>
        <w:spacing w:line="288" w:lineRule="auto"/>
        <w:ind w:firstLine="1040"/>
        <w:rPr>
          <w:rFonts w:eastAsia="仿宋_GB2312"/>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01A6B99">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2"/>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4"/>
        <w:gridCol w:w="2292"/>
        <w:gridCol w:w="1420"/>
        <w:gridCol w:w="495"/>
        <w:gridCol w:w="4373"/>
      </w:tblGrid>
      <w:tr w14:paraId="0B2D3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570" w:type="pct"/>
            <w:tcMar>
              <w:top w:w="16" w:type="dxa"/>
              <w:left w:w="16" w:type="dxa"/>
              <w:right w:w="16" w:type="dxa"/>
            </w:tcMar>
            <w:vAlign w:val="center"/>
          </w:tcPr>
          <w:p w14:paraId="764532D3">
            <w:pPr>
              <w:adjustRightInd w:val="0"/>
              <w:snapToGrid w:val="0"/>
              <w:jc w:val="center"/>
              <w:rPr>
                <w:color w:val="auto"/>
                <w:szCs w:val="21"/>
              </w:rPr>
            </w:pPr>
            <w:r>
              <w:rPr>
                <w:color w:val="auto"/>
                <w:szCs w:val="21"/>
              </w:rPr>
              <w:t>建设</w:t>
            </w:r>
          </w:p>
          <w:p w14:paraId="2396CC90">
            <w:pPr>
              <w:adjustRightInd w:val="0"/>
              <w:snapToGrid w:val="0"/>
              <w:jc w:val="center"/>
              <w:rPr>
                <w:color w:val="auto"/>
                <w:szCs w:val="21"/>
              </w:rPr>
            </w:pPr>
            <w:r>
              <w:rPr>
                <w:color w:val="auto"/>
                <w:szCs w:val="21"/>
              </w:rPr>
              <w:t>项目名称</w:t>
            </w:r>
          </w:p>
        </w:tc>
        <w:tc>
          <w:tcPr>
            <w:tcW w:w="4429" w:type="pct"/>
            <w:gridSpan w:val="4"/>
            <w:vAlign w:val="center"/>
          </w:tcPr>
          <w:p w14:paraId="6B327E89">
            <w:pPr>
              <w:adjustRightInd w:val="0"/>
              <w:snapToGrid w:val="0"/>
              <w:jc w:val="center"/>
              <w:rPr>
                <w:color w:val="auto"/>
                <w:szCs w:val="21"/>
              </w:rPr>
            </w:pPr>
            <w:r>
              <w:rPr>
                <w:rFonts w:hint="eastAsia"/>
                <w:color w:val="auto"/>
                <w:szCs w:val="21"/>
                <w:lang w:val="en-US" w:eastAsia="zh-CN"/>
              </w:rPr>
              <w:t>原料、产品罐区安全环保提升技术改造项目</w:t>
            </w:r>
          </w:p>
        </w:tc>
      </w:tr>
      <w:tr w14:paraId="6570C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61F8B384">
            <w:pPr>
              <w:adjustRightInd w:val="0"/>
              <w:snapToGrid w:val="0"/>
              <w:jc w:val="center"/>
              <w:rPr>
                <w:color w:val="auto"/>
                <w:szCs w:val="21"/>
              </w:rPr>
            </w:pPr>
            <w:r>
              <w:rPr>
                <w:color w:val="auto"/>
                <w:szCs w:val="21"/>
              </w:rPr>
              <w:t>项目代码</w:t>
            </w:r>
          </w:p>
        </w:tc>
        <w:tc>
          <w:tcPr>
            <w:tcW w:w="4429" w:type="pct"/>
            <w:gridSpan w:val="4"/>
            <w:vAlign w:val="center"/>
          </w:tcPr>
          <w:p w14:paraId="1D0BB6CE">
            <w:pPr>
              <w:adjustRightInd w:val="0"/>
              <w:snapToGrid w:val="0"/>
              <w:jc w:val="center"/>
              <w:rPr>
                <w:rFonts w:hint="default" w:eastAsia="宋体"/>
                <w:color w:val="auto"/>
                <w:szCs w:val="21"/>
                <w:lang w:val="en-US" w:eastAsia="zh-CN"/>
              </w:rPr>
            </w:pPr>
            <w:r>
              <w:rPr>
                <w:rFonts w:hint="eastAsia"/>
                <w:color w:val="auto"/>
                <w:szCs w:val="21"/>
                <w:lang w:val="en-US" w:eastAsia="zh-CN"/>
              </w:rPr>
              <w:t>2512-370305-89-02-111832</w:t>
            </w:r>
          </w:p>
        </w:tc>
      </w:tr>
      <w:tr w14:paraId="58BAD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435D9ACE">
            <w:pPr>
              <w:adjustRightInd w:val="0"/>
              <w:snapToGrid w:val="0"/>
              <w:jc w:val="center"/>
              <w:rPr>
                <w:color w:val="auto"/>
                <w:szCs w:val="21"/>
              </w:rPr>
            </w:pPr>
            <w:r>
              <w:rPr>
                <w:color w:val="auto"/>
                <w:szCs w:val="21"/>
              </w:rPr>
              <w:t>建设单位</w:t>
            </w:r>
          </w:p>
          <w:p w14:paraId="337E4CD1">
            <w:pPr>
              <w:adjustRightInd w:val="0"/>
              <w:snapToGrid w:val="0"/>
              <w:jc w:val="center"/>
              <w:rPr>
                <w:color w:val="auto"/>
                <w:szCs w:val="21"/>
              </w:rPr>
            </w:pPr>
            <w:r>
              <w:rPr>
                <w:color w:val="auto"/>
                <w:szCs w:val="21"/>
              </w:rPr>
              <w:t>联系人</w:t>
            </w:r>
          </w:p>
        </w:tc>
        <w:tc>
          <w:tcPr>
            <w:tcW w:w="1183" w:type="pct"/>
            <w:vAlign w:val="center"/>
          </w:tcPr>
          <w:p w14:paraId="0F55B57C">
            <w:pPr>
              <w:adjustRightInd w:val="0"/>
              <w:snapToGrid w:val="0"/>
              <w:jc w:val="center"/>
              <w:rPr>
                <w:rFonts w:hint="eastAsia" w:eastAsia="宋体"/>
                <w:color w:val="auto"/>
                <w:szCs w:val="21"/>
                <w:lang w:val="en-US" w:eastAsia="zh-CN"/>
              </w:rPr>
            </w:pPr>
            <w:r>
              <w:rPr>
                <w:rFonts w:hint="eastAsia"/>
                <w:color w:val="auto"/>
                <w:szCs w:val="21"/>
                <w:lang w:val="en-US" w:eastAsia="zh-CN"/>
              </w:rPr>
              <w:t>郭宝建</w:t>
            </w:r>
          </w:p>
        </w:tc>
        <w:tc>
          <w:tcPr>
            <w:tcW w:w="987" w:type="pct"/>
            <w:gridSpan w:val="2"/>
            <w:vAlign w:val="center"/>
          </w:tcPr>
          <w:p w14:paraId="66201B6E">
            <w:pPr>
              <w:adjustRightInd w:val="0"/>
              <w:snapToGrid w:val="0"/>
              <w:jc w:val="center"/>
              <w:rPr>
                <w:color w:val="auto"/>
                <w:szCs w:val="21"/>
              </w:rPr>
            </w:pPr>
            <w:r>
              <w:rPr>
                <w:color w:val="auto"/>
                <w:szCs w:val="21"/>
              </w:rPr>
              <w:t>联系方式</w:t>
            </w:r>
          </w:p>
        </w:tc>
        <w:tc>
          <w:tcPr>
            <w:tcW w:w="2259" w:type="pct"/>
            <w:vAlign w:val="center"/>
          </w:tcPr>
          <w:p w14:paraId="78C92C71">
            <w:pPr>
              <w:adjustRightInd w:val="0"/>
              <w:snapToGrid w:val="0"/>
              <w:jc w:val="center"/>
              <w:rPr>
                <w:rFonts w:hint="default" w:eastAsia="宋体"/>
                <w:color w:val="auto"/>
                <w:szCs w:val="21"/>
                <w:lang w:val="en-US" w:eastAsia="zh-CN"/>
              </w:rPr>
            </w:pPr>
            <w:r>
              <w:rPr>
                <w:rFonts w:hint="default" w:eastAsia="宋体"/>
                <w:color w:val="auto"/>
                <w:szCs w:val="21"/>
                <w:lang w:val="en-US" w:eastAsia="zh-CN"/>
              </w:rPr>
              <w:t>15264361065</w:t>
            </w:r>
          </w:p>
        </w:tc>
      </w:tr>
      <w:tr w14:paraId="068FA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11EEFBAE">
            <w:pPr>
              <w:adjustRightInd w:val="0"/>
              <w:snapToGrid w:val="0"/>
              <w:jc w:val="center"/>
              <w:rPr>
                <w:color w:val="auto"/>
                <w:szCs w:val="21"/>
              </w:rPr>
            </w:pPr>
            <w:r>
              <w:rPr>
                <w:color w:val="auto"/>
                <w:szCs w:val="21"/>
              </w:rPr>
              <w:t>建设地点</w:t>
            </w:r>
          </w:p>
        </w:tc>
        <w:tc>
          <w:tcPr>
            <w:tcW w:w="4429" w:type="pct"/>
            <w:gridSpan w:val="4"/>
            <w:vAlign w:val="center"/>
          </w:tcPr>
          <w:p w14:paraId="183A104A">
            <w:pPr>
              <w:adjustRightInd w:val="0"/>
              <w:snapToGrid w:val="0"/>
              <w:jc w:val="center"/>
              <w:rPr>
                <w:color w:val="auto"/>
                <w:szCs w:val="21"/>
              </w:rPr>
            </w:pPr>
            <w:r>
              <w:rPr>
                <w:rFonts w:hint="eastAsia"/>
                <w:color w:val="auto"/>
                <w:szCs w:val="21"/>
                <w:lang w:val="en-US" w:eastAsia="zh-CN"/>
              </w:rPr>
              <w:t>淄博市临淄区朱台镇工业集聚区山东诚光工贸有限公司西</w:t>
            </w:r>
            <w:r>
              <w:rPr>
                <w:rFonts w:hint="eastAsia"/>
                <w:color w:val="auto"/>
                <w:szCs w:val="21"/>
              </w:rPr>
              <w:t>厂区内</w:t>
            </w:r>
          </w:p>
        </w:tc>
      </w:tr>
      <w:tr w14:paraId="788A5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4FAE3B3F">
            <w:pPr>
              <w:adjustRightInd w:val="0"/>
              <w:snapToGrid w:val="0"/>
              <w:jc w:val="center"/>
              <w:rPr>
                <w:color w:val="auto"/>
                <w:szCs w:val="21"/>
              </w:rPr>
            </w:pPr>
            <w:r>
              <w:rPr>
                <w:color w:val="auto"/>
                <w:szCs w:val="21"/>
              </w:rPr>
              <w:t>地理坐标</w:t>
            </w:r>
          </w:p>
        </w:tc>
        <w:tc>
          <w:tcPr>
            <w:tcW w:w="4429" w:type="pct"/>
            <w:gridSpan w:val="4"/>
            <w:vAlign w:val="center"/>
          </w:tcPr>
          <w:p w14:paraId="6A23C004">
            <w:pPr>
              <w:jc w:val="center"/>
              <w:rPr>
                <w:color w:val="auto"/>
                <w:szCs w:val="21"/>
              </w:rPr>
            </w:pPr>
            <w:r>
              <w:rPr>
                <w:color w:val="auto"/>
                <w:szCs w:val="21"/>
              </w:rPr>
              <w:t>（</w:t>
            </w:r>
            <w:r>
              <w:rPr>
                <w:color w:val="auto"/>
                <w:szCs w:val="21"/>
                <w:u w:val="single"/>
              </w:rPr>
              <w:t>11</w:t>
            </w:r>
            <w:r>
              <w:rPr>
                <w:rFonts w:hint="eastAsia"/>
                <w:color w:val="auto"/>
                <w:szCs w:val="21"/>
                <w:u w:val="single"/>
                <w:lang w:val="en-US" w:eastAsia="zh-CN"/>
              </w:rPr>
              <w:t>8</w:t>
            </w:r>
            <w:r>
              <w:rPr>
                <w:color w:val="auto"/>
                <w:szCs w:val="21"/>
              </w:rPr>
              <w:t>度</w:t>
            </w:r>
            <w:r>
              <w:rPr>
                <w:rFonts w:hint="eastAsia"/>
                <w:color w:val="auto"/>
                <w:szCs w:val="21"/>
                <w:u w:val="single"/>
                <w:lang w:val="en-US" w:eastAsia="zh-CN"/>
              </w:rPr>
              <w:t>15</w:t>
            </w:r>
            <w:r>
              <w:rPr>
                <w:color w:val="auto"/>
                <w:szCs w:val="21"/>
              </w:rPr>
              <w:t>分</w:t>
            </w:r>
            <w:r>
              <w:rPr>
                <w:rFonts w:hint="eastAsia"/>
                <w:color w:val="auto"/>
                <w:szCs w:val="21"/>
                <w:u w:val="single"/>
                <w:lang w:val="en-US" w:eastAsia="zh-CN"/>
              </w:rPr>
              <w:t>16.635</w:t>
            </w:r>
            <w:r>
              <w:rPr>
                <w:color w:val="auto"/>
                <w:szCs w:val="21"/>
              </w:rPr>
              <w:t>秒，</w:t>
            </w:r>
            <w:r>
              <w:rPr>
                <w:color w:val="auto"/>
                <w:szCs w:val="21"/>
                <w:u w:val="single"/>
              </w:rPr>
              <w:t>3</w:t>
            </w:r>
            <w:r>
              <w:rPr>
                <w:rFonts w:hint="eastAsia"/>
                <w:color w:val="auto"/>
                <w:szCs w:val="21"/>
                <w:u w:val="single"/>
              </w:rPr>
              <w:t>6</w:t>
            </w:r>
            <w:r>
              <w:rPr>
                <w:color w:val="auto"/>
                <w:szCs w:val="21"/>
              </w:rPr>
              <w:t>度</w:t>
            </w:r>
            <w:r>
              <w:rPr>
                <w:rFonts w:hint="eastAsia"/>
                <w:color w:val="auto"/>
                <w:szCs w:val="21"/>
                <w:u w:val="single"/>
              </w:rPr>
              <w:t>5</w:t>
            </w:r>
            <w:r>
              <w:rPr>
                <w:rFonts w:hint="eastAsia"/>
                <w:color w:val="auto"/>
                <w:szCs w:val="21"/>
                <w:u w:val="single"/>
                <w:lang w:val="en-US" w:eastAsia="zh-CN"/>
              </w:rPr>
              <w:t>5</w:t>
            </w:r>
            <w:r>
              <w:rPr>
                <w:color w:val="auto"/>
                <w:szCs w:val="21"/>
              </w:rPr>
              <w:t>分</w:t>
            </w:r>
            <w:r>
              <w:rPr>
                <w:rFonts w:hint="eastAsia"/>
                <w:color w:val="auto"/>
                <w:szCs w:val="21"/>
                <w:u w:val="single"/>
                <w:lang w:val="en-US" w:eastAsia="zh-CN"/>
              </w:rPr>
              <w:t>40.730</w:t>
            </w:r>
            <w:r>
              <w:rPr>
                <w:color w:val="auto"/>
                <w:szCs w:val="21"/>
              </w:rPr>
              <w:t>秒）</w:t>
            </w:r>
          </w:p>
        </w:tc>
      </w:tr>
      <w:tr w14:paraId="38641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6EE070BA">
            <w:pPr>
              <w:adjustRightInd w:val="0"/>
              <w:snapToGrid w:val="0"/>
              <w:jc w:val="center"/>
              <w:rPr>
                <w:color w:val="auto"/>
                <w:szCs w:val="21"/>
              </w:rPr>
            </w:pPr>
            <w:r>
              <w:rPr>
                <w:color w:val="auto"/>
                <w:szCs w:val="21"/>
              </w:rPr>
              <w:t>国民经济</w:t>
            </w:r>
          </w:p>
          <w:p w14:paraId="33517D57">
            <w:pPr>
              <w:adjustRightInd w:val="0"/>
              <w:snapToGrid w:val="0"/>
              <w:jc w:val="center"/>
              <w:rPr>
                <w:color w:val="auto"/>
                <w:szCs w:val="21"/>
              </w:rPr>
            </w:pPr>
            <w:r>
              <w:rPr>
                <w:color w:val="auto"/>
                <w:szCs w:val="21"/>
              </w:rPr>
              <w:t>行业类别</w:t>
            </w:r>
          </w:p>
        </w:tc>
        <w:tc>
          <w:tcPr>
            <w:tcW w:w="1183" w:type="pct"/>
            <w:vAlign w:val="center"/>
          </w:tcPr>
          <w:p w14:paraId="5842507D">
            <w:pPr>
              <w:jc w:val="center"/>
              <w:rPr>
                <w:rFonts w:hint="default" w:eastAsia="宋体"/>
                <w:bCs/>
                <w:color w:val="auto"/>
                <w:szCs w:val="21"/>
                <w:lang w:val="en-US" w:eastAsia="zh-CN"/>
              </w:rPr>
            </w:pPr>
            <w:r>
              <w:rPr>
                <w:rFonts w:hint="eastAsia"/>
                <w:color w:val="auto"/>
                <w:lang w:val="en-US" w:eastAsia="zh-CN"/>
              </w:rPr>
              <w:t>G5942 危险化学品仓储</w:t>
            </w:r>
          </w:p>
        </w:tc>
        <w:tc>
          <w:tcPr>
            <w:tcW w:w="733" w:type="pct"/>
            <w:vAlign w:val="center"/>
          </w:tcPr>
          <w:p w14:paraId="2A608B2C">
            <w:pPr>
              <w:adjustRightInd w:val="0"/>
              <w:snapToGrid w:val="0"/>
              <w:jc w:val="center"/>
              <w:rPr>
                <w:color w:val="auto"/>
                <w:szCs w:val="21"/>
              </w:rPr>
            </w:pPr>
            <w:bookmarkStart w:id="1" w:name="_Hlk49843745"/>
            <w:r>
              <w:rPr>
                <w:color w:val="auto"/>
                <w:szCs w:val="21"/>
              </w:rPr>
              <w:t>建设项目</w:t>
            </w:r>
          </w:p>
          <w:p w14:paraId="1A3B127B">
            <w:pPr>
              <w:adjustRightInd w:val="0"/>
              <w:snapToGrid w:val="0"/>
              <w:jc w:val="center"/>
              <w:rPr>
                <w:color w:val="auto"/>
                <w:szCs w:val="21"/>
              </w:rPr>
            </w:pPr>
            <w:r>
              <w:rPr>
                <w:color w:val="auto"/>
                <w:szCs w:val="21"/>
              </w:rPr>
              <w:t>行业类别</w:t>
            </w:r>
            <w:bookmarkEnd w:id="1"/>
          </w:p>
        </w:tc>
        <w:tc>
          <w:tcPr>
            <w:tcW w:w="2513" w:type="pct"/>
            <w:gridSpan w:val="2"/>
            <w:shd w:val="clear" w:color="auto" w:fill="auto"/>
            <w:vAlign w:val="center"/>
          </w:tcPr>
          <w:p w14:paraId="6740B4C7">
            <w:pPr>
              <w:jc w:val="center"/>
              <w:rPr>
                <w:rFonts w:hint="default" w:cs="宋体" w:asciiTheme="minorEastAsia" w:hAnsiTheme="minorEastAsia"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五十三、装卸搬运和仓储业</w:t>
            </w:r>
            <w:r>
              <w:rPr>
                <w:rFonts w:hint="eastAsia" w:ascii="Times New Roman" w:hAnsi="Times New Roman" w:cs="Times New Roman" w:eastAsiaTheme="minorEastAsia"/>
                <w:color w:val="auto"/>
                <w:kern w:val="2"/>
                <w:sz w:val="21"/>
                <w:szCs w:val="21"/>
                <w:highlight w:val="none"/>
                <w:lang w:val="en-US" w:eastAsia="zh-CN" w:bidi="ar-SA"/>
              </w:rPr>
              <w:t>-149</w:t>
            </w:r>
            <w:r>
              <w:rPr>
                <w:rFonts w:hint="default" w:ascii="Times New Roman" w:hAnsi="Times New Roman" w:cs="Times New Roman" w:eastAsiaTheme="minorEastAsia"/>
                <w:color w:val="auto"/>
                <w:kern w:val="2"/>
                <w:sz w:val="21"/>
                <w:szCs w:val="21"/>
                <w:highlight w:val="none"/>
                <w:lang w:val="en-US" w:eastAsia="zh-CN" w:bidi="ar-SA"/>
              </w:rPr>
              <w:t>危险品仓储594（不含加油站的油库；不含加气站的气库）中</w:t>
            </w:r>
            <w:r>
              <w:rPr>
                <w:rFonts w:hint="eastAsia" w:ascii="Times New Roman" w:hAnsi="Times New Roman" w:cs="Times New Roman" w:eastAsiaTheme="minorEastAsia"/>
                <w:color w:val="auto"/>
                <w:kern w:val="2"/>
                <w:sz w:val="21"/>
                <w:szCs w:val="21"/>
                <w:highlight w:val="none"/>
                <w:lang w:val="en-US" w:eastAsia="zh-CN" w:bidi="ar-SA"/>
              </w:rPr>
              <w:t>的</w:t>
            </w:r>
            <w:r>
              <w:rPr>
                <w:rFonts w:hint="default" w:ascii="Times New Roman" w:hAnsi="Times New Roman" w:cs="Times New Roman" w:eastAsiaTheme="minorEastAsia"/>
                <w:color w:val="auto"/>
                <w:kern w:val="2"/>
                <w:sz w:val="21"/>
                <w:szCs w:val="21"/>
                <w:highlight w:val="none"/>
                <w:lang w:val="en-US" w:eastAsia="zh-CN" w:bidi="ar-SA"/>
              </w:rPr>
              <w:t>其他（含有毒、有害、危险品的仓储；含液化天然气库）</w:t>
            </w:r>
          </w:p>
        </w:tc>
      </w:tr>
      <w:tr w14:paraId="5FC16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736107C9">
            <w:pPr>
              <w:adjustRightInd w:val="0"/>
              <w:snapToGrid w:val="0"/>
              <w:jc w:val="center"/>
              <w:rPr>
                <w:color w:val="auto"/>
                <w:szCs w:val="21"/>
              </w:rPr>
            </w:pPr>
            <w:r>
              <w:rPr>
                <w:color w:val="auto"/>
                <w:szCs w:val="21"/>
              </w:rPr>
              <w:t>建设性质</w:t>
            </w:r>
          </w:p>
        </w:tc>
        <w:tc>
          <w:tcPr>
            <w:tcW w:w="1183" w:type="pct"/>
            <w:vAlign w:val="center"/>
          </w:tcPr>
          <w:p w14:paraId="6C74A426">
            <w:pPr>
              <w:jc w:val="center"/>
              <w:rPr>
                <w:color w:val="auto"/>
                <w:szCs w:val="21"/>
              </w:rPr>
            </w:pPr>
            <w:r>
              <w:rPr>
                <w:color w:val="auto"/>
                <w:szCs w:val="21"/>
              </w:rPr>
              <w:t>□新建（迁建）</w:t>
            </w:r>
          </w:p>
          <w:p w14:paraId="51CA4901">
            <w:pPr>
              <w:jc w:val="center"/>
              <w:rPr>
                <w:color w:val="auto"/>
                <w:szCs w:val="21"/>
              </w:rPr>
            </w:pPr>
            <w:r>
              <w:rPr>
                <w:color w:val="auto"/>
                <w:szCs w:val="21"/>
              </w:rPr>
              <w:t>□改建</w:t>
            </w:r>
          </w:p>
          <w:p w14:paraId="585F874D">
            <w:pPr>
              <w:jc w:val="center"/>
              <w:rPr>
                <w:color w:val="auto"/>
                <w:szCs w:val="21"/>
              </w:rPr>
            </w:pPr>
            <w:r>
              <w:rPr>
                <w:color w:val="auto"/>
                <w:szCs w:val="21"/>
              </w:rPr>
              <w:t>□扩建</w:t>
            </w:r>
          </w:p>
          <w:p w14:paraId="63D669F1">
            <w:pPr>
              <w:jc w:val="center"/>
              <w:rPr>
                <w:color w:val="auto"/>
                <w:szCs w:val="21"/>
              </w:rPr>
            </w:pPr>
            <w:r>
              <w:rPr>
                <w:color w:val="auto"/>
                <w:szCs w:val="21"/>
              </w:rPr>
              <w:t>√技术改造</w:t>
            </w:r>
          </w:p>
        </w:tc>
        <w:tc>
          <w:tcPr>
            <w:tcW w:w="733" w:type="pct"/>
            <w:vAlign w:val="center"/>
          </w:tcPr>
          <w:p w14:paraId="33AB1BA4">
            <w:pPr>
              <w:adjustRightInd w:val="0"/>
              <w:snapToGrid w:val="0"/>
              <w:jc w:val="center"/>
              <w:rPr>
                <w:color w:val="auto"/>
                <w:szCs w:val="21"/>
              </w:rPr>
            </w:pPr>
            <w:r>
              <w:rPr>
                <w:color w:val="auto"/>
                <w:szCs w:val="21"/>
              </w:rPr>
              <w:t>建设项目</w:t>
            </w:r>
          </w:p>
          <w:p w14:paraId="46503B4B">
            <w:pPr>
              <w:adjustRightInd w:val="0"/>
              <w:snapToGrid w:val="0"/>
              <w:jc w:val="center"/>
              <w:rPr>
                <w:color w:val="auto"/>
                <w:szCs w:val="21"/>
              </w:rPr>
            </w:pPr>
            <w:r>
              <w:rPr>
                <w:color w:val="auto"/>
                <w:szCs w:val="21"/>
              </w:rPr>
              <w:t>申报情形</w:t>
            </w:r>
          </w:p>
        </w:tc>
        <w:tc>
          <w:tcPr>
            <w:tcW w:w="2513" w:type="pct"/>
            <w:gridSpan w:val="2"/>
            <w:vAlign w:val="center"/>
          </w:tcPr>
          <w:p w14:paraId="0EFF887C">
            <w:pPr>
              <w:jc w:val="center"/>
              <w:rPr>
                <w:color w:val="auto"/>
                <w:szCs w:val="21"/>
              </w:rPr>
            </w:pPr>
            <w:r>
              <w:rPr>
                <w:color w:val="auto"/>
                <w:szCs w:val="21"/>
              </w:rPr>
              <w:t>√首次申报项目</w:t>
            </w:r>
          </w:p>
          <w:p w14:paraId="7C23C786">
            <w:pPr>
              <w:jc w:val="center"/>
              <w:rPr>
                <w:color w:val="auto"/>
                <w:szCs w:val="21"/>
              </w:rPr>
            </w:pPr>
            <w:r>
              <w:rPr>
                <w:color w:val="auto"/>
                <w:szCs w:val="21"/>
              </w:rPr>
              <w:t>□不予批准后再次申报项目</w:t>
            </w:r>
          </w:p>
          <w:p w14:paraId="03AA4EA7">
            <w:pPr>
              <w:jc w:val="center"/>
              <w:rPr>
                <w:color w:val="auto"/>
                <w:szCs w:val="21"/>
              </w:rPr>
            </w:pPr>
            <w:r>
              <w:rPr>
                <w:color w:val="auto"/>
                <w:szCs w:val="21"/>
              </w:rPr>
              <w:sym w:font="Wingdings 2" w:char="00A3"/>
            </w:r>
            <w:r>
              <w:rPr>
                <w:color w:val="auto"/>
                <w:szCs w:val="21"/>
              </w:rPr>
              <w:t>超五年重新审核项目</w:t>
            </w:r>
          </w:p>
          <w:p w14:paraId="37981098">
            <w:pPr>
              <w:jc w:val="center"/>
              <w:rPr>
                <w:color w:val="auto"/>
                <w:szCs w:val="21"/>
              </w:rPr>
            </w:pPr>
            <w:r>
              <w:rPr>
                <w:color w:val="auto"/>
                <w:szCs w:val="21"/>
              </w:rPr>
              <w:t>□重大变动重新报批项目</w:t>
            </w:r>
          </w:p>
        </w:tc>
      </w:tr>
      <w:tr w14:paraId="68802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1A660645">
            <w:pPr>
              <w:adjustRightInd w:val="0"/>
              <w:snapToGrid w:val="0"/>
              <w:jc w:val="center"/>
              <w:rPr>
                <w:color w:val="auto"/>
                <w:szCs w:val="21"/>
              </w:rPr>
            </w:pPr>
            <w:r>
              <w:rPr>
                <w:color w:val="auto"/>
                <w:szCs w:val="21"/>
              </w:rPr>
              <w:t>项目备案部门（选填）</w:t>
            </w:r>
          </w:p>
        </w:tc>
        <w:tc>
          <w:tcPr>
            <w:tcW w:w="1183" w:type="pct"/>
            <w:vAlign w:val="center"/>
          </w:tcPr>
          <w:p w14:paraId="570B558A">
            <w:pPr>
              <w:adjustRightInd w:val="0"/>
              <w:snapToGrid w:val="0"/>
              <w:jc w:val="center"/>
              <w:rPr>
                <w:rFonts w:hint="eastAsia" w:eastAsia="宋体"/>
                <w:color w:val="auto"/>
                <w:szCs w:val="21"/>
                <w:lang w:val="en-US" w:eastAsia="zh-CN"/>
              </w:rPr>
            </w:pPr>
            <w:r>
              <w:rPr>
                <w:color w:val="auto"/>
                <w:szCs w:val="21"/>
              </w:rPr>
              <w:t>临淄区</w:t>
            </w:r>
            <w:r>
              <w:rPr>
                <w:rFonts w:hint="eastAsia"/>
                <w:color w:val="auto"/>
                <w:szCs w:val="21"/>
                <w:lang w:val="en-US" w:eastAsia="zh-CN"/>
              </w:rPr>
              <w:t>审批局</w:t>
            </w:r>
          </w:p>
        </w:tc>
        <w:tc>
          <w:tcPr>
            <w:tcW w:w="733" w:type="pct"/>
            <w:vAlign w:val="center"/>
          </w:tcPr>
          <w:p w14:paraId="68DD6C1E">
            <w:pPr>
              <w:adjustRightInd w:val="0"/>
              <w:snapToGrid w:val="0"/>
              <w:jc w:val="center"/>
              <w:rPr>
                <w:color w:val="auto"/>
                <w:szCs w:val="21"/>
              </w:rPr>
            </w:pPr>
            <w:r>
              <w:rPr>
                <w:color w:val="auto"/>
                <w:szCs w:val="21"/>
              </w:rPr>
              <w:t>项目备案文号（选填）</w:t>
            </w:r>
          </w:p>
        </w:tc>
        <w:tc>
          <w:tcPr>
            <w:tcW w:w="2513" w:type="pct"/>
            <w:gridSpan w:val="2"/>
            <w:vAlign w:val="center"/>
          </w:tcPr>
          <w:p w14:paraId="1189A4B3">
            <w:pPr>
              <w:adjustRightInd w:val="0"/>
              <w:snapToGrid w:val="0"/>
              <w:jc w:val="center"/>
              <w:rPr>
                <w:rFonts w:hint="eastAsia" w:eastAsia="宋体"/>
                <w:color w:val="auto"/>
                <w:szCs w:val="21"/>
                <w:lang w:eastAsia="zh-CN"/>
              </w:rPr>
            </w:pPr>
            <w:r>
              <w:rPr>
                <w:rFonts w:hint="eastAsia"/>
                <w:color w:val="auto"/>
                <w:szCs w:val="21"/>
                <w:lang w:val="en-US" w:eastAsia="zh-CN"/>
              </w:rPr>
              <w:t>2512-370305-89-02-111832</w:t>
            </w:r>
          </w:p>
        </w:tc>
      </w:tr>
      <w:tr w14:paraId="56AD7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1842F8FB">
            <w:pPr>
              <w:adjustRightInd w:val="0"/>
              <w:snapToGrid w:val="0"/>
              <w:jc w:val="center"/>
              <w:rPr>
                <w:color w:val="auto"/>
                <w:szCs w:val="21"/>
              </w:rPr>
            </w:pPr>
            <w:r>
              <w:rPr>
                <w:color w:val="auto"/>
                <w:szCs w:val="21"/>
              </w:rPr>
              <w:t>总投资</w:t>
            </w:r>
          </w:p>
          <w:p w14:paraId="5C56867B">
            <w:pPr>
              <w:adjustRightInd w:val="0"/>
              <w:snapToGrid w:val="0"/>
              <w:jc w:val="center"/>
              <w:rPr>
                <w:color w:val="auto"/>
                <w:szCs w:val="21"/>
              </w:rPr>
            </w:pPr>
            <w:r>
              <w:rPr>
                <w:color w:val="auto"/>
                <w:szCs w:val="21"/>
              </w:rPr>
              <w:t>（万元）</w:t>
            </w:r>
          </w:p>
        </w:tc>
        <w:tc>
          <w:tcPr>
            <w:tcW w:w="1183" w:type="pct"/>
            <w:vAlign w:val="center"/>
          </w:tcPr>
          <w:p w14:paraId="7E71F997">
            <w:pPr>
              <w:adjustRightInd w:val="0"/>
              <w:snapToGrid w:val="0"/>
              <w:jc w:val="center"/>
              <w:rPr>
                <w:rFonts w:hint="default" w:eastAsia="宋体"/>
                <w:color w:val="auto"/>
                <w:szCs w:val="21"/>
                <w:lang w:val="en-US" w:eastAsia="zh-CN"/>
              </w:rPr>
            </w:pPr>
            <w:r>
              <w:rPr>
                <w:rFonts w:hint="eastAsia"/>
                <w:color w:val="auto"/>
                <w:szCs w:val="21"/>
                <w:lang w:val="en-US" w:eastAsia="zh-CN"/>
              </w:rPr>
              <w:t>1100</w:t>
            </w:r>
          </w:p>
        </w:tc>
        <w:tc>
          <w:tcPr>
            <w:tcW w:w="733" w:type="pct"/>
            <w:tcMar>
              <w:top w:w="16" w:type="dxa"/>
              <w:left w:w="16" w:type="dxa"/>
              <w:right w:w="16" w:type="dxa"/>
            </w:tcMar>
            <w:vAlign w:val="center"/>
          </w:tcPr>
          <w:p w14:paraId="64ADD40A">
            <w:pPr>
              <w:adjustRightInd w:val="0"/>
              <w:snapToGrid w:val="0"/>
              <w:jc w:val="center"/>
              <w:rPr>
                <w:color w:val="auto"/>
                <w:szCs w:val="21"/>
              </w:rPr>
            </w:pPr>
            <w:r>
              <w:rPr>
                <w:color w:val="auto"/>
                <w:szCs w:val="21"/>
              </w:rPr>
              <w:t>环保投资</w:t>
            </w:r>
          </w:p>
          <w:p w14:paraId="75811F0C">
            <w:pPr>
              <w:adjustRightInd w:val="0"/>
              <w:snapToGrid w:val="0"/>
              <w:jc w:val="center"/>
              <w:rPr>
                <w:color w:val="auto"/>
                <w:szCs w:val="21"/>
              </w:rPr>
            </w:pPr>
            <w:r>
              <w:rPr>
                <w:color w:val="auto"/>
                <w:szCs w:val="21"/>
              </w:rPr>
              <w:t>（万元）</w:t>
            </w:r>
          </w:p>
        </w:tc>
        <w:tc>
          <w:tcPr>
            <w:tcW w:w="2513" w:type="pct"/>
            <w:gridSpan w:val="2"/>
            <w:vAlign w:val="center"/>
          </w:tcPr>
          <w:p w14:paraId="7590FFAD">
            <w:pPr>
              <w:adjustRightInd w:val="0"/>
              <w:snapToGrid w:val="0"/>
              <w:jc w:val="center"/>
              <w:rPr>
                <w:rFonts w:hint="default" w:eastAsia="宋体"/>
                <w:color w:val="auto"/>
                <w:szCs w:val="21"/>
                <w:lang w:val="en-US" w:eastAsia="zh-CN"/>
              </w:rPr>
            </w:pPr>
            <w:r>
              <w:rPr>
                <w:rFonts w:hint="eastAsia"/>
                <w:color w:val="auto"/>
                <w:szCs w:val="21"/>
                <w:lang w:val="en-US" w:eastAsia="zh-CN"/>
              </w:rPr>
              <w:t>100</w:t>
            </w:r>
          </w:p>
        </w:tc>
      </w:tr>
      <w:tr w14:paraId="3B4A8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575A440F">
            <w:pPr>
              <w:adjustRightInd w:val="0"/>
              <w:snapToGrid w:val="0"/>
              <w:jc w:val="center"/>
              <w:rPr>
                <w:color w:val="auto"/>
                <w:szCs w:val="21"/>
              </w:rPr>
            </w:pPr>
            <w:r>
              <w:rPr>
                <w:color w:val="auto"/>
                <w:szCs w:val="21"/>
              </w:rPr>
              <w:t>环保投资占比（%）</w:t>
            </w:r>
          </w:p>
        </w:tc>
        <w:tc>
          <w:tcPr>
            <w:tcW w:w="1183" w:type="pct"/>
            <w:vAlign w:val="center"/>
          </w:tcPr>
          <w:p w14:paraId="3CF1E830">
            <w:pPr>
              <w:adjustRightInd w:val="0"/>
              <w:snapToGrid w:val="0"/>
              <w:jc w:val="center"/>
              <w:rPr>
                <w:rFonts w:hint="default" w:eastAsia="宋体"/>
                <w:color w:val="auto"/>
                <w:szCs w:val="21"/>
                <w:lang w:val="en-US" w:eastAsia="zh-CN"/>
              </w:rPr>
            </w:pPr>
            <w:r>
              <w:rPr>
                <w:rFonts w:hint="eastAsia"/>
                <w:color w:val="auto"/>
                <w:szCs w:val="21"/>
                <w:lang w:val="en-US" w:eastAsia="zh-CN"/>
              </w:rPr>
              <w:t>9</w:t>
            </w:r>
          </w:p>
        </w:tc>
        <w:tc>
          <w:tcPr>
            <w:tcW w:w="733" w:type="pct"/>
            <w:tcMar>
              <w:top w:w="16" w:type="dxa"/>
              <w:left w:w="16" w:type="dxa"/>
              <w:right w:w="16" w:type="dxa"/>
            </w:tcMar>
            <w:vAlign w:val="center"/>
          </w:tcPr>
          <w:p w14:paraId="27655321">
            <w:pPr>
              <w:adjustRightInd w:val="0"/>
              <w:snapToGrid w:val="0"/>
              <w:jc w:val="center"/>
              <w:rPr>
                <w:color w:val="auto"/>
                <w:szCs w:val="21"/>
              </w:rPr>
            </w:pPr>
            <w:r>
              <w:rPr>
                <w:color w:val="auto"/>
                <w:szCs w:val="21"/>
              </w:rPr>
              <w:t>施工工期</w:t>
            </w:r>
          </w:p>
        </w:tc>
        <w:tc>
          <w:tcPr>
            <w:tcW w:w="2513" w:type="pct"/>
            <w:gridSpan w:val="2"/>
            <w:vAlign w:val="center"/>
          </w:tcPr>
          <w:p w14:paraId="7532DCB8">
            <w:pPr>
              <w:adjustRightInd w:val="0"/>
              <w:snapToGrid w:val="0"/>
              <w:jc w:val="center"/>
              <w:rPr>
                <w:color w:val="auto"/>
                <w:szCs w:val="21"/>
              </w:rPr>
            </w:pPr>
            <w:r>
              <w:rPr>
                <w:rFonts w:hint="eastAsia"/>
                <w:color w:val="auto"/>
                <w:szCs w:val="21"/>
                <w:highlight w:val="none"/>
                <w:lang w:val="en-US" w:eastAsia="zh-CN"/>
              </w:rPr>
              <w:t>12</w:t>
            </w:r>
            <w:r>
              <w:rPr>
                <w:color w:val="auto"/>
                <w:szCs w:val="21"/>
                <w:highlight w:val="none"/>
              </w:rPr>
              <w:t>个月</w:t>
            </w:r>
          </w:p>
        </w:tc>
      </w:tr>
      <w:tr w14:paraId="1FB44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70" w:type="pct"/>
            <w:tcMar>
              <w:top w:w="16" w:type="dxa"/>
              <w:left w:w="16" w:type="dxa"/>
              <w:right w:w="16" w:type="dxa"/>
            </w:tcMar>
            <w:vAlign w:val="center"/>
          </w:tcPr>
          <w:p w14:paraId="3523B3A8">
            <w:pPr>
              <w:adjustRightInd w:val="0"/>
              <w:snapToGrid w:val="0"/>
              <w:jc w:val="center"/>
              <w:rPr>
                <w:color w:val="auto"/>
                <w:szCs w:val="21"/>
              </w:rPr>
            </w:pPr>
            <w:r>
              <w:rPr>
                <w:color w:val="auto"/>
                <w:szCs w:val="21"/>
              </w:rPr>
              <w:t>是否</w:t>
            </w:r>
          </w:p>
          <w:p w14:paraId="35B00DCC">
            <w:pPr>
              <w:adjustRightInd w:val="0"/>
              <w:snapToGrid w:val="0"/>
              <w:jc w:val="center"/>
              <w:rPr>
                <w:color w:val="auto"/>
                <w:szCs w:val="21"/>
              </w:rPr>
            </w:pPr>
            <w:r>
              <w:rPr>
                <w:color w:val="auto"/>
                <w:szCs w:val="21"/>
              </w:rPr>
              <w:t>开工建设</w:t>
            </w:r>
          </w:p>
        </w:tc>
        <w:tc>
          <w:tcPr>
            <w:tcW w:w="1183" w:type="pct"/>
            <w:vAlign w:val="center"/>
          </w:tcPr>
          <w:p w14:paraId="3E0E15D0">
            <w:pPr>
              <w:adjustRightInd w:val="0"/>
              <w:snapToGrid w:val="0"/>
              <w:rPr>
                <w:color w:val="auto"/>
                <w:szCs w:val="21"/>
              </w:rPr>
            </w:pPr>
            <w:r>
              <w:rPr>
                <w:color w:val="auto"/>
                <w:szCs w:val="21"/>
              </w:rPr>
              <w:t>√否</w:t>
            </w:r>
          </w:p>
          <w:p w14:paraId="3D67AA13">
            <w:pPr>
              <w:adjustRightInd w:val="0"/>
              <w:snapToGrid w:val="0"/>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733" w:type="pct"/>
            <w:tcMar>
              <w:top w:w="16" w:type="dxa"/>
              <w:left w:w="16" w:type="dxa"/>
              <w:right w:w="16" w:type="dxa"/>
            </w:tcMar>
            <w:vAlign w:val="center"/>
          </w:tcPr>
          <w:p w14:paraId="4CF468C1">
            <w:pPr>
              <w:adjustRightInd w:val="0"/>
              <w:snapToGrid w:val="0"/>
              <w:jc w:val="center"/>
              <w:rPr>
                <w:color w:val="auto"/>
                <w:szCs w:val="21"/>
              </w:rPr>
            </w:pPr>
            <w:r>
              <w:rPr>
                <w:color w:val="auto"/>
                <w:szCs w:val="21"/>
              </w:rPr>
              <w:t>用地面积（m</w:t>
            </w:r>
            <w:r>
              <w:rPr>
                <w:color w:val="auto"/>
                <w:szCs w:val="21"/>
                <w:vertAlign w:val="superscript"/>
              </w:rPr>
              <w:t>2</w:t>
            </w:r>
            <w:r>
              <w:rPr>
                <w:color w:val="auto"/>
                <w:szCs w:val="21"/>
              </w:rPr>
              <w:t>）</w:t>
            </w:r>
          </w:p>
        </w:tc>
        <w:tc>
          <w:tcPr>
            <w:tcW w:w="2513" w:type="pct"/>
            <w:gridSpan w:val="2"/>
            <w:vAlign w:val="center"/>
          </w:tcPr>
          <w:p w14:paraId="57638363">
            <w:pPr>
              <w:adjustRightInd w:val="0"/>
              <w:snapToGrid w:val="0"/>
              <w:jc w:val="center"/>
              <w:rPr>
                <w:rFonts w:hint="default" w:eastAsia="宋体"/>
                <w:color w:val="auto"/>
                <w:szCs w:val="21"/>
                <w:lang w:val="en-US" w:eastAsia="zh-CN"/>
              </w:rPr>
            </w:pPr>
            <w:r>
              <w:rPr>
                <w:rFonts w:hint="eastAsia"/>
                <w:color w:val="auto"/>
                <w:szCs w:val="21"/>
                <w:lang w:val="en-US" w:eastAsia="zh-CN"/>
              </w:rPr>
              <w:t>1800</w:t>
            </w:r>
          </w:p>
        </w:tc>
      </w:tr>
      <w:tr w14:paraId="177CA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70" w:type="pct"/>
            <w:vAlign w:val="center"/>
          </w:tcPr>
          <w:p w14:paraId="630FD2DE">
            <w:pPr>
              <w:autoSpaceDE w:val="0"/>
              <w:autoSpaceDN w:val="0"/>
              <w:adjustRightInd w:val="0"/>
              <w:snapToGrid w:val="0"/>
              <w:jc w:val="center"/>
              <w:rPr>
                <w:color w:val="auto"/>
                <w:kern w:val="0"/>
                <w:szCs w:val="21"/>
              </w:rPr>
            </w:pPr>
            <w:r>
              <w:rPr>
                <w:color w:val="auto"/>
                <w:kern w:val="0"/>
                <w:szCs w:val="21"/>
              </w:rPr>
              <w:t>专项评价设置情况</w:t>
            </w:r>
          </w:p>
        </w:tc>
        <w:tc>
          <w:tcPr>
            <w:tcW w:w="4429" w:type="pct"/>
            <w:gridSpan w:val="4"/>
            <w:vAlign w:val="center"/>
          </w:tcPr>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4327"/>
              <w:gridCol w:w="2068"/>
              <w:gridCol w:w="982"/>
            </w:tblGrid>
            <w:tr w14:paraId="52F84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78A1BFDF">
                  <w:pPr>
                    <w:autoSpaceDE w:val="0"/>
                    <w:autoSpaceDN w:val="0"/>
                    <w:adjustRightInd w:val="0"/>
                    <w:snapToGrid w:val="0"/>
                    <w:jc w:val="center"/>
                    <w:rPr>
                      <w:color w:val="auto"/>
                      <w:kern w:val="0"/>
                      <w:sz w:val="18"/>
                      <w:szCs w:val="21"/>
                    </w:rPr>
                  </w:pPr>
                  <w:r>
                    <w:rPr>
                      <w:color w:val="auto"/>
                      <w:kern w:val="0"/>
                      <w:sz w:val="18"/>
                      <w:szCs w:val="21"/>
                    </w:rPr>
                    <w:t>专项评价类别</w:t>
                  </w:r>
                </w:p>
              </w:tc>
              <w:tc>
                <w:tcPr>
                  <w:tcW w:w="2586" w:type="pct"/>
                  <w:tcBorders>
                    <w:tl2br w:val="nil"/>
                    <w:tr2bl w:val="nil"/>
                  </w:tcBorders>
                  <w:shd w:val="clear" w:color="auto" w:fill="auto"/>
                  <w:vAlign w:val="center"/>
                </w:tcPr>
                <w:p w14:paraId="704AB63C">
                  <w:pPr>
                    <w:autoSpaceDE w:val="0"/>
                    <w:autoSpaceDN w:val="0"/>
                    <w:adjustRightInd w:val="0"/>
                    <w:snapToGrid w:val="0"/>
                    <w:jc w:val="center"/>
                    <w:rPr>
                      <w:color w:val="auto"/>
                      <w:kern w:val="0"/>
                      <w:sz w:val="18"/>
                      <w:szCs w:val="21"/>
                    </w:rPr>
                  </w:pPr>
                  <w:r>
                    <w:rPr>
                      <w:color w:val="auto"/>
                      <w:kern w:val="0"/>
                      <w:sz w:val="18"/>
                      <w:szCs w:val="21"/>
                    </w:rPr>
                    <w:t>设置原则</w:t>
                  </w:r>
                </w:p>
              </w:tc>
              <w:tc>
                <w:tcPr>
                  <w:tcW w:w="1236" w:type="pct"/>
                  <w:tcBorders>
                    <w:tl2br w:val="nil"/>
                    <w:tr2bl w:val="nil"/>
                  </w:tcBorders>
                  <w:shd w:val="clear" w:color="auto" w:fill="auto"/>
                  <w:vAlign w:val="center"/>
                </w:tcPr>
                <w:p w14:paraId="7D3E0F1C">
                  <w:pPr>
                    <w:autoSpaceDE w:val="0"/>
                    <w:autoSpaceDN w:val="0"/>
                    <w:adjustRightInd w:val="0"/>
                    <w:snapToGrid w:val="0"/>
                    <w:jc w:val="center"/>
                    <w:rPr>
                      <w:color w:val="auto"/>
                      <w:kern w:val="0"/>
                      <w:sz w:val="18"/>
                      <w:szCs w:val="21"/>
                    </w:rPr>
                  </w:pPr>
                  <w:r>
                    <w:rPr>
                      <w:color w:val="auto"/>
                      <w:kern w:val="0"/>
                      <w:sz w:val="18"/>
                      <w:szCs w:val="21"/>
                    </w:rPr>
                    <w:t>本项目情况</w:t>
                  </w:r>
                </w:p>
              </w:tc>
              <w:tc>
                <w:tcPr>
                  <w:tcW w:w="587" w:type="pct"/>
                  <w:tcBorders>
                    <w:tl2br w:val="nil"/>
                    <w:tr2bl w:val="nil"/>
                  </w:tcBorders>
                  <w:shd w:val="clear" w:color="auto" w:fill="auto"/>
                  <w:vAlign w:val="center"/>
                </w:tcPr>
                <w:p w14:paraId="50D693FD">
                  <w:pPr>
                    <w:autoSpaceDE w:val="0"/>
                    <w:autoSpaceDN w:val="0"/>
                    <w:adjustRightInd w:val="0"/>
                    <w:snapToGrid w:val="0"/>
                    <w:jc w:val="center"/>
                    <w:rPr>
                      <w:color w:val="auto"/>
                      <w:kern w:val="0"/>
                      <w:sz w:val="18"/>
                      <w:szCs w:val="21"/>
                    </w:rPr>
                  </w:pPr>
                  <w:r>
                    <w:rPr>
                      <w:rFonts w:hint="eastAsia"/>
                      <w:color w:val="auto"/>
                      <w:kern w:val="0"/>
                      <w:sz w:val="18"/>
                      <w:szCs w:val="21"/>
                    </w:rPr>
                    <w:t>是否设置专项评价</w:t>
                  </w:r>
                </w:p>
              </w:tc>
            </w:tr>
            <w:tr w14:paraId="1F9F4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19472E7D">
                  <w:pPr>
                    <w:autoSpaceDE w:val="0"/>
                    <w:autoSpaceDN w:val="0"/>
                    <w:adjustRightInd w:val="0"/>
                    <w:snapToGrid w:val="0"/>
                    <w:jc w:val="center"/>
                    <w:rPr>
                      <w:color w:val="auto"/>
                      <w:kern w:val="0"/>
                      <w:sz w:val="18"/>
                      <w:szCs w:val="21"/>
                    </w:rPr>
                  </w:pPr>
                  <w:r>
                    <w:rPr>
                      <w:color w:val="auto"/>
                      <w:kern w:val="0"/>
                      <w:sz w:val="18"/>
                      <w:szCs w:val="21"/>
                    </w:rPr>
                    <w:t>大气</w:t>
                  </w:r>
                </w:p>
              </w:tc>
              <w:tc>
                <w:tcPr>
                  <w:tcW w:w="2586" w:type="pct"/>
                  <w:tcBorders>
                    <w:tl2br w:val="nil"/>
                    <w:tr2bl w:val="nil"/>
                  </w:tcBorders>
                  <w:shd w:val="clear" w:color="auto" w:fill="auto"/>
                  <w:vAlign w:val="center"/>
                </w:tcPr>
                <w:p w14:paraId="5ACF3153">
                  <w:pPr>
                    <w:autoSpaceDE w:val="0"/>
                    <w:autoSpaceDN w:val="0"/>
                    <w:adjustRightInd w:val="0"/>
                    <w:snapToGrid w:val="0"/>
                    <w:jc w:val="center"/>
                    <w:rPr>
                      <w:color w:val="auto"/>
                      <w:kern w:val="0"/>
                      <w:sz w:val="18"/>
                      <w:szCs w:val="21"/>
                    </w:rPr>
                  </w:pPr>
                  <w:r>
                    <w:rPr>
                      <w:color w:val="auto"/>
                      <w:kern w:val="0"/>
                      <w:sz w:val="18"/>
                      <w:szCs w:val="21"/>
                    </w:rPr>
                    <w:t>排放废气含有毒有害污染物、二噁英、苯并[a]芘、氰化物、氯气且厂界外500米范围内有环境空气保护目标的建设项目</w:t>
                  </w:r>
                </w:p>
              </w:tc>
              <w:tc>
                <w:tcPr>
                  <w:tcW w:w="1236" w:type="pct"/>
                  <w:tcBorders>
                    <w:tl2br w:val="nil"/>
                    <w:tr2bl w:val="nil"/>
                  </w:tcBorders>
                  <w:shd w:val="clear" w:color="auto" w:fill="auto"/>
                  <w:vAlign w:val="center"/>
                </w:tcPr>
                <w:p w14:paraId="59A414AB">
                  <w:pPr>
                    <w:autoSpaceDE w:val="0"/>
                    <w:autoSpaceDN w:val="0"/>
                    <w:adjustRightInd w:val="0"/>
                    <w:snapToGrid w:val="0"/>
                    <w:jc w:val="center"/>
                    <w:rPr>
                      <w:color w:val="auto"/>
                      <w:kern w:val="0"/>
                      <w:sz w:val="18"/>
                      <w:szCs w:val="21"/>
                    </w:rPr>
                  </w:pPr>
                  <w:r>
                    <w:rPr>
                      <w:color w:val="auto"/>
                      <w:kern w:val="0"/>
                      <w:sz w:val="18"/>
                      <w:szCs w:val="21"/>
                    </w:rPr>
                    <w:t>项目排放不涉及</w:t>
                  </w:r>
                  <w:r>
                    <w:rPr>
                      <w:rFonts w:hint="eastAsia"/>
                      <w:color w:val="auto"/>
                      <w:kern w:val="0"/>
                      <w:sz w:val="18"/>
                      <w:szCs w:val="21"/>
                    </w:rPr>
                    <w:t>左侧所列</w:t>
                  </w:r>
                  <w:r>
                    <w:rPr>
                      <w:color w:val="auto"/>
                      <w:kern w:val="0"/>
                      <w:sz w:val="18"/>
                      <w:szCs w:val="21"/>
                    </w:rPr>
                    <w:t>有毒有害污染物</w:t>
                  </w:r>
                </w:p>
              </w:tc>
              <w:tc>
                <w:tcPr>
                  <w:tcW w:w="587" w:type="pct"/>
                  <w:tcBorders>
                    <w:tl2br w:val="nil"/>
                    <w:tr2bl w:val="nil"/>
                  </w:tcBorders>
                  <w:shd w:val="clear" w:color="auto" w:fill="auto"/>
                  <w:vAlign w:val="center"/>
                </w:tcPr>
                <w:p w14:paraId="06B9C3F5">
                  <w:pPr>
                    <w:autoSpaceDE w:val="0"/>
                    <w:autoSpaceDN w:val="0"/>
                    <w:adjustRightInd w:val="0"/>
                    <w:snapToGrid w:val="0"/>
                    <w:jc w:val="center"/>
                    <w:rPr>
                      <w:color w:val="auto"/>
                      <w:kern w:val="0"/>
                      <w:sz w:val="18"/>
                      <w:szCs w:val="21"/>
                    </w:rPr>
                  </w:pPr>
                  <w:r>
                    <w:rPr>
                      <w:rFonts w:hint="eastAsia"/>
                      <w:color w:val="auto"/>
                      <w:kern w:val="0"/>
                      <w:sz w:val="18"/>
                      <w:szCs w:val="21"/>
                    </w:rPr>
                    <w:t>否</w:t>
                  </w:r>
                </w:p>
              </w:tc>
            </w:tr>
            <w:tr w14:paraId="6D988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3D746847">
                  <w:pPr>
                    <w:autoSpaceDE w:val="0"/>
                    <w:autoSpaceDN w:val="0"/>
                    <w:adjustRightInd w:val="0"/>
                    <w:snapToGrid w:val="0"/>
                    <w:jc w:val="center"/>
                    <w:rPr>
                      <w:color w:val="auto"/>
                      <w:kern w:val="0"/>
                      <w:sz w:val="18"/>
                      <w:szCs w:val="21"/>
                    </w:rPr>
                  </w:pPr>
                  <w:r>
                    <w:rPr>
                      <w:color w:val="auto"/>
                      <w:kern w:val="0"/>
                      <w:sz w:val="18"/>
                      <w:szCs w:val="21"/>
                    </w:rPr>
                    <w:t>地表水</w:t>
                  </w:r>
                </w:p>
              </w:tc>
              <w:tc>
                <w:tcPr>
                  <w:tcW w:w="2586" w:type="pct"/>
                  <w:tcBorders>
                    <w:tl2br w:val="nil"/>
                    <w:tr2bl w:val="nil"/>
                  </w:tcBorders>
                  <w:shd w:val="clear" w:color="auto" w:fill="auto"/>
                  <w:vAlign w:val="center"/>
                </w:tcPr>
                <w:p w14:paraId="35D131A1">
                  <w:pPr>
                    <w:autoSpaceDE w:val="0"/>
                    <w:autoSpaceDN w:val="0"/>
                    <w:adjustRightInd w:val="0"/>
                    <w:snapToGrid w:val="0"/>
                    <w:jc w:val="center"/>
                    <w:rPr>
                      <w:color w:val="auto"/>
                      <w:kern w:val="0"/>
                      <w:sz w:val="18"/>
                      <w:szCs w:val="21"/>
                    </w:rPr>
                  </w:pPr>
                  <w:r>
                    <w:rPr>
                      <w:color w:val="auto"/>
                      <w:kern w:val="0"/>
                      <w:sz w:val="18"/>
                      <w:szCs w:val="21"/>
                    </w:rPr>
                    <w:t>新增工业废水直排建设项目（槽罐车外送污水处理厂的除外）；新增废水直排的污水集中处理厂</w:t>
                  </w:r>
                </w:p>
              </w:tc>
              <w:tc>
                <w:tcPr>
                  <w:tcW w:w="1236" w:type="pct"/>
                  <w:tcBorders>
                    <w:tl2br w:val="nil"/>
                    <w:tr2bl w:val="nil"/>
                  </w:tcBorders>
                  <w:shd w:val="clear" w:color="auto" w:fill="auto"/>
                  <w:vAlign w:val="center"/>
                </w:tcPr>
                <w:p w14:paraId="3569AC0E">
                  <w:pPr>
                    <w:autoSpaceDE w:val="0"/>
                    <w:autoSpaceDN w:val="0"/>
                    <w:adjustRightInd w:val="0"/>
                    <w:snapToGrid w:val="0"/>
                    <w:jc w:val="center"/>
                    <w:rPr>
                      <w:rFonts w:hint="default" w:eastAsia="宋体"/>
                      <w:color w:val="auto"/>
                      <w:kern w:val="0"/>
                      <w:sz w:val="18"/>
                      <w:szCs w:val="21"/>
                      <w:highlight w:val="yellow"/>
                      <w:lang w:val="en-US" w:eastAsia="zh-CN"/>
                    </w:rPr>
                  </w:pPr>
                  <w:r>
                    <w:rPr>
                      <w:color w:val="auto"/>
                      <w:kern w:val="0"/>
                      <w:sz w:val="18"/>
                      <w:szCs w:val="21"/>
                      <w:highlight w:val="none"/>
                    </w:rPr>
                    <w:t>本项目</w:t>
                  </w:r>
                  <w:r>
                    <w:rPr>
                      <w:rFonts w:hint="eastAsia"/>
                      <w:color w:val="auto"/>
                      <w:kern w:val="0"/>
                      <w:sz w:val="18"/>
                      <w:szCs w:val="21"/>
                      <w:highlight w:val="none"/>
                      <w:lang w:val="en-US" w:eastAsia="zh-CN"/>
                    </w:rPr>
                    <w:t>不涉及左侧所列情形</w:t>
                  </w:r>
                </w:p>
              </w:tc>
              <w:tc>
                <w:tcPr>
                  <w:tcW w:w="587" w:type="pct"/>
                  <w:tcBorders>
                    <w:tl2br w:val="nil"/>
                    <w:tr2bl w:val="nil"/>
                  </w:tcBorders>
                  <w:shd w:val="clear" w:color="auto" w:fill="auto"/>
                  <w:vAlign w:val="center"/>
                </w:tcPr>
                <w:p w14:paraId="31FA6243">
                  <w:pPr>
                    <w:autoSpaceDE w:val="0"/>
                    <w:autoSpaceDN w:val="0"/>
                    <w:adjustRightInd w:val="0"/>
                    <w:snapToGrid w:val="0"/>
                    <w:jc w:val="center"/>
                    <w:rPr>
                      <w:color w:val="auto"/>
                      <w:kern w:val="0"/>
                      <w:sz w:val="18"/>
                      <w:szCs w:val="21"/>
                    </w:rPr>
                  </w:pPr>
                  <w:r>
                    <w:rPr>
                      <w:rFonts w:hint="eastAsia"/>
                      <w:color w:val="auto"/>
                      <w:kern w:val="0"/>
                      <w:sz w:val="18"/>
                      <w:szCs w:val="21"/>
                    </w:rPr>
                    <w:t>否</w:t>
                  </w:r>
                </w:p>
              </w:tc>
            </w:tr>
            <w:tr w14:paraId="43D69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0EB1B670">
                  <w:pPr>
                    <w:autoSpaceDE w:val="0"/>
                    <w:autoSpaceDN w:val="0"/>
                    <w:adjustRightInd w:val="0"/>
                    <w:snapToGrid w:val="0"/>
                    <w:jc w:val="center"/>
                    <w:rPr>
                      <w:color w:val="auto"/>
                      <w:kern w:val="0"/>
                      <w:sz w:val="18"/>
                      <w:szCs w:val="21"/>
                    </w:rPr>
                  </w:pPr>
                  <w:r>
                    <w:rPr>
                      <w:color w:val="auto"/>
                      <w:kern w:val="0"/>
                      <w:sz w:val="18"/>
                      <w:szCs w:val="21"/>
                    </w:rPr>
                    <w:t>环境风险</w:t>
                  </w:r>
                </w:p>
              </w:tc>
              <w:tc>
                <w:tcPr>
                  <w:tcW w:w="2586" w:type="pct"/>
                  <w:tcBorders>
                    <w:tl2br w:val="nil"/>
                    <w:tr2bl w:val="nil"/>
                  </w:tcBorders>
                  <w:shd w:val="clear" w:color="auto" w:fill="auto"/>
                  <w:vAlign w:val="center"/>
                </w:tcPr>
                <w:p w14:paraId="52B09BF6">
                  <w:pPr>
                    <w:autoSpaceDE w:val="0"/>
                    <w:autoSpaceDN w:val="0"/>
                    <w:adjustRightInd w:val="0"/>
                    <w:snapToGrid w:val="0"/>
                    <w:jc w:val="center"/>
                    <w:rPr>
                      <w:color w:val="auto"/>
                      <w:kern w:val="0"/>
                      <w:sz w:val="18"/>
                      <w:szCs w:val="21"/>
                    </w:rPr>
                  </w:pPr>
                  <w:r>
                    <w:rPr>
                      <w:color w:val="auto"/>
                      <w:kern w:val="0"/>
                      <w:sz w:val="18"/>
                      <w:szCs w:val="21"/>
                    </w:rPr>
                    <w:t>有毒有害和易燃易爆危险物质存储量超过临界量的建设项目</w:t>
                  </w:r>
                </w:p>
              </w:tc>
              <w:tc>
                <w:tcPr>
                  <w:tcW w:w="1236" w:type="pct"/>
                  <w:tcBorders>
                    <w:tl2br w:val="nil"/>
                    <w:tr2bl w:val="nil"/>
                  </w:tcBorders>
                  <w:shd w:val="clear" w:color="auto" w:fill="auto"/>
                  <w:vAlign w:val="center"/>
                </w:tcPr>
                <w:p w14:paraId="5C5C0BD3">
                  <w:pPr>
                    <w:autoSpaceDE w:val="0"/>
                    <w:autoSpaceDN w:val="0"/>
                    <w:adjustRightInd w:val="0"/>
                    <w:snapToGrid w:val="0"/>
                    <w:jc w:val="center"/>
                    <w:rPr>
                      <w:rFonts w:hint="default" w:eastAsia="宋体"/>
                      <w:b/>
                      <w:bCs/>
                      <w:color w:val="auto"/>
                      <w:kern w:val="0"/>
                      <w:sz w:val="18"/>
                      <w:szCs w:val="21"/>
                      <w:lang w:val="en-US" w:eastAsia="zh-CN"/>
                    </w:rPr>
                  </w:pPr>
                  <w:r>
                    <w:rPr>
                      <w:rFonts w:hint="eastAsia"/>
                      <w:b/>
                      <w:bCs/>
                      <w:color w:val="auto"/>
                      <w:kern w:val="0"/>
                      <w:sz w:val="18"/>
                      <w:szCs w:val="21"/>
                      <w:lang w:val="en-US" w:eastAsia="zh-CN"/>
                    </w:rPr>
                    <w:t>本项目涉及的储存物料主要为甲醇、叔丁醇，储存量超过临界量</w:t>
                  </w:r>
                </w:p>
              </w:tc>
              <w:tc>
                <w:tcPr>
                  <w:tcW w:w="587" w:type="pct"/>
                  <w:tcBorders>
                    <w:tl2br w:val="nil"/>
                    <w:tr2bl w:val="nil"/>
                  </w:tcBorders>
                  <w:shd w:val="clear" w:color="auto" w:fill="auto"/>
                  <w:vAlign w:val="center"/>
                </w:tcPr>
                <w:p w14:paraId="523E873A">
                  <w:pPr>
                    <w:autoSpaceDE w:val="0"/>
                    <w:autoSpaceDN w:val="0"/>
                    <w:adjustRightInd w:val="0"/>
                    <w:snapToGrid w:val="0"/>
                    <w:jc w:val="center"/>
                    <w:rPr>
                      <w:rFonts w:hint="eastAsia" w:eastAsia="宋体"/>
                      <w:b/>
                      <w:bCs/>
                      <w:color w:val="auto"/>
                      <w:kern w:val="0"/>
                      <w:sz w:val="18"/>
                      <w:szCs w:val="21"/>
                      <w:lang w:eastAsia="zh-CN"/>
                    </w:rPr>
                  </w:pPr>
                  <w:r>
                    <w:rPr>
                      <w:rFonts w:hint="eastAsia"/>
                      <w:b/>
                      <w:bCs/>
                      <w:color w:val="auto"/>
                      <w:kern w:val="0"/>
                      <w:sz w:val="18"/>
                      <w:szCs w:val="21"/>
                      <w:lang w:val="en-US" w:eastAsia="zh-CN"/>
                    </w:rPr>
                    <w:t>是</w:t>
                  </w:r>
                </w:p>
              </w:tc>
            </w:tr>
            <w:tr w14:paraId="687EB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19DD41D8">
                  <w:pPr>
                    <w:autoSpaceDE w:val="0"/>
                    <w:autoSpaceDN w:val="0"/>
                    <w:adjustRightInd w:val="0"/>
                    <w:snapToGrid w:val="0"/>
                    <w:jc w:val="center"/>
                    <w:rPr>
                      <w:color w:val="auto"/>
                      <w:kern w:val="0"/>
                      <w:sz w:val="18"/>
                      <w:szCs w:val="21"/>
                    </w:rPr>
                  </w:pPr>
                  <w:r>
                    <w:rPr>
                      <w:color w:val="auto"/>
                      <w:kern w:val="0"/>
                      <w:sz w:val="18"/>
                      <w:szCs w:val="21"/>
                    </w:rPr>
                    <w:t>生态</w:t>
                  </w:r>
                </w:p>
              </w:tc>
              <w:tc>
                <w:tcPr>
                  <w:tcW w:w="2586" w:type="pct"/>
                  <w:tcBorders>
                    <w:tl2br w:val="nil"/>
                    <w:tr2bl w:val="nil"/>
                  </w:tcBorders>
                  <w:shd w:val="clear" w:color="auto" w:fill="auto"/>
                  <w:vAlign w:val="center"/>
                </w:tcPr>
                <w:p w14:paraId="5833CBA4">
                  <w:pPr>
                    <w:autoSpaceDE w:val="0"/>
                    <w:autoSpaceDN w:val="0"/>
                    <w:adjustRightInd w:val="0"/>
                    <w:snapToGrid w:val="0"/>
                    <w:jc w:val="center"/>
                    <w:rPr>
                      <w:color w:val="auto"/>
                      <w:kern w:val="0"/>
                      <w:sz w:val="18"/>
                      <w:szCs w:val="21"/>
                    </w:rPr>
                  </w:pPr>
                  <w:r>
                    <w:rPr>
                      <w:color w:val="auto"/>
                      <w:kern w:val="0"/>
                      <w:sz w:val="18"/>
                      <w:szCs w:val="21"/>
                    </w:rPr>
                    <w:t>取水口下游500米范围内有重要水生生物的自然产卵场、索饵场、越冬场和洄游通道的新增河道取水的污染类建设项目</w:t>
                  </w:r>
                </w:p>
              </w:tc>
              <w:tc>
                <w:tcPr>
                  <w:tcW w:w="1236" w:type="pct"/>
                  <w:tcBorders>
                    <w:tl2br w:val="nil"/>
                    <w:tr2bl w:val="nil"/>
                  </w:tcBorders>
                  <w:shd w:val="clear" w:color="auto" w:fill="auto"/>
                  <w:vAlign w:val="center"/>
                </w:tcPr>
                <w:p w14:paraId="56183A0E">
                  <w:pPr>
                    <w:autoSpaceDE w:val="0"/>
                    <w:autoSpaceDN w:val="0"/>
                    <w:adjustRightInd w:val="0"/>
                    <w:snapToGrid w:val="0"/>
                    <w:jc w:val="center"/>
                    <w:rPr>
                      <w:rFonts w:hint="default"/>
                      <w:color w:val="auto"/>
                      <w:kern w:val="0"/>
                      <w:sz w:val="18"/>
                      <w:szCs w:val="21"/>
                      <w:lang w:val="en-US"/>
                    </w:rPr>
                  </w:pPr>
                  <w:r>
                    <w:rPr>
                      <w:rFonts w:hint="default"/>
                      <w:color w:val="auto"/>
                      <w:kern w:val="0"/>
                      <w:sz w:val="18"/>
                      <w:szCs w:val="21"/>
                      <w:lang w:val="en-US"/>
                    </w:rPr>
                    <w:t>不涉及</w:t>
                  </w:r>
                </w:p>
              </w:tc>
              <w:tc>
                <w:tcPr>
                  <w:tcW w:w="587" w:type="pct"/>
                  <w:tcBorders>
                    <w:tl2br w:val="nil"/>
                    <w:tr2bl w:val="nil"/>
                  </w:tcBorders>
                  <w:shd w:val="clear" w:color="auto" w:fill="auto"/>
                  <w:vAlign w:val="center"/>
                </w:tcPr>
                <w:p w14:paraId="7A77FF01">
                  <w:pPr>
                    <w:autoSpaceDE w:val="0"/>
                    <w:autoSpaceDN w:val="0"/>
                    <w:adjustRightInd w:val="0"/>
                    <w:snapToGrid w:val="0"/>
                    <w:jc w:val="center"/>
                    <w:rPr>
                      <w:color w:val="auto"/>
                      <w:kern w:val="0"/>
                      <w:sz w:val="18"/>
                      <w:szCs w:val="21"/>
                    </w:rPr>
                  </w:pPr>
                  <w:r>
                    <w:rPr>
                      <w:rFonts w:hint="eastAsia"/>
                      <w:color w:val="auto"/>
                      <w:kern w:val="0"/>
                      <w:sz w:val="18"/>
                      <w:szCs w:val="21"/>
                    </w:rPr>
                    <w:t>否</w:t>
                  </w:r>
                </w:p>
              </w:tc>
            </w:tr>
            <w:tr w14:paraId="1BE69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90" w:type="pct"/>
                  <w:tcBorders>
                    <w:tl2br w:val="nil"/>
                    <w:tr2bl w:val="nil"/>
                  </w:tcBorders>
                  <w:shd w:val="clear" w:color="auto" w:fill="auto"/>
                  <w:vAlign w:val="center"/>
                </w:tcPr>
                <w:p w14:paraId="5FCBB6AB">
                  <w:pPr>
                    <w:autoSpaceDE w:val="0"/>
                    <w:autoSpaceDN w:val="0"/>
                    <w:adjustRightInd w:val="0"/>
                    <w:snapToGrid w:val="0"/>
                    <w:jc w:val="center"/>
                    <w:rPr>
                      <w:color w:val="auto"/>
                      <w:kern w:val="0"/>
                      <w:sz w:val="18"/>
                      <w:szCs w:val="21"/>
                    </w:rPr>
                  </w:pPr>
                  <w:r>
                    <w:rPr>
                      <w:color w:val="auto"/>
                      <w:kern w:val="0"/>
                      <w:sz w:val="18"/>
                      <w:szCs w:val="21"/>
                    </w:rPr>
                    <w:t>海洋</w:t>
                  </w:r>
                </w:p>
              </w:tc>
              <w:tc>
                <w:tcPr>
                  <w:tcW w:w="2586" w:type="pct"/>
                  <w:tcBorders>
                    <w:tl2br w:val="nil"/>
                    <w:tr2bl w:val="nil"/>
                  </w:tcBorders>
                  <w:shd w:val="clear" w:color="auto" w:fill="auto"/>
                  <w:vAlign w:val="center"/>
                </w:tcPr>
                <w:p w14:paraId="252B9C15">
                  <w:pPr>
                    <w:autoSpaceDE w:val="0"/>
                    <w:autoSpaceDN w:val="0"/>
                    <w:adjustRightInd w:val="0"/>
                    <w:snapToGrid w:val="0"/>
                    <w:jc w:val="center"/>
                    <w:rPr>
                      <w:color w:val="auto"/>
                      <w:kern w:val="0"/>
                      <w:sz w:val="18"/>
                      <w:szCs w:val="21"/>
                    </w:rPr>
                  </w:pPr>
                  <w:r>
                    <w:rPr>
                      <w:color w:val="auto"/>
                      <w:kern w:val="0"/>
                      <w:sz w:val="18"/>
                      <w:szCs w:val="21"/>
                    </w:rPr>
                    <w:t>直接向海排放污染物的海洋工程建设项目</w:t>
                  </w:r>
                </w:p>
              </w:tc>
              <w:tc>
                <w:tcPr>
                  <w:tcW w:w="1236" w:type="pct"/>
                  <w:tcBorders>
                    <w:tl2br w:val="nil"/>
                    <w:tr2bl w:val="nil"/>
                  </w:tcBorders>
                  <w:shd w:val="clear" w:color="auto" w:fill="auto"/>
                  <w:vAlign w:val="center"/>
                </w:tcPr>
                <w:p w14:paraId="150FA2EE">
                  <w:pPr>
                    <w:autoSpaceDE w:val="0"/>
                    <w:autoSpaceDN w:val="0"/>
                    <w:adjustRightInd w:val="0"/>
                    <w:snapToGrid w:val="0"/>
                    <w:jc w:val="center"/>
                    <w:rPr>
                      <w:color w:val="auto"/>
                      <w:kern w:val="0"/>
                      <w:sz w:val="18"/>
                      <w:szCs w:val="21"/>
                    </w:rPr>
                  </w:pPr>
                  <w:r>
                    <w:rPr>
                      <w:color w:val="auto"/>
                      <w:kern w:val="0"/>
                      <w:sz w:val="18"/>
                      <w:szCs w:val="21"/>
                    </w:rPr>
                    <w:t>不涉及</w:t>
                  </w:r>
                </w:p>
              </w:tc>
              <w:tc>
                <w:tcPr>
                  <w:tcW w:w="587" w:type="pct"/>
                  <w:tcBorders>
                    <w:tl2br w:val="nil"/>
                    <w:tr2bl w:val="nil"/>
                  </w:tcBorders>
                  <w:shd w:val="clear" w:color="auto" w:fill="auto"/>
                  <w:vAlign w:val="center"/>
                </w:tcPr>
                <w:p w14:paraId="13EA3B03">
                  <w:pPr>
                    <w:autoSpaceDE w:val="0"/>
                    <w:autoSpaceDN w:val="0"/>
                    <w:adjustRightInd w:val="0"/>
                    <w:snapToGrid w:val="0"/>
                    <w:jc w:val="center"/>
                    <w:rPr>
                      <w:color w:val="auto"/>
                      <w:kern w:val="0"/>
                      <w:sz w:val="18"/>
                      <w:szCs w:val="21"/>
                    </w:rPr>
                  </w:pPr>
                  <w:r>
                    <w:rPr>
                      <w:rFonts w:hint="eastAsia"/>
                      <w:color w:val="auto"/>
                      <w:kern w:val="0"/>
                      <w:sz w:val="18"/>
                      <w:szCs w:val="21"/>
                    </w:rPr>
                    <w:t>否</w:t>
                  </w:r>
                </w:p>
              </w:tc>
            </w:tr>
          </w:tbl>
          <w:p w14:paraId="795D9DD3">
            <w:pPr>
              <w:autoSpaceDE w:val="0"/>
              <w:autoSpaceDN w:val="0"/>
              <w:adjustRightInd w:val="0"/>
              <w:snapToGrid w:val="0"/>
              <w:ind w:firstLine="420" w:firstLineChars="200"/>
              <w:rPr>
                <w:color w:val="auto"/>
                <w:kern w:val="0"/>
                <w:szCs w:val="21"/>
              </w:rPr>
            </w:pPr>
          </w:p>
        </w:tc>
      </w:tr>
      <w:tr w14:paraId="5F6EA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70" w:type="pct"/>
            <w:vAlign w:val="center"/>
          </w:tcPr>
          <w:p w14:paraId="24D007D7">
            <w:pPr>
              <w:autoSpaceDE w:val="0"/>
              <w:autoSpaceDN w:val="0"/>
              <w:adjustRightInd w:val="0"/>
              <w:snapToGrid w:val="0"/>
              <w:jc w:val="center"/>
              <w:rPr>
                <w:color w:val="auto"/>
                <w:kern w:val="0"/>
                <w:szCs w:val="21"/>
              </w:rPr>
            </w:pPr>
            <w:r>
              <w:rPr>
                <w:color w:val="auto"/>
                <w:szCs w:val="21"/>
              </w:rPr>
              <w:t>规划情况</w:t>
            </w:r>
          </w:p>
        </w:tc>
        <w:tc>
          <w:tcPr>
            <w:tcW w:w="4429" w:type="pct"/>
            <w:gridSpan w:val="4"/>
            <w:vAlign w:val="center"/>
          </w:tcPr>
          <w:p w14:paraId="3C969A1D">
            <w:pPr>
              <w:autoSpaceDE w:val="0"/>
              <w:autoSpaceDN w:val="0"/>
              <w:adjustRightInd w:val="0"/>
              <w:snapToGrid w:val="0"/>
              <w:spacing w:line="440" w:lineRule="exact"/>
              <w:rPr>
                <w:rFonts w:hint="eastAsia"/>
                <w:color w:val="auto"/>
                <w:kern w:val="0"/>
                <w:szCs w:val="21"/>
              </w:rPr>
            </w:pPr>
            <w:r>
              <w:rPr>
                <w:rFonts w:hint="eastAsia"/>
                <w:color w:val="auto"/>
                <w:kern w:val="0"/>
                <w:szCs w:val="21"/>
              </w:rPr>
              <w:t>规划名称：朱台镇工业集聚区总体发展规划（2024-2035年）；</w:t>
            </w:r>
          </w:p>
          <w:p w14:paraId="6DD18926">
            <w:pPr>
              <w:autoSpaceDE w:val="0"/>
              <w:autoSpaceDN w:val="0"/>
              <w:adjustRightInd w:val="0"/>
              <w:snapToGrid w:val="0"/>
              <w:spacing w:line="440" w:lineRule="exact"/>
              <w:rPr>
                <w:rFonts w:hint="eastAsia"/>
                <w:color w:val="auto"/>
                <w:kern w:val="0"/>
                <w:szCs w:val="21"/>
              </w:rPr>
            </w:pPr>
            <w:r>
              <w:rPr>
                <w:rFonts w:hint="eastAsia"/>
                <w:color w:val="auto"/>
                <w:kern w:val="0"/>
                <w:szCs w:val="21"/>
              </w:rPr>
              <w:t>审批机关：临淄区人民政府；</w:t>
            </w:r>
          </w:p>
          <w:p w14:paraId="5BC9953A">
            <w:pPr>
              <w:autoSpaceDE w:val="0"/>
              <w:autoSpaceDN w:val="0"/>
              <w:adjustRightInd w:val="0"/>
              <w:snapToGrid w:val="0"/>
              <w:spacing w:line="440" w:lineRule="exact"/>
              <w:rPr>
                <w:color w:val="auto"/>
                <w:kern w:val="0"/>
                <w:szCs w:val="21"/>
              </w:rPr>
            </w:pPr>
            <w:r>
              <w:rPr>
                <w:rFonts w:hint="eastAsia"/>
                <w:color w:val="auto"/>
                <w:kern w:val="0"/>
                <w:szCs w:val="21"/>
                <w:highlight w:val="none"/>
              </w:rPr>
              <w:t>审批文件名称及文号：</w:t>
            </w:r>
            <w:r>
              <w:rPr>
                <w:rFonts w:hint="eastAsia"/>
                <w:color w:val="auto"/>
                <w:kern w:val="0"/>
                <w:szCs w:val="21"/>
                <w:highlight w:val="none"/>
                <w:lang w:val="en-US" w:eastAsia="zh-CN"/>
              </w:rPr>
              <w:t>无</w:t>
            </w:r>
            <w:r>
              <w:rPr>
                <w:rFonts w:hint="eastAsia"/>
                <w:color w:val="auto"/>
                <w:kern w:val="0"/>
                <w:szCs w:val="21"/>
                <w:highlight w:val="none"/>
              </w:rPr>
              <w:t>。</w:t>
            </w:r>
          </w:p>
        </w:tc>
      </w:tr>
      <w:tr w14:paraId="591A2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vAlign w:val="center"/>
          </w:tcPr>
          <w:p w14:paraId="3438D625">
            <w:pPr>
              <w:adjustRightInd w:val="0"/>
              <w:snapToGrid w:val="0"/>
              <w:jc w:val="center"/>
              <w:rPr>
                <w:color w:val="auto"/>
                <w:kern w:val="0"/>
                <w:szCs w:val="21"/>
              </w:rPr>
            </w:pPr>
            <w:r>
              <w:rPr>
                <w:color w:val="auto"/>
                <w:szCs w:val="21"/>
              </w:rPr>
              <w:t>规划环境影响评价情况</w:t>
            </w:r>
          </w:p>
        </w:tc>
        <w:tc>
          <w:tcPr>
            <w:tcW w:w="4429" w:type="pct"/>
            <w:gridSpan w:val="4"/>
            <w:vAlign w:val="center"/>
          </w:tcPr>
          <w:p w14:paraId="037C1772">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eastAsia="宋体"/>
                <w:color w:val="auto"/>
                <w:kern w:val="0"/>
                <w:szCs w:val="21"/>
                <w:lang w:eastAsia="zh-CN"/>
              </w:rPr>
            </w:pPr>
            <w:r>
              <w:rPr>
                <w:bCs/>
                <w:color w:val="auto"/>
                <w:kern w:val="0"/>
                <w:szCs w:val="21"/>
              </w:rPr>
              <w:t>环评文件名称：</w:t>
            </w:r>
            <w:r>
              <w:rPr>
                <w:rFonts w:hint="eastAsia"/>
                <w:bCs/>
                <w:color w:val="auto"/>
                <w:kern w:val="0"/>
                <w:szCs w:val="21"/>
              </w:rPr>
              <w:t>《朱台镇工业集聚区总体发展规划(2024-2035年)环境影响报告书》</w:t>
            </w:r>
            <w:r>
              <w:rPr>
                <w:rFonts w:hint="eastAsia"/>
                <w:bCs/>
                <w:color w:val="auto"/>
                <w:kern w:val="0"/>
                <w:szCs w:val="21"/>
                <w:lang w:eastAsia="zh-CN"/>
              </w:rPr>
              <w:t>；</w:t>
            </w:r>
          </w:p>
          <w:p w14:paraId="4A9C2743">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eastAsia="宋体"/>
                <w:color w:val="auto"/>
                <w:kern w:val="0"/>
                <w:szCs w:val="21"/>
                <w:lang w:eastAsia="zh-CN"/>
              </w:rPr>
            </w:pPr>
            <w:r>
              <w:rPr>
                <w:bCs/>
                <w:color w:val="auto"/>
                <w:kern w:val="0"/>
                <w:szCs w:val="21"/>
              </w:rPr>
              <w:t>召集审查机关：</w:t>
            </w:r>
            <w:r>
              <w:rPr>
                <w:color w:val="auto"/>
                <w:kern w:val="0"/>
                <w:szCs w:val="21"/>
              </w:rPr>
              <w:t>淄博市生态环境局</w:t>
            </w:r>
            <w:r>
              <w:rPr>
                <w:rFonts w:hint="eastAsia"/>
                <w:color w:val="auto"/>
                <w:kern w:val="0"/>
                <w:szCs w:val="21"/>
                <w:lang w:eastAsia="zh-CN"/>
              </w:rPr>
              <w:t>；</w:t>
            </w:r>
          </w:p>
          <w:p w14:paraId="771E1BB7">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color w:val="auto"/>
                <w:kern w:val="0"/>
                <w:szCs w:val="21"/>
              </w:rPr>
            </w:pPr>
            <w:r>
              <w:rPr>
                <w:bCs/>
                <w:color w:val="auto"/>
                <w:kern w:val="0"/>
                <w:szCs w:val="21"/>
              </w:rPr>
              <w:t>审查文件名称：</w:t>
            </w:r>
            <w:r>
              <w:rPr>
                <w:rFonts w:hint="eastAsia"/>
                <w:bCs/>
                <w:color w:val="auto"/>
                <w:kern w:val="0"/>
                <w:szCs w:val="21"/>
              </w:rPr>
              <w:t>淄博市生态环境局关于《朱台镇工业集聚区总体发展规划(2024-2035年)环境影响报告书》的审查意见（</w:t>
            </w:r>
            <w:r>
              <w:rPr>
                <w:rFonts w:hint="eastAsia"/>
                <w:color w:val="auto"/>
                <w:kern w:val="0"/>
                <w:szCs w:val="21"/>
              </w:rPr>
              <w:t>审查意见文号：</w:t>
            </w:r>
            <w:r>
              <w:rPr>
                <w:rFonts w:hint="eastAsia"/>
                <w:bCs/>
                <w:color w:val="auto"/>
                <w:kern w:val="0"/>
                <w:szCs w:val="21"/>
              </w:rPr>
              <w:t>淄环审</w:t>
            </w:r>
            <w:r>
              <w:rPr>
                <w:rFonts w:hint="eastAsia"/>
                <w:bCs/>
                <w:color w:val="auto"/>
                <w:kern w:val="0"/>
                <w:szCs w:val="21"/>
                <w:lang w:val="en-US" w:eastAsia="zh-CN"/>
              </w:rPr>
              <w:t>[2025]</w:t>
            </w:r>
            <w:r>
              <w:rPr>
                <w:rFonts w:hint="eastAsia"/>
                <w:bCs/>
                <w:color w:val="auto"/>
                <w:kern w:val="0"/>
                <w:szCs w:val="21"/>
              </w:rPr>
              <w:t>2号）</w:t>
            </w:r>
            <w:r>
              <w:rPr>
                <w:rFonts w:hint="eastAsia"/>
                <w:bCs/>
                <w:color w:val="auto"/>
                <w:kern w:val="0"/>
                <w:szCs w:val="21"/>
                <w:lang w:eastAsia="zh-CN"/>
              </w:rPr>
              <w:t>。</w:t>
            </w:r>
          </w:p>
        </w:tc>
      </w:tr>
      <w:tr w14:paraId="7FCDC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570" w:type="pct"/>
            <w:vAlign w:val="center"/>
          </w:tcPr>
          <w:p w14:paraId="3BF51A74">
            <w:pPr>
              <w:autoSpaceDE w:val="0"/>
              <w:autoSpaceDN w:val="0"/>
              <w:adjustRightInd w:val="0"/>
              <w:snapToGrid w:val="0"/>
              <w:jc w:val="center"/>
              <w:rPr>
                <w:color w:val="auto"/>
                <w:kern w:val="0"/>
                <w:szCs w:val="21"/>
              </w:rPr>
            </w:pPr>
            <w:r>
              <w:rPr>
                <w:color w:val="auto"/>
                <w:kern w:val="0"/>
                <w:szCs w:val="21"/>
              </w:rPr>
              <w:t>规划及规划环境影响评价符合性分析</w:t>
            </w:r>
          </w:p>
        </w:tc>
        <w:tc>
          <w:tcPr>
            <w:tcW w:w="4429" w:type="pct"/>
            <w:gridSpan w:val="4"/>
            <w:vAlign w:val="center"/>
          </w:tcPr>
          <w:p w14:paraId="75FE533A">
            <w:pPr>
              <w:autoSpaceDE w:val="0"/>
              <w:autoSpaceDN w:val="0"/>
              <w:adjustRightInd w:val="0"/>
              <w:snapToGrid w:val="0"/>
              <w:spacing w:line="480" w:lineRule="exact"/>
              <w:ind w:firstLine="420" w:firstLineChars="200"/>
              <w:rPr>
                <w:rFonts w:hint="eastAsia" w:eastAsia="宋体"/>
                <w:color w:val="auto"/>
                <w:szCs w:val="21"/>
                <w:lang w:val="en-US" w:eastAsia="zh-CN"/>
              </w:rPr>
            </w:pPr>
            <w:r>
              <w:rPr>
                <w:rFonts w:hint="eastAsia"/>
                <w:color w:val="auto"/>
                <w:szCs w:val="21"/>
                <w:lang w:val="en-US" w:eastAsia="zh-CN"/>
              </w:rPr>
              <w:t>1、项目与朱台镇工业集聚区总体发展规划符合性分析</w:t>
            </w:r>
          </w:p>
          <w:p w14:paraId="2DD80F14">
            <w:pPr>
              <w:autoSpaceDE w:val="0"/>
              <w:autoSpaceDN w:val="0"/>
              <w:adjustRightInd w:val="0"/>
              <w:snapToGrid w:val="0"/>
              <w:spacing w:line="480" w:lineRule="exact"/>
              <w:ind w:firstLine="420" w:firstLineChars="200"/>
              <w:rPr>
                <w:rFonts w:hint="default" w:eastAsia="宋体"/>
                <w:b w:val="0"/>
                <w:bCs w:val="0"/>
                <w:color w:val="auto"/>
                <w:szCs w:val="21"/>
                <w:lang w:val="en-US" w:eastAsia="zh-CN"/>
              </w:rPr>
            </w:pPr>
            <w:r>
              <w:rPr>
                <w:rFonts w:hint="eastAsia"/>
                <w:b w:val="0"/>
                <w:bCs w:val="0"/>
                <w:color w:val="auto"/>
                <w:szCs w:val="21"/>
                <w:lang w:val="en-US" w:eastAsia="zh-CN"/>
              </w:rPr>
              <w:t>1</w:t>
            </w:r>
            <w:r>
              <w:rPr>
                <w:rFonts w:hint="eastAsia"/>
                <w:b w:val="0"/>
                <w:bCs w:val="0"/>
                <w:color w:val="auto"/>
                <w:szCs w:val="21"/>
                <w:lang w:eastAsia="zh-CN"/>
              </w:rPr>
              <w:t>）</w:t>
            </w:r>
            <w:r>
              <w:rPr>
                <w:rFonts w:hint="eastAsia"/>
                <w:b w:val="0"/>
                <w:bCs w:val="0"/>
                <w:color w:val="auto"/>
                <w:szCs w:val="21"/>
                <w:lang w:val="en-US" w:eastAsia="zh-CN"/>
              </w:rPr>
              <w:t>朱台镇工业集聚区规划概况</w:t>
            </w:r>
          </w:p>
          <w:p w14:paraId="66DE9871">
            <w:pPr>
              <w:autoSpaceDE w:val="0"/>
              <w:autoSpaceDN w:val="0"/>
              <w:adjustRightInd w:val="0"/>
              <w:snapToGrid w:val="0"/>
              <w:spacing w:line="480" w:lineRule="exact"/>
              <w:ind w:firstLine="420" w:firstLineChars="200"/>
              <w:rPr>
                <w:rFonts w:hint="default" w:eastAsia="宋体"/>
                <w:color w:val="auto"/>
                <w:szCs w:val="21"/>
                <w:lang w:val="en-US" w:eastAsia="zh-CN"/>
              </w:rPr>
            </w:pPr>
            <w:r>
              <w:rPr>
                <w:rFonts w:hint="eastAsia"/>
                <w:color w:val="auto"/>
                <w:szCs w:val="21"/>
                <w:lang w:val="en-US" w:eastAsia="zh-CN"/>
              </w:rPr>
              <w:t>①规划范围</w:t>
            </w:r>
          </w:p>
          <w:p w14:paraId="5C34E200">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2020年12月3日，临淄区人民政府印发《临淄区人民政府关于同意认定朱台镇工业集中区为工业集聚区的批复》(临政字[2020]178号)，认定朱台镇工业集聚区，面积210.55公顷。2024年11月11日，临淄区人民政府印发《临淄区人民政府关于同意设立金山非化工企业集聚区和调整部分工业集聚区范围的批复》(临政字[2024]121号)，同意调整朱合镇工业集聚区范围。结合《淄博市国土空间总体规划(2021-2035年)》，本次朱台镇工业集聚区规划面积为214.54公顷，规划范围包含四个地块。</w:t>
            </w:r>
          </w:p>
          <w:p w14:paraId="00CA17F4">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地块一(博临路地块)：北至枣园村生产路，西至朱杨路，南至桐林北生产路，东至朱台镇边界，总面积184.25公顷；</w:t>
            </w:r>
          </w:p>
          <w:p w14:paraId="6F7C8AD1">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地块二(寿济路地块)：位于寿济路以南，南至薛家官村东至旧轮胎市场东边界，西至泽森纸业以西生产路，总面积15.63公顷；</w:t>
            </w:r>
          </w:p>
          <w:p w14:paraId="24BF2C60">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地块三(新立村地块)：新立村北山东广浦生物科技有限公司瓜尔胶项目、新立村北原淄博市临淄宏泰化工厂、新立村北原增利预制厂，总面积13.61公顷；</w:t>
            </w:r>
          </w:p>
          <w:p w14:paraId="78DBBB8F">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地块四(立子营村地块)：立子营村西淄博市临淄晟恒化工厂地块，总面积1.05公顷。</w:t>
            </w:r>
          </w:p>
          <w:p w14:paraId="1995D694">
            <w:pPr>
              <w:autoSpaceDE w:val="0"/>
              <w:autoSpaceDN w:val="0"/>
              <w:adjustRightInd w:val="0"/>
              <w:snapToGrid w:val="0"/>
              <w:spacing w:line="480" w:lineRule="exact"/>
              <w:ind w:firstLine="420" w:firstLineChars="200"/>
              <w:rPr>
                <w:rFonts w:hint="default" w:eastAsia="宋体"/>
                <w:color w:val="auto"/>
                <w:szCs w:val="21"/>
                <w:lang w:val="en-US" w:eastAsia="zh-CN"/>
              </w:rPr>
            </w:pPr>
            <w:r>
              <w:rPr>
                <w:rFonts w:hint="eastAsia"/>
                <w:color w:val="auto"/>
                <w:szCs w:val="21"/>
                <w:lang w:val="en-US" w:eastAsia="zh-CN"/>
              </w:rPr>
              <w:t>②规划产业定位</w:t>
            </w:r>
          </w:p>
          <w:p w14:paraId="385E8320">
            <w:pPr>
              <w:autoSpaceDE w:val="0"/>
              <w:autoSpaceDN w:val="0"/>
              <w:adjustRightInd w:val="0"/>
              <w:snapToGrid w:val="0"/>
              <w:spacing w:line="480" w:lineRule="exact"/>
              <w:ind w:firstLine="420" w:firstLineChars="200"/>
              <w:rPr>
                <w:rFonts w:hint="eastAsia" w:eastAsia="宋体"/>
                <w:color w:val="auto"/>
                <w:szCs w:val="21"/>
                <w:lang w:eastAsia="zh-CN"/>
              </w:rPr>
            </w:pPr>
            <w:r>
              <w:rPr>
                <w:rFonts w:hint="eastAsia"/>
                <w:color w:val="auto"/>
                <w:szCs w:val="21"/>
              </w:rPr>
              <w:t>以发展塑料制品制造业、高端装备制造业、加工纸及纸制品制造业为主的综合性产业基地，兼顾园区内现有企业高质高效发展</w:t>
            </w:r>
            <w:r>
              <w:rPr>
                <w:rFonts w:hint="eastAsia"/>
                <w:color w:val="auto"/>
                <w:szCs w:val="21"/>
                <w:lang w:eastAsia="zh-CN"/>
              </w:rPr>
              <w:t>。</w:t>
            </w:r>
          </w:p>
          <w:p w14:paraId="064A90E7">
            <w:pPr>
              <w:autoSpaceDE w:val="0"/>
              <w:autoSpaceDN w:val="0"/>
              <w:adjustRightInd w:val="0"/>
              <w:snapToGrid w:val="0"/>
              <w:spacing w:line="480" w:lineRule="exact"/>
              <w:ind w:firstLine="420" w:firstLineChars="200"/>
              <w:rPr>
                <w:rFonts w:hint="default" w:eastAsia="宋体"/>
                <w:color w:val="auto"/>
                <w:szCs w:val="21"/>
                <w:lang w:val="en-US" w:eastAsia="zh-CN"/>
              </w:rPr>
            </w:pPr>
            <w:r>
              <w:rPr>
                <w:rFonts w:hint="eastAsia"/>
                <w:color w:val="auto"/>
                <w:szCs w:val="21"/>
                <w:lang w:val="en-US" w:eastAsia="zh-CN"/>
              </w:rPr>
              <w:t>③规划发展目标</w:t>
            </w:r>
          </w:p>
          <w:p w14:paraId="61BCF51E">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rPr>
              <w:t>在规划年限范围内集聚区将重点发展塑料制品制造业、高端装备制造业、加工纸及纸制品制造业，同时考虑集聚区内现状化学原料和化学制品制造业、原油加工及石油制品制造业产值占比较大，规划年限范围内化工行业产值占比虽然呈下降趋势，但仍属于集聚区的主要行业之一，为保持集聚区内工业发展平稳过渡，园区内现有企业在符合产业政策和环保政策的前提下高质高效发展。</w:t>
            </w:r>
          </w:p>
          <w:p w14:paraId="3026F0E4">
            <w:pPr>
              <w:autoSpaceDE w:val="0"/>
              <w:autoSpaceDN w:val="0"/>
              <w:adjustRightInd w:val="0"/>
              <w:snapToGrid w:val="0"/>
              <w:spacing w:line="480" w:lineRule="exact"/>
              <w:ind w:firstLine="420" w:firstLineChars="200"/>
              <w:rPr>
                <w:rFonts w:hint="default" w:eastAsia="宋体"/>
                <w:color w:val="auto"/>
                <w:szCs w:val="21"/>
                <w:lang w:val="en-US" w:eastAsia="zh-CN"/>
              </w:rPr>
            </w:pPr>
            <w:r>
              <w:rPr>
                <w:rFonts w:hint="eastAsia"/>
                <w:color w:val="auto"/>
                <w:szCs w:val="21"/>
              </w:rPr>
              <w:t>本项目位于朱台工业集聚区</w:t>
            </w:r>
            <w:r>
              <w:rPr>
                <w:rFonts w:hint="eastAsia"/>
                <w:color w:val="auto"/>
                <w:szCs w:val="21"/>
                <w:lang w:val="en-US" w:eastAsia="zh-CN"/>
              </w:rPr>
              <w:t>山东诚光工贸</w:t>
            </w:r>
            <w:r>
              <w:rPr>
                <w:rFonts w:hint="eastAsia"/>
                <w:color w:val="auto"/>
                <w:szCs w:val="21"/>
              </w:rPr>
              <w:t>有限公司现有厂区，项目厂址区域规划为工业用地，符合用地规划要求。</w:t>
            </w:r>
            <w:r>
              <w:rPr>
                <w:rFonts w:hint="eastAsia"/>
                <w:color w:val="auto"/>
                <w:szCs w:val="21"/>
                <w:lang w:val="en-US" w:eastAsia="zh-CN"/>
              </w:rPr>
              <w:t>朱台镇工业集聚区总体发展规划土地利用规划图详见</w:t>
            </w:r>
            <w:r>
              <w:rPr>
                <w:rFonts w:hint="eastAsia"/>
                <w:color w:val="auto"/>
                <w:szCs w:val="21"/>
                <w:highlight w:val="none"/>
                <w:lang w:val="en-US" w:eastAsia="zh-CN"/>
              </w:rPr>
              <w:t>附图2。</w:t>
            </w:r>
          </w:p>
          <w:p w14:paraId="1378026D">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lang w:val="en-US" w:eastAsia="zh-CN"/>
              </w:rPr>
              <w:t>山东诚光工贸</w:t>
            </w:r>
            <w:r>
              <w:rPr>
                <w:rFonts w:hint="eastAsia"/>
                <w:color w:val="auto"/>
                <w:szCs w:val="21"/>
              </w:rPr>
              <w:t>有限公司属于园区现有</w:t>
            </w:r>
            <w:r>
              <w:rPr>
                <w:rFonts w:hint="eastAsia"/>
                <w:color w:val="auto"/>
                <w:szCs w:val="21"/>
                <w:lang w:val="en-US" w:eastAsia="zh-CN"/>
              </w:rPr>
              <w:t>基础化学原料制造</w:t>
            </w:r>
            <w:r>
              <w:rPr>
                <w:rFonts w:hint="eastAsia"/>
                <w:color w:val="auto"/>
                <w:szCs w:val="21"/>
              </w:rPr>
              <w:t>企业，本项目</w:t>
            </w:r>
            <w:r>
              <w:rPr>
                <w:rFonts w:hint="eastAsia"/>
                <w:color w:val="auto"/>
                <w:szCs w:val="21"/>
                <w:lang w:val="en-US" w:eastAsia="zh-CN"/>
              </w:rPr>
              <w:t>为原料、产品罐区安全环保提升技术改造项目</w:t>
            </w:r>
            <w:r>
              <w:rPr>
                <w:rFonts w:hint="eastAsia"/>
                <w:color w:val="auto"/>
                <w:szCs w:val="21"/>
              </w:rPr>
              <w:t>，</w:t>
            </w:r>
            <w:r>
              <w:rPr>
                <w:rFonts w:hint="eastAsia"/>
                <w:color w:val="auto"/>
                <w:szCs w:val="21"/>
                <w:lang w:val="en-US" w:eastAsia="zh-CN"/>
              </w:rPr>
              <w:t>属于山东诚光工贸</w:t>
            </w:r>
            <w:r>
              <w:rPr>
                <w:rFonts w:hint="eastAsia"/>
                <w:color w:val="auto"/>
                <w:szCs w:val="21"/>
              </w:rPr>
              <w:t>有限公司</w:t>
            </w:r>
            <w:r>
              <w:rPr>
                <w:rFonts w:hint="eastAsia"/>
                <w:color w:val="auto"/>
                <w:szCs w:val="21"/>
                <w:lang w:val="en-US" w:eastAsia="zh-CN"/>
              </w:rPr>
              <w:t>现有生产装置配套储运工程的安全环保提升改造，行业类别为G5942危险化学品仓储，</w:t>
            </w:r>
            <w:r>
              <w:rPr>
                <w:rFonts w:hint="eastAsia"/>
                <w:color w:val="auto"/>
                <w:szCs w:val="21"/>
              </w:rPr>
              <w:t>不属于《产业结构调整指导目录(2024年本)》中的鼓励类、限制类及淘汰类项目，属于允许类项目</w:t>
            </w:r>
            <w:r>
              <w:rPr>
                <w:rFonts w:hint="eastAsia"/>
                <w:color w:val="auto"/>
                <w:szCs w:val="21"/>
                <w:lang w:eastAsia="zh-CN"/>
              </w:rPr>
              <w:t>。</w:t>
            </w:r>
            <w:r>
              <w:rPr>
                <w:rFonts w:hint="eastAsia"/>
                <w:color w:val="auto"/>
                <w:szCs w:val="21"/>
              </w:rPr>
              <w:t>项目已完成备案，项目代码：</w:t>
            </w:r>
            <w:r>
              <w:rPr>
                <w:rFonts w:hint="eastAsia"/>
                <w:color w:val="auto"/>
                <w:szCs w:val="21"/>
                <w:lang w:val="en-US" w:eastAsia="zh-CN"/>
              </w:rPr>
              <w:t>2512-370305-89-02-111832</w:t>
            </w:r>
            <w:r>
              <w:rPr>
                <w:rFonts w:hint="eastAsia"/>
                <w:color w:val="auto"/>
                <w:szCs w:val="21"/>
              </w:rPr>
              <w:t>，所用设备不含限制与淘汰设备，项目建设符合国家产业政策。本项目属于园区现有企业在符合产业政策和环保政策前提下的高质高效发展，符合朱台镇工业集聚区产业定位。</w:t>
            </w:r>
          </w:p>
          <w:p w14:paraId="1ED60275">
            <w:pPr>
              <w:autoSpaceDE w:val="0"/>
              <w:autoSpaceDN w:val="0"/>
              <w:adjustRightInd w:val="0"/>
              <w:snapToGrid w:val="0"/>
              <w:spacing w:line="480" w:lineRule="exact"/>
              <w:ind w:firstLine="420" w:firstLineChars="200"/>
              <w:rPr>
                <w:rFonts w:hint="default" w:eastAsia="宋体"/>
                <w:b w:val="0"/>
                <w:bCs w:val="0"/>
                <w:color w:val="auto"/>
                <w:szCs w:val="21"/>
                <w:lang w:val="en-US" w:eastAsia="zh-CN"/>
              </w:rPr>
            </w:pPr>
            <w:r>
              <w:rPr>
                <w:rFonts w:hint="eastAsia"/>
                <w:b w:val="0"/>
                <w:bCs w:val="0"/>
                <w:color w:val="auto"/>
                <w:szCs w:val="21"/>
                <w:lang w:val="en-US" w:eastAsia="zh-CN"/>
              </w:rPr>
              <w:t>2、</w:t>
            </w:r>
            <w:r>
              <w:rPr>
                <w:rFonts w:hint="eastAsia"/>
                <w:color w:val="auto"/>
                <w:szCs w:val="21"/>
              </w:rPr>
              <w:t>项目与《</w:t>
            </w:r>
            <w:r>
              <w:rPr>
                <w:rFonts w:hint="eastAsia"/>
                <w:bCs/>
                <w:color w:val="auto"/>
                <w:kern w:val="0"/>
                <w:szCs w:val="21"/>
              </w:rPr>
              <w:t>朱台镇工业集聚区总体发展规划(2024-2035年)环境影响报告书</w:t>
            </w:r>
            <w:r>
              <w:rPr>
                <w:rFonts w:hint="eastAsia"/>
                <w:color w:val="auto"/>
                <w:szCs w:val="21"/>
              </w:rPr>
              <w:t>》</w:t>
            </w:r>
            <w:r>
              <w:rPr>
                <w:rFonts w:hint="eastAsia"/>
                <w:color w:val="auto"/>
                <w:szCs w:val="21"/>
                <w:lang w:val="en-US" w:eastAsia="zh-CN"/>
              </w:rPr>
              <w:t>评价结论</w:t>
            </w:r>
            <w:r>
              <w:rPr>
                <w:rFonts w:hint="eastAsia"/>
                <w:color w:val="auto"/>
                <w:szCs w:val="21"/>
              </w:rPr>
              <w:t>符合性分析见下表：</w:t>
            </w:r>
          </w:p>
          <w:p w14:paraId="45815F85">
            <w:pPr>
              <w:pStyle w:val="21"/>
              <w:spacing w:before="120" w:beforeLines="50" w:after="0"/>
              <w:ind w:left="0" w:leftChars="0" w:firstLine="0" w:firstLineChars="0"/>
              <w:jc w:val="center"/>
              <w:rPr>
                <w:rFonts w:ascii="Times New Roman" w:hAnsi="Times New Roman"/>
                <w:b/>
                <w:bCs/>
                <w:color w:val="auto"/>
                <w:szCs w:val="21"/>
              </w:rPr>
            </w:pPr>
            <w:r>
              <w:rPr>
                <w:rFonts w:ascii="Times New Roman" w:hAnsi="Times New Roman"/>
                <w:b/>
                <w:bCs/>
                <w:color w:val="auto"/>
                <w:szCs w:val="21"/>
              </w:rPr>
              <w:t xml:space="preserve">表1-1  </w:t>
            </w:r>
            <w:r>
              <w:rPr>
                <w:rFonts w:hint="eastAsia" w:ascii="Times New Roman" w:hAnsi="Times New Roman"/>
                <w:b/>
                <w:bCs/>
                <w:color w:val="auto"/>
                <w:szCs w:val="21"/>
              </w:rPr>
              <w:t>项目</w:t>
            </w:r>
            <w:r>
              <w:rPr>
                <w:rFonts w:ascii="Times New Roman" w:hAnsi="Times New Roman"/>
                <w:b/>
                <w:bCs/>
                <w:color w:val="auto"/>
                <w:szCs w:val="21"/>
              </w:rPr>
              <w:t>与</w:t>
            </w:r>
            <w:r>
              <w:rPr>
                <w:rFonts w:hint="eastAsia" w:ascii="Times New Roman" w:hAnsi="Times New Roman"/>
                <w:b/>
                <w:bCs/>
                <w:color w:val="auto"/>
                <w:szCs w:val="21"/>
              </w:rPr>
              <w:t>园区环评</w:t>
            </w:r>
            <w:r>
              <w:rPr>
                <w:rFonts w:hint="eastAsia" w:ascii="Times New Roman" w:hAnsi="Times New Roman"/>
                <w:b/>
                <w:bCs/>
                <w:color w:val="auto"/>
                <w:szCs w:val="21"/>
                <w:lang w:val="en-US" w:eastAsia="zh-CN"/>
              </w:rPr>
              <w:t>结论</w:t>
            </w:r>
            <w:r>
              <w:rPr>
                <w:rFonts w:hint="eastAsia" w:ascii="Times New Roman" w:hAnsi="Times New Roman"/>
                <w:b/>
                <w:bCs/>
                <w:color w:val="auto"/>
                <w:szCs w:val="21"/>
              </w:rPr>
              <w:t>符合性分析一览表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47"/>
              <w:gridCol w:w="3200"/>
              <w:gridCol w:w="717"/>
            </w:tblGrid>
            <w:tr w14:paraId="320BD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450" w:type="dxa"/>
                  <w:tcBorders>
                    <w:tl2br w:val="nil"/>
                    <w:tr2bl w:val="nil"/>
                  </w:tcBorders>
                  <w:vAlign w:val="center"/>
                </w:tcPr>
                <w:p w14:paraId="4359F44F">
                  <w:pPr>
                    <w:pStyle w:val="60"/>
                    <w:rPr>
                      <w:rFonts w:hint="eastAsia"/>
                      <w:b/>
                      <w:bCs/>
                      <w:color w:val="auto"/>
                      <w:sz w:val="18"/>
                      <w:szCs w:val="18"/>
                    </w:rPr>
                  </w:pPr>
                  <w:r>
                    <w:rPr>
                      <w:rFonts w:hint="eastAsia"/>
                      <w:b/>
                      <w:bCs/>
                      <w:color w:val="auto"/>
                      <w:sz w:val="18"/>
                      <w:szCs w:val="18"/>
                    </w:rPr>
                    <w:t>朱台镇工业集聚区总体发展规划（2024-2035年）环境影响报告书评价结论主要内容</w:t>
                  </w:r>
                </w:p>
              </w:tc>
              <w:tc>
                <w:tcPr>
                  <w:tcW w:w="3202" w:type="dxa"/>
                  <w:tcBorders>
                    <w:tl2br w:val="nil"/>
                    <w:tr2bl w:val="nil"/>
                  </w:tcBorders>
                  <w:vAlign w:val="center"/>
                </w:tcPr>
                <w:p w14:paraId="5A927F65">
                  <w:pPr>
                    <w:pStyle w:val="60"/>
                    <w:rPr>
                      <w:b/>
                      <w:bCs/>
                      <w:color w:val="auto"/>
                      <w:sz w:val="18"/>
                      <w:szCs w:val="18"/>
                    </w:rPr>
                  </w:pPr>
                  <w:r>
                    <w:rPr>
                      <w:rFonts w:hint="eastAsia"/>
                      <w:b/>
                      <w:bCs/>
                      <w:color w:val="auto"/>
                      <w:sz w:val="18"/>
                      <w:szCs w:val="18"/>
                    </w:rPr>
                    <w:t>项目情况</w:t>
                  </w:r>
                </w:p>
              </w:tc>
              <w:tc>
                <w:tcPr>
                  <w:tcW w:w="717" w:type="dxa"/>
                  <w:tcBorders>
                    <w:tl2br w:val="nil"/>
                    <w:tr2bl w:val="nil"/>
                  </w:tcBorders>
                  <w:vAlign w:val="center"/>
                </w:tcPr>
                <w:p w14:paraId="7C0015D4">
                  <w:pPr>
                    <w:pStyle w:val="60"/>
                    <w:rPr>
                      <w:b/>
                      <w:bCs/>
                      <w:color w:val="auto"/>
                      <w:sz w:val="18"/>
                      <w:szCs w:val="18"/>
                    </w:rPr>
                  </w:pPr>
                  <w:r>
                    <w:rPr>
                      <w:rFonts w:hint="eastAsia"/>
                      <w:b/>
                      <w:bCs/>
                      <w:color w:val="auto"/>
                      <w:sz w:val="18"/>
                      <w:szCs w:val="18"/>
                    </w:rPr>
                    <w:t>符合性</w:t>
                  </w:r>
                </w:p>
              </w:tc>
            </w:tr>
            <w:tr w14:paraId="3103D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450" w:type="dxa"/>
                  <w:tcBorders>
                    <w:tl2br w:val="nil"/>
                    <w:tr2bl w:val="nil"/>
                  </w:tcBorders>
                  <w:vAlign w:val="center"/>
                </w:tcPr>
                <w:p w14:paraId="01D90145">
                  <w:pPr>
                    <w:pStyle w:val="60"/>
                    <w:jc w:val="center"/>
                    <w:rPr>
                      <w:rFonts w:hint="eastAsia" w:eastAsia="宋体"/>
                      <w:color w:val="auto"/>
                      <w:sz w:val="18"/>
                      <w:szCs w:val="18"/>
                      <w:lang w:eastAsia="zh-CN"/>
                    </w:rPr>
                  </w:pPr>
                  <w:r>
                    <w:rPr>
                      <w:rFonts w:hint="eastAsia"/>
                      <w:color w:val="auto"/>
                      <w:sz w:val="18"/>
                      <w:szCs w:val="18"/>
                    </w:rPr>
                    <w:t>《朱台镇工业集聚区总体发展规划（2024-2035年）》与《</w:t>
                  </w:r>
                  <w:r>
                    <w:rPr>
                      <w:rFonts w:hint="eastAsia"/>
                      <w:color w:val="auto"/>
                      <w:sz w:val="18"/>
                      <w:szCs w:val="18"/>
                      <w:lang w:eastAsia="zh-CN"/>
                    </w:rPr>
                    <w:t>淄博市临淄区朱台镇国土空间规划（2021-2035年）</w:t>
                  </w:r>
                  <w:r>
                    <w:rPr>
                      <w:rFonts w:hint="eastAsia"/>
                      <w:color w:val="auto"/>
                      <w:sz w:val="18"/>
                      <w:szCs w:val="18"/>
                    </w:rPr>
                    <w:t>》市域国土空间控制线规划线不完全相符：集聚区规划范围大部分位于市域国土空间控制线中城镇开发边界线以内，集聚区规划范围内博临路地块南侧小部分地块（0.98公顷）、新立村地块（13.61公顷）、立子营村地块（1.05公顷）位于城镇开发边界线外，位于城镇开发边界线外的地块大多已开发建设多年并已取得土地证。本次评价进行空间管制，位于城镇开发边界外但已取得土地证的工业用地区域，本次划为限制建设区；位于城镇开发边界外其他区域，本次划为禁止建设区</w:t>
                  </w:r>
                  <w:r>
                    <w:rPr>
                      <w:rFonts w:hint="eastAsia"/>
                      <w:color w:val="auto"/>
                      <w:sz w:val="18"/>
                      <w:szCs w:val="18"/>
                      <w:lang w:eastAsia="zh-CN"/>
                    </w:rPr>
                    <w:t>。</w:t>
                  </w:r>
                </w:p>
              </w:tc>
              <w:tc>
                <w:tcPr>
                  <w:tcW w:w="3202" w:type="dxa"/>
                  <w:tcBorders>
                    <w:tl2br w:val="nil"/>
                    <w:tr2bl w:val="nil"/>
                  </w:tcBorders>
                  <w:vAlign w:val="center"/>
                </w:tcPr>
                <w:p w14:paraId="5824E29D">
                  <w:pPr>
                    <w:pStyle w:val="60"/>
                    <w:jc w:val="center"/>
                    <w:rPr>
                      <w:rFonts w:hint="default" w:eastAsia="宋体"/>
                      <w:color w:val="auto"/>
                      <w:sz w:val="18"/>
                      <w:szCs w:val="18"/>
                      <w:lang w:val="en-US" w:eastAsia="zh-CN"/>
                    </w:rPr>
                  </w:pPr>
                  <w:r>
                    <w:rPr>
                      <w:rFonts w:hint="eastAsia"/>
                      <w:color w:val="auto"/>
                      <w:sz w:val="18"/>
                      <w:szCs w:val="18"/>
                      <w:lang w:val="en-US" w:eastAsia="zh-CN"/>
                    </w:rPr>
                    <w:t>本项目位于朱台镇工业集聚区山东诚光工贸有限公司现有厂区内，根据</w:t>
                  </w:r>
                  <w:r>
                    <w:rPr>
                      <w:rFonts w:hint="eastAsia"/>
                      <w:color w:val="auto"/>
                      <w:sz w:val="18"/>
                      <w:szCs w:val="18"/>
                    </w:rPr>
                    <w:t>《</w:t>
                  </w:r>
                  <w:r>
                    <w:rPr>
                      <w:rFonts w:hint="eastAsia"/>
                      <w:color w:val="auto"/>
                      <w:sz w:val="18"/>
                      <w:szCs w:val="18"/>
                      <w:lang w:eastAsia="zh-CN"/>
                    </w:rPr>
                    <w:t>淄博市临淄区朱台镇国土空间规划（2021-2035年）</w:t>
                  </w:r>
                  <w:r>
                    <w:rPr>
                      <w:rFonts w:hint="eastAsia"/>
                      <w:color w:val="auto"/>
                      <w:sz w:val="18"/>
                      <w:szCs w:val="18"/>
                    </w:rPr>
                    <w:t>》</w:t>
                  </w:r>
                  <w:r>
                    <w:rPr>
                      <w:rFonts w:hint="eastAsia"/>
                      <w:color w:val="auto"/>
                      <w:sz w:val="18"/>
                      <w:szCs w:val="18"/>
                      <w:lang w:val="en-US" w:eastAsia="zh-CN"/>
                    </w:rPr>
                    <w:t>，项目所处位置位于</w:t>
                  </w:r>
                  <w:r>
                    <w:rPr>
                      <w:rFonts w:hint="eastAsia"/>
                      <w:color w:val="auto"/>
                      <w:sz w:val="18"/>
                      <w:szCs w:val="18"/>
                    </w:rPr>
                    <w:t>城镇开发边界内</w:t>
                  </w:r>
                  <w:r>
                    <w:rPr>
                      <w:rFonts w:hint="eastAsia"/>
                      <w:color w:val="auto"/>
                      <w:sz w:val="18"/>
                      <w:szCs w:val="18"/>
                      <w:lang w:eastAsia="zh-CN"/>
                    </w:rPr>
                    <w:t>，</w:t>
                  </w:r>
                  <w:r>
                    <w:rPr>
                      <w:rFonts w:hint="eastAsia"/>
                      <w:color w:val="auto"/>
                      <w:sz w:val="18"/>
                      <w:szCs w:val="18"/>
                      <w:lang w:val="en-US" w:eastAsia="zh-CN"/>
                    </w:rPr>
                    <w:t>项目建设符合</w:t>
                  </w:r>
                  <w:r>
                    <w:rPr>
                      <w:rFonts w:hint="eastAsia"/>
                      <w:color w:val="auto"/>
                      <w:sz w:val="18"/>
                      <w:szCs w:val="18"/>
                    </w:rPr>
                    <w:t>《</w:t>
                  </w:r>
                  <w:r>
                    <w:rPr>
                      <w:rFonts w:hint="eastAsia"/>
                      <w:color w:val="auto"/>
                      <w:sz w:val="18"/>
                      <w:szCs w:val="18"/>
                      <w:lang w:eastAsia="zh-CN"/>
                    </w:rPr>
                    <w:t>淄博市临淄区朱台镇国土空间规划（2021-2035年）</w:t>
                  </w:r>
                  <w:r>
                    <w:rPr>
                      <w:rFonts w:hint="eastAsia"/>
                      <w:color w:val="auto"/>
                      <w:sz w:val="18"/>
                      <w:szCs w:val="18"/>
                    </w:rPr>
                    <w:t>》</w:t>
                  </w:r>
                  <w:r>
                    <w:rPr>
                      <w:rFonts w:hint="eastAsia"/>
                      <w:color w:val="auto"/>
                      <w:sz w:val="18"/>
                      <w:szCs w:val="18"/>
                      <w:lang w:val="en-US" w:eastAsia="zh-CN"/>
                    </w:rPr>
                    <w:t>要求；根据</w:t>
                  </w:r>
                  <w:r>
                    <w:rPr>
                      <w:rFonts w:hint="eastAsia"/>
                      <w:color w:val="auto"/>
                      <w:sz w:val="18"/>
                      <w:szCs w:val="18"/>
                    </w:rPr>
                    <w:t>《朱台镇工业集聚区总体发展规划（2024-2035年）》</w:t>
                  </w:r>
                  <w:r>
                    <w:rPr>
                      <w:rFonts w:hint="eastAsia"/>
                      <w:color w:val="auto"/>
                      <w:sz w:val="18"/>
                      <w:szCs w:val="18"/>
                      <w:lang w:val="en-US" w:eastAsia="zh-CN"/>
                    </w:rPr>
                    <w:t>土地利用规划图</w:t>
                  </w:r>
                  <w:r>
                    <w:rPr>
                      <w:rFonts w:hint="eastAsia"/>
                      <w:color w:val="auto"/>
                      <w:sz w:val="18"/>
                      <w:szCs w:val="18"/>
                      <w:lang w:eastAsia="zh-CN"/>
                    </w:rPr>
                    <w:t>，</w:t>
                  </w:r>
                  <w:r>
                    <w:rPr>
                      <w:rFonts w:hint="eastAsia"/>
                      <w:color w:val="auto"/>
                      <w:sz w:val="18"/>
                      <w:szCs w:val="18"/>
                      <w:lang w:val="en-US" w:eastAsia="zh-CN"/>
                    </w:rPr>
                    <w:t>项目厂区用地类型为二类工业用地，符合</w:t>
                  </w:r>
                  <w:r>
                    <w:rPr>
                      <w:rFonts w:hint="eastAsia"/>
                      <w:color w:val="auto"/>
                      <w:sz w:val="18"/>
                      <w:szCs w:val="18"/>
                    </w:rPr>
                    <w:t>《朱台镇工业集聚区总体发展规划（2024-2035年）》</w:t>
                  </w:r>
                  <w:r>
                    <w:rPr>
                      <w:rFonts w:hint="eastAsia"/>
                      <w:color w:val="auto"/>
                      <w:sz w:val="18"/>
                      <w:szCs w:val="18"/>
                      <w:lang w:val="en-US" w:eastAsia="zh-CN"/>
                    </w:rPr>
                    <w:t>要求。</w:t>
                  </w:r>
                </w:p>
              </w:tc>
              <w:tc>
                <w:tcPr>
                  <w:tcW w:w="717" w:type="dxa"/>
                  <w:tcBorders>
                    <w:tl2br w:val="nil"/>
                    <w:tr2bl w:val="nil"/>
                  </w:tcBorders>
                  <w:vAlign w:val="center"/>
                </w:tcPr>
                <w:p w14:paraId="59BB0AB6">
                  <w:pPr>
                    <w:pStyle w:val="60"/>
                    <w:rPr>
                      <w:rFonts w:hint="eastAsia" w:eastAsia="宋体"/>
                      <w:color w:val="auto"/>
                      <w:sz w:val="18"/>
                      <w:szCs w:val="18"/>
                      <w:lang w:val="en-US" w:eastAsia="zh-CN"/>
                    </w:rPr>
                  </w:pPr>
                  <w:r>
                    <w:rPr>
                      <w:rFonts w:hint="eastAsia"/>
                      <w:color w:val="auto"/>
                      <w:sz w:val="18"/>
                      <w:szCs w:val="18"/>
                      <w:lang w:val="en-US" w:eastAsia="zh-CN"/>
                    </w:rPr>
                    <w:t>符合</w:t>
                  </w:r>
                </w:p>
              </w:tc>
            </w:tr>
            <w:tr w14:paraId="55159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450" w:type="dxa"/>
                  <w:tcBorders>
                    <w:tl2br w:val="nil"/>
                    <w:tr2bl w:val="nil"/>
                  </w:tcBorders>
                  <w:vAlign w:val="center"/>
                </w:tcPr>
                <w:p w14:paraId="7AF3E63B">
                  <w:pPr>
                    <w:pStyle w:val="60"/>
                    <w:jc w:val="center"/>
                    <w:rPr>
                      <w:rFonts w:hint="eastAsia" w:eastAsia="宋体"/>
                      <w:color w:val="auto"/>
                      <w:sz w:val="18"/>
                      <w:szCs w:val="18"/>
                      <w:lang w:eastAsia="zh-CN"/>
                    </w:rPr>
                  </w:pPr>
                  <w:r>
                    <w:rPr>
                      <w:rFonts w:hint="eastAsia"/>
                      <w:color w:val="auto"/>
                      <w:sz w:val="18"/>
                      <w:szCs w:val="18"/>
                    </w:rPr>
                    <w:t>集聚区规划符合相关环保政策和产业发展规划要求，不涉及生态保护红线和饮用水源地，符合生态环境分区管控要求，选址符合区域资源和环境的要求，集聚区开发与区域环境容量具有较好的相容性，集聚区的开发建设对临淄区社会经济的发展将起到积极的带动和促进作用。但涉及基础设施建设不完善、区域环境空气质量颗粒物超标等制约因素，在规划年加快集聚区配套基础设施建设、落实区域污染源治理、污染物倍量替代、废水集中处理与回用、事故防范、废气处理、固废有效处置等环境保障措施的前提下，对区域环境的影响是可接受的。综上，在落实区域污染物治理，集聚区采取规划和评价建议的环保措施的前提下，从环保角度，朱台镇工业集聚区总体发展规划可行</w:t>
                  </w:r>
                  <w:r>
                    <w:rPr>
                      <w:rFonts w:hint="eastAsia"/>
                      <w:color w:val="auto"/>
                      <w:sz w:val="18"/>
                      <w:szCs w:val="18"/>
                      <w:lang w:eastAsia="zh-CN"/>
                    </w:rPr>
                    <w:t>。</w:t>
                  </w:r>
                </w:p>
              </w:tc>
              <w:tc>
                <w:tcPr>
                  <w:tcW w:w="3202" w:type="dxa"/>
                  <w:tcBorders>
                    <w:tl2br w:val="nil"/>
                    <w:tr2bl w:val="nil"/>
                  </w:tcBorders>
                  <w:vAlign w:val="center"/>
                </w:tcPr>
                <w:p w14:paraId="7A15BD39">
                  <w:pPr>
                    <w:pStyle w:val="60"/>
                    <w:jc w:val="center"/>
                    <w:rPr>
                      <w:rFonts w:hint="eastAsia"/>
                      <w:color w:val="auto"/>
                      <w:sz w:val="18"/>
                      <w:szCs w:val="18"/>
                    </w:rPr>
                  </w:pPr>
                  <w:r>
                    <w:rPr>
                      <w:rFonts w:hint="eastAsia"/>
                      <w:color w:val="auto"/>
                      <w:sz w:val="18"/>
                      <w:szCs w:val="18"/>
                    </w:rPr>
                    <w:t>本项目建设符合相关环保政策和产业发展规划要求，不涉及生态保护红线和饮用水源地，符合生态环境分区管控要求；</w:t>
                  </w:r>
                </w:p>
                <w:p w14:paraId="0D9B5E16">
                  <w:pPr>
                    <w:pStyle w:val="60"/>
                    <w:jc w:val="center"/>
                    <w:rPr>
                      <w:rFonts w:hint="eastAsia" w:eastAsia="宋体"/>
                      <w:color w:val="auto"/>
                      <w:sz w:val="18"/>
                      <w:szCs w:val="18"/>
                      <w:lang w:eastAsia="zh-CN"/>
                    </w:rPr>
                  </w:pPr>
                  <w:r>
                    <w:rPr>
                      <w:rFonts w:hint="eastAsia"/>
                      <w:color w:val="auto"/>
                      <w:sz w:val="18"/>
                      <w:szCs w:val="18"/>
                    </w:rPr>
                    <w:t>废气采取严格的治理措施，实行倍量替代；项目</w:t>
                  </w:r>
                  <w:r>
                    <w:rPr>
                      <w:rFonts w:hint="eastAsia"/>
                      <w:color w:val="auto"/>
                      <w:sz w:val="18"/>
                      <w:szCs w:val="18"/>
                      <w:lang w:val="en-US" w:eastAsia="zh-CN"/>
                    </w:rPr>
                    <w:t>初期雨水</w:t>
                  </w:r>
                  <w:r>
                    <w:rPr>
                      <w:rFonts w:hint="eastAsia"/>
                      <w:color w:val="auto"/>
                      <w:sz w:val="18"/>
                      <w:szCs w:val="18"/>
                    </w:rPr>
                    <w:t>经</w:t>
                  </w:r>
                  <w:r>
                    <w:rPr>
                      <w:rFonts w:hint="eastAsia"/>
                      <w:color w:val="auto"/>
                      <w:sz w:val="18"/>
                      <w:szCs w:val="18"/>
                      <w:lang w:val="en-US" w:eastAsia="zh-CN"/>
                    </w:rPr>
                    <w:t>现有</w:t>
                  </w:r>
                  <w:r>
                    <w:rPr>
                      <w:rFonts w:hint="eastAsia"/>
                      <w:color w:val="auto"/>
                      <w:sz w:val="18"/>
                      <w:szCs w:val="18"/>
                    </w:rPr>
                    <w:t>废水处理设施处理</w:t>
                  </w:r>
                  <w:r>
                    <w:rPr>
                      <w:rFonts w:hint="eastAsia"/>
                      <w:color w:val="auto"/>
                      <w:sz w:val="18"/>
                      <w:szCs w:val="18"/>
                      <w:lang w:val="en-US" w:eastAsia="zh-CN"/>
                    </w:rPr>
                    <w:t>后回用</w:t>
                  </w:r>
                  <w:r>
                    <w:rPr>
                      <w:rFonts w:hint="eastAsia"/>
                      <w:color w:val="auto"/>
                      <w:sz w:val="18"/>
                      <w:szCs w:val="18"/>
                    </w:rPr>
                    <w:t>，无废水外排</w:t>
                  </w:r>
                  <w:r>
                    <w:rPr>
                      <w:rFonts w:hint="eastAsia"/>
                      <w:color w:val="auto"/>
                      <w:sz w:val="18"/>
                      <w:szCs w:val="18"/>
                      <w:lang w:eastAsia="zh-CN"/>
                    </w:rPr>
                    <w:t>；</w:t>
                  </w:r>
                  <w:r>
                    <w:rPr>
                      <w:rFonts w:hint="eastAsia"/>
                      <w:color w:val="auto"/>
                      <w:sz w:val="18"/>
                      <w:szCs w:val="18"/>
                      <w:lang w:val="en-US" w:eastAsia="zh-CN"/>
                    </w:rPr>
                    <w:t>项目</w:t>
                  </w:r>
                  <w:r>
                    <w:rPr>
                      <w:rFonts w:hint="eastAsia"/>
                      <w:color w:val="auto"/>
                      <w:sz w:val="18"/>
                      <w:szCs w:val="18"/>
                      <w:lang w:eastAsia="zh-CN"/>
                    </w:rPr>
                    <w:t>固废</w:t>
                  </w:r>
                  <w:r>
                    <w:rPr>
                      <w:rFonts w:hint="eastAsia"/>
                      <w:color w:val="auto"/>
                      <w:sz w:val="18"/>
                      <w:szCs w:val="18"/>
                      <w:lang w:val="en-US" w:eastAsia="zh-CN"/>
                    </w:rPr>
                    <w:t>均得到</w:t>
                  </w:r>
                  <w:r>
                    <w:rPr>
                      <w:rFonts w:hint="eastAsia"/>
                      <w:color w:val="auto"/>
                      <w:sz w:val="18"/>
                      <w:szCs w:val="18"/>
                      <w:lang w:eastAsia="zh-CN"/>
                    </w:rPr>
                    <w:t>妥善处理、处置；噪声可以达标排放。事故风险可以有效控制，符合规划环境影响评价结论。</w:t>
                  </w:r>
                </w:p>
              </w:tc>
              <w:tc>
                <w:tcPr>
                  <w:tcW w:w="717" w:type="dxa"/>
                  <w:tcBorders>
                    <w:tl2br w:val="nil"/>
                    <w:tr2bl w:val="nil"/>
                  </w:tcBorders>
                  <w:vAlign w:val="center"/>
                </w:tcPr>
                <w:p w14:paraId="1B42A18C">
                  <w:pPr>
                    <w:pStyle w:val="60"/>
                    <w:rPr>
                      <w:rFonts w:hint="eastAsia" w:eastAsia="宋体"/>
                      <w:color w:val="auto"/>
                      <w:sz w:val="18"/>
                      <w:szCs w:val="18"/>
                      <w:lang w:val="en-US" w:eastAsia="zh-CN"/>
                    </w:rPr>
                  </w:pPr>
                  <w:r>
                    <w:rPr>
                      <w:rFonts w:hint="eastAsia"/>
                      <w:color w:val="auto"/>
                      <w:sz w:val="18"/>
                      <w:szCs w:val="18"/>
                      <w:lang w:val="en-US" w:eastAsia="zh-CN"/>
                    </w:rPr>
                    <w:t>符合</w:t>
                  </w:r>
                </w:p>
              </w:tc>
            </w:tr>
          </w:tbl>
          <w:p w14:paraId="294D1E99">
            <w:pPr>
              <w:autoSpaceDE w:val="0"/>
              <w:autoSpaceDN w:val="0"/>
              <w:adjustRightInd w:val="0"/>
              <w:snapToGrid w:val="0"/>
              <w:spacing w:line="480" w:lineRule="exact"/>
              <w:ind w:firstLine="420" w:firstLineChars="200"/>
              <w:rPr>
                <w:rFonts w:hint="default"/>
                <w:color w:val="auto"/>
                <w:szCs w:val="21"/>
                <w:lang w:val="en-US" w:eastAsia="zh-CN"/>
              </w:rPr>
            </w:pPr>
            <w:r>
              <w:rPr>
                <w:rFonts w:hint="eastAsia"/>
                <w:color w:val="auto"/>
                <w:szCs w:val="21"/>
                <w:lang w:val="en-US" w:eastAsia="zh-CN"/>
              </w:rPr>
              <w:t>由上表可知，项目建设符合</w:t>
            </w:r>
            <w:r>
              <w:rPr>
                <w:rFonts w:hint="eastAsia"/>
                <w:color w:val="auto"/>
                <w:szCs w:val="21"/>
              </w:rPr>
              <w:t>《</w:t>
            </w:r>
            <w:r>
              <w:rPr>
                <w:rFonts w:hint="eastAsia"/>
                <w:bCs/>
                <w:color w:val="auto"/>
                <w:kern w:val="0"/>
                <w:szCs w:val="21"/>
              </w:rPr>
              <w:t>朱台镇工业集聚区总体发展规划(2024-2035年)环境影响报告书</w:t>
            </w:r>
            <w:r>
              <w:rPr>
                <w:rFonts w:hint="eastAsia"/>
                <w:color w:val="auto"/>
                <w:szCs w:val="21"/>
              </w:rPr>
              <w:t>》</w:t>
            </w:r>
            <w:r>
              <w:rPr>
                <w:rFonts w:hint="eastAsia"/>
                <w:color w:val="auto"/>
                <w:szCs w:val="21"/>
                <w:lang w:val="en-US" w:eastAsia="zh-CN"/>
              </w:rPr>
              <w:t>评价结论相关要求。</w:t>
            </w:r>
          </w:p>
          <w:p w14:paraId="61025862">
            <w:pPr>
              <w:autoSpaceDE w:val="0"/>
              <w:autoSpaceDN w:val="0"/>
              <w:adjustRightInd w:val="0"/>
              <w:snapToGrid w:val="0"/>
              <w:spacing w:line="480" w:lineRule="exact"/>
              <w:ind w:firstLine="420" w:firstLineChars="200"/>
              <w:rPr>
                <w:rFonts w:hint="eastAsia"/>
                <w:color w:val="auto"/>
                <w:szCs w:val="21"/>
              </w:rPr>
            </w:pPr>
            <w:r>
              <w:rPr>
                <w:rFonts w:hint="eastAsia"/>
                <w:color w:val="auto"/>
                <w:szCs w:val="21"/>
                <w:lang w:val="en-US" w:eastAsia="zh-CN"/>
              </w:rPr>
              <w:t>3</w:t>
            </w:r>
            <w:r>
              <w:rPr>
                <w:rFonts w:hint="eastAsia"/>
                <w:color w:val="auto"/>
                <w:szCs w:val="21"/>
              </w:rPr>
              <w:t>、项目与《</w:t>
            </w:r>
            <w:r>
              <w:rPr>
                <w:rFonts w:hint="eastAsia"/>
                <w:bCs/>
                <w:color w:val="auto"/>
                <w:kern w:val="0"/>
                <w:szCs w:val="21"/>
              </w:rPr>
              <w:t>朱台镇工业集聚区总体发展规划(2024-2035年)环境影响报告书</w:t>
            </w:r>
            <w:r>
              <w:rPr>
                <w:rFonts w:hint="eastAsia"/>
                <w:color w:val="auto"/>
                <w:szCs w:val="21"/>
              </w:rPr>
              <w:t>》审查意见符合性分析见下表：</w:t>
            </w:r>
          </w:p>
          <w:p w14:paraId="6FE529B8">
            <w:pPr>
              <w:pStyle w:val="21"/>
              <w:spacing w:before="120" w:beforeLines="50" w:after="0"/>
              <w:ind w:left="0" w:leftChars="0" w:firstLine="0" w:firstLineChars="0"/>
              <w:jc w:val="center"/>
              <w:rPr>
                <w:rFonts w:ascii="Times New Roman" w:hAnsi="Times New Roman"/>
                <w:b/>
                <w:bCs/>
                <w:color w:val="auto"/>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2</w:t>
            </w:r>
            <w:r>
              <w:rPr>
                <w:rFonts w:ascii="Times New Roman" w:hAnsi="Times New Roman"/>
                <w:b/>
                <w:bCs/>
                <w:color w:val="auto"/>
                <w:szCs w:val="21"/>
              </w:rPr>
              <w:t xml:space="preserve">  </w:t>
            </w:r>
            <w:r>
              <w:rPr>
                <w:rFonts w:hint="eastAsia" w:ascii="Times New Roman" w:hAnsi="Times New Roman"/>
                <w:b/>
                <w:bCs/>
                <w:color w:val="auto"/>
                <w:szCs w:val="21"/>
              </w:rPr>
              <w:t>项目</w:t>
            </w:r>
            <w:r>
              <w:rPr>
                <w:rFonts w:ascii="Times New Roman" w:hAnsi="Times New Roman"/>
                <w:b/>
                <w:bCs/>
                <w:color w:val="auto"/>
                <w:szCs w:val="21"/>
              </w:rPr>
              <w:t>与</w:t>
            </w:r>
            <w:r>
              <w:rPr>
                <w:rFonts w:hint="eastAsia" w:ascii="Times New Roman" w:hAnsi="Times New Roman"/>
                <w:b/>
                <w:bCs/>
                <w:color w:val="auto"/>
                <w:szCs w:val="21"/>
              </w:rPr>
              <w:t>园区环评审查意见符合性分析一览表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5"/>
              <w:gridCol w:w="2848"/>
              <w:gridCol w:w="4125"/>
              <w:gridCol w:w="677"/>
            </w:tblGrid>
            <w:tr w14:paraId="33268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565" w:type="dxa"/>
                  <w:gridSpan w:val="2"/>
                  <w:tcBorders>
                    <w:tl2br w:val="nil"/>
                    <w:tr2bl w:val="nil"/>
                  </w:tcBorders>
                  <w:vAlign w:val="center"/>
                </w:tcPr>
                <w:p w14:paraId="457E6251">
                  <w:pPr>
                    <w:pStyle w:val="60"/>
                    <w:rPr>
                      <w:b/>
                      <w:bCs/>
                      <w:color w:val="auto"/>
                      <w:sz w:val="18"/>
                      <w:szCs w:val="18"/>
                    </w:rPr>
                  </w:pPr>
                  <w:r>
                    <w:rPr>
                      <w:rFonts w:hint="eastAsia"/>
                      <w:b/>
                      <w:bCs/>
                      <w:color w:val="auto"/>
                      <w:sz w:val="18"/>
                      <w:szCs w:val="18"/>
                    </w:rPr>
                    <w:t>园区规划环评审查意见</w:t>
                  </w:r>
                </w:p>
              </w:tc>
              <w:tc>
                <w:tcPr>
                  <w:tcW w:w="4127" w:type="dxa"/>
                  <w:tcBorders>
                    <w:tl2br w:val="nil"/>
                    <w:tr2bl w:val="nil"/>
                  </w:tcBorders>
                  <w:vAlign w:val="center"/>
                </w:tcPr>
                <w:p w14:paraId="1C8E9B9D">
                  <w:pPr>
                    <w:pStyle w:val="60"/>
                    <w:rPr>
                      <w:b/>
                      <w:bCs/>
                      <w:color w:val="auto"/>
                      <w:sz w:val="18"/>
                      <w:szCs w:val="18"/>
                    </w:rPr>
                  </w:pPr>
                  <w:r>
                    <w:rPr>
                      <w:rFonts w:hint="eastAsia"/>
                      <w:b/>
                      <w:bCs/>
                      <w:color w:val="auto"/>
                      <w:sz w:val="18"/>
                      <w:szCs w:val="18"/>
                    </w:rPr>
                    <w:t>项目情况</w:t>
                  </w:r>
                </w:p>
              </w:tc>
              <w:tc>
                <w:tcPr>
                  <w:tcW w:w="677" w:type="dxa"/>
                  <w:tcBorders>
                    <w:tl2br w:val="nil"/>
                    <w:tr2bl w:val="nil"/>
                  </w:tcBorders>
                  <w:vAlign w:val="center"/>
                </w:tcPr>
                <w:p w14:paraId="25F495E0">
                  <w:pPr>
                    <w:pStyle w:val="60"/>
                    <w:rPr>
                      <w:b/>
                      <w:bCs/>
                      <w:color w:val="auto"/>
                      <w:sz w:val="18"/>
                      <w:szCs w:val="18"/>
                    </w:rPr>
                  </w:pPr>
                  <w:r>
                    <w:rPr>
                      <w:rFonts w:hint="eastAsia"/>
                      <w:b/>
                      <w:bCs/>
                      <w:color w:val="auto"/>
                      <w:sz w:val="18"/>
                      <w:szCs w:val="18"/>
                    </w:rPr>
                    <w:t>符合性</w:t>
                  </w:r>
                </w:p>
              </w:tc>
            </w:tr>
            <w:tr w14:paraId="39DDB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715" w:type="dxa"/>
                  <w:tcBorders>
                    <w:tl2br w:val="nil"/>
                    <w:tr2bl w:val="nil"/>
                  </w:tcBorders>
                  <w:vAlign w:val="center"/>
                </w:tcPr>
                <w:p w14:paraId="67797BB0">
                  <w:pPr>
                    <w:pStyle w:val="60"/>
                    <w:rPr>
                      <w:rFonts w:hint="default" w:eastAsia="宋体"/>
                      <w:color w:val="auto"/>
                      <w:sz w:val="18"/>
                      <w:szCs w:val="18"/>
                      <w:lang w:val="en-US" w:eastAsia="zh-CN"/>
                    </w:rPr>
                  </w:pPr>
                  <w:r>
                    <w:rPr>
                      <w:rFonts w:hint="eastAsia"/>
                      <w:color w:val="auto"/>
                      <w:sz w:val="18"/>
                      <w:szCs w:val="18"/>
                      <w:lang w:val="en-US" w:eastAsia="zh-CN"/>
                    </w:rPr>
                    <w:t>产业定位</w:t>
                  </w:r>
                </w:p>
              </w:tc>
              <w:tc>
                <w:tcPr>
                  <w:tcW w:w="2850" w:type="dxa"/>
                  <w:tcBorders>
                    <w:tl2br w:val="nil"/>
                    <w:tr2bl w:val="nil"/>
                  </w:tcBorders>
                  <w:vAlign w:val="center"/>
                </w:tcPr>
                <w:p w14:paraId="3A8AF49E">
                  <w:pPr>
                    <w:pStyle w:val="60"/>
                    <w:jc w:val="both"/>
                    <w:rPr>
                      <w:color w:val="auto"/>
                      <w:sz w:val="18"/>
                      <w:szCs w:val="18"/>
                    </w:rPr>
                  </w:pPr>
                  <w:r>
                    <w:rPr>
                      <w:rFonts w:hint="eastAsia"/>
                      <w:color w:val="auto"/>
                      <w:sz w:val="18"/>
                      <w:szCs w:val="18"/>
                    </w:rPr>
                    <w:t>以发展塑料制品制造业、高端装备制造业、加工纸及纸制品制造业为主的综合性产业基地，兼顾集聚区内现有企业高质高效发展。</w:t>
                  </w:r>
                </w:p>
              </w:tc>
              <w:tc>
                <w:tcPr>
                  <w:tcW w:w="4127" w:type="dxa"/>
                  <w:tcBorders>
                    <w:tl2br w:val="nil"/>
                    <w:tr2bl w:val="nil"/>
                  </w:tcBorders>
                  <w:vAlign w:val="center"/>
                </w:tcPr>
                <w:p w14:paraId="7FD71787">
                  <w:pPr>
                    <w:pStyle w:val="60"/>
                    <w:jc w:val="both"/>
                    <w:rPr>
                      <w:rFonts w:hint="eastAsia" w:eastAsia="宋体"/>
                      <w:color w:val="auto"/>
                      <w:sz w:val="18"/>
                      <w:szCs w:val="18"/>
                      <w:lang w:eastAsia="zh-CN"/>
                    </w:rPr>
                  </w:pPr>
                  <w:r>
                    <w:rPr>
                      <w:rFonts w:hint="eastAsia"/>
                      <w:color w:val="auto"/>
                      <w:sz w:val="18"/>
                      <w:szCs w:val="18"/>
                    </w:rPr>
                    <w:t>山东诚光工贸有限公司属于园区现有基础化学原料制造企业，本项目为原料、产品罐区安全环保提升技术改造项目，属于山东诚光工贸有限公司现有生产装置配套储运工程的安全环保提升改造，行业类别为G5942危险化学品仓储，不属于《产业结构调整指导目录(2024年本)》中的鼓励类、限制类及淘汰类项目，属于允许类项目。项目已完成备案，项目代码：2512-370305-89-02-111832，所用设备不含限制与淘汰设备，项目建设符合国家产业政策。本项目属于园区现有企业在符合产业政策和环保政策前提下的高质高效发展，符合朱台镇工业集聚区产业定位</w:t>
                  </w:r>
                  <w:r>
                    <w:rPr>
                      <w:rFonts w:hint="eastAsia"/>
                      <w:color w:val="auto"/>
                      <w:sz w:val="18"/>
                      <w:szCs w:val="18"/>
                      <w:lang w:eastAsia="zh-CN"/>
                    </w:rPr>
                    <w:t>。</w:t>
                  </w:r>
                </w:p>
              </w:tc>
              <w:tc>
                <w:tcPr>
                  <w:tcW w:w="677" w:type="dxa"/>
                  <w:tcBorders>
                    <w:tl2br w:val="nil"/>
                    <w:tr2bl w:val="nil"/>
                  </w:tcBorders>
                  <w:vAlign w:val="center"/>
                </w:tcPr>
                <w:p w14:paraId="79AE96D7">
                  <w:pPr>
                    <w:pStyle w:val="60"/>
                    <w:rPr>
                      <w:color w:val="auto"/>
                      <w:sz w:val="18"/>
                      <w:szCs w:val="18"/>
                    </w:rPr>
                  </w:pPr>
                  <w:r>
                    <w:rPr>
                      <w:rFonts w:hint="eastAsia"/>
                      <w:color w:val="auto"/>
                      <w:sz w:val="18"/>
                      <w:szCs w:val="18"/>
                    </w:rPr>
                    <w:t>符合</w:t>
                  </w:r>
                </w:p>
              </w:tc>
            </w:tr>
            <w:tr w14:paraId="7229A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715" w:type="dxa"/>
                  <w:tcBorders>
                    <w:tl2br w:val="nil"/>
                    <w:tr2bl w:val="nil"/>
                  </w:tcBorders>
                  <w:vAlign w:val="center"/>
                </w:tcPr>
                <w:p w14:paraId="44654DCF">
                  <w:pPr>
                    <w:pStyle w:val="60"/>
                    <w:rPr>
                      <w:rFonts w:hint="eastAsia"/>
                      <w:color w:val="auto"/>
                      <w:sz w:val="18"/>
                      <w:szCs w:val="18"/>
                    </w:rPr>
                  </w:pPr>
                  <w:r>
                    <w:rPr>
                      <w:rFonts w:hint="eastAsia"/>
                      <w:color w:val="auto"/>
                      <w:sz w:val="18"/>
                      <w:szCs w:val="18"/>
                    </w:rPr>
                    <w:t>《规划》环境合理性、可行性的</w:t>
                  </w:r>
                </w:p>
                <w:p w14:paraId="268DE713">
                  <w:pPr>
                    <w:pStyle w:val="60"/>
                    <w:rPr>
                      <w:color w:val="auto"/>
                      <w:sz w:val="18"/>
                      <w:szCs w:val="18"/>
                    </w:rPr>
                  </w:pPr>
                  <w:r>
                    <w:rPr>
                      <w:rFonts w:hint="eastAsia"/>
                      <w:color w:val="auto"/>
                      <w:sz w:val="18"/>
                      <w:szCs w:val="18"/>
                    </w:rPr>
                    <w:t>总体评价</w:t>
                  </w:r>
                </w:p>
              </w:tc>
              <w:tc>
                <w:tcPr>
                  <w:tcW w:w="2850" w:type="dxa"/>
                  <w:tcBorders>
                    <w:tl2br w:val="nil"/>
                    <w:tr2bl w:val="nil"/>
                  </w:tcBorders>
                  <w:vAlign w:val="center"/>
                </w:tcPr>
                <w:p w14:paraId="0DE961AC">
                  <w:pPr>
                    <w:pStyle w:val="60"/>
                    <w:jc w:val="both"/>
                    <w:rPr>
                      <w:color w:val="auto"/>
                      <w:sz w:val="18"/>
                      <w:szCs w:val="18"/>
                    </w:rPr>
                  </w:pPr>
                  <w:r>
                    <w:rPr>
                      <w:rFonts w:hint="eastAsia"/>
                      <w:color w:val="auto"/>
                      <w:sz w:val="18"/>
                      <w:szCs w:val="18"/>
                    </w:rPr>
                    <w:t>《规划》用地不完全符合《</w:t>
                  </w:r>
                  <w:r>
                    <w:rPr>
                      <w:rFonts w:hint="eastAsia"/>
                      <w:color w:val="auto"/>
                      <w:sz w:val="18"/>
                      <w:szCs w:val="18"/>
                      <w:lang w:eastAsia="zh-CN"/>
                    </w:rPr>
                    <w:t>淄博市临淄区朱台镇国土空间规划（2021-2035年）</w:t>
                  </w:r>
                  <w:r>
                    <w:rPr>
                      <w:rFonts w:hint="eastAsia"/>
                      <w:color w:val="auto"/>
                      <w:sz w:val="18"/>
                      <w:szCs w:val="18"/>
                    </w:rPr>
                    <w:t>》《淄博市临淄区朱台镇国土空间规划（2021-2035年）》，集聚区规划和建设应按照国土空间规划的相关要求实施。</w:t>
                  </w:r>
                </w:p>
              </w:tc>
              <w:tc>
                <w:tcPr>
                  <w:tcW w:w="4127" w:type="dxa"/>
                  <w:tcBorders>
                    <w:tl2br w:val="nil"/>
                    <w:tr2bl w:val="nil"/>
                  </w:tcBorders>
                  <w:vAlign w:val="center"/>
                </w:tcPr>
                <w:p w14:paraId="4B408317">
                  <w:pPr>
                    <w:pStyle w:val="60"/>
                    <w:jc w:val="both"/>
                    <w:rPr>
                      <w:color w:val="auto"/>
                      <w:sz w:val="18"/>
                      <w:szCs w:val="18"/>
                    </w:rPr>
                  </w:pPr>
                  <w:r>
                    <w:rPr>
                      <w:rFonts w:hint="eastAsia"/>
                      <w:color w:val="auto"/>
                      <w:sz w:val="18"/>
                      <w:szCs w:val="18"/>
                    </w:rPr>
                    <w:t>本项目位于朱台镇工业集聚区山东诚光工贸有限公司现有厂区内，根据《</w:t>
                  </w:r>
                  <w:r>
                    <w:rPr>
                      <w:rFonts w:hint="eastAsia"/>
                      <w:color w:val="auto"/>
                      <w:sz w:val="18"/>
                      <w:szCs w:val="18"/>
                      <w:lang w:eastAsia="zh-CN"/>
                    </w:rPr>
                    <w:t>淄博市临淄区朱台镇国土空间规划（2021-2035年）</w:t>
                  </w:r>
                  <w:r>
                    <w:rPr>
                      <w:rFonts w:hint="eastAsia"/>
                      <w:color w:val="auto"/>
                      <w:sz w:val="18"/>
                      <w:szCs w:val="18"/>
                    </w:rPr>
                    <w:t>》</w:t>
                  </w:r>
                  <w:r>
                    <w:rPr>
                      <w:rFonts w:hint="eastAsia"/>
                      <w:color w:val="auto"/>
                      <w:sz w:val="18"/>
                      <w:szCs w:val="18"/>
                      <w:lang w:eastAsia="zh-CN"/>
                    </w:rPr>
                    <w:t>，</w:t>
                  </w:r>
                  <w:r>
                    <w:rPr>
                      <w:rFonts w:hint="eastAsia"/>
                      <w:color w:val="auto"/>
                      <w:sz w:val="18"/>
                      <w:szCs w:val="18"/>
                    </w:rPr>
                    <w:t>项目所处位置位于城镇开发边界内，项目建设符合《</w:t>
                  </w:r>
                  <w:r>
                    <w:rPr>
                      <w:rFonts w:hint="eastAsia"/>
                      <w:color w:val="auto"/>
                      <w:sz w:val="18"/>
                      <w:szCs w:val="18"/>
                      <w:lang w:eastAsia="zh-CN"/>
                    </w:rPr>
                    <w:t>淄博市临淄区朱台镇国土空间规划（2021-2035年）</w:t>
                  </w:r>
                  <w:r>
                    <w:rPr>
                      <w:rFonts w:hint="eastAsia"/>
                      <w:color w:val="auto"/>
                      <w:sz w:val="18"/>
                      <w:szCs w:val="18"/>
                    </w:rPr>
                    <w:t>》要求；根据《朱台镇工业集聚区总体发展规划（2024-2035年）》，项目厂区用地类型为二类工业用地，符合《朱台镇工业集聚区总体发展规划（2024-2035年）》要求。</w:t>
                  </w:r>
                </w:p>
              </w:tc>
              <w:tc>
                <w:tcPr>
                  <w:tcW w:w="677" w:type="dxa"/>
                  <w:tcBorders>
                    <w:tl2br w:val="nil"/>
                    <w:tr2bl w:val="nil"/>
                  </w:tcBorders>
                  <w:vAlign w:val="center"/>
                </w:tcPr>
                <w:p w14:paraId="7FA6D55F">
                  <w:pPr>
                    <w:pStyle w:val="60"/>
                    <w:rPr>
                      <w:rFonts w:hint="eastAsia" w:eastAsia="宋体"/>
                      <w:color w:val="auto"/>
                      <w:sz w:val="18"/>
                      <w:szCs w:val="18"/>
                      <w:lang w:val="en-US" w:eastAsia="zh-CN"/>
                    </w:rPr>
                  </w:pPr>
                  <w:r>
                    <w:rPr>
                      <w:rFonts w:hint="eastAsia"/>
                      <w:color w:val="auto"/>
                      <w:sz w:val="18"/>
                      <w:szCs w:val="18"/>
                      <w:lang w:val="en-US" w:eastAsia="zh-CN"/>
                    </w:rPr>
                    <w:t>符合</w:t>
                  </w:r>
                </w:p>
              </w:tc>
            </w:tr>
            <w:tr w14:paraId="65F08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715" w:type="dxa"/>
                  <w:vMerge w:val="restart"/>
                  <w:tcBorders>
                    <w:tl2br w:val="nil"/>
                    <w:tr2bl w:val="nil"/>
                  </w:tcBorders>
                  <w:vAlign w:val="center"/>
                </w:tcPr>
                <w:p w14:paraId="49AE8460">
                  <w:pPr>
                    <w:pStyle w:val="60"/>
                    <w:rPr>
                      <w:rFonts w:hint="eastAsia"/>
                      <w:color w:val="auto"/>
                      <w:sz w:val="18"/>
                      <w:szCs w:val="18"/>
                    </w:rPr>
                  </w:pPr>
                  <w:r>
                    <w:rPr>
                      <w:rFonts w:hint="eastAsia"/>
                      <w:color w:val="auto"/>
                      <w:sz w:val="18"/>
                      <w:szCs w:val="18"/>
                    </w:rPr>
                    <w:t>对《规</w:t>
                  </w:r>
                </w:p>
                <w:p w14:paraId="1F0A8A6D">
                  <w:pPr>
                    <w:pStyle w:val="60"/>
                    <w:rPr>
                      <w:rFonts w:hint="eastAsia"/>
                      <w:color w:val="auto"/>
                      <w:sz w:val="18"/>
                      <w:szCs w:val="18"/>
                    </w:rPr>
                  </w:pPr>
                  <w:r>
                    <w:rPr>
                      <w:rFonts w:hint="eastAsia"/>
                      <w:color w:val="auto"/>
                      <w:sz w:val="18"/>
                      <w:szCs w:val="18"/>
                    </w:rPr>
                    <w:t>划》优化</w:t>
                  </w:r>
                </w:p>
                <w:p w14:paraId="03D00071">
                  <w:pPr>
                    <w:pStyle w:val="60"/>
                    <w:rPr>
                      <w:color w:val="auto"/>
                      <w:sz w:val="18"/>
                      <w:szCs w:val="18"/>
                    </w:rPr>
                  </w:pPr>
                  <w:r>
                    <w:rPr>
                      <w:rFonts w:hint="eastAsia"/>
                      <w:color w:val="auto"/>
                      <w:sz w:val="18"/>
                      <w:szCs w:val="18"/>
                    </w:rPr>
                    <w:t>调整和实施过程中的意见</w:t>
                  </w:r>
                </w:p>
              </w:tc>
              <w:tc>
                <w:tcPr>
                  <w:tcW w:w="2850" w:type="dxa"/>
                  <w:tcBorders>
                    <w:tl2br w:val="nil"/>
                    <w:tr2bl w:val="nil"/>
                  </w:tcBorders>
                  <w:vAlign w:val="center"/>
                </w:tcPr>
                <w:p w14:paraId="503A2F00">
                  <w:pPr>
                    <w:pStyle w:val="60"/>
                    <w:jc w:val="both"/>
                    <w:rPr>
                      <w:rFonts w:hint="eastAsia" w:eastAsia="宋体"/>
                      <w:color w:val="auto"/>
                      <w:sz w:val="18"/>
                      <w:szCs w:val="18"/>
                      <w:lang w:eastAsia="zh-CN"/>
                    </w:rPr>
                  </w:pPr>
                  <w:r>
                    <w:rPr>
                      <w:rFonts w:hint="eastAsia"/>
                      <w:color w:val="auto"/>
                      <w:sz w:val="18"/>
                      <w:szCs w:val="18"/>
                    </w:rPr>
                    <w:t>结合环境质量改善目标、污染防治方案、减排任务等，制定集聚区污染物减排方案并认真落实。对涉及新增污染物排放的入区项目，依法依规落实污染物替代要求。强化企业污染治理措施的运行管理，建立完善的全过程控制体系，实现全流程、全环节达标排放</w:t>
                  </w:r>
                  <w:r>
                    <w:rPr>
                      <w:rFonts w:hint="eastAsia"/>
                      <w:color w:val="auto"/>
                      <w:sz w:val="18"/>
                      <w:szCs w:val="18"/>
                      <w:lang w:eastAsia="zh-CN"/>
                    </w:rPr>
                    <w:t>。</w:t>
                  </w:r>
                </w:p>
              </w:tc>
              <w:tc>
                <w:tcPr>
                  <w:tcW w:w="4127" w:type="dxa"/>
                  <w:tcBorders>
                    <w:tl2br w:val="nil"/>
                    <w:tr2bl w:val="nil"/>
                  </w:tcBorders>
                  <w:vAlign w:val="center"/>
                </w:tcPr>
                <w:p w14:paraId="092FAD6F">
                  <w:pPr>
                    <w:pStyle w:val="60"/>
                    <w:jc w:val="both"/>
                    <w:rPr>
                      <w:rFonts w:hint="eastAsia" w:eastAsia="宋体"/>
                      <w:color w:val="auto"/>
                      <w:sz w:val="18"/>
                      <w:szCs w:val="18"/>
                      <w:lang w:val="en-US" w:eastAsia="zh-CN"/>
                    </w:rPr>
                  </w:pPr>
                  <w:r>
                    <w:rPr>
                      <w:rFonts w:hint="eastAsia"/>
                      <w:color w:val="auto"/>
                      <w:sz w:val="18"/>
                      <w:szCs w:val="18"/>
                      <w:lang w:val="en-US" w:eastAsia="zh-CN"/>
                    </w:rPr>
                    <w:t>本项目储罐呼吸废气及装卸车废气收集经水洗预处理后送西厂区现有2台尾气炉焚烧处理后达标排放，项目将严格污染物替代要求</w:t>
                  </w:r>
                  <w:r>
                    <w:rPr>
                      <w:rFonts w:hint="eastAsia"/>
                      <w:color w:val="auto"/>
                      <w:sz w:val="18"/>
                      <w:szCs w:val="18"/>
                    </w:rPr>
                    <w:t>；项目</w:t>
                  </w:r>
                  <w:r>
                    <w:rPr>
                      <w:rFonts w:hint="eastAsia"/>
                      <w:color w:val="auto"/>
                      <w:sz w:val="18"/>
                      <w:szCs w:val="18"/>
                      <w:lang w:val="en-US" w:eastAsia="zh-CN"/>
                    </w:rPr>
                    <w:t>废水</w:t>
                  </w:r>
                  <w:r>
                    <w:rPr>
                      <w:rFonts w:hint="eastAsia"/>
                      <w:color w:val="auto"/>
                      <w:sz w:val="18"/>
                      <w:szCs w:val="18"/>
                    </w:rPr>
                    <w:t>经废水处理设施处理</w:t>
                  </w:r>
                  <w:r>
                    <w:rPr>
                      <w:rFonts w:hint="eastAsia"/>
                      <w:color w:val="auto"/>
                      <w:sz w:val="18"/>
                      <w:szCs w:val="18"/>
                      <w:lang w:val="en-US" w:eastAsia="zh-CN"/>
                    </w:rPr>
                    <w:t>后回用</w:t>
                  </w:r>
                  <w:r>
                    <w:rPr>
                      <w:rFonts w:hint="eastAsia"/>
                      <w:color w:val="auto"/>
                      <w:sz w:val="18"/>
                      <w:szCs w:val="18"/>
                    </w:rPr>
                    <w:t>，无废水外排</w:t>
                  </w:r>
                  <w:r>
                    <w:rPr>
                      <w:rFonts w:hint="eastAsia"/>
                      <w:color w:val="auto"/>
                      <w:sz w:val="18"/>
                      <w:szCs w:val="18"/>
                      <w:lang w:eastAsia="zh-CN"/>
                    </w:rPr>
                    <w:t>。</w:t>
                  </w:r>
                </w:p>
              </w:tc>
              <w:tc>
                <w:tcPr>
                  <w:tcW w:w="677" w:type="dxa"/>
                  <w:tcBorders>
                    <w:tl2br w:val="nil"/>
                    <w:tr2bl w:val="nil"/>
                  </w:tcBorders>
                  <w:vAlign w:val="center"/>
                </w:tcPr>
                <w:p w14:paraId="3638966E">
                  <w:pPr>
                    <w:pStyle w:val="60"/>
                    <w:rPr>
                      <w:rFonts w:hint="eastAsia" w:eastAsia="宋体"/>
                      <w:color w:val="auto"/>
                      <w:sz w:val="18"/>
                      <w:szCs w:val="18"/>
                      <w:lang w:val="en-US" w:eastAsia="zh-CN"/>
                    </w:rPr>
                  </w:pPr>
                  <w:r>
                    <w:rPr>
                      <w:rFonts w:hint="eastAsia"/>
                      <w:color w:val="auto"/>
                      <w:sz w:val="18"/>
                      <w:szCs w:val="18"/>
                      <w:lang w:val="en-US" w:eastAsia="zh-CN"/>
                    </w:rPr>
                    <w:t>符合</w:t>
                  </w:r>
                </w:p>
              </w:tc>
            </w:tr>
            <w:tr w14:paraId="11107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715" w:type="dxa"/>
                  <w:vMerge w:val="continue"/>
                  <w:tcBorders>
                    <w:tl2br w:val="nil"/>
                    <w:tr2bl w:val="nil"/>
                  </w:tcBorders>
                  <w:vAlign w:val="center"/>
                </w:tcPr>
                <w:p w14:paraId="53269058">
                  <w:pPr>
                    <w:pStyle w:val="60"/>
                    <w:rPr>
                      <w:color w:val="auto"/>
                      <w:sz w:val="18"/>
                      <w:szCs w:val="18"/>
                    </w:rPr>
                  </w:pPr>
                </w:p>
              </w:tc>
              <w:tc>
                <w:tcPr>
                  <w:tcW w:w="2850" w:type="dxa"/>
                  <w:tcBorders>
                    <w:tl2br w:val="nil"/>
                    <w:tr2bl w:val="nil"/>
                  </w:tcBorders>
                  <w:vAlign w:val="center"/>
                </w:tcPr>
                <w:p w14:paraId="2C292C31">
                  <w:pPr>
                    <w:pStyle w:val="60"/>
                    <w:jc w:val="both"/>
                    <w:rPr>
                      <w:rFonts w:hint="eastAsia" w:eastAsia="宋体"/>
                      <w:color w:val="auto"/>
                      <w:sz w:val="18"/>
                      <w:szCs w:val="18"/>
                      <w:lang w:eastAsia="zh-CN"/>
                    </w:rPr>
                  </w:pPr>
                  <w:r>
                    <w:rPr>
                      <w:rFonts w:hint="eastAsia"/>
                      <w:color w:val="auto"/>
                      <w:sz w:val="18"/>
                      <w:szCs w:val="18"/>
                    </w:rPr>
                    <w:t>落实固体废物环境管理制度，强化工业企业一般固体废物和危险废物的贮存、转移及处置等环节的管理，积极推进无废园区建设</w:t>
                  </w:r>
                  <w:r>
                    <w:rPr>
                      <w:rFonts w:hint="eastAsia"/>
                      <w:color w:val="auto"/>
                      <w:sz w:val="18"/>
                      <w:szCs w:val="18"/>
                      <w:lang w:eastAsia="zh-CN"/>
                    </w:rPr>
                    <w:t>。</w:t>
                  </w:r>
                </w:p>
              </w:tc>
              <w:tc>
                <w:tcPr>
                  <w:tcW w:w="4127" w:type="dxa"/>
                  <w:tcBorders>
                    <w:tl2br w:val="nil"/>
                    <w:tr2bl w:val="nil"/>
                  </w:tcBorders>
                  <w:vAlign w:val="center"/>
                </w:tcPr>
                <w:p w14:paraId="37400133">
                  <w:pPr>
                    <w:pStyle w:val="60"/>
                    <w:jc w:val="both"/>
                    <w:rPr>
                      <w:rFonts w:hint="default" w:eastAsia="宋体"/>
                      <w:color w:val="auto"/>
                      <w:sz w:val="18"/>
                      <w:szCs w:val="18"/>
                      <w:lang w:val="en-US" w:eastAsia="zh-CN"/>
                    </w:rPr>
                  </w:pPr>
                  <w:r>
                    <w:rPr>
                      <w:rFonts w:hint="eastAsia"/>
                      <w:color w:val="auto"/>
                      <w:sz w:val="18"/>
                      <w:szCs w:val="18"/>
                      <w:lang w:val="en-US" w:eastAsia="zh-CN"/>
                    </w:rPr>
                    <w:t>项目运行产生的危险废物均暂存于现有危废暂存间，定期委托有资质单位处置。</w:t>
                  </w:r>
                </w:p>
              </w:tc>
              <w:tc>
                <w:tcPr>
                  <w:tcW w:w="677" w:type="dxa"/>
                  <w:tcBorders>
                    <w:tl2br w:val="nil"/>
                    <w:tr2bl w:val="nil"/>
                  </w:tcBorders>
                  <w:vAlign w:val="center"/>
                </w:tcPr>
                <w:p w14:paraId="306EB91A">
                  <w:pPr>
                    <w:pStyle w:val="60"/>
                    <w:rPr>
                      <w:rFonts w:hint="eastAsia" w:eastAsia="宋体"/>
                      <w:color w:val="auto"/>
                      <w:sz w:val="18"/>
                      <w:szCs w:val="18"/>
                      <w:lang w:val="en-US" w:eastAsia="zh-CN"/>
                    </w:rPr>
                  </w:pPr>
                  <w:r>
                    <w:rPr>
                      <w:rFonts w:hint="eastAsia"/>
                      <w:color w:val="auto"/>
                      <w:sz w:val="18"/>
                      <w:szCs w:val="18"/>
                      <w:lang w:val="en-US" w:eastAsia="zh-CN"/>
                    </w:rPr>
                    <w:t>符合</w:t>
                  </w:r>
                </w:p>
              </w:tc>
            </w:tr>
            <w:tr w14:paraId="766CE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715" w:type="dxa"/>
                  <w:vMerge w:val="continue"/>
                  <w:tcBorders>
                    <w:tl2br w:val="nil"/>
                    <w:tr2bl w:val="nil"/>
                  </w:tcBorders>
                  <w:vAlign w:val="center"/>
                </w:tcPr>
                <w:p w14:paraId="6A3A8023">
                  <w:pPr>
                    <w:pStyle w:val="60"/>
                    <w:rPr>
                      <w:color w:val="auto"/>
                      <w:sz w:val="18"/>
                      <w:szCs w:val="18"/>
                    </w:rPr>
                  </w:pPr>
                </w:p>
              </w:tc>
              <w:tc>
                <w:tcPr>
                  <w:tcW w:w="2850" w:type="dxa"/>
                  <w:tcBorders>
                    <w:tl2br w:val="nil"/>
                    <w:tr2bl w:val="nil"/>
                  </w:tcBorders>
                  <w:vAlign w:val="center"/>
                </w:tcPr>
                <w:p w14:paraId="69AE4231">
                  <w:pPr>
                    <w:pStyle w:val="60"/>
                    <w:jc w:val="both"/>
                    <w:rPr>
                      <w:rFonts w:hint="eastAsia" w:eastAsia="宋体"/>
                      <w:color w:val="auto"/>
                      <w:sz w:val="18"/>
                      <w:szCs w:val="18"/>
                      <w:lang w:eastAsia="zh-CN"/>
                    </w:rPr>
                  </w:pPr>
                  <w:r>
                    <w:rPr>
                      <w:rFonts w:hint="eastAsia"/>
                      <w:color w:val="auto"/>
                      <w:sz w:val="18"/>
                      <w:szCs w:val="18"/>
                    </w:rPr>
                    <w:t>健全集聚区环境风险防控体系，定期开展突发环境事件风险评估，强化企业-集聚区-临淄区人民政府环境风险防控联动，定期组织应急演练。督导指导入区企业制定相应的风险事故防范措施及应急预案，加强集聚区及相关企业应急物资配置、应急救援队伍和监测能力建设</w:t>
                  </w:r>
                  <w:r>
                    <w:rPr>
                      <w:rFonts w:hint="eastAsia"/>
                      <w:color w:val="auto"/>
                      <w:sz w:val="18"/>
                      <w:szCs w:val="18"/>
                      <w:lang w:eastAsia="zh-CN"/>
                    </w:rPr>
                    <w:t>。</w:t>
                  </w:r>
                </w:p>
              </w:tc>
              <w:tc>
                <w:tcPr>
                  <w:tcW w:w="4127" w:type="dxa"/>
                  <w:tcBorders>
                    <w:tl2br w:val="nil"/>
                    <w:tr2bl w:val="nil"/>
                  </w:tcBorders>
                  <w:vAlign w:val="center"/>
                </w:tcPr>
                <w:p w14:paraId="3A518BFB">
                  <w:pPr>
                    <w:pStyle w:val="60"/>
                    <w:jc w:val="both"/>
                    <w:rPr>
                      <w:rFonts w:hint="eastAsia" w:eastAsia="宋体"/>
                      <w:color w:val="auto"/>
                      <w:sz w:val="18"/>
                      <w:szCs w:val="18"/>
                      <w:lang w:eastAsia="zh-CN"/>
                    </w:rPr>
                  </w:pPr>
                  <w:r>
                    <w:rPr>
                      <w:rFonts w:hint="eastAsia"/>
                      <w:color w:val="auto"/>
                      <w:sz w:val="18"/>
                      <w:szCs w:val="18"/>
                    </w:rPr>
                    <w:t>《</w:t>
                  </w:r>
                  <w:r>
                    <w:rPr>
                      <w:rFonts w:hint="eastAsia"/>
                      <w:color w:val="auto"/>
                      <w:sz w:val="18"/>
                      <w:szCs w:val="18"/>
                      <w:lang w:val="en-US" w:eastAsia="zh-CN"/>
                    </w:rPr>
                    <w:t>山东诚光工贸</w:t>
                  </w:r>
                  <w:r>
                    <w:rPr>
                      <w:rFonts w:hint="eastAsia"/>
                      <w:color w:val="auto"/>
                      <w:sz w:val="18"/>
                      <w:szCs w:val="18"/>
                    </w:rPr>
                    <w:t>有限公司突发环境事件应急预案》已于202</w:t>
                  </w:r>
                  <w:r>
                    <w:rPr>
                      <w:rFonts w:hint="eastAsia"/>
                      <w:color w:val="auto"/>
                      <w:sz w:val="18"/>
                      <w:szCs w:val="18"/>
                      <w:lang w:val="en-US" w:eastAsia="zh-CN"/>
                    </w:rPr>
                    <w:t>5</w:t>
                  </w:r>
                  <w:r>
                    <w:rPr>
                      <w:rFonts w:hint="eastAsia"/>
                      <w:color w:val="auto"/>
                      <w:sz w:val="18"/>
                      <w:szCs w:val="18"/>
                    </w:rPr>
                    <w:t>年</w:t>
                  </w:r>
                  <w:r>
                    <w:rPr>
                      <w:rFonts w:hint="eastAsia"/>
                      <w:color w:val="auto"/>
                      <w:sz w:val="18"/>
                      <w:szCs w:val="18"/>
                      <w:lang w:val="en-US" w:eastAsia="zh-CN"/>
                    </w:rPr>
                    <w:t>9</w:t>
                  </w:r>
                  <w:r>
                    <w:rPr>
                      <w:rFonts w:hint="eastAsia"/>
                      <w:color w:val="auto"/>
                      <w:sz w:val="18"/>
                      <w:szCs w:val="18"/>
                    </w:rPr>
                    <w:t>月在</w:t>
                  </w:r>
                  <w:r>
                    <w:rPr>
                      <w:rFonts w:hint="eastAsia"/>
                      <w:color w:val="auto"/>
                      <w:sz w:val="18"/>
                      <w:szCs w:val="18"/>
                      <w:lang w:val="en-US" w:eastAsia="zh-CN"/>
                    </w:rPr>
                    <w:t>淄博市生态环境局</w:t>
                  </w:r>
                  <w:r>
                    <w:rPr>
                      <w:rFonts w:hint="eastAsia"/>
                      <w:color w:val="auto"/>
                      <w:sz w:val="18"/>
                      <w:szCs w:val="18"/>
                    </w:rPr>
                    <w:t>备案，备案号为（370305-202</w:t>
                  </w:r>
                  <w:r>
                    <w:rPr>
                      <w:rFonts w:hint="eastAsia"/>
                      <w:color w:val="auto"/>
                      <w:sz w:val="18"/>
                      <w:szCs w:val="18"/>
                      <w:lang w:val="en-US" w:eastAsia="zh-CN"/>
                    </w:rPr>
                    <w:t>5</w:t>
                  </w:r>
                  <w:r>
                    <w:rPr>
                      <w:rFonts w:hint="eastAsia"/>
                      <w:color w:val="auto"/>
                      <w:sz w:val="18"/>
                      <w:szCs w:val="18"/>
                    </w:rPr>
                    <w:t>-</w:t>
                  </w:r>
                  <w:r>
                    <w:rPr>
                      <w:rFonts w:hint="eastAsia"/>
                      <w:color w:val="auto"/>
                      <w:sz w:val="18"/>
                      <w:szCs w:val="18"/>
                      <w:lang w:val="en-US" w:eastAsia="zh-CN"/>
                    </w:rPr>
                    <w:t>106</w:t>
                  </w:r>
                  <w:r>
                    <w:rPr>
                      <w:rFonts w:hint="eastAsia"/>
                      <w:color w:val="auto"/>
                      <w:sz w:val="18"/>
                      <w:szCs w:val="18"/>
                    </w:rPr>
                    <w:t>-</w:t>
                  </w:r>
                  <w:r>
                    <w:rPr>
                      <w:rFonts w:hint="eastAsia"/>
                      <w:color w:val="auto"/>
                      <w:sz w:val="18"/>
                      <w:szCs w:val="18"/>
                      <w:lang w:val="en-US" w:eastAsia="zh-CN"/>
                    </w:rPr>
                    <w:t>H</w:t>
                  </w:r>
                  <w:r>
                    <w:rPr>
                      <w:rFonts w:hint="eastAsia"/>
                      <w:color w:val="auto"/>
                      <w:sz w:val="18"/>
                      <w:szCs w:val="18"/>
                    </w:rPr>
                    <w:t>），拟建项目建成后，应按照要求及时更新企业应急预案</w:t>
                  </w:r>
                  <w:r>
                    <w:rPr>
                      <w:rFonts w:hint="eastAsia"/>
                      <w:color w:val="auto"/>
                      <w:sz w:val="18"/>
                      <w:szCs w:val="18"/>
                      <w:lang w:eastAsia="zh-CN"/>
                    </w:rPr>
                    <w:t>。</w:t>
                  </w:r>
                </w:p>
              </w:tc>
              <w:tc>
                <w:tcPr>
                  <w:tcW w:w="677" w:type="dxa"/>
                  <w:tcBorders>
                    <w:tl2br w:val="nil"/>
                    <w:tr2bl w:val="nil"/>
                  </w:tcBorders>
                  <w:vAlign w:val="center"/>
                </w:tcPr>
                <w:p w14:paraId="3E0D4926">
                  <w:pPr>
                    <w:pStyle w:val="60"/>
                    <w:rPr>
                      <w:rFonts w:hint="eastAsia" w:eastAsia="宋体"/>
                      <w:color w:val="auto"/>
                      <w:sz w:val="18"/>
                      <w:szCs w:val="18"/>
                      <w:lang w:val="en-US" w:eastAsia="zh-CN"/>
                    </w:rPr>
                  </w:pPr>
                  <w:r>
                    <w:rPr>
                      <w:rFonts w:hint="eastAsia"/>
                      <w:color w:val="auto"/>
                      <w:sz w:val="18"/>
                      <w:szCs w:val="18"/>
                      <w:lang w:val="en-US" w:eastAsia="zh-CN"/>
                    </w:rPr>
                    <w:t>符合</w:t>
                  </w:r>
                </w:p>
              </w:tc>
            </w:tr>
          </w:tbl>
          <w:p w14:paraId="24C1F875">
            <w:pPr>
              <w:autoSpaceDE w:val="0"/>
              <w:autoSpaceDN w:val="0"/>
              <w:adjustRightInd w:val="0"/>
              <w:snapToGrid w:val="0"/>
              <w:spacing w:line="480" w:lineRule="exact"/>
              <w:ind w:firstLine="420" w:firstLineChars="200"/>
              <w:rPr>
                <w:color w:val="auto"/>
                <w:szCs w:val="21"/>
              </w:rPr>
            </w:pPr>
            <w:r>
              <w:rPr>
                <w:rFonts w:hint="eastAsia"/>
                <w:color w:val="auto"/>
                <w:szCs w:val="21"/>
              </w:rPr>
              <w:t>综上所述，拟建项目符合《</w:t>
            </w:r>
            <w:r>
              <w:rPr>
                <w:rFonts w:hint="eastAsia"/>
                <w:bCs/>
                <w:color w:val="auto"/>
                <w:kern w:val="0"/>
                <w:szCs w:val="21"/>
              </w:rPr>
              <w:t>朱台镇工业集聚区总体发展规划(2024-2035年)环境影响报告书</w:t>
            </w:r>
            <w:r>
              <w:rPr>
                <w:rFonts w:hint="eastAsia"/>
                <w:color w:val="auto"/>
                <w:szCs w:val="21"/>
              </w:rPr>
              <w:t>》审查意见要求。</w:t>
            </w:r>
          </w:p>
          <w:p w14:paraId="406563CA">
            <w:pPr>
              <w:autoSpaceDE w:val="0"/>
              <w:autoSpaceDN w:val="0"/>
              <w:adjustRightInd w:val="0"/>
              <w:snapToGrid w:val="0"/>
              <w:spacing w:line="480" w:lineRule="exact"/>
              <w:ind w:firstLine="420" w:firstLineChars="200"/>
              <w:rPr>
                <w:color w:val="auto"/>
                <w:szCs w:val="21"/>
              </w:rPr>
            </w:pPr>
            <w:r>
              <w:rPr>
                <w:rFonts w:hint="eastAsia"/>
                <w:color w:val="auto"/>
                <w:szCs w:val="21"/>
                <w:lang w:val="en-US" w:eastAsia="zh-CN"/>
              </w:rPr>
              <w:t>4</w:t>
            </w:r>
            <w:r>
              <w:rPr>
                <w:rFonts w:hint="eastAsia"/>
                <w:color w:val="auto"/>
                <w:szCs w:val="21"/>
              </w:rPr>
              <w:t>、项目与《</w:t>
            </w:r>
            <w:r>
              <w:rPr>
                <w:rFonts w:hint="eastAsia"/>
                <w:bCs/>
                <w:color w:val="auto"/>
                <w:kern w:val="0"/>
                <w:szCs w:val="21"/>
              </w:rPr>
              <w:t>朱台镇工业集聚区总体发展规划(2024-2035年)环境影响报告书</w:t>
            </w:r>
            <w:r>
              <w:rPr>
                <w:rFonts w:hint="eastAsia"/>
                <w:color w:val="auto"/>
                <w:szCs w:val="21"/>
              </w:rPr>
              <w:t>》中园区生态环境准入符合性分析见下表：</w:t>
            </w:r>
          </w:p>
          <w:p w14:paraId="0CB21A92">
            <w:pPr>
              <w:pStyle w:val="21"/>
              <w:spacing w:before="120" w:beforeLines="50" w:after="0"/>
              <w:ind w:left="0" w:leftChars="0" w:firstLine="0" w:firstLineChars="0"/>
              <w:jc w:val="center"/>
              <w:rPr>
                <w:rFonts w:ascii="Times New Roman" w:hAnsi="Times New Roman"/>
                <w:b/>
                <w:bCs/>
                <w:color w:val="auto"/>
                <w:szCs w:val="21"/>
              </w:rPr>
            </w:pPr>
            <w:r>
              <w:rPr>
                <w:rFonts w:hint="eastAsia" w:ascii="Times New Roman" w:hAnsi="Times New Roman"/>
                <w:b/>
                <w:bCs/>
                <w:color w:val="auto"/>
                <w:szCs w:val="21"/>
              </w:rPr>
              <w:t>表1-</w:t>
            </w:r>
            <w:r>
              <w:rPr>
                <w:rFonts w:hint="eastAsia" w:ascii="Times New Roman" w:hAnsi="Times New Roman"/>
                <w:b/>
                <w:bCs/>
                <w:color w:val="auto"/>
                <w:szCs w:val="21"/>
                <w:lang w:val="en-US" w:eastAsia="zh-CN"/>
              </w:rPr>
              <w:t>3</w:t>
            </w:r>
            <w:r>
              <w:rPr>
                <w:rFonts w:ascii="Times New Roman" w:hAnsi="Times New Roman"/>
                <w:b/>
                <w:bCs/>
                <w:color w:val="auto"/>
                <w:szCs w:val="21"/>
              </w:rPr>
              <w:t xml:space="preserve">  </w:t>
            </w:r>
            <w:r>
              <w:rPr>
                <w:rFonts w:hint="eastAsia" w:ascii="Times New Roman" w:hAnsi="Times New Roman"/>
                <w:b/>
                <w:bCs/>
                <w:color w:val="auto"/>
                <w:szCs w:val="21"/>
              </w:rPr>
              <w:t>本项目与园区生态环境准入符合性分析表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7"/>
              <w:gridCol w:w="722"/>
              <w:gridCol w:w="3663"/>
              <w:gridCol w:w="2850"/>
              <w:gridCol w:w="673"/>
            </w:tblGrid>
            <w:tr w14:paraId="5225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blHeader/>
                <w:jc w:val="center"/>
              </w:trPr>
              <w:tc>
                <w:tcPr>
                  <w:tcW w:w="273" w:type="pct"/>
                  <w:tcBorders>
                    <w:tl2br w:val="nil"/>
                    <w:tr2bl w:val="nil"/>
                  </w:tcBorders>
                  <w:vAlign w:val="center"/>
                </w:tcPr>
                <w:p w14:paraId="27B212E1">
                  <w:pPr>
                    <w:pStyle w:val="60"/>
                    <w:rPr>
                      <w:b/>
                      <w:bCs/>
                      <w:color w:val="auto"/>
                      <w:sz w:val="18"/>
                      <w:szCs w:val="18"/>
                    </w:rPr>
                  </w:pPr>
                  <w:r>
                    <w:rPr>
                      <w:rFonts w:hint="eastAsia"/>
                      <w:b/>
                      <w:bCs/>
                      <w:color w:val="auto"/>
                      <w:sz w:val="18"/>
                      <w:szCs w:val="18"/>
                    </w:rPr>
                    <w:t>维度</w:t>
                  </w:r>
                </w:p>
              </w:tc>
              <w:tc>
                <w:tcPr>
                  <w:tcW w:w="431" w:type="pct"/>
                  <w:tcBorders>
                    <w:tl2br w:val="nil"/>
                    <w:tr2bl w:val="nil"/>
                  </w:tcBorders>
                  <w:vAlign w:val="center"/>
                </w:tcPr>
                <w:p w14:paraId="758B1249">
                  <w:pPr>
                    <w:pStyle w:val="60"/>
                    <w:rPr>
                      <w:b/>
                      <w:bCs/>
                      <w:color w:val="auto"/>
                      <w:sz w:val="18"/>
                      <w:szCs w:val="18"/>
                    </w:rPr>
                  </w:pPr>
                  <w:r>
                    <w:rPr>
                      <w:rFonts w:hint="eastAsia"/>
                      <w:b/>
                      <w:bCs/>
                      <w:color w:val="auto"/>
                      <w:sz w:val="18"/>
                      <w:szCs w:val="18"/>
                    </w:rPr>
                    <w:t>清单编制要求</w:t>
                  </w:r>
                </w:p>
              </w:tc>
              <w:tc>
                <w:tcPr>
                  <w:tcW w:w="2189" w:type="pct"/>
                  <w:tcBorders>
                    <w:tl2br w:val="nil"/>
                    <w:tr2bl w:val="nil"/>
                  </w:tcBorders>
                  <w:vAlign w:val="center"/>
                </w:tcPr>
                <w:p w14:paraId="73495E79">
                  <w:pPr>
                    <w:pStyle w:val="60"/>
                    <w:rPr>
                      <w:b/>
                      <w:bCs/>
                      <w:color w:val="auto"/>
                      <w:sz w:val="18"/>
                      <w:szCs w:val="18"/>
                    </w:rPr>
                  </w:pPr>
                  <w:r>
                    <w:rPr>
                      <w:rFonts w:hint="eastAsia"/>
                      <w:b/>
                      <w:bCs/>
                      <w:color w:val="auto"/>
                      <w:sz w:val="18"/>
                      <w:szCs w:val="18"/>
                    </w:rPr>
                    <w:t>表达方式</w:t>
                  </w:r>
                </w:p>
              </w:tc>
              <w:tc>
                <w:tcPr>
                  <w:tcW w:w="1703" w:type="pct"/>
                  <w:tcBorders>
                    <w:tl2br w:val="nil"/>
                    <w:tr2bl w:val="nil"/>
                  </w:tcBorders>
                  <w:vAlign w:val="center"/>
                </w:tcPr>
                <w:p w14:paraId="60BA2DC8">
                  <w:pPr>
                    <w:pStyle w:val="60"/>
                    <w:rPr>
                      <w:b/>
                      <w:bCs/>
                      <w:color w:val="auto"/>
                      <w:sz w:val="18"/>
                      <w:szCs w:val="18"/>
                    </w:rPr>
                  </w:pPr>
                  <w:r>
                    <w:rPr>
                      <w:rFonts w:hint="eastAsia"/>
                      <w:b/>
                      <w:bCs/>
                      <w:color w:val="auto"/>
                      <w:sz w:val="18"/>
                      <w:szCs w:val="18"/>
                    </w:rPr>
                    <w:t>本项目情况</w:t>
                  </w:r>
                </w:p>
              </w:tc>
              <w:tc>
                <w:tcPr>
                  <w:tcW w:w="402" w:type="pct"/>
                  <w:tcBorders>
                    <w:tl2br w:val="nil"/>
                    <w:tr2bl w:val="nil"/>
                  </w:tcBorders>
                  <w:vAlign w:val="center"/>
                </w:tcPr>
                <w:p w14:paraId="617B4C2A">
                  <w:pPr>
                    <w:pStyle w:val="60"/>
                    <w:rPr>
                      <w:b/>
                      <w:bCs/>
                      <w:color w:val="auto"/>
                      <w:sz w:val="18"/>
                      <w:szCs w:val="18"/>
                    </w:rPr>
                  </w:pPr>
                  <w:r>
                    <w:rPr>
                      <w:rFonts w:hint="eastAsia"/>
                      <w:b/>
                      <w:bCs/>
                      <w:color w:val="auto"/>
                      <w:sz w:val="18"/>
                      <w:szCs w:val="18"/>
                    </w:rPr>
                    <w:t>符合性</w:t>
                  </w:r>
                </w:p>
              </w:tc>
            </w:tr>
            <w:tr w14:paraId="09741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restart"/>
                  <w:tcBorders>
                    <w:tl2br w:val="nil"/>
                    <w:tr2bl w:val="nil"/>
                  </w:tcBorders>
                  <w:vAlign w:val="center"/>
                </w:tcPr>
                <w:p w14:paraId="0D53CEEC">
                  <w:pPr>
                    <w:pStyle w:val="60"/>
                    <w:rPr>
                      <w:color w:val="auto"/>
                      <w:sz w:val="18"/>
                      <w:szCs w:val="18"/>
                    </w:rPr>
                  </w:pPr>
                  <w:r>
                    <w:rPr>
                      <w:rFonts w:hint="eastAsia"/>
                      <w:color w:val="auto"/>
                      <w:sz w:val="18"/>
                      <w:szCs w:val="18"/>
                    </w:rPr>
                    <w:t>空间布局约束</w:t>
                  </w:r>
                </w:p>
              </w:tc>
              <w:tc>
                <w:tcPr>
                  <w:tcW w:w="431" w:type="pct"/>
                  <w:tcBorders>
                    <w:tl2br w:val="nil"/>
                    <w:tr2bl w:val="nil"/>
                  </w:tcBorders>
                  <w:vAlign w:val="center"/>
                </w:tcPr>
                <w:p w14:paraId="6335E57C">
                  <w:pPr>
                    <w:pStyle w:val="60"/>
                    <w:rPr>
                      <w:color w:val="auto"/>
                      <w:sz w:val="18"/>
                      <w:szCs w:val="18"/>
                    </w:rPr>
                  </w:pPr>
                  <w:r>
                    <w:rPr>
                      <w:rFonts w:hint="eastAsia"/>
                      <w:color w:val="auto"/>
                      <w:sz w:val="18"/>
                      <w:szCs w:val="18"/>
                    </w:rPr>
                    <w:t>禁止开发建设活动要求</w:t>
                  </w:r>
                </w:p>
              </w:tc>
              <w:tc>
                <w:tcPr>
                  <w:tcW w:w="2189" w:type="pct"/>
                  <w:tcBorders>
                    <w:tl2br w:val="nil"/>
                    <w:tr2bl w:val="nil"/>
                  </w:tcBorders>
                  <w:vAlign w:val="center"/>
                </w:tcPr>
                <w:p w14:paraId="49939517">
                  <w:pPr>
                    <w:pStyle w:val="60"/>
                    <w:jc w:val="both"/>
                    <w:rPr>
                      <w:rFonts w:hint="eastAsia"/>
                      <w:color w:val="auto"/>
                      <w:sz w:val="18"/>
                      <w:szCs w:val="18"/>
                    </w:rPr>
                  </w:pPr>
                  <w:r>
                    <w:rPr>
                      <w:rFonts w:hint="eastAsia"/>
                      <w:color w:val="auto"/>
                      <w:sz w:val="18"/>
                      <w:szCs w:val="18"/>
                    </w:rPr>
                    <w:t>禁止新建《产业结构调整指导目录》规定的淘汰类产业，对《市场准入负面清单》、《外商投资准入特别管理措施（负面清单）》中禁止准入事项，不得进入。</w:t>
                  </w:r>
                </w:p>
                <w:p w14:paraId="17C2DA1C">
                  <w:pPr>
                    <w:pStyle w:val="60"/>
                    <w:jc w:val="both"/>
                    <w:rPr>
                      <w:rFonts w:hint="eastAsia"/>
                      <w:color w:val="auto"/>
                      <w:sz w:val="18"/>
                      <w:szCs w:val="18"/>
                    </w:rPr>
                  </w:pPr>
                  <w:r>
                    <w:rPr>
                      <w:rFonts w:hint="eastAsia"/>
                      <w:color w:val="auto"/>
                      <w:sz w:val="18"/>
                      <w:szCs w:val="18"/>
                    </w:rPr>
                    <w:t>新、改、扩建项目不得使用《产业结构调整指导目录》规定的淘汰类设备和工艺；</w:t>
                  </w:r>
                </w:p>
                <w:p w14:paraId="3F7CBB78">
                  <w:pPr>
                    <w:pStyle w:val="60"/>
                    <w:jc w:val="both"/>
                    <w:rPr>
                      <w:rFonts w:hint="eastAsia"/>
                      <w:color w:val="auto"/>
                      <w:sz w:val="18"/>
                      <w:szCs w:val="18"/>
                    </w:rPr>
                  </w:pPr>
                  <w:r>
                    <w:rPr>
                      <w:rFonts w:hint="eastAsia"/>
                      <w:color w:val="auto"/>
                      <w:sz w:val="18"/>
                      <w:szCs w:val="18"/>
                    </w:rPr>
                    <w:t>禁止在规划的建设用地范围外实施开发建设活动；</w:t>
                  </w:r>
                </w:p>
                <w:p w14:paraId="3083BAFE">
                  <w:pPr>
                    <w:pStyle w:val="60"/>
                    <w:jc w:val="both"/>
                    <w:rPr>
                      <w:color w:val="auto"/>
                      <w:sz w:val="18"/>
                      <w:szCs w:val="18"/>
                    </w:rPr>
                  </w:pPr>
                  <w:r>
                    <w:rPr>
                      <w:rFonts w:hint="eastAsia"/>
                      <w:color w:val="auto"/>
                      <w:sz w:val="18"/>
                      <w:szCs w:val="18"/>
                    </w:rPr>
                    <w:t>禁止建设严重危及生产安全、环境污染严重、产品质量不符合国家标准、原材料和能源消耗高及国家法律法规规定的禁止投资的项目。</w:t>
                  </w:r>
                </w:p>
              </w:tc>
              <w:tc>
                <w:tcPr>
                  <w:tcW w:w="1703" w:type="pct"/>
                  <w:tcBorders>
                    <w:tl2br w:val="nil"/>
                    <w:tr2bl w:val="nil"/>
                  </w:tcBorders>
                  <w:vAlign w:val="center"/>
                </w:tcPr>
                <w:p w14:paraId="48A9724C">
                  <w:pPr>
                    <w:pStyle w:val="60"/>
                    <w:jc w:val="both"/>
                    <w:rPr>
                      <w:color w:val="auto"/>
                      <w:sz w:val="18"/>
                      <w:szCs w:val="18"/>
                    </w:rPr>
                  </w:pPr>
                  <w:r>
                    <w:rPr>
                      <w:rFonts w:hint="eastAsia"/>
                      <w:color w:val="auto"/>
                      <w:sz w:val="18"/>
                      <w:szCs w:val="18"/>
                    </w:rPr>
                    <w:t>本项目不属于《产业结构调整指导目录（2024年本）》中“限制类”和“淘汰类”项目。</w:t>
                  </w:r>
                </w:p>
                <w:p w14:paraId="2792A727">
                  <w:pPr>
                    <w:pStyle w:val="60"/>
                    <w:jc w:val="both"/>
                    <w:rPr>
                      <w:color w:val="auto"/>
                      <w:sz w:val="18"/>
                      <w:szCs w:val="18"/>
                    </w:rPr>
                  </w:pPr>
                  <w:r>
                    <w:rPr>
                      <w:rFonts w:hint="eastAsia"/>
                      <w:color w:val="auto"/>
                      <w:sz w:val="18"/>
                      <w:szCs w:val="18"/>
                    </w:rPr>
                    <w:t>项目选址位于园区规划的</w:t>
                  </w:r>
                  <w:r>
                    <w:rPr>
                      <w:rFonts w:hint="eastAsia"/>
                      <w:color w:val="auto"/>
                      <w:sz w:val="18"/>
                      <w:szCs w:val="18"/>
                      <w:lang w:val="en-US" w:eastAsia="zh-CN"/>
                    </w:rPr>
                    <w:t>工业</w:t>
                  </w:r>
                  <w:r>
                    <w:rPr>
                      <w:rFonts w:hint="eastAsia"/>
                      <w:color w:val="auto"/>
                      <w:sz w:val="18"/>
                      <w:szCs w:val="18"/>
                    </w:rPr>
                    <w:t>用地范围内。</w:t>
                  </w:r>
                </w:p>
                <w:p w14:paraId="402338F8">
                  <w:pPr>
                    <w:pStyle w:val="60"/>
                    <w:jc w:val="both"/>
                    <w:rPr>
                      <w:color w:val="auto"/>
                      <w:sz w:val="18"/>
                      <w:szCs w:val="18"/>
                    </w:rPr>
                  </w:pPr>
                  <w:r>
                    <w:rPr>
                      <w:rFonts w:hint="eastAsia"/>
                      <w:color w:val="auto"/>
                      <w:sz w:val="18"/>
                      <w:szCs w:val="18"/>
                    </w:rPr>
                    <w:t>本项目不属于“严重危及生产安全、环境污染严重、产品质量不符合国家标准、原材料和能源消耗高及国家法律法规规定的禁止投资的项目”。</w:t>
                  </w:r>
                </w:p>
              </w:tc>
              <w:tc>
                <w:tcPr>
                  <w:tcW w:w="402" w:type="pct"/>
                  <w:tcBorders>
                    <w:tl2br w:val="nil"/>
                    <w:tr2bl w:val="nil"/>
                  </w:tcBorders>
                  <w:vAlign w:val="center"/>
                </w:tcPr>
                <w:p w14:paraId="224D459B">
                  <w:pPr>
                    <w:pStyle w:val="60"/>
                    <w:rPr>
                      <w:color w:val="auto"/>
                      <w:sz w:val="18"/>
                      <w:szCs w:val="18"/>
                    </w:rPr>
                  </w:pPr>
                  <w:r>
                    <w:rPr>
                      <w:rFonts w:hint="eastAsia"/>
                      <w:color w:val="auto"/>
                      <w:sz w:val="18"/>
                      <w:szCs w:val="18"/>
                    </w:rPr>
                    <w:t>符合</w:t>
                  </w:r>
                </w:p>
              </w:tc>
            </w:tr>
            <w:tr w14:paraId="67E82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continue"/>
                  <w:tcBorders>
                    <w:tl2br w:val="nil"/>
                    <w:tr2bl w:val="nil"/>
                  </w:tcBorders>
                  <w:vAlign w:val="center"/>
                </w:tcPr>
                <w:p w14:paraId="45CAEB1C">
                  <w:pPr>
                    <w:pStyle w:val="60"/>
                    <w:rPr>
                      <w:color w:val="auto"/>
                      <w:sz w:val="18"/>
                      <w:szCs w:val="18"/>
                    </w:rPr>
                  </w:pPr>
                </w:p>
              </w:tc>
              <w:tc>
                <w:tcPr>
                  <w:tcW w:w="431" w:type="pct"/>
                  <w:vMerge w:val="restart"/>
                  <w:tcBorders>
                    <w:tl2br w:val="nil"/>
                    <w:tr2bl w:val="nil"/>
                  </w:tcBorders>
                  <w:vAlign w:val="center"/>
                </w:tcPr>
                <w:p w14:paraId="14AA62D9">
                  <w:pPr>
                    <w:pStyle w:val="60"/>
                    <w:rPr>
                      <w:color w:val="auto"/>
                      <w:sz w:val="18"/>
                      <w:szCs w:val="18"/>
                    </w:rPr>
                  </w:pPr>
                  <w:r>
                    <w:rPr>
                      <w:rFonts w:hint="eastAsia"/>
                      <w:color w:val="auto"/>
                      <w:sz w:val="18"/>
                      <w:szCs w:val="18"/>
                    </w:rPr>
                    <w:t>限制开发建设活动的要求</w:t>
                  </w:r>
                </w:p>
              </w:tc>
              <w:tc>
                <w:tcPr>
                  <w:tcW w:w="2189" w:type="pct"/>
                  <w:tcBorders>
                    <w:tl2br w:val="nil"/>
                    <w:tr2bl w:val="nil"/>
                  </w:tcBorders>
                  <w:vAlign w:val="center"/>
                </w:tcPr>
                <w:p w14:paraId="679ED1DB">
                  <w:pPr>
                    <w:pStyle w:val="60"/>
                    <w:jc w:val="both"/>
                    <w:rPr>
                      <w:color w:val="auto"/>
                      <w:sz w:val="18"/>
                      <w:szCs w:val="18"/>
                    </w:rPr>
                  </w:pPr>
                  <w:r>
                    <w:rPr>
                      <w:rFonts w:hint="eastAsia"/>
                      <w:color w:val="auto"/>
                      <w:sz w:val="18"/>
                      <w:szCs w:val="18"/>
                    </w:rPr>
                    <w:t>工业项目应在规划的功能区和工业用地上建设；</w:t>
                  </w:r>
                </w:p>
              </w:tc>
              <w:tc>
                <w:tcPr>
                  <w:tcW w:w="1703" w:type="pct"/>
                  <w:tcBorders>
                    <w:tl2br w:val="nil"/>
                    <w:tr2bl w:val="nil"/>
                  </w:tcBorders>
                  <w:vAlign w:val="center"/>
                </w:tcPr>
                <w:p w14:paraId="52E5B325">
                  <w:pPr>
                    <w:pStyle w:val="60"/>
                    <w:jc w:val="both"/>
                    <w:rPr>
                      <w:color w:val="auto"/>
                      <w:sz w:val="18"/>
                      <w:szCs w:val="18"/>
                    </w:rPr>
                  </w:pPr>
                  <w:r>
                    <w:rPr>
                      <w:rFonts w:hint="eastAsia"/>
                      <w:color w:val="auto"/>
                      <w:sz w:val="18"/>
                      <w:szCs w:val="18"/>
                    </w:rPr>
                    <w:t>本项目选址位于园区工业用地范围内，且不违背园区产业布局规划。</w:t>
                  </w:r>
                </w:p>
              </w:tc>
              <w:tc>
                <w:tcPr>
                  <w:tcW w:w="402" w:type="pct"/>
                  <w:vMerge w:val="restart"/>
                  <w:tcBorders>
                    <w:tl2br w:val="nil"/>
                    <w:tr2bl w:val="nil"/>
                  </w:tcBorders>
                  <w:vAlign w:val="center"/>
                </w:tcPr>
                <w:p w14:paraId="5116848E">
                  <w:pPr>
                    <w:pStyle w:val="60"/>
                    <w:rPr>
                      <w:color w:val="auto"/>
                      <w:sz w:val="18"/>
                      <w:szCs w:val="18"/>
                    </w:rPr>
                  </w:pPr>
                  <w:r>
                    <w:rPr>
                      <w:rFonts w:hint="eastAsia"/>
                      <w:color w:val="auto"/>
                      <w:sz w:val="18"/>
                      <w:szCs w:val="18"/>
                    </w:rPr>
                    <w:t>符合</w:t>
                  </w:r>
                </w:p>
              </w:tc>
            </w:tr>
            <w:tr w14:paraId="4CC36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continue"/>
                  <w:tcBorders>
                    <w:tl2br w:val="nil"/>
                    <w:tr2bl w:val="nil"/>
                  </w:tcBorders>
                  <w:vAlign w:val="center"/>
                </w:tcPr>
                <w:p w14:paraId="0B1C7435">
                  <w:pPr>
                    <w:pStyle w:val="60"/>
                    <w:rPr>
                      <w:color w:val="auto"/>
                      <w:sz w:val="18"/>
                      <w:szCs w:val="18"/>
                    </w:rPr>
                  </w:pPr>
                </w:p>
              </w:tc>
              <w:tc>
                <w:tcPr>
                  <w:tcW w:w="431" w:type="pct"/>
                  <w:vMerge w:val="continue"/>
                  <w:tcBorders>
                    <w:tl2br w:val="nil"/>
                    <w:tr2bl w:val="nil"/>
                  </w:tcBorders>
                  <w:vAlign w:val="center"/>
                </w:tcPr>
                <w:p w14:paraId="5DA2BDDD">
                  <w:pPr>
                    <w:pStyle w:val="60"/>
                    <w:rPr>
                      <w:color w:val="auto"/>
                      <w:sz w:val="18"/>
                      <w:szCs w:val="18"/>
                    </w:rPr>
                  </w:pPr>
                </w:p>
              </w:tc>
              <w:tc>
                <w:tcPr>
                  <w:tcW w:w="2189" w:type="pct"/>
                  <w:tcBorders>
                    <w:tl2br w:val="nil"/>
                    <w:tr2bl w:val="nil"/>
                  </w:tcBorders>
                  <w:vAlign w:val="center"/>
                </w:tcPr>
                <w:p w14:paraId="475AB25C">
                  <w:pPr>
                    <w:pStyle w:val="60"/>
                    <w:jc w:val="both"/>
                    <w:rPr>
                      <w:color w:val="auto"/>
                      <w:sz w:val="18"/>
                      <w:szCs w:val="18"/>
                    </w:rPr>
                  </w:pPr>
                  <w:r>
                    <w:rPr>
                      <w:rFonts w:hint="eastAsia"/>
                      <w:color w:val="auto"/>
                      <w:sz w:val="18"/>
                      <w:szCs w:val="18"/>
                    </w:rPr>
                    <w:t>靠近周边近距离敏感点区域优先引入污染较小的项目；</w:t>
                  </w:r>
                </w:p>
              </w:tc>
              <w:tc>
                <w:tcPr>
                  <w:tcW w:w="1703" w:type="pct"/>
                  <w:tcBorders>
                    <w:tl2br w:val="nil"/>
                    <w:tr2bl w:val="nil"/>
                  </w:tcBorders>
                  <w:vAlign w:val="center"/>
                </w:tcPr>
                <w:p w14:paraId="7D793C8C">
                  <w:pPr>
                    <w:pStyle w:val="60"/>
                    <w:jc w:val="both"/>
                    <w:rPr>
                      <w:color w:val="auto"/>
                      <w:sz w:val="18"/>
                      <w:szCs w:val="18"/>
                    </w:rPr>
                  </w:pPr>
                  <w:r>
                    <w:rPr>
                      <w:rFonts w:hint="eastAsia"/>
                      <w:bCs/>
                      <w:color w:val="auto"/>
                      <w:sz w:val="18"/>
                      <w:szCs w:val="18"/>
                    </w:rPr>
                    <w:t>项目厂区</w:t>
                  </w:r>
                  <w:r>
                    <w:rPr>
                      <w:rFonts w:hint="eastAsia"/>
                      <w:color w:val="auto"/>
                      <w:sz w:val="18"/>
                      <w:szCs w:val="18"/>
                    </w:rPr>
                    <w:t>周边近距离范围内不存在居民区、学校、医疗和养老机构等敏感目标。</w:t>
                  </w:r>
                </w:p>
              </w:tc>
              <w:tc>
                <w:tcPr>
                  <w:tcW w:w="402" w:type="pct"/>
                  <w:vMerge w:val="continue"/>
                  <w:tcBorders>
                    <w:tl2br w:val="nil"/>
                    <w:tr2bl w:val="nil"/>
                  </w:tcBorders>
                  <w:vAlign w:val="center"/>
                </w:tcPr>
                <w:p w14:paraId="2F14D1DA">
                  <w:pPr>
                    <w:pStyle w:val="60"/>
                    <w:rPr>
                      <w:color w:val="auto"/>
                      <w:sz w:val="18"/>
                      <w:szCs w:val="18"/>
                    </w:rPr>
                  </w:pPr>
                </w:p>
              </w:tc>
            </w:tr>
            <w:tr w14:paraId="0B30F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continue"/>
                  <w:tcBorders>
                    <w:tl2br w:val="nil"/>
                    <w:tr2bl w:val="nil"/>
                  </w:tcBorders>
                  <w:vAlign w:val="center"/>
                </w:tcPr>
                <w:p w14:paraId="00AA1891">
                  <w:pPr>
                    <w:pStyle w:val="60"/>
                    <w:rPr>
                      <w:color w:val="auto"/>
                      <w:sz w:val="18"/>
                      <w:szCs w:val="18"/>
                    </w:rPr>
                  </w:pPr>
                </w:p>
              </w:tc>
              <w:tc>
                <w:tcPr>
                  <w:tcW w:w="431" w:type="pct"/>
                  <w:vMerge w:val="continue"/>
                  <w:tcBorders>
                    <w:tl2br w:val="nil"/>
                    <w:tr2bl w:val="nil"/>
                  </w:tcBorders>
                  <w:vAlign w:val="center"/>
                </w:tcPr>
                <w:p w14:paraId="187D2601">
                  <w:pPr>
                    <w:pStyle w:val="60"/>
                    <w:rPr>
                      <w:color w:val="auto"/>
                      <w:sz w:val="18"/>
                      <w:szCs w:val="18"/>
                    </w:rPr>
                  </w:pPr>
                </w:p>
              </w:tc>
              <w:tc>
                <w:tcPr>
                  <w:tcW w:w="2189" w:type="pct"/>
                  <w:tcBorders>
                    <w:tl2br w:val="nil"/>
                    <w:tr2bl w:val="nil"/>
                  </w:tcBorders>
                  <w:vAlign w:val="center"/>
                </w:tcPr>
                <w:p w14:paraId="1427B81A">
                  <w:pPr>
                    <w:pStyle w:val="60"/>
                    <w:jc w:val="both"/>
                    <w:rPr>
                      <w:color w:val="auto"/>
                      <w:sz w:val="18"/>
                      <w:szCs w:val="18"/>
                    </w:rPr>
                  </w:pPr>
                  <w:r>
                    <w:rPr>
                      <w:rFonts w:hint="eastAsia"/>
                      <w:color w:val="auto"/>
                      <w:sz w:val="18"/>
                      <w:szCs w:val="18"/>
                    </w:rPr>
                    <w:t>限制产能严重过剩，不利于节约资源和保护生态环境的投资项目；</w:t>
                  </w:r>
                </w:p>
              </w:tc>
              <w:tc>
                <w:tcPr>
                  <w:tcW w:w="1703" w:type="pct"/>
                  <w:tcBorders>
                    <w:tl2br w:val="nil"/>
                    <w:tr2bl w:val="nil"/>
                  </w:tcBorders>
                  <w:vAlign w:val="center"/>
                </w:tcPr>
                <w:p w14:paraId="52CE8437">
                  <w:pPr>
                    <w:pStyle w:val="60"/>
                    <w:jc w:val="both"/>
                    <w:rPr>
                      <w:color w:val="auto"/>
                      <w:sz w:val="18"/>
                      <w:szCs w:val="18"/>
                    </w:rPr>
                  </w:pPr>
                  <w:r>
                    <w:rPr>
                      <w:rFonts w:hint="eastAsia"/>
                      <w:color w:val="auto"/>
                      <w:sz w:val="18"/>
                      <w:szCs w:val="18"/>
                    </w:rPr>
                    <w:t>本项目不属于产能严重过剩以及不利于节约资源和保护生态环境的投资项目。</w:t>
                  </w:r>
                </w:p>
              </w:tc>
              <w:tc>
                <w:tcPr>
                  <w:tcW w:w="402" w:type="pct"/>
                  <w:vMerge w:val="continue"/>
                  <w:tcBorders>
                    <w:tl2br w:val="nil"/>
                    <w:tr2bl w:val="nil"/>
                  </w:tcBorders>
                  <w:vAlign w:val="center"/>
                </w:tcPr>
                <w:p w14:paraId="57B30E1B">
                  <w:pPr>
                    <w:pStyle w:val="60"/>
                    <w:rPr>
                      <w:color w:val="auto"/>
                      <w:sz w:val="18"/>
                      <w:szCs w:val="18"/>
                    </w:rPr>
                  </w:pPr>
                </w:p>
              </w:tc>
            </w:tr>
            <w:tr w14:paraId="39601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continue"/>
                  <w:tcBorders>
                    <w:tl2br w:val="nil"/>
                    <w:tr2bl w:val="nil"/>
                  </w:tcBorders>
                  <w:vAlign w:val="center"/>
                </w:tcPr>
                <w:p w14:paraId="70330C7C">
                  <w:pPr>
                    <w:pStyle w:val="60"/>
                    <w:rPr>
                      <w:color w:val="auto"/>
                      <w:sz w:val="18"/>
                      <w:szCs w:val="18"/>
                    </w:rPr>
                  </w:pPr>
                </w:p>
              </w:tc>
              <w:tc>
                <w:tcPr>
                  <w:tcW w:w="431" w:type="pct"/>
                  <w:vMerge w:val="continue"/>
                  <w:tcBorders>
                    <w:tl2br w:val="nil"/>
                    <w:tr2bl w:val="nil"/>
                  </w:tcBorders>
                  <w:vAlign w:val="center"/>
                </w:tcPr>
                <w:p w14:paraId="7172DFF0">
                  <w:pPr>
                    <w:pStyle w:val="60"/>
                    <w:rPr>
                      <w:color w:val="auto"/>
                      <w:sz w:val="18"/>
                      <w:szCs w:val="18"/>
                    </w:rPr>
                  </w:pPr>
                </w:p>
              </w:tc>
              <w:tc>
                <w:tcPr>
                  <w:tcW w:w="2189" w:type="pct"/>
                  <w:tcBorders>
                    <w:tl2br w:val="nil"/>
                    <w:tr2bl w:val="nil"/>
                  </w:tcBorders>
                  <w:vAlign w:val="center"/>
                </w:tcPr>
                <w:p w14:paraId="5F05F3CB">
                  <w:pPr>
                    <w:pStyle w:val="60"/>
                    <w:jc w:val="both"/>
                    <w:rPr>
                      <w:color w:val="auto"/>
                      <w:sz w:val="18"/>
                      <w:szCs w:val="18"/>
                    </w:rPr>
                  </w:pPr>
                  <w:r>
                    <w:rPr>
                      <w:rFonts w:hint="eastAsia"/>
                      <w:color w:val="auto"/>
                      <w:sz w:val="18"/>
                      <w:szCs w:val="18"/>
                    </w:rPr>
                    <w:t>从严审批高耗水、高污染物排放、产生有毒有害污染物的建设项目。</w:t>
                  </w:r>
                </w:p>
              </w:tc>
              <w:tc>
                <w:tcPr>
                  <w:tcW w:w="1703" w:type="pct"/>
                  <w:tcBorders>
                    <w:tl2br w:val="nil"/>
                    <w:tr2bl w:val="nil"/>
                  </w:tcBorders>
                  <w:vAlign w:val="center"/>
                </w:tcPr>
                <w:p w14:paraId="0266AB76">
                  <w:pPr>
                    <w:pStyle w:val="60"/>
                    <w:jc w:val="both"/>
                    <w:rPr>
                      <w:color w:val="auto"/>
                      <w:sz w:val="18"/>
                      <w:szCs w:val="18"/>
                    </w:rPr>
                  </w:pPr>
                  <w:r>
                    <w:rPr>
                      <w:rFonts w:hint="eastAsia"/>
                      <w:color w:val="auto"/>
                      <w:sz w:val="18"/>
                      <w:szCs w:val="18"/>
                    </w:rPr>
                    <w:t>项目不属于高耗水、高污染物排放项目，不涉及有毒有害污染物排放。</w:t>
                  </w:r>
                </w:p>
              </w:tc>
              <w:tc>
                <w:tcPr>
                  <w:tcW w:w="402" w:type="pct"/>
                  <w:vMerge w:val="continue"/>
                  <w:tcBorders>
                    <w:tl2br w:val="nil"/>
                    <w:tr2bl w:val="nil"/>
                  </w:tcBorders>
                  <w:vAlign w:val="center"/>
                </w:tcPr>
                <w:p w14:paraId="37CC72E2">
                  <w:pPr>
                    <w:pStyle w:val="60"/>
                    <w:rPr>
                      <w:color w:val="auto"/>
                      <w:sz w:val="18"/>
                      <w:szCs w:val="18"/>
                    </w:rPr>
                  </w:pPr>
                </w:p>
              </w:tc>
            </w:tr>
            <w:tr w14:paraId="7187D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tcBorders>
                    <w:tl2br w:val="nil"/>
                    <w:tr2bl w:val="nil"/>
                  </w:tcBorders>
                  <w:vAlign w:val="center"/>
                </w:tcPr>
                <w:p w14:paraId="36765513">
                  <w:pPr>
                    <w:pStyle w:val="60"/>
                    <w:rPr>
                      <w:color w:val="auto"/>
                      <w:sz w:val="18"/>
                      <w:szCs w:val="18"/>
                    </w:rPr>
                  </w:pPr>
                  <w:r>
                    <w:rPr>
                      <w:rFonts w:hint="eastAsia"/>
                      <w:color w:val="auto"/>
                      <w:sz w:val="18"/>
                      <w:szCs w:val="18"/>
                    </w:rPr>
                    <w:t>污染物排放管控</w:t>
                  </w:r>
                </w:p>
              </w:tc>
              <w:tc>
                <w:tcPr>
                  <w:tcW w:w="431" w:type="pct"/>
                  <w:tcBorders>
                    <w:tl2br w:val="nil"/>
                    <w:tr2bl w:val="nil"/>
                  </w:tcBorders>
                  <w:vAlign w:val="center"/>
                </w:tcPr>
                <w:p w14:paraId="74AA837B">
                  <w:pPr>
                    <w:pStyle w:val="60"/>
                    <w:rPr>
                      <w:rFonts w:hint="eastAsia" w:eastAsia="宋体"/>
                      <w:color w:val="auto"/>
                      <w:sz w:val="18"/>
                      <w:szCs w:val="18"/>
                      <w:lang w:eastAsia="zh-CN"/>
                    </w:rPr>
                  </w:pPr>
                  <w:r>
                    <w:rPr>
                      <w:rFonts w:hint="eastAsia"/>
                      <w:color w:val="auto"/>
                      <w:sz w:val="18"/>
                      <w:szCs w:val="18"/>
                      <w:lang w:val="en-US" w:eastAsia="zh-CN"/>
                    </w:rPr>
                    <w:t>新增污染源</w:t>
                  </w:r>
                </w:p>
              </w:tc>
              <w:tc>
                <w:tcPr>
                  <w:tcW w:w="2189" w:type="pct"/>
                  <w:tcBorders>
                    <w:tl2br w:val="nil"/>
                    <w:tr2bl w:val="nil"/>
                  </w:tcBorders>
                  <w:vAlign w:val="center"/>
                </w:tcPr>
                <w:p w14:paraId="55E810DB">
                  <w:pPr>
                    <w:pStyle w:val="60"/>
                    <w:jc w:val="both"/>
                    <w:rPr>
                      <w:rFonts w:hint="eastAsia" w:eastAsia="宋体"/>
                      <w:color w:val="auto"/>
                      <w:sz w:val="18"/>
                      <w:szCs w:val="18"/>
                      <w:lang w:eastAsia="zh-CN"/>
                    </w:rPr>
                  </w:pPr>
                  <w:r>
                    <w:rPr>
                      <w:rFonts w:hint="eastAsia"/>
                      <w:color w:val="auto"/>
                      <w:sz w:val="18"/>
                      <w:szCs w:val="18"/>
                    </w:rPr>
                    <w:t>集聚区内新建、改扩建项目污染源应落实污染物总量指标和倍量替代制度，实现区域污染物排放量削减</w:t>
                  </w:r>
                  <w:r>
                    <w:rPr>
                      <w:rFonts w:hint="eastAsia"/>
                      <w:color w:val="auto"/>
                      <w:sz w:val="18"/>
                      <w:szCs w:val="18"/>
                      <w:lang w:eastAsia="zh-CN"/>
                    </w:rPr>
                    <w:t>。</w:t>
                  </w:r>
                </w:p>
              </w:tc>
              <w:tc>
                <w:tcPr>
                  <w:tcW w:w="1703" w:type="pct"/>
                  <w:tcBorders>
                    <w:tl2br w:val="nil"/>
                    <w:tr2bl w:val="nil"/>
                  </w:tcBorders>
                  <w:vAlign w:val="center"/>
                </w:tcPr>
                <w:p w14:paraId="42DB722E">
                  <w:pPr>
                    <w:pStyle w:val="60"/>
                    <w:jc w:val="both"/>
                    <w:rPr>
                      <w:color w:val="auto"/>
                      <w:sz w:val="18"/>
                      <w:szCs w:val="18"/>
                    </w:rPr>
                  </w:pPr>
                  <w:r>
                    <w:rPr>
                      <w:rFonts w:hint="eastAsia"/>
                      <w:color w:val="auto"/>
                      <w:sz w:val="18"/>
                      <w:szCs w:val="18"/>
                      <w:lang w:val="en-US" w:eastAsia="zh-CN"/>
                    </w:rPr>
                    <w:t>项目技改后，</w:t>
                  </w:r>
                  <w:r>
                    <w:rPr>
                      <w:rFonts w:hint="eastAsia"/>
                      <w:color w:val="auto"/>
                      <w:sz w:val="18"/>
                      <w:szCs w:val="18"/>
                    </w:rPr>
                    <w:t>新增主要污染物总量</w:t>
                  </w:r>
                  <w:r>
                    <w:rPr>
                      <w:rFonts w:hint="eastAsia"/>
                      <w:color w:val="auto"/>
                      <w:sz w:val="18"/>
                      <w:szCs w:val="18"/>
                      <w:lang w:val="en-US" w:eastAsia="zh-CN"/>
                    </w:rPr>
                    <w:t>严格</w:t>
                  </w:r>
                  <w:r>
                    <w:rPr>
                      <w:rFonts w:hint="eastAsia"/>
                      <w:color w:val="auto"/>
                      <w:sz w:val="18"/>
                      <w:szCs w:val="18"/>
                    </w:rPr>
                    <w:t>落实污染物总量指标</w:t>
                  </w:r>
                  <w:r>
                    <w:rPr>
                      <w:rFonts w:hint="eastAsia"/>
                      <w:color w:val="auto"/>
                      <w:sz w:val="18"/>
                      <w:szCs w:val="18"/>
                      <w:lang w:val="en-US" w:eastAsia="zh-CN"/>
                    </w:rPr>
                    <w:t>要求</w:t>
                  </w:r>
                  <w:r>
                    <w:rPr>
                      <w:rFonts w:hint="eastAsia"/>
                      <w:color w:val="auto"/>
                      <w:sz w:val="18"/>
                      <w:szCs w:val="18"/>
                    </w:rPr>
                    <w:t>，实现区域污染物排放量削减，满足园区污染物排放管控要求。</w:t>
                  </w:r>
                </w:p>
              </w:tc>
              <w:tc>
                <w:tcPr>
                  <w:tcW w:w="402" w:type="pct"/>
                  <w:tcBorders>
                    <w:tl2br w:val="nil"/>
                    <w:tr2bl w:val="nil"/>
                  </w:tcBorders>
                  <w:vAlign w:val="center"/>
                </w:tcPr>
                <w:p w14:paraId="77B839A1">
                  <w:pPr>
                    <w:pStyle w:val="60"/>
                    <w:rPr>
                      <w:color w:val="auto"/>
                      <w:sz w:val="18"/>
                      <w:szCs w:val="18"/>
                    </w:rPr>
                  </w:pPr>
                  <w:r>
                    <w:rPr>
                      <w:rFonts w:hint="eastAsia"/>
                      <w:color w:val="auto"/>
                      <w:sz w:val="18"/>
                      <w:szCs w:val="18"/>
                    </w:rPr>
                    <w:t>符合</w:t>
                  </w:r>
                </w:p>
              </w:tc>
            </w:tr>
            <w:tr w14:paraId="2C0B0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tcBorders>
                    <w:tl2br w:val="nil"/>
                    <w:tr2bl w:val="nil"/>
                  </w:tcBorders>
                  <w:vAlign w:val="center"/>
                </w:tcPr>
                <w:p w14:paraId="3864AA39">
                  <w:pPr>
                    <w:pStyle w:val="60"/>
                    <w:rPr>
                      <w:color w:val="auto"/>
                      <w:sz w:val="18"/>
                      <w:szCs w:val="18"/>
                    </w:rPr>
                  </w:pPr>
                  <w:r>
                    <w:rPr>
                      <w:rFonts w:hint="eastAsia"/>
                      <w:color w:val="auto"/>
                      <w:sz w:val="18"/>
                      <w:szCs w:val="18"/>
                    </w:rPr>
                    <w:t>环境风险防控</w:t>
                  </w:r>
                </w:p>
              </w:tc>
              <w:tc>
                <w:tcPr>
                  <w:tcW w:w="431" w:type="pct"/>
                  <w:tcBorders>
                    <w:tl2br w:val="nil"/>
                    <w:tr2bl w:val="nil"/>
                  </w:tcBorders>
                  <w:vAlign w:val="center"/>
                </w:tcPr>
                <w:p w14:paraId="08E30FEC">
                  <w:pPr>
                    <w:pStyle w:val="60"/>
                    <w:rPr>
                      <w:color w:val="auto"/>
                      <w:sz w:val="18"/>
                      <w:szCs w:val="18"/>
                    </w:rPr>
                  </w:pPr>
                  <w:r>
                    <w:rPr>
                      <w:rFonts w:hint="eastAsia"/>
                      <w:color w:val="auto"/>
                      <w:sz w:val="18"/>
                      <w:szCs w:val="18"/>
                    </w:rPr>
                    <w:t>联防联控要求</w:t>
                  </w:r>
                </w:p>
              </w:tc>
              <w:tc>
                <w:tcPr>
                  <w:tcW w:w="2189" w:type="pct"/>
                  <w:tcBorders>
                    <w:tl2br w:val="nil"/>
                    <w:tr2bl w:val="nil"/>
                  </w:tcBorders>
                  <w:vAlign w:val="center"/>
                </w:tcPr>
                <w:p w14:paraId="09E68197">
                  <w:pPr>
                    <w:pStyle w:val="60"/>
                    <w:jc w:val="both"/>
                    <w:rPr>
                      <w:color w:val="auto"/>
                      <w:sz w:val="18"/>
                      <w:szCs w:val="18"/>
                    </w:rPr>
                  </w:pPr>
                  <w:r>
                    <w:rPr>
                      <w:rFonts w:hint="eastAsia"/>
                      <w:color w:val="auto"/>
                      <w:sz w:val="18"/>
                      <w:szCs w:val="18"/>
                    </w:rPr>
                    <w:t>园内各企业根据要求编制突发环境事件应急预案，预防环境污染事故的发生；各企业纳入园区风险管理体系，园区完善区内风险防控体系，联防联控，组织应急演练并完善应急物资储备体系。</w:t>
                  </w:r>
                </w:p>
              </w:tc>
              <w:tc>
                <w:tcPr>
                  <w:tcW w:w="1703" w:type="pct"/>
                  <w:tcBorders>
                    <w:tl2br w:val="nil"/>
                    <w:tr2bl w:val="nil"/>
                  </w:tcBorders>
                  <w:vAlign w:val="center"/>
                </w:tcPr>
                <w:p w14:paraId="6B0641D0">
                  <w:pPr>
                    <w:pStyle w:val="60"/>
                    <w:jc w:val="both"/>
                    <w:rPr>
                      <w:color w:val="auto"/>
                      <w:sz w:val="18"/>
                      <w:szCs w:val="18"/>
                    </w:rPr>
                  </w:pPr>
                  <w:r>
                    <w:rPr>
                      <w:rFonts w:hint="eastAsia"/>
                      <w:color w:val="auto"/>
                      <w:sz w:val="18"/>
                      <w:szCs w:val="18"/>
                    </w:rPr>
                    <w:t>企业已编制突发环境事件应急预案，并纳入园区风险管理体系，尚处于有效期内；企业拟按要求定期进行修订和演练。</w:t>
                  </w:r>
                </w:p>
              </w:tc>
              <w:tc>
                <w:tcPr>
                  <w:tcW w:w="402" w:type="pct"/>
                  <w:tcBorders>
                    <w:tl2br w:val="nil"/>
                    <w:tr2bl w:val="nil"/>
                  </w:tcBorders>
                  <w:vAlign w:val="center"/>
                </w:tcPr>
                <w:p w14:paraId="6A17BF19">
                  <w:pPr>
                    <w:pStyle w:val="60"/>
                    <w:rPr>
                      <w:color w:val="auto"/>
                      <w:sz w:val="18"/>
                      <w:szCs w:val="18"/>
                    </w:rPr>
                  </w:pPr>
                  <w:r>
                    <w:rPr>
                      <w:rFonts w:hint="eastAsia"/>
                      <w:color w:val="auto"/>
                      <w:sz w:val="18"/>
                      <w:szCs w:val="18"/>
                    </w:rPr>
                    <w:t>符合</w:t>
                  </w:r>
                </w:p>
              </w:tc>
            </w:tr>
            <w:tr w14:paraId="4E1B7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restart"/>
                  <w:tcBorders>
                    <w:tl2br w:val="nil"/>
                    <w:tr2bl w:val="nil"/>
                  </w:tcBorders>
                  <w:vAlign w:val="center"/>
                </w:tcPr>
                <w:p w14:paraId="3E80469C">
                  <w:pPr>
                    <w:pStyle w:val="60"/>
                    <w:rPr>
                      <w:color w:val="auto"/>
                      <w:sz w:val="18"/>
                      <w:szCs w:val="18"/>
                    </w:rPr>
                  </w:pPr>
                  <w:r>
                    <w:rPr>
                      <w:rFonts w:hint="eastAsia"/>
                      <w:color w:val="auto"/>
                      <w:sz w:val="18"/>
                      <w:szCs w:val="18"/>
                    </w:rPr>
                    <w:t>资源利用效率要求</w:t>
                  </w:r>
                </w:p>
              </w:tc>
              <w:tc>
                <w:tcPr>
                  <w:tcW w:w="431" w:type="pct"/>
                  <w:tcBorders>
                    <w:tl2br w:val="nil"/>
                    <w:tr2bl w:val="nil"/>
                  </w:tcBorders>
                  <w:vAlign w:val="center"/>
                </w:tcPr>
                <w:p w14:paraId="5A21B10D">
                  <w:pPr>
                    <w:pStyle w:val="60"/>
                    <w:rPr>
                      <w:color w:val="auto"/>
                      <w:sz w:val="18"/>
                      <w:szCs w:val="18"/>
                    </w:rPr>
                  </w:pPr>
                  <w:r>
                    <w:rPr>
                      <w:rFonts w:hint="eastAsia"/>
                      <w:color w:val="auto"/>
                      <w:sz w:val="18"/>
                      <w:szCs w:val="18"/>
                    </w:rPr>
                    <w:t>水资源利用总量要求</w:t>
                  </w:r>
                </w:p>
              </w:tc>
              <w:tc>
                <w:tcPr>
                  <w:tcW w:w="2189" w:type="pct"/>
                  <w:tcBorders>
                    <w:tl2br w:val="nil"/>
                    <w:tr2bl w:val="nil"/>
                  </w:tcBorders>
                  <w:vAlign w:val="center"/>
                </w:tcPr>
                <w:p w14:paraId="59922C84">
                  <w:pPr>
                    <w:pStyle w:val="60"/>
                    <w:jc w:val="both"/>
                    <w:rPr>
                      <w:color w:val="auto"/>
                      <w:sz w:val="18"/>
                      <w:szCs w:val="18"/>
                    </w:rPr>
                  </w:pPr>
                  <w:r>
                    <w:rPr>
                      <w:rFonts w:hint="eastAsia"/>
                      <w:color w:val="auto"/>
                      <w:sz w:val="18"/>
                      <w:szCs w:val="18"/>
                    </w:rPr>
                    <w:t>集聚区实现集中供水，污水集中处理率达到 100%，新鲜水取水量控制在90.13万m</w:t>
                  </w:r>
                  <w:r>
                    <w:rPr>
                      <w:rFonts w:hint="eastAsia"/>
                      <w:color w:val="auto"/>
                      <w:sz w:val="18"/>
                      <w:szCs w:val="18"/>
                      <w:vertAlign w:val="superscript"/>
                    </w:rPr>
                    <w:t>3</w:t>
                  </w:r>
                  <w:r>
                    <w:rPr>
                      <w:rFonts w:hint="eastAsia"/>
                      <w:color w:val="auto"/>
                      <w:sz w:val="18"/>
                      <w:szCs w:val="18"/>
                    </w:rPr>
                    <w:t>/a以内，园区企业禁止违规取用地下水。</w:t>
                  </w:r>
                </w:p>
              </w:tc>
              <w:tc>
                <w:tcPr>
                  <w:tcW w:w="1703" w:type="pct"/>
                  <w:tcBorders>
                    <w:tl2br w:val="nil"/>
                    <w:tr2bl w:val="nil"/>
                  </w:tcBorders>
                  <w:vAlign w:val="center"/>
                </w:tcPr>
                <w:p w14:paraId="57C2BA44">
                  <w:pPr>
                    <w:pStyle w:val="60"/>
                    <w:jc w:val="both"/>
                    <w:rPr>
                      <w:color w:val="auto"/>
                      <w:sz w:val="18"/>
                      <w:szCs w:val="18"/>
                    </w:rPr>
                  </w:pPr>
                  <w:r>
                    <w:rPr>
                      <w:rFonts w:hint="eastAsia"/>
                      <w:color w:val="auto"/>
                      <w:sz w:val="18"/>
                      <w:szCs w:val="18"/>
                      <w:highlight w:val="none"/>
                    </w:rPr>
                    <w:t>本</w:t>
                  </w:r>
                  <w:r>
                    <w:rPr>
                      <w:rFonts w:hint="eastAsia"/>
                      <w:color w:val="auto"/>
                      <w:sz w:val="18"/>
                      <w:szCs w:val="18"/>
                      <w:highlight w:val="none"/>
                      <w:lang w:val="en-US" w:eastAsia="zh-CN"/>
                    </w:rPr>
                    <w:t>次技改项目不新增用水环节；</w:t>
                  </w:r>
                  <w:r>
                    <w:rPr>
                      <w:rFonts w:hint="eastAsia"/>
                      <w:color w:val="auto"/>
                      <w:sz w:val="18"/>
                      <w:szCs w:val="18"/>
                    </w:rPr>
                    <w:t>项目不采用地下水。</w:t>
                  </w:r>
                </w:p>
              </w:tc>
              <w:tc>
                <w:tcPr>
                  <w:tcW w:w="402" w:type="pct"/>
                  <w:tcBorders>
                    <w:tl2br w:val="nil"/>
                    <w:tr2bl w:val="nil"/>
                  </w:tcBorders>
                  <w:vAlign w:val="center"/>
                </w:tcPr>
                <w:p w14:paraId="64709546">
                  <w:pPr>
                    <w:pStyle w:val="60"/>
                    <w:rPr>
                      <w:color w:val="auto"/>
                      <w:sz w:val="18"/>
                      <w:szCs w:val="18"/>
                    </w:rPr>
                  </w:pPr>
                  <w:r>
                    <w:rPr>
                      <w:rFonts w:hint="eastAsia"/>
                      <w:color w:val="auto"/>
                      <w:sz w:val="18"/>
                      <w:szCs w:val="18"/>
                    </w:rPr>
                    <w:t>符合</w:t>
                  </w:r>
                </w:p>
              </w:tc>
            </w:tr>
            <w:tr w14:paraId="719D0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3" w:type="pct"/>
                  <w:vMerge w:val="continue"/>
                  <w:tcBorders>
                    <w:tl2br w:val="nil"/>
                    <w:tr2bl w:val="nil"/>
                  </w:tcBorders>
                  <w:vAlign w:val="center"/>
                </w:tcPr>
                <w:p w14:paraId="23126D88">
                  <w:pPr>
                    <w:pStyle w:val="60"/>
                    <w:rPr>
                      <w:color w:val="auto"/>
                      <w:sz w:val="18"/>
                      <w:szCs w:val="18"/>
                    </w:rPr>
                  </w:pPr>
                </w:p>
              </w:tc>
              <w:tc>
                <w:tcPr>
                  <w:tcW w:w="431" w:type="pct"/>
                  <w:tcBorders>
                    <w:tl2br w:val="nil"/>
                    <w:tr2bl w:val="nil"/>
                  </w:tcBorders>
                  <w:vAlign w:val="center"/>
                </w:tcPr>
                <w:p w14:paraId="1500B261">
                  <w:pPr>
                    <w:pStyle w:val="60"/>
                    <w:rPr>
                      <w:color w:val="auto"/>
                      <w:sz w:val="18"/>
                      <w:szCs w:val="18"/>
                    </w:rPr>
                  </w:pPr>
                  <w:r>
                    <w:rPr>
                      <w:rFonts w:hint="eastAsia"/>
                      <w:color w:val="auto"/>
                      <w:sz w:val="18"/>
                      <w:szCs w:val="18"/>
                    </w:rPr>
                    <w:t>能源利用总量及效率要求</w:t>
                  </w:r>
                </w:p>
              </w:tc>
              <w:tc>
                <w:tcPr>
                  <w:tcW w:w="2189" w:type="pct"/>
                  <w:tcBorders>
                    <w:tl2br w:val="nil"/>
                    <w:tr2bl w:val="nil"/>
                  </w:tcBorders>
                  <w:vAlign w:val="center"/>
                </w:tcPr>
                <w:p w14:paraId="51DBBEC2">
                  <w:pPr>
                    <w:pStyle w:val="60"/>
                    <w:jc w:val="both"/>
                    <w:rPr>
                      <w:color w:val="auto"/>
                      <w:sz w:val="18"/>
                      <w:szCs w:val="18"/>
                    </w:rPr>
                  </w:pPr>
                  <w:r>
                    <w:rPr>
                      <w:rFonts w:hint="eastAsia"/>
                      <w:color w:val="auto"/>
                      <w:sz w:val="18"/>
                      <w:szCs w:val="18"/>
                    </w:rPr>
                    <w:t>区内企业应达到清洁生产先进企业要求；提高区内企业资源利用效率，降低能耗指标，满足淄博市相关要求；集聚区内不新增燃煤炭消耗量。</w:t>
                  </w:r>
                </w:p>
              </w:tc>
              <w:tc>
                <w:tcPr>
                  <w:tcW w:w="1703" w:type="pct"/>
                  <w:tcBorders>
                    <w:tl2br w:val="nil"/>
                    <w:tr2bl w:val="nil"/>
                  </w:tcBorders>
                  <w:vAlign w:val="center"/>
                </w:tcPr>
                <w:p w14:paraId="584295B1">
                  <w:pPr>
                    <w:pStyle w:val="60"/>
                    <w:jc w:val="both"/>
                    <w:rPr>
                      <w:color w:val="auto"/>
                      <w:sz w:val="18"/>
                      <w:szCs w:val="18"/>
                    </w:rPr>
                  </w:pPr>
                  <w:r>
                    <w:rPr>
                      <w:rFonts w:hint="eastAsia"/>
                      <w:color w:val="auto"/>
                      <w:sz w:val="18"/>
                      <w:szCs w:val="18"/>
                    </w:rPr>
                    <w:t>本项目主要采用电为能源，罐区采用高规格保温设施，能源利用率高，清洁生产达到先进企业要求，不涉及煤炭消耗。</w:t>
                  </w:r>
                </w:p>
              </w:tc>
              <w:tc>
                <w:tcPr>
                  <w:tcW w:w="402" w:type="pct"/>
                  <w:tcBorders>
                    <w:tl2br w:val="nil"/>
                    <w:tr2bl w:val="nil"/>
                  </w:tcBorders>
                  <w:vAlign w:val="center"/>
                </w:tcPr>
                <w:p w14:paraId="0D758C88">
                  <w:pPr>
                    <w:pStyle w:val="60"/>
                    <w:rPr>
                      <w:color w:val="auto"/>
                      <w:sz w:val="18"/>
                      <w:szCs w:val="18"/>
                    </w:rPr>
                  </w:pPr>
                  <w:r>
                    <w:rPr>
                      <w:rFonts w:hint="eastAsia"/>
                      <w:color w:val="auto"/>
                      <w:sz w:val="18"/>
                      <w:szCs w:val="18"/>
                    </w:rPr>
                    <w:t>符合</w:t>
                  </w:r>
                </w:p>
              </w:tc>
            </w:tr>
          </w:tbl>
          <w:p w14:paraId="0AFFCFFC">
            <w:pPr>
              <w:autoSpaceDE w:val="0"/>
              <w:autoSpaceDN w:val="0"/>
              <w:adjustRightInd w:val="0"/>
              <w:snapToGrid w:val="0"/>
              <w:spacing w:line="480" w:lineRule="exact"/>
              <w:ind w:firstLine="420" w:firstLineChars="200"/>
              <w:rPr>
                <w:color w:val="auto"/>
                <w:szCs w:val="21"/>
              </w:rPr>
            </w:pPr>
            <w:r>
              <w:rPr>
                <w:rFonts w:hint="eastAsia"/>
                <w:color w:val="auto"/>
                <w:szCs w:val="21"/>
              </w:rPr>
              <w:t>综上所述，项目建设符合园区生态环境准入基本要求。</w:t>
            </w:r>
          </w:p>
          <w:p w14:paraId="12DABF75">
            <w:pPr>
              <w:autoSpaceDE w:val="0"/>
              <w:autoSpaceDN w:val="0"/>
              <w:adjustRightInd w:val="0"/>
              <w:snapToGrid w:val="0"/>
              <w:spacing w:line="480" w:lineRule="exact"/>
              <w:ind w:firstLine="420" w:firstLineChars="200"/>
              <w:rPr>
                <w:color w:val="auto"/>
                <w:szCs w:val="21"/>
              </w:rPr>
            </w:pPr>
            <w:r>
              <w:rPr>
                <w:rFonts w:hint="eastAsia"/>
                <w:color w:val="auto"/>
                <w:szCs w:val="21"/>
                <w:lang w:val="en-US" w:eastAsia="zh-CN"/>
              </w:rPr>
              <w:t>5</w:t>
            </w:r>
            <w:r>
              <w:rPr>
                <w:rFonts w:hint="eastAsia"/>
                <w:color w:val="auto"/>
                <w:szCs w:val="21"/>
              </w:rPr>
              <w:t>、项目与《</w:t>
            </w:r>
            <w:r>
              <w:rPr>
                <w:rFonts w:hint="eastAsia"/>
                <w:bCs/>
                <w:color w:val="auto"/>
                <w:kern w:val="0"/>
                <w:szCs w:val="21"/>
              </w:rPr>
              <w:t>朱台镇工业集聚区总体发展规划(2024-2035年)环境影响报告书</w:t>
            </w:r>
            <w:r>
              <w:rPr>
                <w:rFonts w:hint="eastAsia"/>
                <w:color w:val="auto"/>
                <w:szCs w:val="21"/>
              </w:rPr>
              <w:t>》中行业准入控制符合性分析见下表：</w:t>
            </w:r>
          </w:p>
          <w:p w14:paraId="6CEF94DD">
            <w:pPr>
              <w:pStyle w:val="21"/>
              <w:spacing w:before="120" w:beforeLines="50" w:after="0"/>
              <w:ind w:left="0" w:leftChars="0" w:firstLine="0" w:firstLineChars="0"/>
              <w:jc w:val="center"/>
              <w:rPr>
                <w:rFonts w:ascii="Times New Roman" w:hAnsi="Times New Roman"/>
                <w:b/>
                <w:bCs/>
                <w:color w:val="auto"/>
                <w:szCs w:val="21"/>
              </w:rPr>
            </w:pPr>
            <w:r>
              <w:rPr>
                <w:rFonts w:ascii="Times New Roman" w:hAnsi="Times New Roman"/>
                <w:b/>
                <w:bCs/>
                <w:color w:val="auto"/>
                <w:szCs w:val="21"/>
              </w:rPr>
              <w:t>表</w:t>
            </w:r>
            <w:r>
              <w:rPr>
                <w:rFonts w:hint="eastAsia" w:ascii="Times New Roman" w:hAnsi="Times New Roman"/>
                <w:b/>
                <w:bCs/>
                <w:color w:val="auto"/>
                <w:szCs w:val="21"/>
              </w:rPr>
              <w:t>1-</w:t>
            </w:r>
            <w:r>
              <w:rPr>
                <w:rFonts w:hint="eastAsia" w:ascii="Times New Roman" w:hAnsi="Times New Roman"/>
                <w:b/>
                <w:bCs/>
                <w:color w:val="auto"/>
                <w:szCs w:val="21"/>
                <w:lang w:val="en-US" w:eastAsia="zh-CN"/>
              </w:rPr>
              <w:t>4</w:t>
            </w:r>
            <w:r>
              <w:rPr>
                <w:rFonts w:ascii="Times New Roman" w:hAnsi="Times New Roman"/>
                <w:b/>
                <w:bCs/>
                <w:color w:val="auto"/>
                <w:szCs w:val="21"/>
              </w:rPr>
              <w:t xml:space="preserve">  </w:t>
            </w:r>
            <w:r>
              <w:rPr>
                <w:rFonts w:hint="eastAsia" w:ascii="Times New Roman" w:hAnsi="Times New Roman"/>
                <w:b/>
                <w:bCs/>
                <w:color w:val="auto"/>
                <w:szCs w:val="21"/>
              </w:rPr>
              <w:t>项目建设与园区行业准入符合性分析表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4"/>
              <w:gridCol w:w="1844"/>
              <w:gridCol w:w="1964"/>
              <w:gridCol w:w="2648"/>
              <w:gridCol w:w="953"/>
            </w:tblGrid>
            <w:tr w14:paraId="3B7C0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tcBorders>
                    <w:tl2br w:val="nil"/>
                    <w:tr2bl w:val="nil"/>
                  </w:tcBorders>
                  <w:vAlign w:val="center"/>
                </w:tcPr>
                <w:p w14:paraId="3E2EC651">
                  <w:pPr>
                    <w:pStyle w:val="60"/>
                    <w:rPr>
                      <w:rFonts w:hint="default" w:eastAsia="宋体"/>
                      <w:b/>
                      <w:bCs/>
                      <w:color w:val="auto"/>
                      <w:sz w:val="18"/>
                      <w:szCs w:val="18"/>
                      <w:lang w:val="en-US" w:eastAsia="zh-CN"/>
                    </w:rPr>
                  </w:pPr>
                  <w:r>
                    <w:rPr>
                      <w:rFonts w:hint="eastAsia"/>
                      <w:b/>
                      <w:bCs/>
                      <w:color w:val="auto"/>
                      <w:sz w:val="18"/>
                      <w:szCs w:val="18"/>
                      <w:lang w:val="en-US" w:eastAsia="zh-CN"/>
                    </w:rPr>
                    <w:t>主导产业</w:t>
                  </w:r>
                </w:p>
              </w:tc>
              <w:tc>
                <w:tcPr>
                  <w:tcW w:w="1845" w:type="dxa"/>
                  <w:tcBorders>
                    <w:tl2br w:val="nil"/>
                    <w:tr2bl w:val="nil"/>
                  </w:tcBorders>
                  <w:vAlign w:val="center"/>
                </w:tcPr>
                <w:p w14:paraId="5C4187BB">
                  <w:pPr>
                    <w:pStyle w:val="60"/>
                    <w:rPr>
                      <w:rFonts w:hint="eastAsia"/>
                      <w:b/>
                      <w:bCs/>
                      <w:color w:val="auto"/>
                      <w:sz w:val="18"/>
                      <w:szCs w:val="18"/>
                    </w:rPr>
                  </w:pPr>
                  <w:r>
                    <w:rPr>
                      <w:rFonts w:hint="eastAsia"/>
                      <w:b/>
                      <w:bCs/>
                      <w:color w:val="auto"/>
                      <w:sz w:val="18"/>
                      <w:szCs w:val="18"/>
                    </w:rPr>
                    <w:t>行业大类</w:t>
                  </w:r>
                </w:p>
              </w:tc>
              <w:tc>
                <w:tcPr>
                  <w:tcW w:w="1965" w:type="dxa"/>
                  <w:tcBorders>
                    <w:tl2br w:val="nil"/>
                    <w:tr2bl w:val="nil"/>
                  </w:tcBorders>
                  <w:vAlign w:val="center"/>
                </w:tcPr>
                <w:p w14:paraId="237AD7C9">
                  <w:pPr>
                    <w:pStyle w:val="60"/>
                    <w:rPr>
                      <w:b/>
                      <w:bCs/>
                      <w:color w:val="auto"/>
                      <w:sz w:val="18"/>
                      <w:szCs w:val="18"/>
                    </w:rPr>
                  </w:pPr>
                  <w:r>
                    <w:rPr>
                      <w:rFonts w:hint="eastAsia"/>
                      <w:b/>
                      <w:bCs/>
                      <w:color w:val="auto"/>
                      <w:sz w:val="18"/>
                      <w:szCs w:val="18"/>
                    </w:rPr>
                    <w:t>行业</w:t>
                  </w:r>
                  <w:r>
                    <w:rPr>
                      <w:rFonts w:hint="eastAsia"/>
                      <w:b/>
                      <w:bCs/>
                      <w:color w:val="auto"/>
                      <w:sz w:val="18"/>
                      <w:szCs w:val="18"/>
                      <w:lang w:val="en-US" w:eastAsia="zh-CN"/>
                    </w:rPr>
                    <w:t>中</w:t>
                  </w:r>
                  <w:r>
                    <w:rPr>
                      <w:rFonts w:hint="eastAsia"/>
                      <w:b/>
                      <w:bCs/>
                      <w:color w:val="auto"/>
                      <w:sz w:val="18"/>
                      <w:szCs w:val="18"/>
                    </w:rPr>
                    <w:t>类</w:t>
                  </w:r>
                </w:p>
              </w:tc>
              <w:tc>
                <w:tcPr>
                  <w:tcW w:w="2650" w:type="dxa"/>
                  <w:tcBorders>
                    <w:tl2br w:val="nil"/>
                    <w:tr2bl w:val="nil"/>
                  </w:tcBorders>
                  <w:vAlign w:val="center"/>
                </w:tcPr>
                <w:p w14:paraId="3AB50300">
                  <w:pPr>
                    <w:pStyle w:val="60"/>
                    <w:rPr>
                      <w:b/>
                      <w:bCs/>
                      <w:color w:val="auto"/>
                      <w:sz w:val="18"/>
                      <w:szCs w:val="18"/>
                    </w:rPr>
                  </w:pPr>
                  <w:r>
                    <w:rPr>
                      <w:rFonts w:hint="eastAsia"/>
                      <w:b/>
                      <w:bCs/>
                      <w:color w:val="auto"/>
                      <w:sz w:val="18"/>
                      <w:szCs w:val="18"/>
                    </w:rPr>
                    <w:t>行业小类</w:t>
                  </w:r>
                </w:p>
              </w:tc>
              <w:tc>
                <w:tcPr>
                  <w:tcW w:w="954" w:type="dxa"/>
                  <w:tcBorders>
                    <w:tl2br w:val="nil"/>
                    <w:tr2bl w:val="nil"/>
                  </w:tcBorders>
                  <w:vAlign w:val="center"/>
                </w:tcPr>
                <w:p w14:paraId="4D40EDB1">
                  <w:pPr>
                    <w:pStyle w:val="60"/>
                    <w:rPr>
                      <w:b/>
                      <w:bCs/>
                      <w:color w:val="auto"/>
                      <w:sz w:val="18"/>
                      <w:szCs w:val="18"/>
                    </w:rPr>
                  </w:pPr>
                  <w:r>
                    <w:rPr>
                      <w:rFonts w:hint="eastAsia"/>
                      <w:b/>
                      <w:bCs/>
                      <w:color w:val="auto"/>
                      <w:sz w:val="18"/>
                      <w:szCs w:val="18"/>
                    </w:rPr>
                    <w:t>控制级别</w:t>
                  </w:r>
                </w:p>
              </w:tc>
            </w:tr>
            <w:tr w14:paraId="16FA2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restart"/>
                  <w:tcBorders>
                    <w:tl2br w:val="nil"/>
                    <w:tr2bl w:val="nil"/>
                  </w:tcBorders>
                  <w:vAlign w:val="center"/>
                </w:tcPr>
                <w:p w14:paraId="4DF084B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塑料制品制造业</w:t>
                  </w:r>
                </w:p>
              </w:tc>
              <w:tc>
                <w:tcPr>
                  <w:tcW w:w="3810" w:type="dxa"/>
                  <w:gridSpan w:val="2"/>
                  <w:vMerge w:val="restart"/>
                  <w:tcBorders>
                    <w:tl2br w:val="nil"/>
                    <w:tr2bl w:val="nil"/>
                  </w:tcBorders>
                  <w:vAlign w:val="center"/>
                </w:tcPr>
                <w:p w14:paraId="1A518178">
                  <w:pPr>
                    <w:pStyle w:val="60"/>
                    <w:rPr>
                      <w:rFonts w:hint="eastAsia"/>
                      <w:b w:val="0"/>
                      <w:bCs w:val="0"/>
                      <w:color w:val="auto"/>
                      <w:sz w:val="18"/>
                      <w:szCs w:val="18"/>
                      <w:lang w:val="en-US" w:eastAsia="zh-CN"/>
                    </w:rPr>
                  </w:pPr>
                  <w:r>
                    <w:rPr>
                      <w:rFonts w:hint="eastAsia"/>
                      <w:b w:val="0"/>
                      <w:bCs w:val="0"/>
                      <w:color w:val="auto"/>
                      <w:sz w:val="18"/>
                      <w:szCs w:val="18"/>
                      <w:lang w:val="en-US" w:eastAsia="zh-CN"/>
                    </w:rPr>
                    <w:t>C292塑料制品业</w:t>
                  </w:r>
                </w:p>
              </w:tc>
              <w:tc>
                <w:tcPr>
                  <w:tcW w:w="2650" w:type="dxa"/>
                  <w:tcBorders>
                    <w:tl2br w:val="nil"/>
                    <w:tr2bl w:val="nil"/>
                  </w:tcBorders>
                  <w:vAlign w:val="center"/>
                </w:tcPr>
                <w:p w14:paraId="38E5619B">
                  <w:pPr>
                    <w:pStyle w:val="60"/>
                    <w:rPr>
                      <w:rFonts w:hint="eastAsia"/>
                      <w:b w:val="0"/>
                      <w:bCs w:val="0"/>
                      <w:color w:val="auto"/>
                      <w:sz w:val="18"/>
                      <w:szCs w:val="18"/>
                    </w:rPr>
                  </w:pPr>
                  <w:r>
                    <w:rPr>
                      <w:rFonts w:hint="eastAsia"/>
                      <w:b w:val="0"/>
                      <w:bCs w:val="0"/>
                      <w:color w:val="auto"/>
                      <w:sz w:val="18"/>
                      <w:szCs w:val="18"/>
                    </w:rPr>
                    <w:t>超薄型（厚度低于0.025毫米）塑料购物袋生产</w:t>
                  </w:r>
                </w:p>
              </w:tc>
              <w:tc>
                <w:tcPr>
                  <w:tcW w:w="954" w:type="dxa"/>
                  <w:tcBorders>
                    <w:tl2br w:val="nil"/>
                    <w:tr2bl w:val="nil"/>
                  </w:tcBorders>
                  <w:vAlign w:val="center"/>
                </w:tcPr>
                <w:p w14:paraId="5E8B442E">
                  <w:pPr>
                    <w:pStyle w:val="60"/>
                    <w:rPr>
                      <w:rFonts w:hint="eastAsia"/>
                      <w:b w:val="0"/>
                      <w:bCs w:val="0"/>
                      <w:color w:val="auto"/>
                      <w:sz w:val="18"/>
                      <w:szCs w:val="18"/>
                    </w:rPr>
                  </w:pPr>
                  <w:r>
                    <w:rPr>
                      <w:rFonts w:hint="eastAsia"/>
                      <w:b/>
                      <w:bCs/>
                      <w:color w:val="auto"/>
                      <w:sz w:val="18"/>
                      <w:szCs w:val="18"/>
                    </w:rPr>
                    <w:t>×</w:t>
                  </w:r>
                </w:p>
              </w:tc>
            </w:tr>
            <w:tr w14:paraId="04F71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518D596F">
                  <w:pPr>
                    <w:pStyle w:val="60"/>
                    <w:rPr>
                      <w:rFonts w:hint="eastAsia"/>
                      <w:b w:val="0"/>
                      <w:bCs w:val="0"/>
                      <w:color w:val="auto"/>
                      <w:sz w:val="18"/>
                      <w:szCs w:val="18"/>
                    </w:rPr>
                  </w:pPr>
                </w:p>
              </w:tc>
              <w:tc>
                <w:tcPr>
                  <w:tcW w:w="3810" w:type="dxa"/>
                  <w:gridSpan w:val="2"/>
                  <w:vMerge w:val="continue"/>
                  <w:tcBorders>
                    <w:tl2br w:val="nil"/>
                    <w:tr2bl w:val="nil"/>
                  </w:tcBorders>
                  <w:vAlign w:val="center"/>
                </w:tcPr>
                <w:p w14:paraId="2E828CAB">
                  <w:pPr>
                    <w:pStyle w:val="60"/>
                    <w:rPr>
                      <w:rFonts w:hint="eastAsia"/>
                      <w:b w:val="0"/>
                      <w:bCs w:val="0"/>
                      <w:color w:val="auto"/>
                      <w:sz w:val="18"/>
                      <w:szCs w:val="18"/>
                    </w:rPr>
                  </w:pPr>
                </w:p>
              </w:tc>
              <w:tc>
                <w:tcPr>
                  <w:tcW w:w="2650" w:type="dxa"/>
                  <w:tcBorders>
                    <w:tl2br w:val="nil"/>
                    <w:tr2bl w:val="nil"/>
                  </w:tcBorders>
                  <w:vAlign w:val="center"/>
                </w:tcPr>
                <w:p w14:paraId="6FDD40D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其他</w:t>
                  </w:r>
                </w:p>
              </w:tc>
              <w:tc>
                <w:tcPr>
                  <w:tcW w:w="954" w:type="dxa"/>
                  <w:tcBorders>
                    <w:tl2br w:val="nil"/>
                    <w:tr2bl w:val="nil"/>
                  </w:tcBorders>
                  <w:vAlign w:val="center"/>
                </w:tcPr>
                <w:p w14:paraId="04778B9E">
                  <w:pPr>
                    <w:pStyle w:val="60"/>
                    <w:rPr>
                      <w:rFonts w:hint="eastAsia"/>
                      <w:b w:val="0"/>
                      <w:bCs w:val="0"/>
                      <w:color w:val="auto"/>
                      <w:sz w:val="18"/>
                      <w:szCs w:val="18"/>
                    </w:rPr>
                  </w:pPr>
                  <w:r>
                    <w:rPr>
                      <w:rFonts w:hint="eastAsia"/>
                      <w:color w:val="auto"/>
                      <w:sz w:val="18"/>
                      <w:szCs w:val="18"/>
                    </w:rPr>
                    <w:t>●</w:t>
                  </w:r>
                </w:p>
              </w:tc>
            </w:tr>
            <w:tr w14:paraId="4816E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restart"/>
                  <w:tcBorders>
                    <w:tl2br w:val="nil"/>
                    <w:tr2bl w:val="nil"/>
                  </w:tcBorders>
                  <w:vAlign w:val="center"/>
                </w:tcPr>
                <w:p w14:paraId="1FB4E81F">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高端装备制造业</w:t>
                  </w:r>
                </w:p>
              </w:tc>
              <w:tc>
                <w:tcPr>
                  <w:tcW w:w="1845" w:type="dxa"/>
                  <w:vMerge w:val="restart"/>
                  <w:tcBorders>
                    <w:tl2br w:val="nil"/>
                    <w:tr2bl w:val="nil"/>
                  </w:tcBorders>
                  <w:vAlign w:val="center"/>
                </w:tcPr>
                <w:p w14:paraId="68C455E6">
                  <w:pPr>
                    <w:pStyle w:val="60"/>
                    <w:rPr>
                      <w:rFonts w:hint="eastAsia"/>
                      <w:b w:val="0"/>
                      <w:bCs w:val="0"/>
                      <w:color w:val="auto"/>
                      <w:sz w:val="18"/>
                      <w:szCs w:val="18"/>
                      <w:lang w:val="en-US" w:eastAsia="zh-CN"/>
                    </w:rPr>
                  </w:pPr>
                  <w:r>
                    <w:rPr>
                      <w:rFonts w:hint="eastAsia"/>
                      <w:b w:val="0"/>
                      <w:bCs w:val="0"/>
                      <w:color w:val="auto"/>
                      <w:sz w:val="18"/>
                      <w:szCs w:val="18"/>
                      <w:lang w:val="en-US" w:eastAsia="zh-CN"/>
                    </w:rPr>
                    <w:t>C33金属制品业</w:t>
                  </w:r>
                </w:p>
              </w:tc>
              <w:tc>
                <w:tcPr>
                  <w:tcW w:w="1965" w:type="dxa"/>
                  <w:vMerge w:val="restart"/>
                  <w:tcBorders>
                    <w:tl2br w:val="nil"/>
                    <w:tr2bl w:val="nil"/>
                  </w:tcBorders>
                  <w:vAlign w:val="center"/>
                </w:tcPr>
                <w:p w14:paraId="26EC464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C336金属表面处理及热处理加工</w:t>
                  </w:r>
                </w:p>
              </w:tc>
              <w:tc>
                <w:tcPr>
                  <w:tcW w:w="2650" w:type="dxa"/>
                  <w:tcBorders>
                    <w:tl2br w:val="nil"/>
                    <w:tr2bl w:val="nil"/>
                  </w:tcBorders>
                  <w:vAlign w:val="center"/>
                </w:tcPr>
                <w:p w14:paraId="2498E3BA">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C3360金属表面处理及热处理加工（电镀企业、含铬钝化企业）</w:t>
                  </w:r>
                </w:p>
              </w:tc>
              <w:tc>
                <w:tcPr>
                  <w:tcW w:w="954" w:type="dxa"/>
                  <w:tcBorders>
                    <w:tl2br w:val="nil"/>
                    <w:tr2bl w:val="nil"/>
                  </w:tcBorders>
                  <w:shd w:val="clear" w:color="auto" w:fill="auto"/>
                  <w:vAlign w:val="center"/>
                </w:tcPr>
                <w:p w14:paraId="1EB1F244">
                  <w:pPr>
                    <w:pStyle w:val="60"/>
                    <w:rPr>
                      <w:rFonts w:hint="eastAsia" w:ascii="Times New Roman" w:hAnsi="Times New Roman" w:eastAsia="宋体" w:cs="Times New Roman"/>
                      <w:b w:val="0"/>
                      <w:bCs w:val="0"/>
                      <w:color w:val="auto"/>
                      <w:kern w:val="2"/>
                      <w:sz w:val="18"/>
                      <w:szCs w:val="18"/>
                      <w:lang w:val="zh-CN" w:eastAsia="zh-CN" w:bidi="ar-SA"/>
                    </w:rPr>
                  </w:pPr>
                  <w:r>
                    <w:rPr>
                      <w:rFonts w:hint="eastAsia"/>
                      <w:b/>
                      <w:bCs/>
                      <w:color w:val="auto"/>
                      <w:sz w:val="18"/>
                      <w:szCs w:val="18"/>
                    </w:rPr>
                    <w:t>×</w:t>
                  </w:r>
                </w:p>
              </w:tc>
            </w:tr>
            <w:tr w14:paraId="3050E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3D7FDB74">
                  <w:pPr>
                    <w:pStyle w:val="60"/>
                    <w:rPr>
                      <w:rFonts w:hint="eastAsia"/>
                      <w:b w:val="0"/>
                      <w:bCs w:val="0"/>
                      <w:color w:val="auto"/>
                      <w:sz w:val="18"/>
                      <w:szCs w:val="18"/>
                    </w:rPr>
                  </w:pPr>
                </w:p>
              </w:tc>
              <w:tc>
                <w:tcPr>
                  <w:tcW w:w="1845" w:type="dxa"/>
                  <w:vMerge w:val="continue"/>
                  <w:tcBorders>
                    <w:tl2br w:val="nil"/>
                    <w:tr2bl w:val="nil"/>
                  </w:tcBorders>
                  <w:vAlign w:val="center"/>
                </w:tcPr>
                <w:p w14:paraId="143F969D">
                  <w:pPr>
                    <w:pStyle w:val="60"/>
                    <w:rPr>
                      <w:rFonts w:hint="eastAsia"/>
                      <w:b w:val="0"/>
                      <w:bCs w:val="0"/>
                      <w:color w:val="auto"/>
                      <w:sz w:val="18"/>
                      <w:szCs w:val="18"/>
                    </w:rPr>
                  </w:pPr>
                </w:p>
              </w:tc>
              <w:tc>
                <w:tcPr>
                  <w:tcW w:w="1965" w:type="dxa"/>
                  <w:vMerge w:val="continue"/>
                  <w:tcBorders>
                    <w:tl2br w:val="nil"/>
                    <w:tr2bl w:val="nil"/>
                  </w:tcBorders>
                  <w:vAlign w:val="center"/>
                </w:tcPr>
                <w:p w14:paraId="759F6F94">
                  <w:pPr>
                    <w:pStyle w:val="60"/>
                    <w:rPr>
                      <w:rFonts w:hint="eastAsia"/>
                      <w:b w:val="0"/>
                      <w:bCs w:val="0"/>
                      <w:color w:val="auto"/>
                      <w:sz w:val="18"/>
                      <w:szCs w:val="18"/>
                    </w:rPr>
                  </w:pPr>
                </w:p>
              </w:tc>
              <w:tc>
                <w:tcPr>
                  <w:tcW w:w="2650" w:type="dxa"/>
                  <w:tcBorders>
                    <w:tl2br w:val="nil"/>
                    <w:tr2bl w:val="nil"/>
                  </w:tcBorders>
                  <w:vAlign w:val="center"/>
                </w:tcPr>
                <w:p w14:paraId="797E67B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其他</w:t>
                  </w:r>
                </w:p>
              </w:tc>
              <w:tc>
                <w:tcPr>
                  <w:tcW w:w="954" w:type="dxa"/>
                  <w:tcBorders>
                    <w:tl2br w:val="nil"/>
                    <w:tr2bl w:val="nil"/>
                  </w:tcBorders>
                  <w:shd w:val="clear" w:color="auto" w:fill="auto"/>
                  <w:vAlign w:val="center"/>
                </w:tcPr>
                <w:p w14:paraId="186ED93D">
                  <w:pPr>
                    <w:pStyle w:val="60"/>
                    <w:rPr>
                      <w:rFonts w:hint="eastAsia" w:ascii="Times New Roman" w:hAnsi="Times New Roman" w:eastAsia="宋体" w:cs="Times New Roman"/>
                      <w:b w:val="0"/>
                      <w:bCs w:val="0"/>
                      <w:color w:val="auto"/>
                      <w:kern w:val="2"/>
                      <w:sz w:val="18"/>
                      <w:szCs w:val="18"/>
                      <w:lang w:val="zh-CN" w:eastAsia="zh-CN" w:bidi="ar-SA"/>
                    </w:rPr>
                  </w:pPr>
                  <w:r>
                    <w:rPr>
                      <w:rFonts w:hint="eastAsia"/>
                      <w:color w:val="auto"/>
                      <w:sz w:val="18"/>
                      <w:szCs w:val="18"/>
                    </w:rPr>
                    <w:t>●</w:t>
                  </w:r>
                </w:p>
              </w:tc>
            </w:tr>
            <w:tr w14:paraId="4FDFB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61543A02">
                  <w:pPr>
                    <w:pStyle w:val="60"/>
                    <w:rPr>
                      <w:rFonts w:hint="eastAsia"/>
                      <w:b w:val="0"/>
                      <w:bCs w:val="0"/>
                      <w:color w:val="auto"/>
                      <w:sz w:val="18"/>
                      <w:szCs w:val="18"/>
                    </w:rPr>
                  </w:pPr>
                </w:p>
              </w:tc>
              <w:tc>
                <w:tcPr>
                  <w:tcW w:w="1845" w:type="dxa"/>
                  <w:vMerge w:val="continue"/>
                  <w:tcBorders>
                    <w:tl2br w:val="nil"/>
                    <w:tr2bl w:val="nil"/>
                  </w:tcBorders>
                  <w:vAlign w:val="center"/>
                </w:tcPr>
                <w:p w14:paraId="4BC2BFAA">
                  <w:pPr>
                    <w:pStyle w:val="60"/>
                    <w:rPr>
                      <w:rFonts w:hint="eastAsia"/>
                      <w:b w:val="0"/>
                      <w:bCs w:val="0"/>
                      <w:color w:val="auto"/>
                      <w:sz w:val="18"/>
                      <w:szCs w:val="18"/>
                    </w:rPr>
                  </w:pPr>
                </w:p>
              </w:tc>
              <w:tc>
                <w:tcPr>
                  <w:tcW w:w="1965" w:type="dxa"/>
                  <w:vMerge w:val="restart"/>
                  <w:tcBorders>
                    <w:tl2br w:val="nil"/>
                    <w:tr2bl w:val="nil"/>
                  </w:tcBorders>
                  <w:vAlign w:val="center"/>
                </w:tcPr>
                <w:p w14:paraId="6F67122E">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C339铸造及其他金属制品制造</w:t>
                  </w:r>
                </w:p>
              </w:tc>
              <w:tc>
                <w:tcPr>
                  <w:tcW w:w="2650" w:type="dxa"/>
                  <w:tcBorders>
                    <w:tl2br w:val="nil"/>
                    <w:tr2bl w:val="nil"/>
                  </w:tcBorders>
                  <w:vAlign w:val="center"/>
                </w:tcPr>
                <w:p w14:paraId="3BF7E11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C3391黑色金属铸造</w:t>
                  </w:r>
                </w:p>
              </w:tc>
              <w:tc>
                <w:tcPr>
                  <w:tcW w:w="954" w:type="dxa"/>
                  <w:tcBorders>
                    <w:tl2br w:val="nil"/>
                    <w:tr2bl w:val="nil"/>
                  </w:tcBorders>
                  <w:vAlign w:val="center"/>
                </w:tcPr>
                <w:p w14:paraId="26A002D5">
                  <w:pPr>
                    <w:pStyle w:val="60"/>
                    <w:rPr>
                      <w:rFonts w:hint="eastAsia"/>
                      <w:b w:val="0"/>
                      <w:bCs w:val="0"/>
                      <w:color w:val="auto"/>
                      <w:sz w:val="18"/>
                      <w:szCs w:val="18"/>
                    </w:rPr>
                  </w:pPr>
                  <w:r>
                    <w:rPr>
                      <w:rFonts w:hint="eastAsia"/>
                      <w:color w:val="auto"/>
                      <w:sz w:val="18"/>
                      <w:szCs w:val="18"/>
                    </w:rPr>
                    <w:t>▲</w:t>
                  </w:r>
                </w:p>
              </w:tc>
            </w:tr>
            <w:tr w14:paraId="67F97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06909642">
                  <w:pPr>
                    <w:pStyle w:val="60"/>
                    <w:rPr>
                      <w:rFonts w:hint="eastAsia"/>
                      <w:b w:val="0"/>
                      <w:bCs w:val="0"/>
                      <w:color w:val="auto"/>
                      <w:sz w:val="18"/>
                      <w:szCs w:val="18"/>
                    </w:rPr>
                  </w:pPr>
                </w:p>
              </w:tc>
              <w:tc>
                <w:tcPr>
                  <w:tcW w:w="1845" w:type="dxa"/>
                  <w:vMerge w:val="continue"/>
                  <w:tcBorders>
                    <w:tl2br w:val="nil"/>
                    <w:tr2bl w:val="nil"/>
                  </w:tcBorders>
                  <w:vAlign w:val="center"/>
                </w:tcPr>
                <w:p w14:paraId="5E587964">
                  <w:pPr>
                    <w:pStyle w:val="60"/>
                    <w:rPr>
                      <w:rFonts w:hint="eastAsia"/>
                      <w:b w:val="0"/>
                      <w:bCs w:val="0"/>
                      <w:color w:val="auto"/>
                      <w:sz w:val="18"/>
                      <w:szCs w:val="18"/>
                    </w:rPr>
                  </w:pPr>
                </w:p>
              </w:tc>
              <w:tc>
                <w:tcPr>
                  <w:tcW w:w="1965" w:type="dxa"/>
                  <w:vMerge w:val="continue"/>
                  <w:tcBorders>
                    <w:tl2br w:val="nil"/>
                    <w:tr2bl w:val="nil"/>
                  </w:tcBorders>
                  <w:vAlign w:val="center"/>
                </w:tcPr>
                <w:p w14:paraId="12D449FF">
                  <w:pPr>
                    <w:pStyle w:val="60"/>
                    <w:rPr>
                      <w:rFonts w:hint="eastAsia"/>
                      <w:b w:val="0"/>
                      <w:bCs w:val="0"/>
                      <w:color w:val="auto"/>
                      <w:sz w:val="18"/>
                      <w:szCs w:val="18"/>
                    </w:rPr>
                  </w:pPr>
                </w:p>
              </w:tc>
              <w:tc>
                <w:tcPr>
                  <w:tcW w:w="2650" w:type="dxa"/>
                  <w:tcBorders>
                    <w:tl2br w:val="nil"/>
                    <w:tr2bl w:val="nil"/>
                  </w:tcBorders>
                  <w:vAlign w:val="center"/>
                </w:tcPr>
                <w:p w14:paraId="6017E032">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C3392有色金属铸造</w:t>
                  </w:r>
                </w:p>
              </w:tc>
              <w:tc>
                <w:tcPr>
                  <w:tcW w:w="954" w:type="dxa"/>
                  <w:tcBorders>
                    <w:tl2br w:val="nil"/>
                    <w:tr2bl w:val="nil"/>
                  </w:tcBorders>
                  <w:vAlign w:val="center"/>
                </w:tcPr>
                <w:p w14:paraId="3761DDD4">
                  <w:pPr>
                    <w:pStyle w:val="60"/>
                    <w:rPr>
                      <w:rFonts w:hint="eastAsia"/>
                      <w:b w:val="0"/>
                      <w:bCs w:val="0"/>
                      <w:color w:val="auto"/>
                      <w:sz w:val="18"/>
                      <w:szCs w:val="18"/>
                    </w:rPr>
                  </w:pPr>
                  <w:r>
                    <w:rPr>
                      <w:rFonts w:hint="eastAsia"/>
                      <w:color w:val="auto"/>
                      <w:sz w:val="18"/>
                      <w:szCs w:val="18"/>
                    </w:rPr>
                    <w:t>▲</w:t>
                  </w:r>
                </w:p>
              </w:tc>
            </w:tr>
            <w:tr w14:paraId="210E9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3804D545">
                  <w:pPr>
                    <w:pStyle w:val="60"/>
                    <w:rPr>
                      <w:rFonts w:hint="eastAsia"/>
                      <w:b w:val="0"/>
                      <w:bCs w:val="0"/>
                      <w:color w:val="auto"/>
                      <w:sz w:val="18"/>
                      <w:szCs w:val="18"/>
                    </w:rPr>
                  </w:pPr>
                </w:p>
              </w:tc>
              <w:tc>
                <w:tcPr>
                  <w:tcW w:w="1845" w:type="dxa"/>
                  <w:vMerge w:val="continue"/>
                  <w:tcBorders>
                    <w:tl2br w:val="nil"/>
                    <w:tr2bl w:val="nil"/>
                  </w:tcBorders>
                  <w:vAlign w:val="center"/>
                </w:tcPr>
                <w:p w14:paraId="06B6B118">
                  <w:pPr>
                    <w:pStyle w:val="60"/>
                    <w:rPr>
                      <w:rFonts w:hint="eastAsia"/>
                      <w:b w:val="0"/>
                      <w:bCs w:val="0"/>
                      <w:color w:val="auto"/>
                      <w:sz w:val="18"/>
                      <w:szCs w:val="18"/>
                    </w:rPr>
                  </w:pPr>
                </w:p>
              </w:tc>
              <w:tc>
                <w:tcPr>
                  <w:tcW w:w="1965" w:type="dxa"/>
                  <w:vMerge w:val="continue"/>
                  <w:tcBorders>
                    <w:tl2br w:val="nil"/>
                    <w:tr2bl w:val="nil"/>
                  </w:tcBorders>
                  <w:vAlign w:val="center"/>
                </w:tcPr>
                <w:p w14:paraId="699654E1">
                  <w:pPr>
                    <w:pStyle w:val="60"/>
                    <w:rPr>
                      <w:rFonts w:hint="eastAsia"/>
                      <w:b w:val="0"/>
                      <w:bCs w:val="0"/>
                      <w:color w:val="auto"/>
                      <w:sz w:val="18"/>
                      <w:szCs w:val="18"/>
                    </w:rPr>
                  </w:pPr>
                </w:p>
              </w:tc>
              <w:tc>
                <w:tcPr>
                  <w:tcW w:w="2650" w:type="dxa"/>
                  <w:tcBorders>
                    <w:tl2br w:val="nil"/>
                    <w:tr2bl w:val="nil"/>
                  </w:tcBorders>
                  <w:vAlign w:val="center"/>
                </w:tcPr>
                <w:p w14:paraId="6FD5BBD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C3393、C3394、C3399</w:t>
                  </w:r>
                </w:p>
              </w:tc>
              <w:tc>
                <w:tcPr>
                  <w:tcW w:w="954" w:type="dxa"/>
                  <w:tcBorders>
                    <w:tl2br w:val="nil"/>
                    <w:tr2bl w:val="nil"/>
                  </w:tcBorders>
                  <w:vAlign w:val="center"/>
                </w:tcPr>
                <w:p w14:paraId="41D7CE8D">
                  <w:pPr>
                    <w:pStyle w:val="60"/>
                    <w:rPr>
                      <w:rFonts w:hint="eastAsia"/>
                      <w:b w:val="0"/>
                      <w:bCs w:val="0"/>
                      <w:color w:val="auto"/>
                      <w:sz w:val="18"/>
                      <w:szCs w:val="18"/>
                    </w:rPr>
                  </w:pPr>
                  <w:r>
                    <w:rPr>
                      <w:rFonts w:hint="eastAsia"/>
                      <w:color w:val="auto"/>
                      <w:sz w:val="18"/>
                      <w:szCs w:val="18"/>
                    </w:rPr>
                    <w:t>●</w:t>
                  </w:r>
                </w:p>
              </w:tc>
            </w:tr>
            <w:tr w14:paraId="039DE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02846996">
                  <w:pPr>
                    <w:pStyle w:val="60"/>
                    <w:rPr>
                      <w:rFonts w:hint="eastAsia"/>
                      <w:b w:val="0"/>
                      <w:bCs w:val="0"/>
                      <w:color w:val="auto"/>
                      <w:sz w:val="18"/>
                      <w:szCs w:val="18"/>
                    </w:rPr>
                  </w:pPr>
                </w:p>
              </w:tc>
              <w:tc>
                <w:tcPr>
                  <w:tcW w:w="1845" w:type="dxa"/>
                  <w:vMerge w:val="continue"/>
                  <w:tcBorders>
                    <w:tl2br w:val="nil"/>
                    <w:tr2bl w:val="nil"/>
                  </w:tcBorders>
                  <w:vAlign w:val="center"/>
                </w:tcPr>
                <w:p w14:paraId="45CE1F1B">
                  <w:pPr>
                    <w:pStyle w:val="60"/>
                    <w:rPr>
                      <w:rFonts w:hint="eastAsia"/>
                      <w:b w:val="0"/>
                      <w:bCs w:val="0"/>
                      <w:color w:val="auto"/>
                      <w:sz w:val="18"/>
                      <w:szCs w:val="18"/>
                    </w:rPr>
                  </w:pPr>
                </w:p>
              </w:tc>
              <w:tc>
                <w:tcPr>
                  <w:tcW w:w="1965" w:type="dxa"/>
                  <w:tcBorders>
                    <w:tl2br w:val="nil"/>
                    <w:tr2bl w:val="nil"/>
                  </w:tcBorders>
                  <w:vAlign w:val="center"/>
                </w:tcPr>
                <w:p w14:paraId="6F80FE3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C331、C332、C333、C334、C335、C337、C338</w:t>
                  </w:r>
                </w:p>
              </w:tc>
              <w:tc>
                <w:tcPr>
                  <w:tcW w:w="2650" w:type="dxa"/>
                  <w:tcBorders>
                    <w:tl2br w:val="nil"/>
                    <w:tr2bl w:val="nil"/>
                  </w:tcBorders>
                  <w:vAlign w:val="center"/>
                </w:tcPr>
                <w:p w14:paraId="02314BD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全部</w:t>
                  </w:r>
                </w:p>
              </w:tc>
              <w:tc>
                <w:tcPr>
                  <w:tcW w:w="954" w:type="dxa"/>
                  <w:tcBorders>
                    <w:tl2br w:val="nil"/>
                    <w:tr2bl w:val="nil"/>
                  </w:tcBorders>
                  <w:vAlign w:val="center"/>
                </w:tcPr>
                <w:p w14:paraId="30766544">
                  <w:pPr>
                    <w:pStyle w:val="60"/>
                    <w:rPr>
                      <w:rFonts w:hint="eastAsia"/>
                      <w:b w:val="0"/>
                      <w:bCs w:val="0"/>
                      <w:color w:val="auto"/>
                      <w:sz w:val="18"/>
                      <w:szCs w:val="18"/>
                    </w:rPr>
                  </w:pPr>
                  <w:r>
                    <w:rPr>
                      <w:rFonts w:hint="eastAsia"/>
                      <w:color w:val="auto"/>
                      <w:sz w:val="18"/>
                      <w:szCs w:val="18"/>
                    </w:rPr>
                    <w:t>●</w:t>
                  </w:r>
                </w:p>
              </w:tc>
            </w:tr>
            <w:tr w14:paraId="0952F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0B150751">
                  <w:pPr>
                    <w:pStyle w:val="60"/>
                    <w:rPr>
                      <w:rFonts w:hint="eastAsia"/>
                      <w:b w:val="0"/>
                      <w:bCs w:val="0"/>
                      <w:color w:val="auto"/>
                      <w:sz w:val="18"/>
                      <w:szCs w:val="18"/>
                    </w:rPr>
                  </w:pPr>
                </w:p>
              </w:tc>
              <w:tc>
                <w:tcPr>
                  <w:tcW w:w="1845" w:type="dxa"/>
                  <w:tcBorders>
                    <w:tl2br w:val="nil"/>
                    <w:tr2bl w:val="nil"/>
                  </w:tcBorders>
                  <w:vAlign w:val="center"/>
                </w:tcPr>
                <w:p w14:paraId="25FBA94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C34通用设备制造业</w:t>
                  </w:r>
                </w:p>
              </w:tc>
              <w:tc>
                <w:tcPr>
                  <w:tcW w:w="1965" w:type="dxa"/>
                  <w:tcBorders>
                    <w:tl2br w:val="nil"/>
                    <w:tr2bl w:val="nil"/>
                  </w:tcBorders>
                  <w:vAlign w:val="center"/>
                </w:tcPr>
                <w:p w14:paraId="69474CF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C341~C349</w:t>
                  </w:r>
                </w:p>
              </w:tc>
              <w:tc>
                <w:tcPr>
                  <w:tcW w:w="2650" w:type="dxa"/>
                  <w:tcBorders>
                    <w:tl2br w:val="nil"/>
                    <w:tr2bl w:val="nil"/>
                  </w:tcBorders>
                  <w:vAlign w:val="center"/>
                </w:tcPr>
                <w:p w14:paraId="187C634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全部</w:t>
                  </w:r>
                </w:p>
              </w:tc>
              <w:tc>
                <w:tcPr>
                  <w:tcW w:w="954" w:type="dxa"/>
                  <w:tcBorders>
                    <w:tl2br w:val="nil"/>
                    <w:tr2bl w:val="nil"/>
                  </w:tcBorders>
                  <w:vAlign w:val="center"/>
                </w:tcPr>
                <w:p w14:paraId="67D8220B">
                  <w:pPr>
                    <w:pStyle w:val="60"/>
                    <w:rPr>
                      <w:rFonts w:hint="eastAsia"/>
                      <w:b w:val="0"/>
                      <w:bCs w:val="0"/>
                      <w:color w:val="auto"/>
                      <w:sz w:val="18"/>
                      <w:szCs w:val="18"/>
                    </w:rPr>
                  </w:pPr>
                  <w:r>
                    <w:rPr>
                      <w:rFonts w:hint="eastAsia"/>
                      <w:color w:val="auto"/>
                      <w:sz w:val="18"/>
                      <w:szCs w:val="18"/>
                    </w:rPr>
                    <w:t>★</w:t>
                  </w:r>
                </w:p>
              </w:tc>
            </w:tr>
            <w:tr w14:paraId="6AB44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55C3E7BA">
                  <w:pPr>
                    <w:pStyle w:val="60"/>
                    <w:rPr>
                      <w:rFonts w:hint="eastAsia"/>
                      <w:b w:val="0"/>
                      <w:bCs w:val="0"/>
                      <w:color w:val="auto"/>
                      <w:sz w:val="18"/>
                      <w:szCs w:val="18"/>
                    </w:rPr>
                  </w:pPr>
                </w:p>
              </w:tc>
              <w:tc>
                <w:tcPr>
                  <w:tcW w:w="1845" w:type="dxa"/>
                  <w:vMerge w:val="restart"/>
                  <w:tcBorders>
                    <w:tl2br w:val="nil"/>
                    <w:tr2bl w:val="nil"/>
                  </w:tcBorders>
                  <w:vAlign w:val="center"/>
                </w:tcPr>
                <w:p w14:paraId="09E974A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C35专用设备制造业</w:t>
                  </w:r>
                </w:p>
              </w:tc>
              <w:tc>
                <w:tcPr>
                  <w:tcW w:w="1965" w:type="dxa"/>
                  <w:vMerge w:val="restart"/>
                  <w:tcBorders>
                    <w:tl2br w:val="nil"/>
                    <w:tr2bl w:val="nil"/>
                  </w:tcBorders>
                  <w:vAlign w:val="center"/>
                </w:tcPr>
                <w:p w14:paraId="17DE3B44">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C358医疗仪器设备及器械制造</w:t>
                  </w:r>
                </w:p>
              </w:tc>
              <w:tc>
                <w:tcPr>
                  <w:tcW w:w="2650" w:type="dxa"/>
                  <w:tcBorders>
                    <w:tl2br w:val="nil"/>
                    <w:tr2bl w:val="nil"/>
                  </w:tcBorders>
                  <w:vAlign w:val="center"/>
                </w:tcPr>
                <w:p w14:paraId="4981A78B">
                  <w:pPr>
                    <w:pStyle w:val="6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C3584医疗、外科及兽医用器械制造（充汞式玻璃体温计、血压计、含汞开关和继电器）</w:t>
                  </w:r>
                </w:p>
              </w:tc>
              <w:tc>
                <w:tcPr>
                  <w:tcW w:w="954" w:type="dxa"/>
                  <w:tcBorders>
                    <w:tl2br w:val="nil"/>
                    <w:tr2bl w:val="nil"/>
                  </w:tcBorders>
                  <w:vAlign w:val="center"/>
                </w:tcPr>
                <w:p w14:paraId="4CA82107">
                  <w:pPr>
                    <w:pStyle w:val="60"/>
                    <w:rPr>
                      <w:rFonts w:hint="eastAsia"/>
                      <w:b w:val="0"/>
                      <w:bCs w:val="0"/>
                      <w:color w:val="auto"/>
                      <w:sz w:val="18"/>
                      <w:szCs w:val="18"/>
                    </w:rPr>
                  </w:pPr>
                  <w:r>
                    <w:rPr>
                      <w:rFonts w:hint="eastAsia"/>
                      <w:b/>
                      <w:bCs/>
                      <w:color w:val="auto"/>
                      <w:sz w:val="18"/>
                      <w:szCs w:val="18"/>
                    </w:rPr>
                    <w:t>×</w:t>
                  </w:r>
                </w:p>
              </w:tc>
            </w:tr>
            <w:tr w14:paraId="28A0C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747DBFF1">
                  <w:pPr>
                    <w:pStyle w:val="60"/>
                    <w:rPr>
                      <w:rFonts w:hint="eastAsia"/>
                      <w:b w:val="0"/>
                      <w:bCs w:val="0"/>
                      <w:color w:val="auto"/>
                      <w:sz w:val="18"/>
                      <w:szCs w:val="18"/>
                    </w:rPr>
                  </w:pPr>
                </w:p>
              </w:tc>
              <w:tc>
                <w:tcPr>
                  <w:tcW w:w="1845" w:type="dxa"/>
                  <w:vMerge w:val="continue"/>
                  <w:tcBorders>
                    <w:tl2br w:val="nil"/>
                    <w:tr2bl w:val="nil"/>
                  </w:tcBorders>
                  <w:vAlign w:val="center"/>
                </w:tcPr>
                <w:p w14:paraId="0E55E3E9">
                  <w:pPr>
                    <w:pStyle w:val="60"/>
                    <w:rPr>
                      <w:rFonts w:hint="eastAsia"/>
                      <w:b w:val="0"/>
                      <w:bCs w:val="0"/>
                      <w:color w:val="auto"/>
                      <w:sz w:val="18"/>
                      <w:szCs w:val="18"/>
                      <w:lang w:val="en-US" w:eastAsia="zh-CN"/>
                    </w:rPr>
                  </w:pPr>
                </w:p>
              </w:tc>
              <w:tc>
                <w:tcPr>
                  <w:tcW w:w="1965" w:type="dxa"/>
                  <w:vMerge w:val="continue"/>
                  <w:tcBorders>
                    <w:tl2br w:val="nil"/>
                    <w:tr2bl w:val="nil"/>
                  </w:tcBorders>
                  <w:vAlign w:val="center"/>
                </w:tcPr>
                <w:p w14:paraId="580C97F5">
                  <w:pPr>
                    <w:pStyle w:val="60"/>
                    <w:rPr>
                      <w:rFonts w:hint="default" w:eastAsia="宋体"/>
                      <w:b w:val="0"/>
                      <w:bCs w:val="0"/>
                      <w:color w:val="auto"/>
                      <w:sz w:val="18"/>
                      <w:szCs w:val="18"/>
                      <w:lang w:val="en-US" w:eastAsia="zh-CN"/>
                    </w:rPr>
                  </w:pPr>
                </w:p>
              </w:tc>
              <w:tc>
                <w:tcPr>
                  <w:tcW w:w="2650" w:type="dxa"/>
                  <w:tcBorders>
                    <w:tl2br w:val="nil"/>
                    <w:tr2bl w:val="nil"/>
                  </w:tcBorders>
                  <w:vAlign w:val="center"/>
                </w:tcPr>
                <w:p w14:paraId="67CDDB6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其他</w:t>
                  </w:r>
                </w:p>
              </w:tc>
              <w:tc>
                <w:tcPr>
                  <w:tcW w:w="954" w:type="dxa"/>
                  <w:tcBorders>
                    <w:tl2br w:val="nil"/>
                    <w:tr2bl w:val="nil"/>
                  </w:tcBorders>
                  <w:vAlign w:val="center"/>
                </w:tcPr>
                <w:p w14:paraId="33969FD9">
                  <w:pPr>
                    <w:pStyle w:val="60"/>
                    <w:rPr>
                      <w:rFonts w:hint="eastAsia"/>
                      <w:b/>
                      <w:bCs/>
                      <w:color w:val="auto"/>
                      <w:sz w:val="18"/>
                      <w:szCs w:val="18"/>
                    </w:rPr>
                  </w:pPr>
                  <w:r>
                    <w:rPr>
                      <w:rFonts w:hint="eastAsia"/>
                      <w:color w:val="auto"/>
                      <w:sz w:val="18"/>
                      <w:szCs w:val="18"/>
                    </w:rPr>
                    <w:t>●</w:t>
                  </w:r>
                </w:p>
              </w:tc>
            </w:tr>
            <w:tr w14:paraId="37689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52B75549">
                  <w:pPr>
                    <w:pStyle w:val="60"/>
                    <w:rPr>
                      <w:rFonts w:hint="eastAsia"/>
                      <w:b w:val="0"/>
                      <w:bCs w:val="0"/>
                      <w:color w:val="auto"/>
                      <w:sz w:val="18"/>
                      <w:szCs w:val="18"/>
                    </w:rPr>
                  </w:pPr>
                </w:p>
              </w:tc>
              <w:tc>
                <w:tcPr>
                  <w:tcW w:w="1845" w:type="dxa"/>
                  <w:vMerge w:val="continue"/>
                  <w:tcBorders>
                    <w:tl2br w:val="nil"/>
                    <w:tr2bl w:val="nil"/>
                  </w:tcBorders>
                  <w:vAlign w:val="center"/>
                </w:tcPr>
                <w:p w14:paraId="1F9AAD2D">
                  <w:pPr>
                    <w:pStyle w:val="60"/>
                    <w:rPr>
                      <w:rFonts w:hint="eastAsia"/>
                      <w:b w:val="0"/>
                      <w:bCs w:val="0"/>
                      <w:color w:val="auto"/>
                      <w:sz w:val="18"/>
                      <w:szCs w:val="18"/>
                    </w:rPr>
                  </w:pPr>
                </w:p>
              </w:tc>
              <w:tc>
                <w:tcPr>
                  <w:tcW w:w="1965" w:type="dxa"/>
                  <w:tcBorders>
                    <w:tl2br w:val="nil"/>
                    <w:tr2bl w:val="nil"/>
                  </w:tcBorders>
                  <w:vAlign w:val="center"/>
                </w:tcPr>
                <w:p w14:paraId="53AB5C00">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C351～C357、C359</w:t>
                  </w:r>
                </w:p>
              </w:tc>
              <w:tc>
                <w:tcPr>
                  <w:tcW w:w="2650" w:type="dxa"/>
                  <w:tcBorders>
                    <w:tl2br w:val="nil"/>
                    <w:tr2bl w:val="nil"/>
                  </w:tcBorders>
                  <w:vAlign w:val="center"/>
                </w:tcPr>
                <w:p w14:paraId="59662E9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其他</w:t>
                  </w:r>
                </w:p>
              </w:tc>
              <w:tc>
                <w:tcPr>
                  <w:tcW w:w="954" w:type="dxa"/>
                  <w:tcBorders>
                    <w:tl2br w:val="nil"/>
                    <w:tr2bl w:val="nil"/>
                  </w:tcBorders>
                  <w:vAlign w:val="center"/>
                </w:tcPr>
                <w:p w14:paraId="7A63AFAE">
                  <w:pPr>
                    <w:pStyle w:val="60"/>
                    <w:rPr>
                      <w:rFonts w:hint="eastAsia"/>
                      <w:b w:val="0"/>
                      <w:bCs w:val="0"/>
                      <w:color w:val="auto"/>
                      <w:sz w:val="18"/>
                      <w:szCs w:val="18"/>
                    </w:rPr>
                  </w:pPr>
                  <w:r>
                    <w:rPr>
                      <w:rFonts w:hint="eastAsia"/>
                      <w:color w:val="auto"/>
                      <w:sz w:val="18"/>
                      <w:szCs w:val="18"/>
                    </w:rPr>
                    <w:t>●</w:t>
                  </w:r>
                </w:p>
              </w:tc>
            </w:tr>
            <w:tr w14:paraId="1BF77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22E35A0A">
                  <w:pPr>
                    <w:pStyle w:val="60"/>
                    <w:rPr>
                      <w:rFonts w:hint="eastAsia"/>
                      <w:b w:val="0"/>
                      <w:bCs w:val="0"/>
                      <w:color w:val="auto"/>
                      <w:sz w:val="18"/>
                      <w:szCs w:val="18"/>
                    </w:rPr>
                  </w:pPr>
                </w:p>
              </w:tc>
              <w:tc>
                <w:tcPr>
                  <w:tcW w:w="1845" w:type="dxa"/>
                  <w:tcBorders>
                    <w:tl2br w:val="nil"/>
                    <w:tr2bl w:val="nil"/>
                  </w:tcBorders>
                  <w:vAlign w:val="center"/>
                </w:tcPr>
                <w:p w14:paraId="1DD1250E">
                  <w:pPr>
                    <w:pStyle w:val="60"/>
                    <w:rPr>
                      <w:rFonts w:hint="eastAsia"/>
                      <w:b w:val="0"/>
                      <w:bCs w:val="0"/>
                      <w:color w:val="auto"/>
                      <w:sz w:val="18"/>
                      <w:szCs w:val="18"/>
                    </w:rPr>
                  </w:pPr>
                  <w:r>
                    <w:rPr>
                      <w:rFonts w:hint="eastAsia"/>
                      <w:b w:val="0"/>
                      <w:bCs w:val="0"/>
                      <w:color w:val="auto"/>
                      <w:sz w:val="18"/>
                      <w:szCs w:val="18"/>
                    </w:rPr>
                    <w:t>C36汽车制造业</w:t>
                  </w:r>
                </w:p>
              </w:tc>
              <w:tc>
                <w:tcPr>
                  <w:tcW w:w="1965" w:type="dxa"/>
                  <w:tcBorders>
                    <w:tl2br w:val="nil"/>
                    <w:tr2bl w:val="nil"/>
                  </w:tcBorders>
                  <w:vAlign w:val="center"/>
                </w:tcPr>
                <w:p w14:paraId="62762F4D">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C361～C367</w:t>
                  </w:r>
                </w:p>
              </w:tc>
              <w:tc>
                <w:tcPr>
                  <w:tcW w:w="2650" w:type="dxa"/>
                  <w:tcBorders>
                    <w:tl2br w:val="nil"/>
                    <w:tr2bl w:val="nil"/>
                  </w:tcBorders>
                  <w:vAlign w:val="center"/>
                </w:tcPr>
                <w:p w14:paraId="73B0FF2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全部</w:t>
                  </w:r>
                </w:p>
              </w:tc>
              <w:tc>
                <w:tcPr>
                  <w:tcW w:w="954" w:type="dxa"/>
                  <w:tcBorders>
                    <w:tl2br w:val="nil"/>
                    <w:tr2bl w:val="nil"/>
                  </w:tcBorders>
                  <w:vAlign w:val="center"/>
                </w:tcPr>
                <w:p w14:paraId="10F30819">
                  <w:pPr>
                    <w:pStyle w:val="60"/>
                    <w:rPr>
                      <w:rFonts w:hint="eastAsia"/>
                      <w:b w:val="0"/>
                      <w:bCs w:val="0"/>
                      <w:color w:val="auto"/>
                      <w:sz w:val="18"/>
                      <w:szCs w:val="18"/>
                    </w:rPr>
                  </w:pPr>
                  <w:r>
                    <w:rPr>
                      <w:rFonts w:hint="eastAsia"/>
                      <w:color w:val="auto"/>
                      <w:sz w:val="18"/>
                      <w:szCs w:val="18"/>
                    </w:rPr>
                    <w:t>★</w:t>
                  </w:r>
                </w:p>
              </w:tc>
            </w:tr>
            <w:tr w14:paraId="500BE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79B87E28">
                  <w:pPr>
                    <w:pStyle w:val="60"/>
                    <w:rPr>
                      <w:rFonts w:hint="eastAsia"/>
                      <w:b w:val="0"/>
                      <w:bCs w:val="0"/>
                      <w:color w:val="auto"/>
                      <w:sz w:val="18"/>
                      <w:szCs w:val="18"/>
                    </w:rPr>
                  </w:pPr>
                </w:p>
              </w:tc>
              <w:tc>
                <w:tcPr>
                  <w:tcW w:w="1845" w:type="dxa"/>
                  <w:tcBorders>
                    <w:tl2br w:val="nil"/>
                    <w:tr2bl w:val="nil"/>
                  </w:tcBorders>
                  <w:vAlign w:val="center"/>
                </w:tcPr>
                <w:p w14:paraId="6B1F88FF">
                  <w:pPr>
                    <w:pStyle w:val="60"/>
                    <w:rPr>
                      <w:rFonts w:hint="eastAsia"/>
                      <w:b w:val="0"/>
                      <w:bCs w:val="0"/>
                      <w:color w:val="auto"/>
                      <w:sz w:val="18"/>
                      <w:szCs w:val="18"/>
                    </w:rPr>
                  </w:pPr>
                  <w:r>
                    <w:rPr>
                      <w:rFonts w:hint="eastAsia"/>
                      <w:b w:val="0"/>
                      <w:bCs w:val="0"/>
                      <w:color w:val="auto"/>
                      <w:sz w:val="18"/>
                      <w:szCs w:val="18"/>
                    </w:rPr>
                    <w:t>C37铁路、船舶、航空航天和其他运输设备制造业</w:t>
                  </w:r>
                </w:p>
              </w:tc>
              <w:tc>
                <w:tcPr>
                  <w:tcW w:w="1965" w:type="dxa"/>
                  <w:tcBorders>
                    <w:tl2br w:val="nil"/>
                    <w:tr2bl w:val="nil"/>
                  </w:tcBorders>
                  <w:vAlign w:val="center"/>
                </w:tcPr>
                <w:p w14:paraId="7FAC8B87">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C371～C379</w:t>
                  </w:r>
                </w:p>
              </w:tc>
              <w:tc>
                <w:tcPr>
                  <w:tcW w:w="2650" w:type="dxa"/>
                  <w:tcBorders>
                    <w:tl2br w:val="nil"/>
                    <w:tr2bl w:val="nil"/>
                  </w:tcBorders>
                  <w:shd w:val="clear" w:color="auto" w:fill="auto"/>
                  <w:vAlign w:val="center"/>
                </w:tcPr>
                <w:p w14:paraId="723DE45F">
                  <w:pPr>
                    <w:pStyle w:val="60"/>
                    <w:rPr>
                      <w:rFonts w:hint="eastAsia" w:ascii="Times New Roman" w:hAnsi="Times New Roman" w:eastAsia="宋体" w:cs="Times New Roman"/>
                      <w:b w:val="0"/>
                      <w:bCs w:val="0"/>
                      <w:color w:val="auto"/>
                      <w:kern w:val="2"/>
                      <w:sz w:val="18"/>
                      <w:szCs w:val="18"/>
                      <w:lang w:val="en-US" w:eastAsia="zh-CN" w:bidi="ar-SA"/>
                    </w:rPr>
                  </w:pPr>
                  <w:r>
                    <w:rPr>
                      <w:rFonts w:hint="eastAsia"/>
                      <w:b w:val="0"/>
                      <w:bCs w:val="0"/>
                      <w:color w:val="auto"/>
                      <w:sz w:val="18"/>
                      <w:szCs w:val="18"/>
                      <w:lang w:val="en-US" w:eastAsia="zh-CN"/>
                    </w:rPr>
                    <w:t>全部</w:t>
                  </w:r>
                </w:p>
              </w:tc>
              <w:tc>
                <w:tcPr>
                  <w:tcW w:w="954" w:type="dxa"/>
                  <w:tcBorders>
                    <w:tl2br w:val="nil"/>
                    <w:tr2bl w:val="nil"/>
                  </w:tcBorders>
                  <w:shd w:val="clear" w:color="auto" w:fill="auto"/>
                  <w:vAlign w:val="center"/>
                </w:tcPr>
                <w:p w14:paraId="373ADBD0">
                  <w:pPr>
                    <w:pStyle w:val="60"/>
                    <w:rPr>
                      <w:rFonts w:hint="eastAsia" w:ascii="Times New Roman" w:hAnsi="Times New Roman" w:eastAsia="宋体" w:cs="Times New Roman"/>
                      <w:b w:val="0"/>
                      <w:bCs w:val="0"/>
                      <w:color w:val="auto"/>
                      <w:kern w:val="2"/>
                      <w:sz w:val="18"/>
                      <w:szCs w:val="18"/>
                      <w:lang w:val="zh-CN" w:eastAsia="zh-CN" w:bidi="ar-SA"/>
                    </w:rPr>
                  </w:pPr>
                  <w:r>
                    <w:rPr>
                      <w:rFonts w:hint="eastAsia"/>
                      <w:color w:val="auto"/>
                      <w:sz w:val="18"/>
                      <w:szCs w:val="18"/>
                    </w:rPr>
                    <w:t>★</w:t>
                  </w:r>
                </w:p>
              </w:tc>
            </w:tr>
            <w:tr w14:paraId="0C9A9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08F157A2">
                  <w:pPr>
                    <w:pStyle w:val="60"/>
                    <w:rPr>
                      <w:rFonts w:hint="eastAsia"/>
                      <w:b w:val="0"/>
                      <w:bCs w:val="0"/>
                      <w:color w:val="auto"/>
                      <w:sz w:val="18"/>
                      <w:szCs w:val="18"/>
                    </w:rPr>
                  </w:pPr>
                </w:p>
              </w:tc>
              <w:tc>
                <w:tcPr>
                  <w:tcW w:w="1845" w:type="dxa"/>
                  <w:tcBorders>
                    <w:tl2br w:val="nil"/>
                    <w:tr2bl w:val="nil"/>
                  </w:tcBorders>
                  <w:vAlign w:val="center"/>
                </w:tcPr>
                <w:p w14:paraId="5B9E161F">
                  <w:pPr>
                    <w:pStyle w:val="60"/>
                    <w:rPr>
                      <w:rFonts w:hint="eastAsia"/>
                      <w:b w:val="0"/>
                      <w:bCs w:val="0"/>
                      <w:color w:val="auto"/>
                      <w:sz w:val="18"/>
                      <w:szCs w:val="18"/>
                    </w:rPr>
                  </w:pPr>
                  <w:r>
                    <w:rPr>
                      <w:rFonts w:hint="eastAsia"/>
                      <w:b w:val="0"/>
                      <w:bCs w:val="0"/>
                      <w:color w:val="auto"/>
                      <w:sz w:val="18"/>
                      <w:szCs w:val="18"/>
                    </w:rPr>
                    <w:t>C38 电气机械和器材制造业</w:t>
                  </w:r>
                </w:p>
              </w:tc>
              <w:tc>
                <w:tcPr>
                  <w:tcW w:w="1965" w:type="dxa"/>
                  <w:tcBorders>
                    <w:tl2br w:val="nil"/>
                    <w:tr2bl w:val="nil"/>
                  </w:tcBorders>
                  <w:vAlign w:val="center"/>
                </w:tcPr>
                <w:p w14:paraId="6BB060F2">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C381～C389</w:t>
                  </w:r>
                </w:p>
              </w:tc>
              <w:tc>
                <w:tcPr>
                  <w:tcW w:w="2650" w:type="dxa"/>
                  <w:tcBorders>
                    <w:tl2br w:val="nil"/>
                    <w:tr2bl w:val="nil"/>
                  </w:tcBorders>
                  <w:shd w:val="clear" w:color="auto" w:fill="auto"/>
                  <w:vAlign w:val="center"/>
                </w:tcPr>
                <w:p w14:paraId="3EA6723F">
                  <w:pPr>
                    <w:pStyle w:val="60"/>
                    <w:rPr>
                      <w:rFonts w:hint="default"/>
                      <w:b w:val="0"/>
                      <w:bCs w:val="0"/>
                      <w:color w:val="auto"/>
                      <w:sz w:val="18"/>
                      <w:szCs w:val="18"/>
                      <w:lang w:val="en-US" w:eastAsia="zh-CN"/>
                    </w:rPr>
                  </w:pPr>
                  <w:r>
                    <w:rPr>
                      <w:rFonts w:hint="eastAsia"/>
                      <w:b w:val="0"/>
                      <w:bCs w:val="0"/>
                      <w:color w:val="auto"/>
                      <w:sz w:val="18"/>
                      <w:szCs w:val="18"/>
                      <w:lang w:val="en-US" w:eastAsia="zh-CN"/>
                    </w:rPr>
                    <w:t>全部</w:t>
                  </w:r>
                </w:p>
              </w:tc>
              <w:tc>
                <w:tcPr>
                  <w:tcW w:w="954" w:type="dxa"/>
                  <w:tcBorders>
                    <w:tl2br w:val="nil"/>
                    <w:tr2bl w:val="nil"/>
                  </w:tcBorders>
                  <w:shd w:val="clear" w:color="auto" w:fill="auto"/>
                  <w:vAlign w:val="center"/>
                </w:tcPr>
                <w:p w14:paraId="6BD3B68F">
                  <w:pPr>
                    <w:pStyle w:val="60"/>
                    <w:rPr>
                      <w:rFonts w:hint="eastAsia"/>
                      <w:color w:val="auto"/>
                      <w:sz w:val="18"/>
                      <w:szCs w:val="18"/>
                    </w:rPr>
                  </w:pPr>
                  <w:r>
                    <w:rPr>
                      <w:rFonts w:hint="eastAsia"/>
                      <w:color w:val="auto"/>
                      <w:sz w:val="18"/>
                      <w:szCs w:val="18"/>
                    </w:rPr>
                    <w:t>●</w:t>
                  </w:r>
                </w:p>
              </w:tc>
            </w:tr>
            <w:tr w14:paraId="72DF5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32FDD077">
                  <w:pPr>
                    <w:pStyle w:val="60"/>
                    <w:rPr>
                      <w:rFonts w:hint="eastAsia"/>
                      <w:b w:val="0"/>
                      <w:bCs w:val="0"/>
                      <w:color w:val="auto"/>
                      <w:sz w:val="18"/>
                      <w:szCs w:val="18"/>
                    </w:rPr>
                  </w:pPr>
                </w:p>
              </w:tc>
              <w:tc>
                <w:tcPr>
                  <w:tcW w:w="6460" w:type="dxa"/>
                  <w:gridSpan w:val="3"/>
                  <w:tcBorders>
                    <w:tl2br w:val="nil"/>
                    <w:tr2bl w:val="nil"/>
                  </w:tcBorders>
                  <w:vAlign w:val="center"/>
                </w:tcPr>
                <w:p w14:paraId="5739125C">
                  <w:pPr>
                    <w:pStyle w:val="60"/>
                    <w:rPr>
                      <w:rFonts w:hint="eastAsia"/>
                      <w:b w:val="0"/>
                      <w:bCs w:val="0"/>
                      <w:color w:val="auto"/>
                      <w:sz w:val="18"/>
                      <w:szCs w:val="18"/>
                      <w:lang w:val="en-US" w:eastAsia="zh-CN"/>
                    </w:rPr>
                  </w:pPr>
                  <w:r>
                    <w:rPr>
                      <w:rFonts w:hint="eastAsia"/>
                      <w:b w:val="0"/>
                      <w:bCs w:val="0"/>
                      <w:color w:val="auto"/>
                      <w:sz w:val="18"/>
                      <w:szCs w:val="18"/>
                      <w:lang w:val="en-US" w:eastAsia="zh-CN"/>
                    </w:rPr>
                    <w:t>环土壤[2018]22 号文中的涉重金属重点行业中涉及一类重金属排放的项目</w:t>
                  </w:r>
                </w:p>
              </w:tc>
              <w:tc>
                <w:tcPr>
                  <w:tcW w:w="954" w:type="dxa"/>
                  <w:tcBorders>
                    <w:tl2br w:val="nil"/>
                    <w:tr2bl w:val="nil"/>
                  </w:tcBorders>
                  <w:shd w:val="clear" w:color="auto" w:fill="auto"/>
                  <w:vAlign w:val="center"/>
                </w:tcPr>
                <w:p w14:paraId="3DE1C453">
                  <w:pPr>
                    <w:pStyle w:val="60"/>
                    <w:rPr>
                      <w:rFonts w:hint="eastAsia"/>
                      <w:color w:val="auto"/>
                      <w:sz w:val="18"/>
                      <w:szCs w:val="18"/>
                    </w:rPr>
                  </w:pPr>
                  <w:r>
                    <w:rPr>
                      <w:rFonts w:hint="eastAsia"/>
                      <w:b/>
                      <w:bCs/>
                      <w:color w:val="auto"/>
                      <w:sz w:val="18"/>
                      <w:szCs w:val="18"/>
                    </w:rPr>
                    <w:t>×</w:t>
                  </w:r>
                </w:p>
              </w:tc>
            </w:tr>
            <w:tr w14:paraId="4FC9D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restart"/>
                  <w:tcBorders>
                    <w:tl2br w:val="nil"/>
                    <w:tr2bl w:val="nil"/>
                  </w:tcBorders>
                  <w:vAlign w:val="center"/>
                </w:tcPr>
                <w:p w14:paraId="50508C0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纸制品制造业</w:t>
                  </w:r>
                </w:p>
              </w:tc>
              <w:tc>
                <w:tcPr>
                  <w:tcW w:w="3810" w:type="dxa"/>
                  <w:gridSpan w:val="2"/>
                  <w:vMerge w:val="restart"/>
                  <w:tcBorders>
                    <w:tl2br w:val="nil"/>
                    <w:tr2bl w:val="nil"/>
                  </w:tcBorders>
                  <w:vAlign w:val="center"/>
                </w:tcPr>
                <w:p w14:paraId="29C64DD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C223纸制品制造业</w:t>
                  </w:r>
                </w:p>
              </w:tc>
              <w:tc>
                <w:tcPr>
                  <w:tcW w:w="2650" w:type="dxa"/>
                  <w:tcBorders>
                    <w:tl2br w:val="nil"/>
                    <w:tr2bl w:val="nil"/>
                  </w:tcBorders>
                  <w:vAlign w:val="center"/>
                </w:tcPr>
                <w:p w14:paraId="7788F65E">
                  <w:pPr>
                    <w:pStyle w:val="6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幅宽在</w:t>
                  </w:r>
                  <w:r>
                    <w:rPr>
                      <w:rFonts w:hint="default" w:eastAsia="宋体"/>
                      <w:b w:val="0"/>
                      <w:bCs w:val="0"/>
                      <w:color w:val="auto"/>
                      <w:sz w:val="18"/>
                      <w:szCs w:val="18"/>
                      <w:lang w:val="en-US" w:eastAsia="zh-CN"/>
                    </w:rPr>
                    <w:t>2</w:t>
                  </w:r>
                  <w:r>
                    <w:rPr>
                      <w:rFonts w:hint="eastAsia" w:eastAsia="宋体"/>
                      <w:b w:val="0"/>
                      <w:bCs w:val="0"/>
                      <w:color w:val="auto"/>
                      <w:sz w:val="18"/>
                      <w:szCs w:val="18"/>
                      <w:lang w:val="en-US" w:eastAsia="zh-CN"/>
                    </w:rPr>
                    <w:t>米及以下并且车速为</w:t>
                  </w:r>
                  <w:r>
                    <w:rPr>
                      <w:rFonts w:hint="default" w:eastAsia="宋体"/>
                      <w:b w:val="0"/>
                      <w:bCs w:val="0"/>
                      <w:color w:val="auto"/>
                      <w:sz w:val="18"/>
                      <w:szCs w:val="18"/>
                      <w:lang w:val="en-US" w:eastAsia="zh-CN"/>
                    </w:rPr>
                    <w:t>80</w:t>
                  </w:r>
                  <w:r>
                    <w:rPr>
                      <w:rFonts w:hint="eastAsia" w:eastAsia="宋体"/>
                      <w:b w:val="0"/>
                      <w:bCs w:val="0"/>
                      <w:color w:val="auto"/>
                      <w:sz w:val="18"/>
                      <w:szCs w:val="18"/>
                      <w:lang w:val="en-US" w:eastAsia="zh-CN"/>
                    </w:rPr>
                    <w:t>米</w:t>
                  </w:r>
                  <w:r>
                    <w:rPr>
                      <w:rFonts w:hint="default" w:eastAsia="宋体"/>
                      <w:b w:val="0"/>
                      <w:bCs w:val="0"/>
                      <w:color w:val="auto"/>
                      <w:sz w:val="18"/>
                      <w:szCs w:val="18"/>
                      <w:lang w:val="en-US" w:eastAsia="zh-CN"/>
                    </w:rPr>
                    <w:t>/</w:t>
                  </w:r>
                  <w:r>
                    <w:rPr>
                      <w:rFonts w:hint="eastAsia" w:eastAsia="宋体"/>
                      <w:b w:val="0"/>
                      <w:bCs w:val="0"/>
                      <w:color w:val="auto"/>
                      <w:sz w:val="18"/>
                      <w:szCs w:val="18"/>
                      <w:lang w:val="en-US" w:eastAsia="zh-CN"/>
                    </w:rPr>
                    <w:t>分以下的白板纸、箱板纸及瓦楞纸生产线</w:t>
                  </w:r>
                </w:p>
              </w:tc>
              <w:tc>
                <w:tcPr>
                  <w:tcW w:w="954" w:type="dxa"/>
                  <w:tcBorders>
                    <w:tl2br w:val="nil"/>
                    <w:tr2bl w:val="nil"/>
                  </w:tcBorders>
                  <w:shd w:val="clear" w:color="auto" w:fill="auto"/>
                  <w:vAlign w:val="center"/>
                </w:tcPr>
                <w:p w14:paraId="7C8C6955">
                  <w:pPr>
                    <w:pStyle w:val="60"/>
                    <w:rPr>
                      <w:rFonts w:hint="eastAsia" w:ascii="Times New Roman" w:hAnsi="Times New Roman" w:eastAsia="宋体" w:cs="Times New Roman"/>
                      <w:b w:val="0"/>
                      <w:bCs w:val="0"/>
                      <w:color w:val="auto"/>
                      <w:kern w:val="2"/>
                      <w:sz w:val="18"/>
                      <w:szCs w:val="18"/>
                      <w:lang w:val="zh-CN" w:eastAsia="zh-CN" w:bidi="ar-SA"/>
                    </w:rPr>
                  </w:pPr>
                  <w:r>
                    <w:rPr>
                      <w:rFonts w:hint="eastAsia"/>
                      <w:b/>
                      <w:bCs/>
                      <w:color w:val="auto"/>
                      <w:sz w:val="18"/>
                      <w:szCs w:val="18"/>
                    </w:rPr>
                    <w:t>×</w:t>
                  </w:r>
                </w:p>
              </w:tc>
            </w:tr>
            <w:tr w14:paraId="3780F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4EE37267">
                  <w:pPr>
                    <w:pStyle w:val="60"/>
                    <w:rPr>
                      <w:rFonts w:hint="eastAsia"/>
                      <w:b w:val="0"/>
                      <w:bCs w:val="0"/>
                      <w:color w:val="auto"/>
                      <w:sz w:val="18"/>
                      <w:szCs w:val="18"/>
                      <w:lang w:val="en-US" w:eastAsia="zh-CN"/>
                    </w:rPr>
                  </w:pPr>
                </w:p>
              </w:tc>
              <w:tc>
                <w:tcPr>
                  <w:tcW w:w="3810" w:type="dxa"/>
                  <w:gridSpan w:val="2"/>
                  <w:vMerge w:val="continue"/>
                  <w:tcBorders>
                    <w:tl2br w:val="nil"/>
                    <w:tr2bl w:val="nil"/>
                  </w:tcBorders>
                  <w:vAlign w:val="center"/>
                </w:tcPr>
                <w:p w14:paraId="6C67D84E">
                  <w:pPr>
                    <w:pStyle w:val="60"/>
                    <w:rPr>
                      <w:rFonts w:hint="eastAsia"/>
                      <w:b w:val="0"/>
                      <w:bCs w:val="0"/>
                      <w:color w:val="auto"/>
                      <w:sz w:val="18"/>
                      <w:szCs w:val="18"/>
                      <w:lang w:val="en-US" w:eastAsia="zh-CN"/>
                    </w:rPr>
                  </w:pPr>
                </w:p>
              </w:tc>
              <w:tc>
                <w:tcPr>
                  <w:tcW w:w="2650" w:type="dxa"/>
                  <w:tcBorders>
                    <w:tl2br w:val="nil"/>
                    <w:tr2bl w:val="nil"/>
                  </w:tcBorders>
                  <w:vAlign w:val="center"/>
                </w:tcPr>
                <w:p w14:paraId="0E29CA7D">
                  <w:pPr>
                    <w:pStyle w:val="60"/>
                    <w:rPr>
                      <w:rFonts w:hint="default" w:eastAsia="宋体"/>
                      <w:b w:val="0"/>
                      <w:bCs w:val="0"/>
                      <w:color w:val="auto"/>
                      <w:sz w:val="18"/>
                      <w:szCs w:val="18"/>
                      <w:lang w:val="en-US" w:eastAsia="zh-CN"/>
                    </w:rPr>
                  </w:pPr>
                  <w:r>
                    <w:rPr>
                      <w:rFonts w:hint="default" w:eastAsia="宋体"/>
                      <w:b w:val="0"/>
                      <w:bCs w:val="0"/>
                      <w:color w:val="auto"/>
                      <w:sz w:val="18"/>
                      <w:szCs w:val="18"/>
                      <w:lang w:val="en-US" w:eastAsia="zh-CN"/>
                    </w:rPr>
                    <w:t>含汞浆层纸</w:t>
                  </w:r>
                </w:p>
              </w:tc>
              <w:tc>
                <w:tcPr>
                  <w:tcW w:w="954" w:type="dxa"/>
                  <w:tcBorders>
                    <w:tl2br w:val="nil"/>
                    <w:tr2bl w:val="nil"/>
                  </w:tcBorders>
                  <w:shd w:val="clear" w:color="auto" w:fill="auto"/>
                  <w:vAlign w:val="center"/>
                </w:tcPr>
                <w:p w14:paraId="10075292">
                  <w:pPr>
                    <w:pStyle w:val="60"/>
                    <w:rPr>
                      <w:rFonts w:hint="eastAsia" w:ascii="Times New Roman" w:hAnsi="Times New Roman" w:eastAsia="宋体" w:cs="Times New Roman"/>
                      <w:b w:val="0"/>
                      <w:bCs w:val="0"/>
                      <w:color w:val="auto"/>
                      <w:kern w:val="2"/>
                      <w:sz w:val="18"/>
                      <w:szCs w:val="18"/>
                      <w:lang w:val="zh-CN" w:eastAsia="zh-CN" w:bidi="ar-SA"/>
                    </w:rPr>
                  </w:pPr>
                  <w:r>
                    <w:rPr>
                      <w:rFonts w:hint="eastAsia"/>
                      <w:b/>
                      <w:bCs/>
                      <w:color w:val="auto"/>
                      <w:sz w:val="18"/>
                      <w:szCs w:val="18"/>
                    </w:rPr>
                    <w:t>×</w:t>
                  </w:r>
                </w:p>
              </w:tc>
            </w:tr>
            <w:tr w14:paraId="6833F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955" w:type="dxa"/>
                  <w:vMerge w:val="continue"/>
                  <w:tcBorders>
                    <w:tl2br w:val="nil"/>
                    <w:tr2bl w:val="nil"/>
                  </w:tcBorders>
                  <w:vAlign w:val="center"/>
                </w:tcPr>
                <w:p w14:paraId="69ACADD6">
                  <w:pPr>
                    <w:pStyle w:val="60"/>
                    <w:rPr>
                      <w:rFonts w:hint="eastAsia"/>
                      <w:b w:val="0"/>
                      <w:bCs w:val="0"/>
                      <w:color w:val="auto"/>
                      <w:sz w:val="18"/>
                      <w:szCs w:val="18"/>
                    </w:rPr>
                  </w:pPr>
                </w:p>
              </w:tc>
              <w:tc>
                <w:tcPr>
                  <w:tcW w:w="3810" w:type="dxa"/>
                  <w:gridSpan w:val="2"/>
                  <w:vMerge w:val="continue"/>
                  <w:tcBorders>
                    <w:tl2br w:val="nil"/>
                    <w:tr2bl w:val="nil"/>
                  </w:tcBorders>
                  <w:vAlign w:val="center"/>
                </w:tcPr>
                <w:p w14:paraId="79A8F47E">
                  <w:pPr>
                    <w:pStyle w:val="60"/>
                    <w:rPr>
                      <w:rFonts w:hint="eastAsia"/>
                      <w:b w:val="0"/>
                      <w:bCs w:val="0"/>
                      <w:color w:val="auto"/>
                      <w:sz w:val="18"/>
                      <w:szCs w:val="18"/>
                    </w:rPr>
                  </w:pPr>
                </w:p>
              </w:tc>
              <w:tc>
                <w:tcPr>
                  <w:tcW w:w="2650" w:type="dxa"/>
                  <w:tcBorders>
                    <w:tl2br w:val="nil"/>
                    <w:tr2bl w:val="nil"/>
                  </w:tcBorders>
                  <w:vAlign w:val="center"/>
                </w:tcPr>
                <w:p w14:paraId="0E166AB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其他</w:t>
                  </w:r>
                </w:p>
              </w:tc>
              <w:tc>
                <w:tcPr>
                  <w:tcW w:w="954" w:type="dxa"/>
                  <w:tcBorders>
                    <w:tl2br w:val="nil"/>
                    <w:tr2bl w:val="nil"/>
                  </w:tcBorders>
                  <w:shd w:val="clear" w:color="auto" w:fill="auto"/>
                  <w:vAlign w:val="center"/>
                </w:tcPr>
                <w:p w14:paraId="35D2A32B">
                  <w:pPr>
                    <w:pStyle w:val="60"/>
                    <w:rPr>
                      <w:rFonts w:hint="eastAsia" w:ascii="Times New Roman" w:hAnsi="Times New Roman" w:eastAsia="宋体" w:cs="Times New Roman"/>
                      <w:b w:val="0"/>
                      <w:bCs w:val="0"/>
                      <w:color w:val="auto"/>
                      <w:kern w:val="2"/>
                      <w:sz w:val="18"/>
                      <w:szCs w:val="18"/>
                      <w:lang w:val="zh-CN" w:eastAsia="zh-CN" w:bidi="ar-SA"/>
                    </w:rPr>
                  </w:pPr>
                  <w:r>
                    <w:rPr>
                      <w:rFonts w:hint="eastAsia"/>
                      <w:color w:val="auto"/>
                      <w:sz w:val="18"/>
                      <w:szCs w:val="18"/>
                    </w:rPr>
                    <w:t>★</w:t>
                  </w:r>
                </w:p>
              </w:tc>
            </w:tr>
            <w:tr w14:paraId="6B79F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369" w:type="dxa"/>
                  <w:gridSpan w:val="5"/>
                  <w:tcBorders>
                    <w:tl2br w:val="nil"/>
                    <w:tr2bl w:val="nil"/>
                  </w:tcBorders>
                  <w:vAlign w:val="center"/>
                </w:tcPr>
                <w:p w14:paraId="73F95257">
                  <w:pPr>
                    <w:pStyle w:val="60"/>
                    <w:jc w:val="both"/>
                    <w:rPr>
                      <w:rFonts w:hint="eastAsia"/>
                      <w:color w:val="auto"/>
                      <w:sz w:val="18"/>
                      <w:szCs w:val="18"/>
                      <w:lang w:eastAsia="zh-CN"/>
                    </w:rPr>
                  </w:pPr>
                  <w:r>
                    <w:rPr>
                      <w:rFonts w:hint="eastAsia"/>
                      <w:color w:val="auto"/>
                      <w:sz w:val="18"/>
                      <w:szCs w:val="18"/>
                    </w:rPr>
                    <w:t>注：</w:t>
                  </w:r>
                  <w:r>
                    <w:rPr>
                      <w:rFonts w:hint="eastAsia"/>
                      <w:color w:val="auto"/>
                      <w:sz w:val="18"/>
                      <w:szCs w:val="18"/>
                      <w:lang w:val="en-US" w:eastAsia="zh-CN"/>
                    </w:rPr>
                    <w:t>1、</w:t>
                  </w:r>
                  <w:r>
                    <w:rPr>
                      <w:rFonts w:hint="eastAsia"/>
                      <w:color w:val="auto"/>
                      <w:sz w:val="18"/>
                      <w:szCs w:val="18"/>
                    </w:rPr>
                    <w:t>★一优先进入行业；●一准许进入行业；▲一控制进入行业；×一禁止进入行业</w:t>
                  </w:r>
                  <w:r>
                    <w:rPr>
                      <w:rFonts w:hint="eastAsia"/>
                      <w:color w:val="auto"/>
                      <w:sz w:val="18"/>
                      <w:szCs w:val="18"/>
                      <w:lang w:eastAsia="zh-CN"/>
                    </w:rPr>
                    <w:t>；</w:t>
                  </w:r>
                </w:p>
                <w:p w14:paraId="1C2C27A6">
                  <w:pPr>
                    <w:pStyle w:val="60"/>
                    <w:ind w:firstLine="360" w:firstLineChars="200"/>
                    <w:jc w:val="both"/>
                    <w:rPr>
                      <w:rFonts w:hint="default"/>
                      <w:color w:val="auto"/>
                      <w:sz w:val="18"/>
                      <w:szCs w:val="18"/>
                      <w:lang w:val="en-US" w:eastAsia="zh-CN"/>
                    </w:rPr>
                  </w:pPr>
                  <w:r>
                    <w:rPr>
                      <w:rFonts w:hint="eastAsia"/>
                      <w:color w:val="auto"/>
                      <w:sz w:val="18"/>
                      <w:szCs w:val="18"/>
                      <w:lang w:val="en-US" w:eastAsia="zh-CN"/>
                    </w:rPr>
                    <w:t>2、控制进入行业在落实相关政策要求的前提下可以进入；</w:t>
                  </w:r>
                </w:p>
                <w:p w14:paraId="58FEE3A5">
                  <w:pPr>
                    <w:pStyle w:val="60"/>
                    <w:ind w:firstLine="360" w:firstLineChars="200"/>
                    <w:jc w:val="both"/>
                    <w:rPr>
                      <w:rFonts w:hint="default"/>
                      <w:color w:val="auto"/>
                      <w:sz w:val="18"/>
                      <w:szCs w:val="18"/>
                      <w:lang w:val="en-US" w:eastAsia="zh-CN"/>
                    </w:rPr>
                  </w:pPr>
                  <w:r>
                    <w:rPr>
                      <w:rFonts w:hint="eastAsia"/>
                      <w:color w:val="auto"/>
                      <w:sz w:val="18"/>
                      <w:szCs w:val="18"/>
                      <w:lang w:val="en-US" w:eastAsia="zh-CN"/>
                    </w:rPr>
                    <w:t>3、考虑集聚区内现状化学原料和化学制品制造业、原油加工及石油制品制造业产值所占比重较大，为了实现集聚区内工业发展平稳过渡，现状化学原料和化学制品制造业、原油加工及石油制品制造业可在符合鲁工信发[2022]5号文等相关文件要求的前提下高质高效发展。</w:t>
                  </w:r>
                </w:p>
              </w:tc>
            </w:tr>
          </w:tbl>
          <w:p w14:paraId="2F71AFE2">
            <w:pPr>
              <w:autoSpaceDE w:val="0"/>
              <w:autoSpaceDN w:val="0"/>
              <w:adjustRightInd w:val="0"/>
              <w:snapToGrid w:val="0"/>
              <w:spacing w:line="480" w:lineRule="exact"/>
              <w:ind w:firstLine="422" w:firstLineChars="200"/>
              <w:rPr>
                <w:rFonts w:hint="eastAsia"/>
                <w:color w:val="auto"/>
                <w:lang w:val="en-US" w:eastAsia="zh-CN"/>
              </w:rPr>
            </w:pPr>
            <w:r>
              <w:rPr>
                <w:rFonts w:hint="eastAsia"/>
                <w:b/>
                <w:bCs/>
                <w:color w:val="auto"/>
                <w:lang w:val="en-US" w:eastAsia="zh-CN"/>
              </w:rPr>
              <w:t>行业准入控制的说明</w:t>
            </w:r>
            <w:r>
              <w:rPr>
                <w:rFonts w:hint="eastAsia"/>
                <w:color w:val="auto"/>
                <w:lang w:val="en-US" w:eastAsia="zh-CN"/>
              </w:rPr>
              <w:t>——除表中列出的具体行业外，其他国家产业政策鼓励的高新技术产业可视情况具体分析确定是否允许准入，优先进入行业还包括以下五个原则：</w:t>
            </w:r>
          </w:p>
          <w:p w14:paraId="5D5CB8E9">
            <w:pPr>
              <w:autoSpaceDE w:val="0"/>
              <w:autoSpaceDN w:val="0"/>
              <w:adjustRightInd w:val="0"/>
              <w:snapToGrid w:val="0"/>
              <w:spacing w:line="480" w:lineRule="exact"/>
              <w:ind w:firstLine="420" w:firstLineChars="200"/>
              <w:rPr>
                <w:rFonts w:hint="default"/>
                <w:color w:val="auto"/>
                <w:lang w:val="en-US" w:eastAsia="zh-CN"/>
              </w:rPr>
            </w:pPr>
            <w:r>
              <w:rPr>
                <w:rFonts w:hint="eastAsia"/>
                <w:color w:val="auto"/>
                <w:lang w:val="en-US" w:eastAsia="zh-CN"/>
              </w:rPr>
              <w:t>1、能提升规划区域内产业结构；2、有助于形成区域性产业链；3、适于区域产业特点；4、改善环保设施运行情况；5、能有效提高资源利用率。除表中列出的禁止进入行业外，其他国家产业政策禁止类的行业一律禁止进入集聚区。</w:t>
            </w:r>
          </w:p>
          <w:p w14:paraId="0D0EDAC6">
            <w:pPr>
              <w:autoSpaceDE w:val="0"/>
              <w:autoSpaceDN w:val="0"/>
              <w:adjustRightInd w:val="0"/>
              <w:snapToGrid w:val="0"/>
              <w:spacing w:line="480" w:lineRule="exact"/>
              <w:ind w:firstLine="420" w:firstLineChars="200"/>
              <w:rPr>
                <w:rFonts w:hint="default"/>
                <w:color w:val="auto"/>
                <w:lang w:val="en-US" w:eastAsia="zh-CN"/>
              </w:rPr>
            </w:pPr>
            <w:r>
              <w:rPr>
                <w:rFonts w:hint="eastAsia"/>
                <w:color w:val="auto"/>
                <w:lang w:val="en-US" w:eastAsia="zh-CN"/>
              </w:rPr>
              <w:t>工业集聚区发展过程中应兼顾当前与长远，要坚持从实际出发，先立后破、因地制宜、分类指导，根据本地的资源禀赋、产业基础、科研条件等，用新技术改造提升传统产业，加快向产业链价值链高端延伸，规划立足协调主导产业与传统产业的关系，避免“未立先破”或“只破不立”，确保经济社会的稳定发展和可持续发展。</w:t>
            </w:r>
          </w:p>
          <w:p w14:paraId="43A46834">
            <w:pPr>
              <w:autoSpaceDE w:val="0"/>
              <w:autoSpaceDN w:val="0"/>
              <w:adjustRightInd w:val="0"/>
              <w:snapToGrid w:val="0"/>
              <w:spacing w:line="480" w:lineRule="exact"/>
              <w:ind w:firstLine="420" w:firstLineChars="200"/>
              <w:rPr>
                <w:rFonts w:hint="eastAsia"/>
                <w:color w:val="auto"/>
                <w:lang w:val="en-US" w:eastAsia="zh-CN"/>
              </w:rPr>
            </w:pPr>
            <w:r>
              <w:rPr>
                <w:rFonts w:hint="eastAsia"/>
                <w:color w:val="auto"/>
                <w:lang w:val="en-US" w:eastAsia="zh-CN"/>
              </w:rPr>
              <w:t>其他产业在不与集聚区规划开发条件相违背、符合产业政策、行业规划、环保政策，且对环境影响可接受的情况下可适当考虑进入。</w:t>
            </w:r>
          </w:p>
          <w:p w14:paraId="59721428">
            <w:pPr>
              <w:autoSpaceDE w:val="0"/>
              <w:autoSpaceDN w:val="0"/>
              <w:adjustRightInd w:val="0"/>
              <w:snapToGrid w:val="0"/>
              <w:spacing w:line="480" w:lineRule="exact"/>
              <w:ind w:firstLine="420" w:firstLineChars="200"/>
              <w:rPr>
                <w:rFonts w:hint="eastAsia"/>
                <w:color w:val="auto"/>
                <w:lang w:val="en-US" w:eastAsia="zh-CN"/>
              </w:rPr>
            </w:pPr>
            <w:r>
              <w:rPr>
                <w:rFonts w:hint="eastAsia"/>
                <w:color w:val="auto"/>
                <w:szCs w:val="21"/>
                <w:lang w:val="en-US" w:eastAsia="zh-CN"/>
              </w:rPr>
              <w:t>山东诚光工贸</w:t>
            </w:r>
            <w:r>
              <w:rPr>
                <w:rFonts w:hint="eastAsia"/>
                <w:color w:val="auto"/>
                <w:szCs w:val="21"/>
              </w:rPr>
              <w:t>有限公司属于园区现有</w:t>
            </w:r>
            <w:r>
              <w:rPr>
                <w:rFonts w:hint="eastAsia"/>
                <w:color w:val="auto"/>
                <w:szCs w:val="21"/>
                <w:lang w:val="en-US" w:eastAsia="zh-CN"/>
              </w:rPr>
              <w:t>基础化学原料制造</w:t>
            </w:r>
            <w:r>
              <w:rPr>
                <w:rFonts w:hint="eastAsia"/>
                <w:color w:val="auto"/>
                <w:szCs w:val="21"/>
              </w:rPr>
              <w:t>企业，本项目</w:t>
            </w:r>
            <w:r>
              <w:rPr>
                <w:rFonts w:hint="eastAsia"/>
                <w:color w:val="auto"/>
                <w:szCs w:val="21"/>
                <w:lang w:val="en-US" w:eastAsia="zh-CN"/>
              </w:rPr>
              <w:t>为原料、产品罐区安全环保提升技术改造项目</w:t>
            </w:r>
            <w:r>
              <w:rPr>
                <w:rFonts w:hint="eastAsia"/>
                <w:color w:val="auto"/>
                <w:szCs w:val="21"/>
              </w:rPr>
              <w:t>，</w:t>
            </w:r>
            <w:r>
              <w:rPr>
                <w:rFonts w:hint="eastAsia"/>
                <w:color w:val="auto"/>
                <w:szCs w:val="21"/>
                <w:lang w:val="en-US" w:eastAsia="zh-CN"/>
              </w:rPr>
              <w:t>属于山东诚光工贸</w:t>
            </w:r>
            <w:r>
              <w:rPr>
                <w:rFonts w:hint="eastAsia"/>
                <w:color w:val="auto"/>
                <w:szCs w:val="21"/>
              </w:rPr>
              <w:t>有限公司</w:t>
            </w:r>
            <w:r>
              <w:rPr>
                <w:rFonts w:hint="eastAsia"/>
                <w:color w:val="auto"/>
                <w:szCs w:val="21"/>
                <w:lang w:val="en-US" w:eastAsia="zh-CN"/>
              </w:rPr>
              <w:t>现有生产装置配套储运工程的安全环保提升改造，行业类别为G5942危险化学品仓储，</w:t>
            </w:r>
            <w:r>
              <w:rPr>
                <w:rFonts w:hint="eastAsia"/>
                <w:color w:val="auto"/>
                <w:szCs w:val="21"/>
              </w:rPr>
              <w:t>不属于《产业结构调整指导目录(2024年本)》中的鼓励类、限制类及淘汰类项目，属于允许类项目</w:t>
            </w:r>
            <w:r>
              <w:rPr>
                <w:rFonts w:hint="eastAsia"/>
                <w:color w:val="auto"/>
                <w:szCs w:val="21"/>
                <w:lang w:eastAsia="zh-CN"/>
              </w:rPr>
              <w:t>。</w:t>
            </w:r>
            <w:r>
              <w:rPr>
                <w:rFonts w:hint="eastAsia"/>
                <w:color w:val="auto"/>
                <w:szCs w:val="21"/>
              </w:rPr>
              <w:t>项目已完成备案，项目代码：</w:t>
            </w:r>
            <w:r>
              <w:rPr>
                <w:rFonts w:hint="eastAsia"/>
                <w:color w:val="auto"/>
                <w:szCs w:val="21"/>
                <w:lang w:val="en-US" w:eastAsia="zh-CN"/>
              </w:rPr>
              <w:t>2512-370305-89-02-111832</w:t>
            </w:r>
            <w:r>
              <w:rPr>
                <w:rFonts w:hint="eastAsia"/>
                <w:color w:val="auto"/>
                <w:szCs w:val="21"/>
              </w:rPr>
              <w:t>，所用设备不含限制与淘汰设备，项目建设符合国家产业政策。本项目属于园区现有企业在符合产业政策和环保政策前提下的高质高效发展</w:t>
            </w:r>
            <w:r>
              <w:rPr>
                <w:rFonts w:hint="eastAsia"/>
                <w:color w:val="auto"/>
                <w:lang w:val="en-US" w:eastAsia="zh-CN"/>
              </w:rPr>
              <w:t>；同时，项目的建设符合鲁工信发[2022]5号文要求（见下文表1-6）。综上所述，项目建设符合朱台镇工业集聚区产业定位，可以进入朱台镇工业集聚区。</w:t>
            </w:r>
          </w:p>
          <w:p w14:paraId="76AFDE8A">
            <w:pPr>
              <w:rPr>
                <w:color w:val="auto"/>
              </w:rPr>
            </w:pPr>
          </w:p>
        </w:tc>
      </w:tr>
      <w:tr w14:paraId="48049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9" w:hRule="atLeast"/>
          <w:jc w:val="center"/>
        </w:trPr>
        <w:tc>
          <w:tcPr>
            <w:tcW w:w="570" w:type="pct"/>
            <w:vAlign w:val="center"/>
          </w:tcPr>
          <w:p w14:paraId="137D5E1F">
            <w:pPr>
              <w:autoSpaceDE w:val="0"/>
              <w:autoSpaceDN w:val="0"/>
              <w:adjustRightInd w:val="0"/>
              <w:snapToGrid w:val="0"/>
              <w:jc w:val="center"/>
              <w:rPr>
                <w:color w:val="auto"/>
                <w:kern w:val="0"/>
                <w:szCs w:val="21"/>
              </w:rPr>
            </w:pPr>
            <w:r>
              <w:rPr>
                <w:color w:val="auto"/>
                <w:kern w:val="0"/>
                <w:szCs w:val="21"/>
              </w:rPr>
              <w:t>其他符合性分析</w:t>
            </w:r>
          </w:p>
        </w:tc>
        <w:tc>
          <w:tcPr>
            <w:tcW w:w="4429" w:type="pct"/>
            <w:gridSpan w:val="4"/>
            <w:vAlign w:val="center"/>
          </w:tcPr>
          <w:p w14:paraId="4B90991D">
            <w:pPr>
              <w:autoSpaceDE w:val="0"/>
              <w:autoSpaceDN w:val="0"/>
              <w:adjustRightInd w:val="0"/>
              <w:snapToGrid w:val="0"/>
              <w:spacing w:line="440" w:lineRule="exact"/>
              <w:rPr>
                <w:b/>
                <w:color w:val="auto"/>
                <w:kern w:val="0"/>
                <w:szCs w:val="21"/>
              </w:rPr>
            </w:pPr>
            <w:r>
              <w:rPr>
                <w:b/>
                <w:color w:val="auto"/>
                <w:kern w:val="0"/>
                <w:szCs w:val="21"/>
              </w:rPr>
              <w:t>一、产业政策符合性分析</w:t>
            </w:r>
          </w:p>
          <w:p w14:paraId="054EBCD0">
            <w:pPr>
              <w:autoSpaceDE w:val="0"/>
              <w:autoSpaceDN w:val="0"/>
              <w:adjustRightInd w:val="0"/>
              <w:snapToGrid w:val="0"/>
              <w:spacing w:line="440" w:lineRule="exact"/>
              <w:ind w:firstLine="420" w:firstLineChars="200"/>
              <w:rPr>
                <w:color w:val="auto"/>
                <w:kern w:val="0"/>
                <w:szCs w:val="21"/>
              </w:rPr>
            </w:pPr>
            <w:r>
              <w:rPr>
                <w:color w:val="auto"/>
                <w:kern w:val="0"/>
                <w:szCs w:val="21"/>
              </w:rPr>
              <w:t>本项目产品、工艺和生产能力均不属于国家发展和改革委员会发布的《产业结构调整指导目录》（2024年本）中“鼓励类”、“淘汰类”和“限制类”中的项目，为允许建设项目，符合国家产业政策；</w:t>
            </w:r>
          </w:p>
          <w:p w14:paraId="38AE31C8">
            <w:pPr>
              <w:autoSpaceDE w:val="0"/>
              <w:autoSpaceDN w:val="0"/>
              <w:adjustRightInd w:val="0"/>
              <w:snapToGrid w:val="0"/>
              <w:spacing w:line="440" w:lineRule="exact"/>
              <w:ind w:firstLine="420" w:firstLineChars="200"/>
              <w:rPr>
                <w:color w:val="auto"/>
                <w:kern w:val="0"/>
                <w:szCs w:val="21"/>
              </w:rPr>
            </w:pPr>
            <w:r>
              <w:rPr>
                <w:color w:val="auto"/>
                <w:kern w:val="0"/>
                <w:szCs w:val="21"/>
              </w:rPr>
              <w:t>国家关于《淘汰落后生产能力、工艺和产品目录》（第一批）、（第二批）、（第三批）中对本项目的生产工艺技术、规模均未做出淘汰和限制的规定；</w:t>
            </w:r>
          </w:p>
          <w:p w14:paraId="7F91F3E2">
            <w:pPr>
              <w:autoSpaceDE w:val="0"/>
              <w:autoSpaceDN w:val="0"/>
              <w:adjustRightInd w:val="0"/>
              <w:snapToGrid w:val="0"/>
              <w:spacing w:line="440" w:lineRule="exact"/>
              <w:ind w:firstLine="420" w:firstLineChars="200"/>
              <w:rPr>
                <w:color w:val="auto"/>
                <w:kern w:val="0"/>
                <w:szCs w:val="21"/>
              </w:rPr>
            </w:pPr>
            <w:r>
              <w:rPr>
                <w:color w:val="auto"/>
                <w:kern w:val="0"/>
                <w:szCs w:val="21"/>
              </w:rPr>
              <w:t>综上所述，本项目的建设符合国家产业政策的要求。</w:t>
            </w:r>
            <w:r>
              <w:rPr>
                <w:rFonts w:hint="eastAsia"/>
                <w:color w:val="auto"/>
                <w:szCs w:val="21"/>
              </w:rPr>
              <w:t>本项目已取得山东省建设项目备案证明，项目代码</w:t>
            </w:r>
            <w:r>
              <w:rPr>
                <w:rFonts w:hint="eastAsia"/>
                <w:color w:val="auto"/>
                <w:lang w:val="en-US" w:eastAsia="zh-CN"/>
              </w:rPr>
              <w:t>：2512-370305-89-02-111832</w:t>
            </w:r>
            <w:r>
              <w:rPr>
                <w:rFonts w:hint="eastAsia"/>
                <w:color w:val="auto"/>
                <w:szCs w:val="21"/>
              </w:rPr>
              <w:t>，详见附件2。</w:t>
            </w:r>
          </w:p>
          <w:p w14:paraId="1D46150C">
            <w:pPr>
              <w:autoSpaceDE w:val="0"/>
              <w:autoSpaceDN w:val="0"/>
              <w:adjustRightInd w:val="0"/>
              <w:snapToGrid w:val="0"/>
              <w:spacing w:line="440" w:lineRule="exact"/>
              <w:rPr>
                <w:b/>
                <w:color w:val="auto"/>
                <w:kern w:val="0"/>
                <w:szCs w:val="21"/>
              </w:rPr>
            </w:pPr>
            <w:r>
              <w:rPr>
                <w:b/>
                <w:color w:val="auto"/>
                <w:kern w:val="0"/>
                <w:szCs w:val="21"/>
              </w:rPr>
              <w:t>二、选址合理性分析</w:t>
            </w:r>
          </w:p>
          <w:p w14:paraId="24A22F39">
            <w:pPr>
              <w:autoSpaceDE w:val="0"/>
              <w:autoSpaceDN w:val="0"/>
              <w:adjustRightInd w:val="0"/>
              <w:snapToGrid w:val="0"/>
              <w:spacing w:line="440" w:lineRule="exact"/>
              <w:ind w:firstLine="420" w:firstLineChars="200"/>
              <w:rPr>
                <w:color w:val="auto"/>
                <w:kern w:val="0"/>
                <w:szCs w:val="21"/>
              </w:rPr>
            </w:pPr>
            <w:bookmarkStart w:id="2" w:name="_Hlk163058747"/>
            <w:r>
              <w:rPr>
                <w:rFonts w:hint="eastAsia"/>
                <w:color w:val="auto"/>
              </w:rPr>
              <w:t>本项目选址位于</w:t>
            </w:r>
            <w:r>
              <w:rPr>
                <w:rFonts w:hint="eastAsia"/>
                <w:color w:val="auto"/>
                <w:lang w:val="en-US" w:eastAsia="zh-CN"/>
              </w:rPr>
              <w:t>山东诚光工贸有限公司</w:t>
            </w:r>
            <w:r>
              <w:rPr>
                <w:rFonts w:hint="eastAsia"/>
                <w:color w:val="auto"/>
              </w:rPr>
              <w:t>现有厂区内，属于</w:t>
            </w:r>
            <w:r>
              <w:rPr>
                <w:rFonts w:hint="eastAsia"/>
                <w:color w:val="auto"/>
                <w:lang w:val="en-US" w:eastAsia="zh-CN"/>
              </w:rPr>
              <w:t>朱台镇</w:t>
            </w:r>
            <w:r>
              <w:rPr>
                <w:rFonts w:hint="eastAsia"/>
                <w:color w:val="auto"/>
              </w:rPr>
              <w:t>国土空间规划划定的工业用地及城镇开发边界内，不占用基本农田及生态保护红线</w:t>
            </w:r>
            <w:r>
              <w:rPr>
                <w:rFonts w:hint="eastAsia"/>
                <w:color w:val="auto"/>
                <w:lang w:eastAsia="zh-CN"/>
              </w:rPr>
              <w:t>。</w:t>
            </w:r>
            <w:r>
              <w:rPr>
                <w:rFonts w:hint="eastAsia"/>
                <w:color w:val="auto"/>
              </w:rPr>
              <w:t>因此，项目建设符合</w:t>
            </w:r>
            <w:r>
              <w:rPr>
                <w:rFonts w:hint="eastAsia"/>
                <w:color w:val="auto"/>
                <w:lang w:val="en-US" w:eastAsia="zh-CN"/>
              </w:rPr>
              <w:t>朱台镇</w:t>
            </w:r>
            <w:r>
              <w:rPr>
                <w:rFonts w:hint="eastAsia"/>
                <w:color w:val="auto"/>
              </w:rPr>
              <w:t>国土空间规划要求。</w:t>
            </w:r>
            <w:bookmarkEnd w:id="2"/>
            <w:bookmarkStart w:id="3" w:name="_Hlk198286647"/>
            <w:r>
              <w:rPr>
                <w:rFonts w:hint="eastAsia"/>
                <w:color w:val="auto"/>
                <w:lang w:val="en-US" w:eastAsia="zh-CN"/>
              </w:rPr>
              <w:t>朱台镇</w:t>
            </w:r>
            <w:r>
              <w:rPr>
                <w:rFonts w:hint="eastAsia"/>
                <w:color w:val="auto"/>
              </w:rPr>
              <w:t>国土空间规划</w:t>
            </w:r>
            <w:r>
              <w:rPr>
                <w:rFonts w:hint="eastAsia"/>
                <w:color w:val="auto"/>
                <w:lang w:val="en-US" w:eastAsia="zh-CN"/>
              </w:rPr>
              <w:t>-</w:t>
            </w:r>
            <w:bookmarkEnd w:id="3"/>
            <w:r>
              <w:rPr>
                <w:rFonts w:hint="eastAsia"/>
                <w:color w:val="auto"/>
                <w:lang w:val="en-US" w:eastAsia="zh-CN"/>
              </w:rPr>
              <w:t>城镇开发边界范围国土空间规划分区图</w:t>
            </w:r>
            <w:r>
              <w:rPr>
                <w:rFonts w:hint="eastAsia"/>
                <w:color w:val="auto"/>
              </w:rPr>
              <w:t>详见</w:t>
            </w:r>
            <w:r>
              <w:rPr>
                <w:rFonts w:hint="eastAsia"/>
                <w:color w:val="auto"/>
                <w:highlight w:val="none"/>
              </w:rPr>
              <w:t>附图</w:t>
            </w:r>
            <w:r>
              <w:rPr>
                <w:rFonts w:hint="eastAsia"/>
                <w:color w:val="auto"/>
                <w:highlight w:val="none"/>
                <w:lang w:val="en-US" w:eastAsia="zh-CN"/>
              </w:rPr>
              <w:t>3</w:t>
            </w:r>
            <w:r>
              <w:rPr>
                <w:rFonts w:hint="eastAsia"/>
                <w:color w:val="auto"/>
                <w:highlight w:val="none"/>
              </w:rPr>
              <w:t>。</w:t>
            </w:r>
          </w:p>
          <w:p w14:paraId="7CFA6A94">
            <w:pPr>
              <w:autoSpaceDE w:val="0"/>
              <w:autoSpaceDN w:val="0"/>
              <w:adjustRightInd w:val="0"/>
              <w:snapToGrid w:val="0"/>
              <w:spacing w:line="440" w:lineRule="exact"/>
              <w:ind w:firstLine="420" w:firstLineChars="200"/>
              <w:rPr>
                <w:rFonts w:hint="eastAsia" w:eastAsia="宋体"/>
                <w:color w:val="auto"/>
                <w:lang w:val="en-US" w:eastAsia="zh-CN"/>
              </w:rPr>
            </w:pPr>
            <w:r>
              <w:rPr>
                <w:color w:val="auto"/>
                <w:kern w:val="0"/>
                <w:szCs w:val="21"/>
              </w:rPr>
              <w:t>同时，</w:t>
            </w:r>
            <w:r>
              <w:rPr>
                <w:rFonts w:hint="eastAsia"/>
                <w:color w:val="auto"/>
                <w:kern w:val="0"/>
                <w:szCs w:val="21"/>
              </w:rPr>
              <w:t>根据前述，本</w:t>
            </w:r>
            <w:r>
              <w:rPr>
                <w:color w:val="auto"/>
                <w:kern w:val="0"/>
                <w:szCs w:val="21"/>
              </w:rPr>
              <w:t>项目</w:t>
            </w:r>
            <w:r>
              <w:rPr>
                <w:rFonts w:hint="eastAsia"/>
                <w:color w:val="auto"/>
                <w:szCs w:val="21"/>
              </w:rPr>
              <w:t>位于</w:t>
            </w:r>
            <w:r>
              <w:rPr>
                <w:rFonts w:hint="eastAsia"/>
                <w:color w:val="auto"/>
                <w:lang w:val="en-US" w:eastAsia="zh-CN"/>
              </w:rPr>
              <w:t>朱台镇工业集聚区内</w:t>
            </w:r>
            <w:r>
              <w:rPr>
                <w:rFonts w:hint="eastAsia"/>
                <w:color w:val="auto"/>
              </w:rPr>
              <w:t>，</w:t>
            </w:r>
            <w:r>
              <w:rPr>
                <w:color w:val="auto"/>
              </w:rPr>
              <w:t>厂址用地类型为工业用地，符合园区土地利用规划</w:t>
            </w:r>
            <w:r>
              <w:rPr>
                <w:rFonts w:hint="eastAsia"/>
                <w:color w:val="auto"/>
                <w:lang w:eastAsia="zh-CN"/>
              </w:rPr>
              <w:t>。</w:t>
            </w:r>
          </w:p>
          <w:p w14:paraId="2DD7BDE8">
            <w:pPr>
              <w:autoSpaceDE w:val="0"/>
              <w:autoSpaceDN w:val="0"/>
              <w:adjustRightInd w:val="0"/>
              <w:snapToGrid w:val="0"/>
              <w:spacing w:line="440" w:lineRule="exact"/>
              <w:ind w:firstLine="420" w:firstLineChars="200"/>
              <w:rPr>
                <w:color w:val="auto"/>
                <w:kern w:val="0"/>
                <w:szCs w:val="21"/>
              </w:rPr>
            </w:pPr>
            <w:r>
              <w:rPr>
                <w:rFonts w:hint="eastAsia"/>
                <w:color w:val="auto"/>
                <w:kern w:val="0"/>
                <w:szCs w:val="21"/>
              </w:rPr>
              <w:t>综上所述，项目选址是合理的。</w:t>
            </w:r>
          </w:p>
          <w:p w14:paraId="489D36C9">
            <w:pPr>
              <w:autoSpaceDE w:val="0"/>
              <w:autoSpaceDN w:val="0"/>
              <w:adjustRightInd w:val="0"/>
              <w:snapToGrid w:val="0"/>
              <w:spacing w:line="440" w:lineRule="exact"/>
              <w:rPr>
                <w:b/>
                <w:color w:val="auto"/>
                <w:kern w:val="0"/>
                <w:szCs w:val="21"/>
              </w:rPr>
            </w:pPr>
            <w:r>
              <w:rPr>
                <w:b/>
                <w:color w:val="auto"/>
                <w:kern w:val="0"/>
                <w:szCs w:val="21"/>
              </w:rPr>
              <w:t>三、生态环境分区管控符合性</w:t>
            </w:r>
            <w:r>
              <w:rPr>
                <w:rFonts w:hint="eastAsia"/>
                <w:b/>
                <w:color w:val="auto"/>
                <w:kern w:val="0"/>
                <w:szCs w:val="21"/>
              </w:rPr>
              <w:t>分析</w:t>
            </w:r>
          </w:p>
          <w:p w14:paraId="524B9E20">
            <w:pPr>
              <w:spacing w:line="440" w:lineRule="exact"/>
              <w:ind w:firstLine="480"/>
              <w:rPr>
                <w:bCs/>
                <w:color w:val="auto"/>
                <w:szCs w:val="21"/>
              </w:rPr>
            </w:pPr>
            <w:bookmarkStart w:id="4" w:name="_Toc447719746"/>
            <w:bookmarkStart w:id="5" w:name="_Toc451429169"/>
            <w:bookmarkStart w:id="6" w:name="_Toc451427187"/>
            <w:bookmarkStart w:id="7" w:name="_Toc451419105"/>
            <w:bookmarkStart w:id="8" w:name="_Toc451418523"/>
            <w:bookmarkStart w:id="9" w:name="_Toc451418814"/>
            <w:r>
              <w:rPr>
                <w:rFonts w:hint="eastAsia"/>
                <w:bCs/>
                <w:color w:val="auto"/>
                <w:szCs w:val="21"/>
              </w:rPr>
              <w:t>根据《关于印发山东省2023年生态环境分区管控成果动态更新工作方案的通知》（鲁环字[2023]53号）要求，淄博市生态环境分区管控成果在2022年的基础上，实施了动态更新，更新后的环境管控单元变为117个。</w:t>
            </w:r>
          </w:p>
          <w:p w14:paraId="39FE1B0D">
            <w:pPr>
              <w:spacing w:line="440" w:lineRule="exact"/>
              <w:ind w:firstLine="480"/>
              <w:rPr>
                <w:bCs/>
                <w:color w:val="auto"/>
                <w:szCs w:val="21"/>
              </w:rPr>
            </w:pPr>
            <w:r>
              <w:rPr>
                <w:rFonts w:hint="eastAsia"/>
                <w:bCs/>
                <w:color w:val="auto"/>
                <w:szCs w:val="21"/>
              </w:rPr>
              <w:t>根据《淄博市2023年生态环境分区管控成果动态更新项目生态环境准入清单》，本项目位于“准入清单”中的</w:t>
            </w:r>
            <w:r>
              <w:rPr>
                <w:rFonts w:hint="eastAsia"/>
                <w:bCs/>
                <w:color w:val="auto"/>
                <w:szCs w:val="21"/>
                <w:lang w:val="en-US" w:eastAsia="zh-CN"/>
              </w:rPr>
              <w:t>朱台镇</w:t>
            </w:r>
            <w:r>
              <w:rPr>
                <w:rFonts w:hint="eastAsia"/>
                <w:bCs/>
                <w:color w:val="auto"/>
                <w:szCs w:val="21"/>
              </w:rPr>
              <w:t>环境管控单元内（详见附图</w:t>
            </w:r>
            <w:r>
              <w:rPr>
                <w:rFonts w:hint="eastAsia"/>
                <w:bCs/>
                <w:color w:val="auto"/>
                <w:szCs w:val="21"/>
                <w:lang w:val="en-US" w:eastAsia="zh-CN"/>
              </w:rPr>
              <w:t>4</w:t>
            </w:r>
            <w:r>
              <w:rPr>
                <w:rFonts w:hint="eastAsia"/>
                <w:bCs/>
                <w:color w:val="auto"/>
                <w:szCs w:val="21"/>
              </w:rPr>
              <w:t>），单元编码ZH370305</w:t>
            </w:r>
            <w:r>
              <w:rPr>
                <w:rFonts w:hint="eastAsia"/>
                <w:bCs/>
                <w:color w:val="auto"/>
                <w:szCs w:val="21"/>
                <w:lang w:val="en-US" w:eastAsia="zh-CN"/>
              </w:rPr>
              <w:t>30001</w:t>
            </w:r>
            <w:r>
              <w:rPr>
                <w:rFonts w:hint="eastAsia"/>
                <w:bCs/>
                <w:color w:val="auto"/>
                <w:szCs w:val="21"/>
              </w:rPr>
              <w:t>，属于</w:t>
            </w:r>
            <w:r>
              <w:rPr>
                <w:rFonts w:hint="eastAsia"/>
                <w:bCs/>
                <w:color w:val="auto"/>
                <w:szCs w:val="21"/>
                <w:lang w:val="en-US" w:eastAsia="zh-CN"/>
              </w:rPr>
              <w:t>一般</w:t>
            </w:r>
            <w:r>
              <w:rPr>
                <w:rFonts w:hint="eastAsia"/>
                <w:bCs/>
                <w:color w:val="auto"/>
                <w:szCs w:val="21"/>
              </w:rPr>
              <w:t>管控单元，项目建设与其空间布局约束、污染物排放管控、环境风险防控以及资源开发效率要求符合性分析如下：</w:t>
            </w:r>
          </w:p>
          <w:p w14:paraId="64608B00">
            <w:pPr>
              <w:spacing w:before="120" w:beforeLines="50"/>
              <w:jc w:val="center"/>
              <w:rPr>
                <w:b/>
                <w:color w:val="auto"/>
              </w:rPr>
            </w:pPr>
            <w:r>
              <w:rPr>
                <w:b/>
                <w:color w:val="auto"/>
                <w:szCs w:val="21"/>
              </w:rPr>
              <w:t>表1-5  淄博市2023年生态环境分区管控</w:t>
            </w:r>
            <w:r>
              <w:rPr>
                <w:b/>
                <w:color w:val="auto"/>
              </w:rPr>
              <w:t>符合性分析</w:t>
            </w:r>
            <w:r>
              <w:rPr>
                <w:rFonts w:hint="eastAsia"/>
                <w:b/>
                <w:color w:val="auto"/>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13"/>
              <w:gridCol w:w="3772"/>
              <w:gridCol w:w="3387"/>
              <w:gridCol w:w="693"/>
            </w:tblGrid>
            <w:tr w14:paraId="08A1F6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tblHeader/>
                <w:jc w:val="center"/>
              </w:trPr>
              <w:tc>
                <w:tcPr>
                  <w:tcW w:w="513" w:type="dxa"/>
                  <w:tcBorders>
                    <w:tl2br w:val="nil"/>
                    <w:tr2bl w:val="nil"/>
                  </w:tcBorders>
                  <w:tcMar>
                    <w:top w:w="0" w:type="dxa"/>
                    <w:left w:w="57" w:type="dxa"/>
                    <w:bottom w:w="0" w:type="dxa"/>
                    <w:right w:w="57" w:type="dxa"/>
                  </w:tcMar>
                  <w:vAlign w:val="center"/>
                </w:tcPr>
                <w:p w14:paraId="66C17190">
                  <w:pPr>
                    <w:pStyle w:val="60"/>
                    <w:rPr>
                      <w:b/>
                      <w:bCs/>
                      <w:snapToGrid w:val="0"/>
                      <w:color w:val="auto"/>
                      <w:sz w:val="18"/>
                      <w:szCs w:val="18"/>
                    </w:rPr>
                  </w:pPr>
                  <w:r>
                    <w:rPr>
                      <w:rFonts w:hint="eastAsia"/>
                      <w:b/>
                      <w:bCs/>
                      <w:snapToGrid w:val="0"/>
                      <w:color w:val="auto"/>
                      <w:sz w:val="18"/>
                      <w:szCs w:val="18"/>
                    </w:rPr>
                    <w:t>分类</w:t>
                  </w:r>
                </w:p>
              </w:tc>
              <w:tc>
                <w:tcPr>
                  <w:tcW w:w="3774" w:type="dxa"/>
                  <w:tcBorders>
                    <w:tl2br w:val="nil"/>
                    <w:tr2bl w:val="nil"/>
                  </w:tcBorders>
                  <w:vAlign w:val="center"/>
                </w:tcPr>
                <w:p w14:paraId="262E971A">
                  <w:pPr>
                    <w:pStyle w:val="60"/>
                    <w:rPr>
                      <w:b/>
                      <w:bCs/>
                      <w:snapToGrid w:val="0"/>
                      <w:color w:val="auto"/>
                      <w:sz w:val="18"/>
                      <w:szCs w:val="18"/>
                    </w:rPr>
                  </w:pPr>
                  <w:r>
                    <w:rPr>
                      <w:rFonts w:hint="eastAsia"/>
                      <w:b/>
                      <w:bCs/>
                      <w:snapToGrid w:val="0"/>
                      <w:color w:val="auto"/>
                      <w:sz w:val="18"/>
                      <w:szCs w:val="18"/>
                    </w:rPr>
                    <w:t>管控要求</w:t>
                  </w:r>
                </w:p>
              </w:tc>
              <w:tc>
                <w:tcPr>
                  <w:tcW w:w="3389" w:type="dxa"/>
                  <w:tcBorders>
                    <w:tl2br w:val="nil"/>
                    <w:tr2bl w:val="nil"/>
                  </w:tcBorders>
                  <w:vAlign w:val="center"/>
                </w:tcPr>
                <w:p w14:paraId="64678899">
                  <w:pPr>
                    <w:pStyle w:val="60"/>
                    <w:rPr>
                      <w:b/>
                      <w:bCs/>
                      <w:snapToGrid w:val="0"/>
                      <w:color w:val="auto"/>
                      <w:sz w:val="18"/>
                      <w:szCs w:val="18"/>
                    </w:rPr>
                  </w:pPr>
                  <w:r>
                    <w:rPr>
                      <w:rFonts w:hint="eastAsia"/>
                      <w:b/>
                      <w:bCs/>
                      <w:snapToGrid w:val="0"/>
                      <w:color w:val="auto"/>
                      <w:sz w:val="18"/>
                      <w:szCs w:val="18"/>
                    </w:rPr>
                    <w:t>项目情况</w:t>
                  </w:r>
                </w:p>
              </w:tc>
              <w:tc>
                <w:tcPr>
                  <w:tcW w:w="693" w:type="dxa"/>
                  <w:tcBorders>
                    <w:tl2br w:val="nil"/>
                    <w:tr2bl w:val="nil"/>
                  </w:tcBorders>
                  <w:tcMar>
                    <w:top w:w="0" w:type="dxa"/>
                    <w:left w:w="57" w:type="dxa"/>
                    <w:bottom w:w="0" w:type="dxa"/>
                    <w:right w:w="57" w:type="dxa"/>
                  </w:tcMar>
                  <w:vAlign w:val="center"/>
                </w:tcPr>
                <w:p w14:paraId="72F052B6">
                  <w:pPr>
                    <w:pStyle w:val="60"/>
                    <w:rPr>
                      <w:b/>
                      <w:bCs/>
                      <w:snapToGrid w:val="0"/>
                      <w:color w:val="auto"/>
                      <w:sz w:val="18"/>
                      <w:szCs w:val="18"/>
                    </w:rPr>
                  </w:pPr>
                  <w:r>
                    <w:rPr>
                      <w:rFonts w:hint="eastAsia"/>
                      <w:b/>
                      <w:bCs/>
                      <w:snapToGrid w:val="0"/>
                      <w:color w:val="auto"/>
                      <w:sz w:val="18"/>
                      <w:szCs w:val="18"/>
                    </w:rPr>
                    <w:t>符合性</w:t>
                  </w:r>
                </w:p>
              </w:tc>
            </w:tr>
            <w:tr w14:paraId="38BCA9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restart"/>
                  <w:tcBorders>
                    <w:tl2br w:val="nil"/>
                    <w:tr2bl w:val="nil"/>
                  </w:tcBorders>
                  <w:tcMar>
                    <w:top w:w="0" w:type="dxa"/>
                    <w:left w:w="57" w:type="dxa"/>
                    <w:bottom w:w="0" w:type="dxa"/>
                    <w:right w:w="57" w:type="dxa"/>
                  </w:tcMar>
                  <w:vAlign w:val="center"/>
                </w:tcPr>
                <w:p w14:paraId="488D573F">
                  <w:pPr>
                    <w:pStyle w:val="60"/>
                    <w:rPr>
                      <w:snapToGrid w:val="0"/>
                      <w:color w:val="auto"/>
                      <w:sz w:val="18"/>
                      <w:szCs w:val="18"/>
                    </w:rPr>
                  </w:pPr>
                  <w:r>
                    <w:rPr>
                      <w:rFonts w:hint="eastAsia"/>
                      <w:snapToGrid w:val="0"/>
                      <w:color w:val="auto"/>
                      <w:sz w:val="18"/>
                      <w:szCs w:val="18"/>
                    </w:rPr>
                    <w:t>空间布局约束</w:t>
                  </w:r>
                </w:p>
              </w:tc>
              <w:tc>
                <w:tcPr>
                  <w:tcW w:w="3774" w:type="dxa"/>
                  <w:tcBorders>
                    <w:tl2br w:val="nil"/>
                    <w:tr2bl w:val="nil"/>
                  </w:tcBorders>
                  <w:vAlign w:val="center"/>
                </w:tcPr>
                <w:p w14:paraId="7158F815">
                  <w:pPr>
                    <w:pStyle w:val="60"/>
                    <w:jc w:val="both"/>
                    <w:rPr>
                      <w:snapToGrid w:val="0"/>
                      <w:color w:val="auto"/>
                      <w:sz w:val="18"/>
                      <w:szCs w:val="18"/>
                    </w:rPr>
                  </w:pPr>
                  <w:r>
                    <w:rPr>
                      <w:snapToGrid w:val="0"/>
                      <w:color w:val="auto"/>
                      <w:sz w:val="18"/>
                      <w:szCs w:val="18"/>
                    </w:rPr>
                    <w:t>1.</w:t>
                  </w:r>
                  <w:r>
                    <w:rPr>
                      <w:rFonts w:hint="eastAsia"/>
                      <w:snapToGrid w:val="0"/>
                      <w:color w:val="auto"/>
                      <w:sz w:val="18"/>
                      <w:szCs w:val="18"/>
                    </w:rPr>
                    <w:t>禁止新建、扩建《产业结构调整指导目录》（现行）明确的淘汰类项目和引入《市场准入负面清单》（现行）禁止准入类事项；鼓励对列入《产业结构调整指导目录》的限制类、淘汰类工业项目进行淘汰和提升改造。</w:t>
                  </w:r>
                </w:p>
              </w:tc>
              <w:tc>
                <w:tcPr>
                  <w:tcW w:w="3389" w:type="dxa"/>
                  <w:tcBorders>
                    <w:tl2br w:val="nil"/>
                    <w:tr2bl w:val="nil"/>
                  </w:tcBorders>
                  <w:vAlign w:val="center"/>
                </w:tcPr>
                <w:p w14:paraId="7D32228E">
                  <w:pPr>
                    <w:pStyle w:val="60"/>
                    <w:jc w:val="both"/>
                    <w:rPr>
                      <w:snapToGrid w:val="0"/>
                      <w:color w:val="auto"/>
                      <w:sz w:val="18"/>
                      <w:szCs w:val="18"/>
                    </w:rPr>
                  </w:pPr>
                  <w:r>
                    <w:rPr>
                      <w:rFonts w:hint="eastAsia"/>
                      <w:snapToGrid w:val="0"/>
                      <w:color w:val="auto"/>
                      <w:sz w:val="18"/>
                      <w:szCs w:val="18"/>
                    </w:rPr>
                    <w:t>项目不属于《产业结构调整指导目录》中淘汰类、限制类项目；亦不属于《市场准入负面清单》禁止准入类事项。</w:t>
                  </w:r>
                </w:p>
              </w:tc>
              <w:tc>
                <w:tcPr>
                  <w:tcW w:w="693" w:type="dxa"/>
                  <w:tcBorders>
                    <w:tl2br w:val="nil"/>
                    <w:tr2bl w:val="nil"/>
                  </w:tcBorders>
                  <w:tcMar>
                    <w:top w:w="0" w:type="dxa"/>
                    <w:left w:w="57" w:type="dxa"/>
                    <w:bottom w:w="0" w:type="dxa"/>
                    <w:right w:w="57" w:type="dxa"/>
                  </w:tcMar>
                  <w:vAlign w:val="center"/>
                </w:tcPr>
                <w:p w14:paraId="07649534">
                  <w:pPr>
                    <w:pStyle w:val="60"/>
                    <w:rPr>
                      <w:snapToGrid w:val="0"/>
                      <w:color w:val="auto"/>
                      <w:sz w:val="18"/>
                      <w:szCs w:val="18"/>
                    </w:rPr>
                  </w:pPr>
                  <w:r>
                    <w:rPr>
                      <w:rFonts w:hint="eastAsia"/>
                      <w:snapToGrid w:val="0"/>
                      <w:color w:val="auto"/>
                      <w:sz w:val="18"/>
                      <w:szCs w:val="18"/>
                    </w:rPr>
                    <w:t>符合</w:t>
                  </w:r>
                </w:p>
              </w:tc>
            </w:tr>
            <w:tr w14:paraId="30D51D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38CD18B7">
                  <w:pPr>
                    <w:widowControl/>
                    <w:jc w:val="left"/>
                    <w:rPr>
                      <w:snapToGrid w:val="0"/>
                      <w:color w:val="auto"/>
                      <w:sz w:val="18"/>
                      <w:szCs w:val="18"/>
                    </w:rPr>
                  </w:pPr>
                </w:p>
              </w:tc>
              <w:tc>
                <w:tcPr>
                  <w:tcW w:w="3774" w:type="dxa"/>
                  <w:tcBorders>
                    <w:tl2br w:val="nil"/>
                    <w:tr2bl w:val="nil"/>
                  </w:tcBorders>
                  <w:vAlign w:val="center"/>
                </w:tcPr>
                <w:p w14:paraId="2F39FC5F">
                  <w:pPr>
                    <w:pStyle w:val="60"/>
                    <w:jc w:val="both"/>
                    <w:rPr>
                      <w:snapToGrid w:val="0"/>
                      <w:color w:val="auto"/>
                      <w:sz w:val="18"/>
                      <w:szCs w:val="18"/>
                    </w:rPr>
                  </w:pPr>
                  <w:r>
                    <w:rPr>
                      <w:snapToGrid w:val="0"/>
                      <w:color w:val="auto"/>
                      <w:sz w:val="18"/>
                      <w:szCs w:val="18"/>
                    </w:rPr>
                    <w:t>2.</w:t>
                  </w:r>
                  <w:r>
                    <w:rPr>
                      <w:rFonts w:hint="eastAsia"/>
                      <w:snapToGrid w:val="0"/>
                      <w:color w:val="auto"/>
                      <w:sz w:val="18"/>
                      <w:szCs w:val="18"/>
                    </w:rPr>
                    <w:t>按照《土壤污染防治行动计划》要求，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3389" w:type="dxa"/>
                  <w:tcBorders>
                    <w:tl2br w:val="nil"/>
                    <w:tr2bl w:val="nil"/>
                  </w:tcBorders>
                  <w:vAlign w:val="center"/>
                </w:tcPr>
                <w:p w14:paraId="5E93A4D2">
                  <w:pPr>
                    <w:pStyle w:val="60"/>
                    <w:jc w:val="both"/>
                    <w:rPr>
                      <w:snapToGrid w:val="0"/>
                      <w:color w:val="auto"/>
                      <w:sz w:val="18"/>
                      <w:szCs w:val="18"/>
                    </w:rPr>
                  </w:pPr>
                  <w:r>
                    <w:rPr>
                      <w:rFonts w:hint="eastAsia"/>
                      <w:snapToGrid w:val="0"/>
                      <w:color w:val="auto"/>
                      <w:sz w:val="18"/>
                      <w:szCs w:val="18"/>
                    </w:rPr>
                    <w:t>项目</w:t>
                  </w:r>
                  <w:r>
                    <w:rPr>
                      <w:rFonts w:hint="eastAsia"/>
                      <w:snapToGrid w:val="0"/>
                      <w:color w:val="auto"/>
                      <w:sz w:val="18"/>
                      <w:szCs w:val="18"/>
                      <w:lang w:val="en-US" w:eastAsia="zh-CN"/>
                    </w:rPr>
                    <w:t>位于朱台镇工业集聚区内，项目占地类型为工业工地，不占用基本农田，不涉及生态保护红线</w:t>
                  </w:r>
                  <w:r>
                    <w:rPr>
                      <w:rFonts w:hint="eastAsia"/>
                      <w:color w:val="auto"/>
                      <w:sz w:val="18"/>
                      <w:szCs w:val="18"/>
                    </w:rPr>
                    <w:t>。</w:t>
                  </w:r>
                </w:p>
              </w:tc>
              <w:tc>
                <w:tcPr>
                  <w:tcW w:w="693" w:type="dxa"/>
                  <w:tcBorders>
                    <w:tl2br w:val="nil"/>
                    <w:tr2bl w:val="nil"/>
                  </w:tcBorders>
                  <w:tcMar>
                    <w:top w:w="0" w:type="dxa"/>
                    <w:left w:w="57" w:type="dxa"/>
                    <w:bottom w:w="0" w:type="dxa"/>
                    <w:right w:w="57" w:type="dxa"/>
                  </w:tcMar>
                  <w:vAlign w:val="center"/>
                </w:tcPr>
                <w:p w14:paraId="61270419">
                  <w:pPr>
                    <w:pStyle w:val="60"/>
                    <w:rPr>
                      <w:snapToGrid w:val="0"/>
                      <w:color w:val="auto"/>
                      <w:sz w:val="18"/>
                      <w:szCs w:val="18"/>
                    </w:rPr>
                  </w:pPr>
                  <w:r>
                    <w:rPr>
                      <w:rFonts w:hint="eastAsia"/>
                      <w:snapToGrid w:val="0"/>
                      <w:color w:val="auto"/>
                      <w:sz w:val="18"/>
                      <w:szCs w:val="18"/>
                    </w:rPr>
                    <w:t>符合</w:t>
                  </w:r>
                </w:p>
              </w:tc>
            </w:tr>
            <w:tr w14:paraId="6F2B9D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7AEA0E0C">
                  <w:pPr>
                    <w:widowControl/>
                    <w:jc w:val="left"/>
                    <w:rPr>
                      <w:snapToGrid w:val="0"/>
                      <w:color w:val="auto"/>
                      <w:sz w:val="18"/>
                      <w:szCs w:val="18"/>
                    </w:rPr>
                  </w:pPr>
                </w:p>
              </w:tc>
              <w:tc>
                <w:tcPr>
                  <w:tcW w:w="3774" w:type="dxa"/>
                  <w:tcBorders>
                    <w:tl2br w:val="nil"/>
                    <w:tr2bl w:val="nil"/>
                  </w:tcBorders>
                  <w:vAlign w:val="center"/>
                </w:tcPr>
                <w:p w14:paraId="0029D35B">
                  <w:pPr>
                    <w:pStyle w:val="60"/>
                    <w:jc w:val="both"/>
                    <w:rPr>
                      <w:snapToGrid w:val="0"/>
                      <w:color w:val="auto"/>
                      <w:sz w:val="18"/>
                      <w:szCs w:val="18"/>
                    </w:rPr>
                  </w:pPr>
                  <w:r>
                    <w:rPr>
                      <w:snapToGrid w:val="0"/>
                      <w:color w:val="auto"/>
                      <w:sz w:val="18"/>
                      <w:szCs w:val="18"/>
                    </w:rPr>
                    <w:t>3.</w:t>
                  </w:r>
                  <w:r>
                    <w:rPr>
                      <w:rFonts w:hint="eastAsia"/>
                      <w:color w:val="auto"/>
                      <w:sz w:val="18"/>
                      <w:szCs w:val="18"/>
                    </w:rPr>
                    <w:t>按照《山东省水利厅关于公布我省地下水限采区和禁采区的通知》要求，执行超采区管控要求</w:t>
                  </w:r>
                  <w:r>
                    <w:rPr>
                      <w:rFonts w:hint="eastAsia"/>
                      <w:snapToGrid w:val="0"/>
                      <w:color w:val="auto"/>
                      <w:sz w:val="18"/>
                      <w:szCs w:val="18"/>
                    </w:rPr>
                    <w:t>。</w:t>
                  </w:r>
                </w:p>
              </w:tc>
              <w:tc>
                <w:tcPr>
                  <w:tcW w:w="3389" w:type="dxa"/>
                  <w:tcBorders>
                    <w:tl2br w:val="nil"/>
                    <w:tr2bl w:val="nil"/>
                  </w:tcBorders>
                  <w:vAlign w:val="center"/>
                </w:tcPr>
                <w:p w14:paraId="5F9DFA3C">
                  <w:pPr>
                    <w:pStyle w:val="60"/>
                    <w:jc w:val="both"/>
                    <w:rPr>
                      <w:rFonts w:hint="default" w:eastAsia="宋体"/>
                      <w:snapToGrid w:val="0"/>
                      <w:color w:val="auto"/>
                      <w:sz w:val="18"/>
                      <w:szCs w:val="18"/>
                      <w:lang w:val="en-US" w:eastAsia="zh-CN"/>
                    </w:rPr>
                  </w:pPr>
                  <w:r>
                    <w:rPr>
                      <w:rFonts w:hint="eastAsia"/>
                      <w:bCs/>
                      <w:color w:val="auto"/>
                      <w:sz w:val="18"/>
                      <w:szCs w:val="18"/>
                      <w:lang w:val="en-US" w:eastAsia="zh-CN"/>
                    </w:rPr>
                    <w:t>本项目不采用地下水。</w:t>
                  </w:r>
                </w:p>
              </w:tc>
              <w:tc>
                <w:tcPr>
                  <w:tcW w:w="693" w:type="dxa"/>
                  <w:tcBorders>
                    <w:tl2br w:val="nil"/>
                    <w:tr2bl w:val="nil"/>
                  </w:tcBorders>
                  <w:tcMar>
                    <w:top w:w="0" w:type="dxa"/>
                    <w:left w:w="57" w:type="dxa"/>
                    <w:bottom w:w="0" w:type="dxa"/>
                    <w:right w:w="57" w:type="dxa"/>
                  </w:tcMar>
                  <w:vAlign w:val="center"/>
                </w:tcPr>
                <w:p w14:paraId="4A95C822">
                  <w:pPr>
                    <w:pStyle w:val="60"/>
                    <w:rPr>
                      <w:snapToGrid w:val="0"/>
                      <w:color w:val="auto"/>
                      <w:sz w:val="18"/>
                      <w:szCs w:val="18"/>
                    </w:rPr>
                  </w:pPr>
                  <w:r>
                    <w:rPr>
                      <w:rFonts w:hint="eastAsia"/>
                      <w:snapToGrid w:val="0"/>
                      <w:color w:val="auto"/>
                      <w:sz w:val="18"/>
                      <w:szCs w:val="18"/>
                    </w:rPr>
                    <w:t>符合</w:t>
                  </w:r>
                </w:p>
              </w:tc>
            </w:tr>
            <w:tr w14:paraId="7CEA1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774B5585">
                  <w:pPr>
                    <w:widowControl/>
                    <w:jc w:val="left"/>
                    <w:rPr>
                      <w:snapToGrid w:val="0"/>
                      <w:color w:val="auto"/>
                      <w:sz w:val="18"/>
                      <w:szCs w:val="18"/>
                    </w:rPr>
                  </w:pPr>
                </w:p>
              </w:tc>
              <w:tc>
                <w:tcPr>
                  <w:tcW w:w="3774" w:type="dxa"/>
                  <w:tcBorders>
                    <w:tl2br w:val="nil"/>
                    <w:tr2bl w:val="nil"/>
                  </w:tcBorders>
                  <w:vAlign w:val="center"/>
                </w:tcPr>
                <w:p w14:paraId="201CD152">
                  <w:pPr>
                    <w:pStyle w:val="60"/>
                    <w:jc w:val="both"/>
                    <w:rPr>
                      <w:snapToGrid w:val="0"/>
                      <w:color w:val="auto"/>
                      <w:sz w:val="18"/>
                      <w:szCs w:val="18"/>
                    </w:rPr>
                  </w:pPr>
                  <w:r>
                    <w:rPr>
                      <w:snapToGrid w:val="0"/>
                      <w:color w:val="auto"/>
                      <w:sz w:val="18"/>
                      <w:szCs w:val="18"/>
                    </w:rPr>
                    <w:t>4.</w:t>
                  </w:r>
                  <w:r>
                    <w:rPr>
                      <w:rFonts w:hint="eastAsia"/>
                      <w:snapToGrid w:val="0"/>
                      <w:color w:val="auto"/>
                      <w:sz w:val="18"/>
                      <w:szCs w:val="18"/>
                    </w:rPr>
                    <w:t>污水处理设施不健全、未正常运行或污水管网未覆盖的地区，未配套污水处理设施的项目不得建设。</w:t>
                  </w:r>
                </w:p>
              </w:tc>
              <w:tc>
                <w:tcPr>
                  <w:tcW w:w="3389" w:type="dxa"/>
                  <w:tcBorders>
                    <w:tl2br w:val="nil"/>
                    <w:tr2bl w:val="nil"/>
                  </w:tcBorders>
                  <w:vAlign w:val="center"/>
                </w:tcPr>
                <w:p w14:paraId="0C96EFF6">
                  <w:pPr>
                    <w:pStyle w:val="60"/>
                    <w:jc w:val="both"/>
                    <w:rPr>
                      <w:snapToGrid w:val="0"/>
                      <w:color w:val="auto"/>
                      <w:sz w:val="18"/>
                      <w:szCs w:val="18"/>
                    </w:rPr>
                  </w:pPr>
                  <w:r>
                    <w:rPr>
                      <w:rFonts w:hint="eastAsia"/>
                      <w:snapToGrid w:val="0"/>
                      <w:color w:val="auto"/>
                      <w:sz w:val="18"/>
                      <w:szCs w:val="18"/>
                    </w:rPr>
                    <w:t>本</w:t>
                  </w:r>
                  <w:r>
                    <w:rPr>
                      <w:rFonts w:hint="eastAsia"/>
                      <w:snapToGrid w:val="0"/>
                      <w:color w:val="auto"/>
                      <w:sz w:val="18"/>
                      <w:szCs w:val="18"/>
                      <w:lang w:val="en-US" w:eastAsia="zh-CN"/>
                    </w:rPr>
                    <w:t>次技改项目各废水收集后经厂区污水处理设施处理后回用，不外排</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15807A8D">
                  <w:pPr>
                    <w:pStyle w:val="60"/>
                    <w:rPr>
                      <w:snapToGrid w:val="0"/>
                      <w:color w:val="auto"/>
                      <w:sz w:val="18"/>
                      <w:szCs w:val="18"/>
                    </w:rPr>
                  </w:pPr>
                  <w:r>
                    <w:rPr>
                      <w:rFonts w:hint="eastAsia"/>
                      <w:snapToGrid w:val="0"/>
                      <w:color w:val="auto"/>
                      <w:sz w:val="18"/>
                      <w:szCs w:val="18"/>
                    </w:rPr>
                    <w:t>符合</w:t>
                  </w:r>
                </w:p>
              </w:tc>
            </w:tr>
            <w:tr w14:paraId="4343B7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3CD8BE57">
                  <w:pPr>
                    <w:widowControl/>
                    <w:jc w:val="left"/>
                    <w:rPr>
                      <w:snapToGrid w:val="0"/>
                      <w:color w:val="auto"/>
                      <w:sz w:val="18"/>
                      <w:szCs w:val="18"/>
                    </w:rPr>
                  </w:pPr>
                </w:p>
              </w:tc>
              <w:tc>
                <w:tcPr>
                  <w:tcW w:w="3774" w:type="dxa"/>
                  <w:tcBorders>
                    <w:tl2br w:val="nil"/>
                    <w:tr2bl w:val="nil"/>
                  </w:tcBorders>
                  <w:vAlign w:val="center"/>
                </w:tcPr>
                <w:p w14:paraId="620ADC41">
                  <w:pPr>
                    <w:pStyle w:val="60"/>
                    <w:jc w:val="both"/>
                    <w:rPr>
                      <w:snapToGrid w:val="0"/>
                      <w:color w:val="auto"/>
                      <w:sz w:val="18"/>
                      <w:szCs w:val="18"/>
                    </w:rPr>
                  </w:pPr>
                  <w:r>
                    <w:rPr>
                      <w:snapToGrid w:val="0"/>
                      <w:color w:val="auto"/>
                      <w:sz w:val="18"/>
                      <w:szCs w:val="18"/>
                    </w:rPr>
                    <w:t>5.</w:t>
                  </w:r>
                  <w:r>
                    <w:rPr>
                      <w:rFonts w:hint="eastAsia"/>
                      <w:snapToGrid w:val="0"/>
                      <w:color w:val="auto"/>
                      <w:sz w:val="18"/>
                      <w:szCs w:val="18"/>
                    </w:rPr>
                    <w:t>新建有污染物排放的工业项目，除在安全生产等方面有特殊要求的以外，应当进入工业园区或工业聚集区。</w:t>
                  </w:r>
                </w:p>
              </w:tc>
              <w:tc>
                <w:tcPr>
                  <w:tcW w:w="3389" w:type="dxa"/>
                  <w:tcBorders>
                    <w:tl2br w:val="nil"/>
                    <w:tr2bl w:val="nil"/>
                  </w:tcBorders>
                  <w:vAlign w:val="center"/>
                </w:tcPr>
                <w:p w14:paraId="55B0A2D9">
                  <w:pPr>
                    <w:pStyle w:val="60"/>
                    <w:jc w:val="both"/>
                    <w:rPr>
                      <w:snapToGrid w:val="0"/>
                      <w:color w:val="auto"/>
                      <w:sz w:val="18"/>
                      <w:szCs w:val="18"/>
                    </w:rPr>
                  </w:pPr>
                  <w:r>
                    <w:rPr>
                      <w:rFonts w:hint="eastAsia"/>
                      <w:snapToGrid w:val="0"/>
                      <w:color w:val="auto"/>
                      <w:sz w:val="18"/>
                      <w:szCs w:val="18"/>
                    </w:rPr>
                    <w:t>本项目</w:t>
                  </w:r>
                  <w:r>
                    <w:rPr>
                      <w:rFonts w:hint="eastAsia"/>
                      <w:snapToGrid w:val="0"/>
                      <w:color w:val="auto"/>
                      <w:sz w:val="18"/>
                      <w:szCs w:val="18"/>
                      <w:lang w:val="en-US" w:eastAsia="zh-CN"/>
                    </w:rPr>
                    <w:t>位于朱台镇工业集聚区</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7464349F">
                  <w:pPr>
                    <w:pStyle w:val="60"/>
                    <w:rPr>
                      <w:snapToGrid w:val="0"/>
                      <w:color w:val="auto"/>
                      <w:sz w:val="18"/>
                      <w:szCs w:val="18"/>
                    </w:rPr>
                  </w:pPr>
                  <w:r>
                    <w:rPr>
                      <w:rFonts w:hint="eastAsia"/>
                      <w:snapToGrid w:val="0"/>
                      <w:color w:val="auto"/>
                      <w:sz w:val="18"/>
                      <w:szCs w:val="18"/>
                    </w:rPr>
                    <w:t>符合</w:t>
                  </w:r>
                </w:p>
              </w:tc>
            </w:tr>
            <w:tr w14:paraId="02A6A8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17D5B1D4">
                  <w:pPr>
                    <w:widowControl/>
                    <w:jc w:val="left"/>
                    <w:rPr>
                      <w:snapToGrid w:val="0"/>
                      <w:color w:val="auto"/>
                      <w:sz w:val="18"/>
                      <w:szCs w:val="18"/>
                    </w:rPr>
                  </w:pPr>
                </w:p>
              </w:tc>
              <w:tc>
                <w:tcPr>
                  <w:tcW w:w="3774" w:type="dxa"/>
                  <w:tcBorders>
                    <w:tl2br w:val="nil"/>
                    <w:tr2bl w:val="nil"/>
                  </w:tcBorders>
                  <w:vAlign w:val="center"/>
                </w:tcPr>
                <w:p w14:paraId="7C13CC02">
                  <w:pPr>
                    <w:pStyle w:val="60"/>
                    <w:jc w:val="both"/>
                    <w:rPr>
                      <w:snapToGrid w:val="0"/>
                      <w:color w:val="auto"/>
                      <w:sz w:val="18"/>
                      <w:szCs w:val="18"/>
                    </w:rPr>
                  </w:pPr>
                  <w:r>
                    <w:rPr>
                      <w:snapToGrid w:val="0"/>
                      <w:color w:val="auto"/>
                      <w:sz w:val="18"/>
                      <w:szCs w:val="18"/>
                    </w:rPr>
                    <w:t>6.</w:t>
                  </w:r>
                  <w:r>
                    <w:rPr>
                      <w:rFonts w:hint="eastAsia"/>
                      <w:snapToGrid w:val="0"/>
                      <w:color w:val="auto"/>
                      <w:sz w:val="18"/>
                      <w:szCs w:val="18"/>
                    </w:rPr>
                    <w:t>按照省市要求，严格控制“两高”项目，新建“两高”项目实行“五个减量替代”。</w:t>
                  </w:r>
                </w:p>
              </w:tc>
              <w:tc>
                <w:tcPr>
                  <w:tcW w:w="3389" w:type="dxa"/>
                  <w:tcBorders>
                    <w:tl2br w:val="nil"/>
                    <w:tr2bl w:val="nil"/>
                  </w:tcBorders>
                  <w:vAlign w:val="center"/>
                </w:tcPr>
                <w:p w14:paraId="1E865932">
                  <w:pPr>
                    <w:pStyle w:val="60"/>
                    <w:jc w:val="both"/>
                    <w:rPr>
                      <w:snapToGrid w:val="0"/>
                      <w:color w:val="auto"/>
                      <w:sz w:val="18"/>
                      <w:szCs w:val="18"/>
                    </w:rPr>
                  </w:pPr>
                  <w:r>
                    <w:rPr>
                      <w:rFonts w:hint="eastAsia"/>
                      <w:snapToGrid w:val="0"/>
                      <w:color w:val="auto"/>
                      <w:sz w:val="18"/>
                      <w:szCs w:val="18"/>
                    </w:rPr>
                    <w:t>本项目不属于“两高”项目。</w:t>
                  </w:r>
                </w:p>
              </w:tc>
              <w:tc>
                <w:tcPr>
                  <w:tcW w:w="693" w:type="dxa"/>
                  <w:tcBorders>
                    <w:tl2br w:val="nil"/>
                    <w:tr2bl w:val="nil"/>
                  </w:tcBorders>
                  <w:tcMar>
                    <w:top w:w="0" w:type="dxa"/>
                    <w:left w:w="57" w:type="dxa"/>
                    <w:bottom w:w="0" w:type="dxa"/>
                    <w:right w:w="57" w:type="dxa"/>
                  </w:tcMar>
                  <w:vAlign w:val="center"/>
                </w:tcPr>
                <w:p w14:paraId="23189F5E">
                  <w:pPr>
                    <w:pStyle w:val="60"/>
                    <w:rPr>
                      <w:snapToGrid w:val="0"/>
                      <w:color w:val="auto"/>
                      <w:sz w:val="18"/>
                      <w:szCs w:val="18"/>
                    </w:rPr>
                  </w:pPr>
                  <w:r>
                    <w:rPr>
                      <w:rFonts w:hint="eastAsia"/>
                      <w:snapToGrid w:val="0"/>
                      <w:color w:val="auto"/>
                      <w:sz w:val="18"/>
                      <w:szCs w:val="18"/>
                    </w:rPr>
                    <w:t>符合</w:t>
                  </w:r>
                </w:p>
              </w:tc>
            </w:tr>
            <w:tr w14:paraId="0BA4FB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restart"/>
                  <w:tcBorders>
                    <w:tl2br w:val="nil"/>
                    <w:tr2bl w:val="nil"/>
                  </w:tcBorders>
                  <w:tcMar>
                    <w:top w:w="0" w:type="dxa"/>
                    <w:left w:w="57" w:type="dxa"/>
                    <w:bottom w:w="0" w:type="dxa"/>
                    <w:right w:w="57" w:type="dxa"/>
                  </w:tcMar>
                  <w:vAlign w:val="center"/>
                </w:tcPr>
                <w:p w14:paraId="62AF55C0">
                  <w:pPr>
                    <w:pStyle w:val="60"/>
                    <w:rPr>
                      <w:snapToGrid w:val="0"/>
                      <w:color w:val="auto"/>
                      <w:sz w:val="18"/>
                      <w:szCs w:val="18"/>
                    </w:rPr>
                  </w:pPr>
                  <w:r>
                    <w:rPr>
                      <w:rFonts w:hint="eastAsia"/>
                      <w:snapToGrid w:val="0"/>
                      <w:color w:val="auto"/>
                      <w:sz w:val="18"/>
                      <w:szCs w:val="18"/>
                    </w:rPr>
                    <w:t>污染物排放管控</w:t>
                  </w:r>
                </w:p>
              </w:tc>
              <w:tc>
                <w:tcPr>
                  <w:tcW w:w="3774" w:type="dxa"/>
                  <w:tcBorders>
                    <w:tl2br w:val="nil"/>
                    <w:tr2bl w:val="nil"/>
                  </w:tcBorders>
                  <w:vAlign w:val="center"/>
                </w:tcPr>
                <w:p w14:paraId="7B798262">
                  <w:pPr>
                    <w:pStyle w:val="60"/>
                    <w:jc w:val="both"/>
                    <w:rPr>
                      <w:snapToGrid w:val="0"/>
                      <w:color w:val="auto"/>
                      <w:sz w:val="18"/>
                      <w:szCs w:val="18"/>
                    </w:rPr>
                  </w:pPr>
                  <w:r>
                    <w:rPr>
                      <w:snapToGrid w:val="0"/>
                      <w:color w:val="auto"/>
                      <w:sz w:val="18"/>
                      <w:szCs w:val="18"/>
                    </w:rPr>
                    <w:t>1.</w:t>
                  </w:r>
                  <w:r>
                    <w:rPr>
                      <w:rFonts w:hint="eastAsia"/>
                      <w:snapToGrid w:val="0"/>
                      <w:color w:val="auto"/>
                      <w:sz w:val="18"/>
                      <w:szCs w:val="18"/>
                      <w:lang w:val="en-US" w:eastAsia="zh-CN"/>
                    </w:rPr>
                    <w:t>涉</w:t>
                  </w:r>
                  <w:r>
                    <w:rPr>
                      <w:rFonts w:hint="eastAsia"/>
                      <w:snapToGrid w:val="0"/>
                      <w:color w:val="auto"/>
                      <w:sz w:val="18"/>
                      <w:szCs w:val="18"/>
                    </w:rPr>
                    <w:t>“两高”项目企业应当积极实施节能改造提升，提高能源使用效率，推进节能减排。</w:t>
                  </w:r>
                </w:p>
              </w:tc>
              <w:tc>
                <w:tcPr>
                  <w:tcW w:w="3389" w:type="dxa"/>
                  <w:tcBorders>
                    <w:tl2br w:val="nil"/>
                    <w:tr2bl w:val="nil"/>
                  </w:tcBorders>
                  <w:vAlign w:val="center"/>
                </w:tcPr>
                <w:p w14:paraId="7F8BEF6C">
                  <w:pPr>
                    <w:pStyle w:val="60"/>
                    <w:jc w:val="both"/>
                    <w:rPr>
                      <w:snapToGrid w:val="0"/>
                      <w:color w:val="auto"/>
                      <w:sz w:val="18"/>
                      <w:szCs w:val="18"/>
                    </w:rPr>
                  </w:pPr>
                  <w:r>
                    <w:rPr>
                      <w:rFonts w:hint="eastAsia"/>
                      <w:snapToGrid w:val="0"/>
                      <w:color w:val="auto"/>
                      <w:sz w:val="18"/>
                      <w:szCs w:val="18"/>
                    </w:rPr>
                    <w:t>本项目不属于“两高”项目。</w:t>
                  </w:r>
                </w:p>
              </w:tc>
              <w:tc>
                <w:tcPr>
                  <w:tcW w:w="693" w:type="dxa"/>
                  <w:tcBorders>
                    <w:tl2br w:val="nil"/>
                    <w:tr2bl w:val="nil"/>
                  </w:tcBorders>
                  <w:tcMar>
                    <w:top w:w="0" w:type="dxa"/>
                    <w:left w:w="57" w:type="dxa"/>
                    <w:bottom w:w="0" w:type="dxa"/>
                    <w:right w:w="57" w:type="dxa"/>
                  </w:tcMar>
                  <w:vAlign w:val="center"/>
                </w:tcPr>
                <w:p w14:paraId="366CEBF6">
                  <w:pPr>
                    <w:pStyle w:val="60"/>
                    <w:rPr>
                      <w:snapToGrid w:val="0"/>
                      <w:color w:val="auto"/>
                      <w:sz w:val="18"/>
                      <w:szCs w:val="18"/>
                    </w:rPr>
                  </w:pPr>
                  <w:r>
                    <w:rPr>
                      <w:rFonts w:hint="eastAsia"/>
                      <w:snapToGrid w:val="0"/>
                      <w:color w:val="auto"/>
                      <w:sz w:val="18"/>
                      <w:szCs w:val="18"/>
                    </w:rPr>
                    <w:t>符合</w:t>
                  </w:r>
                </w:p>
              </w:tc>
            </w:tr>
            <w:tr w14:paraId="1EB859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5346EF7B">
                  <w:pPr>
                    <w:widowControl/>
                    <w:jc w:val="left"/>
                    <w:rPr>
                      <w:snapToGrid w:val="0"/>
                      <w:color w:val="auto"/>
                      <w:sz w:val="18"/>
                      <w:szCs w:val="18"/>
                    </w:rPr>
                  </w:pPr>
                </w:p>
              </w:tc>
              <w:tc>
                <w:tcPr>
                  <w:tcW w:w="3774" w:type="dxa"/>
                  <w:tcBorders>
                    <w:tl2br w:val="nil"/>
                    <w:tr2bl w:val="nil"/>
                  </w:tcBorders>
                  <w:vAlign w:val="center"/>
                </w:tcPr>
                <w:p w14:paraId="635E34D9">
                  <w:pPr>
                    <w:pStyle w:val="60"/>
                    <w:jc w:val="both"/>
                    <w:rPr>
                      <w:snapToGrid w:val="0"/>
                      <w:color w:val="auto"/>
                      <w:sz w:val="18"/>
                      <w:szCs w:val="18"/>
                    </w:rPr>
                  </w:pPr>
                  <w:r>
                    <w:rPr>
                      <w:snapToGrid w:val="0"/>
                      <w:color w:val="auto"/>
                      <w:sz w:val="18"/>
                      <w:szCs w:val="18"/>
                    </w:rPr>
                    <w:t>2.</w:t>
                  </w:r>
                  <w:r>
                    <w:rPr>
                      <w:rFonts w:hint="eastAsia"/>
                      <w:snapToGrid w:val="0"/>
                      <w:color w:val="auto"/>
                      <w:sz w:val="18"/>
                      <w:szCs w:val="18"/>
                    </w:rPr>
                    <w:t>落实主要污染物总量替代要求，按照山东省生态环境厅《关于印发山东省建设项目主要大气污染物排放总量替代指标核算及管理办法的通知》，实施动态管控替代。</w:t>
                  </w:r>
                </w:p>
              </w:tc>
              <w:tc>
                <w:tcPr>
                  <w:tcW w:w="3389" w:type="dxa"/>
                  <w:tcBorders>
                    <w:tl2br w:val="nil"/>
                    <w:tr2bl w:val="nil"/>
                  </w:tcBorders>
                  <w:vAlign w:val="center"/>
                </w:tcPr>
                <w:p w14:paraId="301E49A4">
                  <w:pPr>
                    <w:pStyle w:val="60"/>
                    <w:jc w:val="both"/>
                    <w:rPr>
                      <w:snapToGrid w:val="0"/>
                      <w:color w:val="auto"/>
                      <w:sz w:val="18"/>
                      <w:szCs w:val="18"/>
                    </w:rPr>
                  </w:pPr>
                  <w:r>
                    <w:rPr>
                      <w:rFonts w:hint="eastAsia"/>
                      <w:color w:val="auto"/>
                      <w:sz w:val="18"/>
                      <w:szCs w:val="18"/>
                      <w:lang w:val="en-US" w:eastAsia="zh-CN"/>
                    </w:rPr>
                    <w:t>项目技改后，</w:t>
                  </w:r>
                  <w:r>
                    <w:rPr>
                      <w:rFonts w:hint="eastAsia"/>
                      <w:color w:val="auto"/>
                      <w:sz w:val="18"/>
                      <w:szCs w:val="18"/>
                    </w:rPr>
                    <w:t>新增主要污染物总量</w:t>
                  </w:r>
                  <w:r>
                    <w:rPr>
                      <w:rFonts w:hint="eastAsia"/>
                      <w:color w:val="auto"/>
                      <w:sz w:val="18"/>
                      <w:szCs w:val="18"/>
                      <w:lang w:val="en-US" w:eastAsia="zh-CN"/>
                    </w:rPr>
                    <w:t>严格落实</w:t>
                  </w:r>
                  <w:r>
                    <w:rPr>
                      <w:rFonts w:hint="eastAsia"/>
                      <w:color w:val="auto"/>
                      <w:sz w:val="18"/>
                      <w:szCs w:val="18"/>
                    </w:rPr>
                    <w:t>总量</w:t>
                  </w:r>
                  <w:r>
                    <w:rPr>
                      <w:rFonts w:hint="eastAsia"/>
                      <w:color w:val="auto"/>
                      <w:sz w:val="18"/>
                      <w:szCs w:val="18"/>
                      <w:lang w:val="en-US" w:eastAsia="zh-CN"/>
                    </w:rPr>
                    <w:t>替代要求</w:t>
                  </w:r>
                  <w:r>
                    <w:rPr>
                      <w:rFonts w:hint="eastAsia"/>
                      <w:color w:val="auto"/>
                      <w:sz w:val="18"/>
                      <w:szCs w:val="18"/>
                    </w:rPr>
                    <w:t>，实现区域污染物排放量削减，满足园区污染物排放管控要求</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14FBE622">
                  <w:pPr>
                    <w:pStyle w:val="60"/>
                    <w:rPr>
                      <w:snapToGrid w:val="0"/>
                      <w:color w:val="auto"/>
                      <w:sz w:val="18"/>
                      <w:szCs w:val="18"/>
                    </w:rPr>
                  </w:pPr>
                  <w:r>
                    <w:rPr>
                      <w:rFonts w:hint="eastAsia"/>
                      <w:snapToGrid w:val="0"/>
                      <w:color w:val="auto"/>
                      <w:sz w:val="18"/>
                      <w:szCs w:val="18"/>
                    </w:rPr>
                    <w:t>符合</w:t>
                  </w:r>
                </w:p>
              </w:tc>
            </w:tr>
            <w:tr w14:paraId="49B08B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21580BD2">
                  <w:pPr>
                    <w:widowControl/>
                    <w:jc w:val="left"/>
                    <w:rPr>
                      <w:snapToGrid w:val="0"/>
                      <w:color w:val="auto"/>
                      <w:sz w:val="18"/>
                      <w:szCs w:val="18"/>
                    </w:rPr>
                  </w:pPr>
                </w:p>
              </w:tc>
              <w:tc>
                <w:tcPr>
                  <w:tcW w:w="3774" w:type="dxa"/>
                  <w:tcBorders>
                    <w:tl2br w:val="nil"/>
                    <w:tr2bl w:val="nil"/>
                  </w:tcBorders>
                  <w:vAlign w:val="center"/>
                </w:tcPr>
                <w:p w14:paraId="49CA2E70">
                  <w:pPr>
                    <w:pStyle w:val="60"/>
                    <w:jc w:val="both"/>
                    <w:rPr>
                      <w:snapToGrid w:val="0"/>
                      <w:color w:val="auto"/>
                      <w:sz w:val="18"/>
                      <w:szCs w:val="18"/>
                    </w:rPr>
                  </w:pPr>
                  <w:r>
                    <w:rPr>
                      <w:snapToGrid w:val="0"/>
                      <w:color w:val="auto"/>
                      <w:sz w:val="18"/>
                      <w:szCs w:val="18"/>
                    </w:rPr>
                    <w:t>3.</w:t>
                  </w:r>
                  <w:r>
                    <w:rPr>
                      <w:rFonts w:hint="eastAsia"/>
                      <w:snapToGrid w:val="0"/>
                      <w:color w:val="auto"/>
                      <w:sz w:val="18"/>
                      <w:szCs w:val="18"/>
                    </w:rPr>
                    <w:t>废水应当按照要求进行预处理，达到行业排放标准或是综合排放标准后方可排放。</w:t>
                  </w:r>
                </w:p>
              </w:tc>
              <w:tc>
                <w:tcPr>
                  <w:tcW w:w="3389" w:type="dxa"/>
                  <w:tcBorders>
                    <w:tl2br w:val="nil"/>
                    <w:tr2bl w:val="nil"/>
                  </w:tcBorders>
                  <w:vAlign w:val="center"/>
                </w:tcPr>
                <w:p w14:paraId="6C644C89">
                  <w:pPr>
                    <w:pStyle w:val="60"/>
                    <w:jc w:val="both"/>
                    <w:rPr>
                      <w:snapToGrid w:val="0"/>
                      <w:color w:val="auto"/>
                      <w:sz w:val="18"/>
                      <w:szCs w:val="18"/>
                    </w:rPr>
                  </w:pPr>
                  <w:r>
                    <w:rPr>
                      <w:rFonts w:hint="eastAsia"/>
                      <w:snapToGrid w:val="0"/>
                      <w:color w:val="auto"/>
                      <w:sz w:val="18"/>
                      <w:szCs w:val="18"/>
                    </w:rPr>
                    <w:t>本</w:t>
                  </w:r>
                  <w:r>
                    <w:rPr>
                      <w:rFonts w:hint="eastAsia"/>
                      <w:snapToGrid w:val="0"/>
                      <w:color w:val="auto"/>
                      <w:sz w:val="18"/>
                      <w:szCs w:val="18"/>
                      <w:lang w:val="en-US" w:eastAsia="zh-CN"/>
                    </w:rPr>
                    <w:t>次技改项目各废水收集后经厂区污水处理设施处理后回用，不外排</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5ED91968">
                  <w:pPr>
                    <w:pStyle w:val="60"/>
                    <w:rPr>
                      <w:snapToGrid w:val="0"/>
                      <w:color w:val="auto"/>
                      <w:sz w:val="18"/>
                      <w:szCs w:val="18"/>
                    </w:rPr>
                  </w:pPr>
                  <w:r>
                    <w:rPr>
                      <w:rFonts w:hint="eastAsia"/>
                      <w:snapToGrid w:val="0"/>
                      <w:color w:val="auto"/>
                      <w:sz w:val="18"/>
                      <w:szCs w:val="18"/>
                    </w:rPr>
                    <w:t>符合</w:t>
                  </w:r>
                </w:p>
              </w:tc>
            </w:tr>
            <w:tr w14:paraId="3EFD8B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14E50D8A">
                  <w:pPr>
                    <w:widowControl/>
                    <w:jc w:val="left"/>
                    <w:rPr>
                      <w:snapToGrid w:val="0"/>
                      <w:color w:val="auto"/>
                      <w:sz w:val="18"/>
                      <w:szCs w:val="18"/>
                    </w:rPr>
                  </w:pPr>
                </w:p>
              </w:tc>
              <w:tc>
                <w:tcPr>
                  <w:tcW w:w="3774" w:type="dxa"/>
                  <w:tcBorders>
                    <w:tl2br w:val="nil"/>
                    <w:tr2bl w:val="nil"/>
                  </w:tcBorders>
                  <w:vAlign w:val="center"/>
                </w:tcPr>
                <w:p w14:paraId="32451EA8">
                  <w:pPr>
                    <w:pStyle w:val="60"/>
                    <w:jc w:val="both"/>
                    <w:rPr>
                      <w:snapToGrid w:val="0"/>
                      <w:color w:val="auto"/>
                      <w:sz w:val="18"/>
                      <w:szCs w:val="18"/>
                    </w:rPr>
                  </w:pPr>
                  <w:r>
                    <w:rPr>
                      <w:snapToGrid w:val="0"/>
                      <w:color w:val="auto"/>
                      <w:sz w:val="18"/>
                      <w:szCs w:val="18"/>
                    </w:rPr>
                    <w:t>4.</w:t>
                  </w:r>
                  <w:r>
                    <w:rPr>
                      <w:rFonts w:hint="eastAsia"/>
                      <w:snapToGrid w:val="0"/>
                      <w:color w:val="auto"/>
                      <w:sz w:val="18"/>
                      <w:szCs w:val="18"/>
                    </w:rPr>
                    <w:t>禁止工业废水和生活污水未经处理直排环境；原则上除工业污水集中处理设施、城镇污水处理厂外不得新建入河排污口。</w:t>
                  </w:r>
                </w:p>
              </w:tc>
              <w:tc>
                <w:tcPr>
                  <w:tcW w:w="3389" w:type="dxa"/>
                  <w:tcBorders>
                    <w:tl2br w:val="nil"/>
                    <w:tr2bl w:val="nil"/>
                  </w:tcBorders>
                  <w:vAlign w:val="center"/>
                </w:tcPr>
                <w:p w14:paraId="20B5DD5D">
                  <w:pPr>
                    <w:pStyle w:val="60"/>
                    <w:jc w:val="both"/>
                    <w:rPr>
                      <w:snapToGrid w:val="0"/>
                      <w:color w:val="auto"/>
                      <w:sz w:val="18"/>
                      <w:szCs w:val="18"/>
                    </w:rPr>
                  </w:pPr>
                  <w:r>
                    <w:rPr>
                      <w:rFonts w:hint="eastAsia"/>
                      <w:snapToGrid w:val="0"/>
                      <w:color w:val="auto"/>
                      <w:sz w:val="18"/>
                      <w:szCs w:val="18"/>
                    </w:rPr>
                    <w:t>本</w:t>
                  </w:r>
                  <w:r>
                    <w:rPr>
                      <w:rFonts w:hint="eastAsia"/>
                      <w:snapToGrid w:val="0"/>
                      <w:color w:val="auto"/>
                      <w:sz w:val="18"/>
                      <w:szCs w:val="18"/>
                      <w:lang w:val="en-US" w:eastAsia="zh-CN"/>
                    </w:rPr>
                    <w:t>次技改项目各废水收集后经厂区污水处理设施处理后回用，不外排</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7BF9F373">
                  <w:pPr>
                    <w:pStyle w:val="60"/>
                    <w:rPr>
                      <w:snapToGrid w:val="0"/>
                      <w:color w:val="auto"/>
                      <w:sz w:val="18"/>
                      <w:szCs w:val="18"/>
                    </w:rPr>
                  </w:pPr>
                  <w:r>
                    <w:rPr>
                      <w:rFonts w:hint="eastAsia"/>
                      <w:snapToGrid w:val="0"/>
                      <w:color w:val="auto"/>
                      <w:sz w:val="18"/>
                      <w:szCs w:val="18"/>
                    </w:rPr>
                    <w:t>符合</w:t>
                  </w:r>
                </w:p>
              </w:tc>
            </w:tr>
            <w:tr w14:paraId="7263B0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38869A69">
                  <w:pPr>
                    <w:widowControl/>
                    <w:jc w:val="left"/>
                    <w:rPr>
                      <w:snapToGrid w:val="0"/>
                      <w:color w:val="auto"/>
                      <w:sz w:val="18"/>
                      <w:szCs w:val="18"/>
                    </w:rPr>
                  </w:pPr>
                </w:p>
              </w:tc>
              <w:tc>
                <w:tcPr>
                  <w:tcW w:w="3774" w:type="dxa"/>
                  <w:tcBorders>
                    <w:tl2br w:val="nil"/>
                    <w:tr2bl w:val="nil"/>
                  </w:tcBorders>
                  <w:vAlign w:val="center"/>
                </w:tcPr>
                <w:p w14:paraId="1EDE6F56">
                  <w:pPr>
                    <w:pStyle w:val="60"/>
                    <w:jc w:val="both"/>
                    <w:rPr>
                      <w:snapToGrid w:val="0"/>
                      <w:color w:val="auto"/>
                      <w:sz w:val="18"/>
                      <w:szCs w:val="18"/>
                    </w:rPr>
                  </w:pPr>
                  <w:r>
                    <w:rPr>
                      <w:rFonts w:hint="eastAsia"/>
                      <w:snapToGrid w:val="0"/>
                      <w:color w:val="auto"/>
                      <w:sz w:val="18"/>
                      <w:szCs w:val="18"/>
                      <w:lang w:val="en-US" w:eastAsia="zh-CN"/>
                    </w:rPr>
                    <w:t>5</w:t>
                  </w:r>
                  <w:r>
                    <w:rPr>
                      <w:snapToGrid w:val="0"/>
                      <w:color w:val="auto"/>
                      <w:sz w:val="18"/>
                      <w:szCs w:val="18"/>
                    </w:rPr>
                    <w:t>.</w:t>
                  </w:r>
                  <w:r>
                    <w:rPr>
                      <w:rFonts w:hint="eastAsia"/>
                      <w:snapToGrid w:val="0"/>
                      <w:color w:val="auto"/>
                      <w:sz w:val="18"/>
                      <w:szCs w:val="18"/>
                    </w:rPr>
                    <w:t>包装印刷、表面涂装等涉</w:t>
                  </w:r>
                  <w:r>
                    <w:rPr>
                      <w:snapToGrid w:val="0"/>
                      <w:color w:val="auto"/>
                      <w:sz w:val="18"/>
                      <w:szCs w:val="18"/>
                    </w:rPr>
                    <w:t>VOC</w:t>
                  </w:r>
                  <w:r>
                    <w:rPr>
                      <w:snapToGrid w:val="0"/>
                      <w:color w:val="auto"/>
                      <w:sz w:val="18"/>
                      <w:szCs w:val="18"/>
                      <w:vertAlign w:val="subscript"/>
                    </w:rPr>
                    <w:t>S</w:t>
                  </w:r>
                  <w:r>
                    <w:rPr>
                      <w:rFonts w:hint="eastAsia"/>
                      <w:snapToGrid w:val="0"/>
                      <w:color w:val="auto"/>
                      <w:sz w:val="18"/>
                      <w:szCs w:val="18"/>
                    </w:rPr>
                    <w:t>排放的行业，严格按照淄博市行业环境管控要求，实施源头替代，热电行业清洁生产技术装备改造提升，建立健全治理设施，确保污染物稳定达标排放，做到持证排污。</w:t>
                  </w:r>
                </w:p>
              </w:tc>
              <w:tc>
                <w:tcPr>
                  <w:tcW w:w="3389" w:type="dxa"/>
                  <w:tcBorders>
                    <w:tl2br w:val="nil"/>
                    <w:tr2bl w:val="nil"/>
                  </w:tcBorders>
                  <w:vAlign w:val="center"/>
                </w:tcPr>
                <w:p w14:paraId="5661EAC4">
                  <w:pPr>
                    <w:pStyle w:val="60"/>
                    <w:jc w:val="both"/>
                    <w:rPr>
                      <w:snapToGrid w:val="0"/>
                      <w:color w:val="auto"/>
                      <w:sz w:val="18"/>
                      <w:szCs w:val="18"/>
                    </w:rPr>
                  </w:pPr>
                  <w:r>
                    <w:rPr>
                      <w:rFonts w:hint="eastAsia"/>
                      <w:snapToGrid w:val="0"/>
                      <w:color w:val="auto"/>
                      <w:sz w:val="18"/>
                      <w:szCs w:val="18"/>
                    </w:rPr>
                    <w:t>项目建设严格按照淄博市“淄环发</w:t>
                  </w:r>
                  <w:r>
                    <w:rPr>
                      <w:snapToGrid w:val="0"/>
                      <w:color w:val="auto"/>
                      <w:sz w:val="18"/>
                      <w:szCs w:val="18"/>
                    </w:rPr>
                    <w:t>[2020]31</w:t>
                  </w:r>
                  <w:r>
                    <w:rPr>
                      <w:rFonts w:hint="eastAsia"/>
                      <w:snapToGrid w:val="0"/>
                      <w:color w:val="auto"/>
                      <w:sz w:val="18"/>
                      <w:szCs w:val="18"/>
                    </w:rPr>
                    <w:t>号”文件等相关行业环境管控要求，建设完善的污染治理设施，确保污染物稳定达标排放；严格执行排污许可制度，做到持证排污。</w:t>
                  </w:r>
                </w:p>
              </w:tc>
              <w:tc>
                <w:tcPr>
                  <w:tcW w:w="693" w:type="dxa"/>
                  <w:tcBorders>
                    <w:tl2br w:val="nil"/>
                    <w:tr2bl w:val="nil"/>
                  </w:tcBorders>
                  <w:tcMar>
                    <w:top w:w="0" w:type="dxa"/>
                    <w:left w:w="57" w:type="dxa"/>
                    <w:bottom w:w="0" w:type="dxa"/>
                    <w:right w:w="57" w:type="dxa"/>
                  </w:tcMar>
                  <w:vAlign w:val="center"/>
                </w:tcPr>
                <w:p w14:paraId="057847B5">
                  <w:pPr>
                    <w:pStyle w:val="60"/>
                    <w:rPr>
                      <w:snapToGrid w:val="0"/>
                      <w:color w:val="auto"/>
                      <w:sz w:val="18"/>
                      <w:szCs w:val="18"/>
                    </w:rPr>
                  </w:pPr>
                  <w:r>
                    <w:rPr>
                      <w:rFonts w:hint="eastAsia"/>
                      <w:snapToGrid w:val="0"/>
                      <w:color w:val="auto"/>
                      <w:sz w:val="18"/>
                      <w:szCs w:val="18"/>
                    </w:rPr>
                    <w:t>符合</w:t>
                  </w:r>
                </w:p>
              </w:tc>
            </w:tr>
            <w:tr w14:paraId="610668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733B9E36">
                  <w:pPr>
                    <w:widowControl/>
                    <w:jc w:val="left"/>
                    <w:rPr>
                      <w:snapToGrid w:val="0"/>
                      <w:color w:val="auto"/>
                      <w:sz w:val="18"/>
                      <w:szCs w:val="18"/>
                    </w:rPr>
                  </w:pPr>
                </w:p>
              </w:tc>
              <w:tc>
                <w:tcPr>
                  <w:tcW w:w="3774" w:type="dxa"/>
                  <w:tcBorders>
                    <w:tl2br w:val="nil"/>
                    <w:tr2bl w:val="nil"/>
                  </w:tcBorders>
                  <w:vAlign w:val="center"/>
                </w:tcPr>
                <w:p w14:paraId="6A639E39">
                  <w:pPr>
                    <w:pStyle w:val="60"/>
                    <w:jc w:val="both"/>
                    <w:rPr>
                      <w:rFonts w:hint="default"/>
                      <w:snapToGrid w:val="0"/>
                      <w:color w:val="auto"/>
                      <w:sz w:val="18"/>
                      <w:szCs w:val="18"/>
                      <w:lang w:val="en-US" w:eastAsia="zh-CN"/>
                    </w:rPr>
                  </w:pPr>
                  <w:r>
                    <w:rPr>
                      <w:rFonts w:hint="eastAsia"/>
                      <w:snapToGrid w:val="0"/>
                      <w:color w:val="auto"/>
                      <w:sz w:val="18"/>
                      <w:szCs w:val="18"/>
                      <w:lang w:val="en-US" w:eastAsia="zh-CN"/>
                    </w:rPr>
                    <w:t>6.严格控制化肥农药施用量，鼓励使用有机肥、缓释肥等高效肥料，加强农业面源污染治理，逐步削减农业面源污染物排放量。实施环境激素类化学品淘汰、限制、替代制度。</w:t>
                  </w:r>
                </w:p>
              </w:tc>
              <w:tc>
                <w:tcPr>
                  <w:tcW w:w="3389" w:type="dxa"/>
                  <w:tcBorders>
                    <w:tl2br w:val="nil"/>
                    <w:tr2bl w:val="nil"/>
                  </w:tcBorders>
                  <w:vAlign w:val="center"/>
                </w:tcPr>
                <w:p w14:paraId="5254D0AE">
                  <w:pPr>
                    <w:pStyle w:val="60"/>
                    <w:jc w:val="both"/>
                    <w:rPr>
                      <w:rFonts w:hint="default" w:eastAsia="宋体"/>
                      <w:snapToGrid w:val="0"/>
                      <w:color w:val="auto"/>
                      <w:sz w:val="18"/>
                      <w:szCs w:val="18"/>
                      <w:lang w:val="en-US" w:eastAsia="zh-CN"/>
                    </w:rPr>
                  </w:pPr>
                  <w:r>
                    <w:rPr>
                      <w:rFonts w:hint="eastAsia"/>
                      <w:snapToGrid w:val="0"/>
                      <w:color w:val="auto"/>
                      <w:sz w:val="18"/>
                      <w:szCs w:val="18"/>
                      <w:lang w:val="en-US" w:eastAsia="zh-CN"/>
                    </w:rPr>
                    <w:t>本项目不涉及左侧所列情形。</w:t>
                  </w:r>
                </w:p>
              </w:tc>
              <w:tc>
                <w:tcPr>
                  <w:tcW w:w="693" w:type="dxa"/>
                  <w:tcBorders>
                    <w:tl2br w:val="nil"/>
                    <w:tr2bl w:val="nil"/>
                  </w:tcBorders>
                  <w:tcMar>
                    <w:top w:w="0" w:type="dxa"/>
                    <w:left w:w="57" w:type="dxa"/>
                    <w:bottom w:w="0" w:type="dxa"/>
                    <w:right w:w="57" w:type="dxa"/>
                  </w:tcMar>
                  <w:vAlign w:val="center"/>
                </w:tcPr>
                <w:p w14:paraId="67C10BAE">
                  <w:pPr>
                    <w:pStyle w:val="60"/>
                    <w:rPr>
                      <w:rFonts w:hint="eastAsia" w:eastAsia="宋体"/>
                      <w:snapToGrid w:val="0"/>
                      <w:color w:val="auto"/>
                      <w:sz w:val="18"/>
                      <w:szCs w:val="18"/>
                      <w:lang w:val="en-US" w:eastAsia="zh-CN"/>
                    </w:rPr>
                  </w:pPr>
                  <w:r>
                    <w:rPr>
                      <w:rFonts w:hint="eastAsia"/>
                      <w:snapToGrid w:val="0"/>
                      <w:color w:val="auto"/>
                      <w:sz w:val="18"/>
                      <w:szCs w:val="18"/>
                      <w:lang w:val="en-US" w:eastAsia="zh-CN"/>
                    </w:rPr>
                    <w:t>符合</w:t>
                  </w:r>
                </w:p>
              </w:tc>
            </w:tr>
            <w:tr w14:paraId="386D99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042B5272">
                  <w:pPr>
                    <w:widowControl/>
                    <w:jc w:val="left"/>
                    <w:rPr>
                      <w:snapToGrid w:val="0"/>
                      <w:color w:val="auto"/>
                      <w:sz w:val="18"/>
                      <w:szCs w:val="18"/>
                    </w:rPr>
                  </w:pPr>
                </w:p>
              </w:tc>
              <w:tc>
                <w:tcPr>
                  <w:tcW w:w="3774" w:type="dxa"/>
                  <w:tcBorders>
                    <w:tl2br w:val="nil"/>
                    <w:tr2bl w:val="nil"/>
                  </w:tcBorders>
                  <w:vAlign w:val="center"/>
                </w:tcPr>
                <w:p w14:paraId="6442486F">
                  <w:pPr>
                    <w:pStyle w:val="60"/>
                    <w:jc w:val="both"/>
                    <w:rPr>
                      <w:rFonts w:hint="default"/>
                      <w:snapToGrid w:val="0"/>
                      <w:color w:val="auto"/>
                      <w:sz w:val="18"/>
                      <w:szCs w:val="18"/>
                      <w:lang w:val="en-US" w:eastAsia="zh-CN"/>
                    </w:rPr>
                  </w:pPr>
                  <w:r>
                    <w:rPr>
                      <w:rFonts w:hint="eastAsia"/>
                      <w:snapToGrid w:val="0"/>
                      <w:color w:val="auto"/>
                      <w:sz w:val="18"/>
                      <w:szCs w:val="18"/>
                      <w:lang w:val="en-US" w:eastAsia="zh-CN"/>
                    </w:rPr>
                    <w:t>7.规模养殖场（小区）粪污处理设施装备配套率达到100%。通过管网截污、小型污水处理站和氧化塘、人工湿地等方式因地制宜处理处置农村生活污水，解决农村污水直排问题。</w:t>
                  </w:r>
                </w:p>
              </w:tc>
              <w:tc>
                <w:tcPr>
                  <w:tcW w:w="3389" w:type="dxa"/>
                  <w:tcBorders>
                    <w:tl2br w:val="nil"/>
                    <w:tr2bl w:val="nil"/>
                  </w:tcBorders>
                  <w:vAlign w:val="center"/>
                </w:tcPr>
                <w:p w14:paraId="58BBB7DC">
                  <w:pPr>
                    <w:pStyle w:val="60"/>
                    <w:jc w:val="both"/>
                    <w:rPr>
                      <w:rFonts w:hint="eastAsia"/>
                      <w:snapToGrid w:val="0"/>
                      <w:color w:val="auto"/>
                      <w:sz w:val="18"/>
                      <w:szCs w:val="18"/>
                    </w:rPr>
                  </w:pPr>
                  <w:r>
                    <w:rPr>
                      <w:rFonts w:hint="eastAsia"/>
                      <w:snapToGrid w:val="0"/>
                      <w:color w:val="auto"/>
                      <w:sz w:val="18"/>
                      <w:szCs w:val="18"/>
                      <w:lang w:val="en-US" w:eastAsia="zh-CN"/>
                    </w:rPr>
                    <w:t>本项目不涉及左侧所列情形。</w:t>
                  </w:r>
                </w:p>
              </w:tc>
              <w:tc>
                <w:tcPr>
                  <w:tcW w:w="693" w:type="dxa"/>
                  <w:tcBorders>
                    <w:tl2br w:val="nil"/>
                    <w:tr2bl w:val="nil"/>
                  </w:tcBorders>
                  <w:tcMar>
                    <w:top w:w="0" w:type="dxa"/>
                    <w:left w:w="57" w:type="dxa"/>
                    <w:bottom w:w="0" w:type="dxa"/>
                    <w:right w:w="57" w:type="dxa"/>
                  </w:tcMar>
                  <w:vAlign w:val="center"/>
                </w:tcPr>
                <w:p w14:paraId="40A42320">
                  <w:pPr>
                    <w:pStyle w:val="60"/>
                    <w:rPr>
                      <w:rFonts w:hint="eastAsia" w:eastAsia="宋体"/>
                      <w:snapToGrid w:val="0"/>
                      <w:color w:val="auto"/>
                      <w:sz w:val="18"/>
                      <w:szCs w:val="18"/>
                      <w:lang w:val="en-US" w:eastAsia="zh-CN"/>
                    </w:rPr>
                  </w:pPr>
                  <w:r>
                    <w:rPr>
                      <w:rFonts w:hint="eastAsia"/>
                      <w:snapToGrid w:val="0"/>
                      <w:color w:val="auto"/>
                      <w:sz w:val="18"/>
                      <w:szCs w:val="18"/>
                      <w:lang w:val="en-US" w:eastAsia="zh-CN"/>
                    </w:rPr>
                    <w:t>符合</w:t>
                  </w:r>
                </w:p>
              </w:tc>
            </w:tr>
            <w:tr w14:paraId="0AD2A0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restart"/>
                  <w:tcBorders>
                    <w:tl2br w:val="nil"/>
                    <w:tr2bl w:val="nil"/>
                  </w:tcBorders>
                  <w:tcMar>
                    <w:top w:w="0" w:type="dxa"/>
                    <w:left w:w="57" w:type="dxa"/>
                    <w:bottom w:w="0" w:type="dxa"/>
                    <w:right w:w="57" w:type="dxa"/>
                  </w:tcMar>
                  <w:vAlign w:val="center"/>
                </w:tcPr>
                <w:p w14:paraId="7582EF08">
                  <w:pPr>
                    <w:pStyle w:val="60"/>
                    <w:rPr>
                      <w:snapToGrid w:val="0"/>
                      <w:color w:val="auto"/>
                      <w:sz w:val="18"/>
                      <w:szCs w:val="18"/>
                    </w:rPr>
                  </w:pPr>
                  <w:r>
                    <w:rPr>
                      <w:rFonts w:hint="eastAsia"/>
                      <w:snapToGrid w:val="0"/>
                      <w:color w:val="auto"/>
                      <w:sz w:val="18"/>
                      <w:szCs w:val="18"/>
                    </w:rPr>
                    <w:t>环境风险防控</w:t>
                  </w:r>
                </w:p>
              </w:tc>
              <w:tc>
                <w:tcPr>
                  <w:tcW w:w="3774" w:type="dxa"/>
                  <w:tcBorders>
                    <w:tl2br w:val="nil"/>
                    <w:tr2bl w:val="nil"/>
                  </w:tcBorders>
                  <w:vAlign w:val="center"/>
                </w:tcPr>
                <w:p w14:paraId="3B18ED3C">
                  <w:pPr>
                    <w:pStyle w:val="60"/>
                    <w:jc w:val="both"/>
                    <w:rPr>
                      <w:snapToGrid w:val="0"/>
                      <w:color w:val="auto"/>
                      <w:sz w:val="18"/>
                      <w:szCs w:val="18"/>
                    </w:rPr>
                  </w:pPr>
                  <w:r>
                    <w:rPr>
                      <w:snapToGrid w:val="0"/>
                      <w:color w:val="auto"/>
                      <w:sz w:val="18"/>
                      <w:szCs w:val="18"/>
                    </w:rPr>
                    <w:t>1.</w:t>
                  </w:r>
                  <w:r>
                    <w:rPr>
                      <w:rFonts w:hint="eastAsia"/>
                      <w:snapToGrid w:val="0"/>
                      <w:color w:val="auto"/>
                      <w:sz w:val="18"/>
                      <w:szCs w:val="18"/>
                    </w:rPr>
                    <w:t>加强农田土壤、灌溉水的监测，对周边区域环境风险源进行评估。</w:t>
                  </w:r>
                </w:p>
              </w:tc>
              <w:tc>
                <w:tcPr>
                  <w:tcW w:w="3389" w:type="dxa"/>
                  <w:tcBorders>
                    <w:tl2br w:val="nil"/>
                    <w:tr2bl w:val="nil"/>
                  </w:tcBorders>
                  <w:vAlign w:val="center"/>
                </w:tcPr>
                <w:p w14:paraId="4651DCDB">
                  <w:pPr>
                    <w:pStyle w:val="60"/>
                    <w:jc w:val="both"/>
                    <w:rPr>
                      <w:rFonts w:hint="default" w:eastAsia="宋体"/>
                      <w:snapToGrid w:val="0"/>
                      <w:color w:val="auto"/>
                      <w:sz w:val="18"/>
                      <w:szCs w:val="18"/>
                      <w:lang w:val="en-US" w:eastAsia="zh-CN"/>
                    </w:rPr>
                  </w:pPr>
                  <w:r>
                    <w:rPr>
                      <w:rFonts w:hint="eastAsia"/>
                      <w:bCs/>
                      <w:color w:val="auto"/>
                      <w:sz w:val="18"/>
                      <w:szCs w:val="18"/>
                      <w:lang w:val="en-US" w:eastAsia="zh-CN"/>
                    </w:rPr>
                    <w:t>本项目不涉及左侧所列情形。</w:t>
                  </w:r>
                </w:p>
              </w:tc>
              <w:tc>
                <w:tcPr>
                  <w:tcW w:w="693" w:type="dxa"/>
                  <w:tcBorders>
                    <w:tl2br w:val="nil"/>
                    <w:tr2bl w:val="nil"/>
                  </w:tcBorders>
                  <w:tcMar>
                    <w:top w:w="0" w:type="dxa"/>
                    <w:left w:w="57" w:type="dxa"/>
                    <w:bottom w:w="0" w:type="dxa"/>
                    <w:right w:w="57" w:type="dxa"/>
                  </w:tcMar>
                  <w:vAlign w:val="center"/>
                </w:tcPr>
                <w:p w14:paraId="4D929107">
                  <w:pPr>
                    <w:pStyle w:val="60"/>
                    <w:rPr>
                      <w:snapToGrid w:val="0"/>
                      <w:color w:val="auto"/>
                      <w:sz w:val="18"/>
                      <w:szCs w:val="18"/>
                    </w:rPr>
                  </w:pPr>
                  <w:r>
                    <w:rPr>
                      <w:rFonts w:hint="eastAsia"/>
                      <w:snapToGrid w:val="0"/>
                      <w:color w:val="auto"/>
                      <w:sz w:val="18"/>
                      <w:szCs w:val="18"/>
                    </w:rPr>
                    <w:t>符合</w:t>
                  </w:r>
                </w:p>
              </w:tc>
            </w:tr>
            <w:tr w14:paraId="4931EA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107D882F">
                  <w:pPr>
                    <w:widowControl/>
                    <w:jc w:val="left"/>
                    <w:rPr>
                      <w:snapToGrid w:val="0"/>
                      <w:color w:val="auto"/>
                      <w:sz w:val="18"/>
                      <w:szCs w:val="18"/>
                    </w:rPr>
                  </w:pPr>
                </w:p>
              </w:tc>
              <w:tc>
                <w:tcPr>
                  <w:tcW w:w="3774" w:type="dxa"/>
                  <w:tcBorders>
                    <w:tl2br w:val="nil"/>
                    <w:tr2bl w:val="nil"/>
                  </w:tcBorders>
                  <w:vAlign w:val="center"/>
                </w:tcPr>
                <w:p w14:paraId="3ADE28A6">
                  <w:pPr>
                    <w:pStyle w:val="60"/>
                    <w:jc w:val="both"/>
                    <w:rPr>
                      <w:snapToGrid w:val="0"/>
                      <w:color w:val="auto"/>
                      <w:sz w:val="18"/>
                      <w:szCs w:val="18"/>
                    </w:rPr>
                  </w:pPr>
                  <w:r>
                    <w:rPr>
                      <w:rFonts w:hint="eastAsia"/>
                      <w:snapToGrid w:val="0"/>
                      <w:color w:val="auto"/>
                      <w:sz w:val="18"/>
                      <w:szCs w:val="18"/>
                      <w:lang w:val="en-US" w:eastAsia="zh-CN"/>
                    </w:rPr>
                    <w:t>2</w:t>
                  </w:r>
                  <w:r>
                    <w:rPr>
                      <w:snapToGrid w:val="0"/>
                      <w:color w:val="auto"/>
                      <w:sz w:val="18"/>
                      <w:szCs w:val="18"/>
                    </w:rPr>
                    <w:t>.</w:t>
                  </w:r>
                  <w:r>
                    <w:rPr>
                      <w:rFonts w:hint="eastAsia"/>
                      <w:snapToGrid w:val="0"/>
                      <w:color w:val="auto"/>
                      <w:sz w:val="18"/>
                      <w:szCs w:val="18"/>
                    </w:rPr>
                    <w:t>企业事业单位按照《企业事业单位突发环境事件应急预案备案管理办法（试行）》等要求，依法依规编制环境应急预案并定期开展演练。</w:t>
                  </w:r>
                </w:p>
              </w:tc>
              <w:tc>
                <w:tcPr>
                  <w:tcW w:w="3389" w:type="dxa"/>
                  <w:tcBorders>
                    <w:tl2br w:val="nil"/>
                    <w:tr2bl w:val="nil"/>
                  </w:tcBorders>
                  <w:vAlign w:val="center"/>
                </w:tcPr>
                <w:p w14:paraId="77CA3D45">
                  <w:pPr>
                    <w:pStyle w:val="60"/>
                    <w:jc w:val="both"/>
                    <w:rPr>
                      <w:snapToGrid w:val="0"/>
                      <w:color w:val="auto"/>
                      <w:sz w:val="18"/>
                      <w:szCs w:val="18"/>
                    </w:rPr>
                  </w:pPr>
                  <w:r>
                    <w:rPr>
                      <w:rFonts w:hint="eastAsia"/>
                      <w:snapToGrid w:val="0"/>
                      <w:color w:val="auto"/>
                      <w:sz w:val="18"/>
                      <w:szCs w:val="18"/>
                    </w:rPr>
                    <w:t>企业按照《企业事业单位突发环境事件应急预案备案管理办法（试行）》等要求，及时修订环境应急预案并定期开展演练。</w:t>
                  </w:r>
                </w:p>
              </w:tc>
              <w:tc>
                <w:tcPr>
                  <w:tcW w:w="693" w:type="dxa"/>
                  <w:tcBorders>
                    <w:tl2br w:val="nil"/>
                    <w:tr2bl w:val="nil"/>
                  </w:tcBorders>
                  <w:tcMar>
                    <w:top w:w="0" w:type="dxa"/>
                    <w:left w:w="57" w:type="dxa"/>
                    <w:bottom w:w="0" w:type="dxa"/>
                    <w:right w:w="57" w:type="dxa"/>
                  </w:tcMar>
                  <w:vAlign w:val="center"/>
                </w:tcPr>
                <w:p w14:paraId="249D7F85">
                  <w:pPr>
                    <w:pStyle w:val="60"/>
                    <w:rPr>
                      <w:snapToGrid w:val="0"/>
                      <w:color w:val="auto"/>
                      <w:sz w:val="18"/>
                      <w:szCs w:val="18"/>
                    </w:rPr>
                  </w:pPr>
                  <w:r>
                    <w:rPr>
                      <w:rFonts w:hint="eastAsia"/>
                      <w:snapToGrid w:val="0"/>
                      <w:color w:val="auto"/>
                      <w:sz w:val="18"/>
                      <w:szCs w:val="18"/>
                    </w:rPr>
                    <w:t>符合</w:t>
                  </w:r>
                </w:p>
              </w:tc>
            </w:tr>
            <w:tr w14:paraId="50DC60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1AEEF104">
                  <w:pPr>
                    <w:widowControl/>
                    <w:jc w:val="left"/>
                    <w:rPr>
                      <w:snapToGrid w:val="0"/>
                      <w:color w:val="auto"/>
                      <w:sz w:val="18"/>
                      <w:szCs w:val="18"/>
                    </w:rPr>
                  </w:pPr>
                </w:p>
              </w:tc>
              <w:tc>
                <w:tcPr>
                  <w:tcW w:w="3774" w:type="dxa"/>
                  <w:tcBorders>
                    <w:tl2br w:val="nil"/>
                    <w:tr2bl w:val="nil"/>
                  </w:tcBorders>
                  <w:vAlign w:val="center"/>
                </w:tcPr>
                <w:p w14:paraId="5BA0ECCF">
                  <w:pPr>
                    <w:pStyle w:val="60"/>
                    <w:jc w:val="both"/>
                    <w:rPr>
                      <w:snapToGrid w:val="0"/>
                      <w:color w:val="auto"/>
                      <w:sz w:val="18"/>
                      <w:szCs w:val="18"/>
                    </w:rPr>
                  </w:pPr>
                  <w:r>
                    <w:rPr>
                      <w:rFonts w:hint="eastAsia"/>
                      <w:snapToGrid w:val="0"/>
                      <w:color w:val="auto"/>
                      <w:sz w:val="18"/>
                      <w:szCs w:val="18"/>
                      <w:lang w:val="en-US" w:eastAsia="zh-CN"/>
                    </w:rPr>
                    <w:t>3</w:t>
                  </w:r>
                  <w:r>
                    <w:rPr>
                      <w:snapToGrid w:val="0"/>
                      <w:color w:val="auto"/>
                      <w:sz w:val="18"/>
                      <w:szCs w:val="18"/>
                    </w:rPr>
                    <w:t>.</w:t>
                  </w:r>
                  <w:r>
                    <w:rPr>
                      <w:rFonts w:hint="eastAsia"/>
                      <w:snapToGrid w:val="0"/>
                      <w:color w:val="auto"/>
                      <w:sz w:val="18"/>
                      <w:szCs w:val="18"/>
                    </w:rPr>
                    <w:t>建立各企业危险废物的贮存、申报、经营许可（无废城市建设豁免的除外）、转移及处置管理制度，并负责对危废相应活动的全程监管和环境安全保障。</w:t>
                  </w:r>
                </w:p>
              </w:tc>
              <w:tc>
                <w:tcPr>
                  <w:tcW w:w="3389" w:type="dxa"/>
                  <w:tcBorders>
                    <w:tl2br w:val="nil"/>
                    <w:tr2bl w:val="nil"/>
                  </w:tcBorders>
                  <w:vAlign w:val="center"/>
                </w:tcPr>
                <w:p w14:paraId="47A9B08B">
                  <w:pPr>
                    <w:pStyle w:val="60"/>
                    <w:jc w:val="both"/>
                    <w:rPr>
                      <w:snapToGrid w:val="0"/>
                      <w:color w:val="auto"/>
                      <w:sz w:val="18"/>
                      <w:szCs w:val="18"/>
                    </w:rPr>
                  </w:pPr>
                  <w:r>
                    <w:rPr>
                      <w:rFonts w:hint="eastAsia"/>
                      <w:snapToGrid w:val="0"/>
                      <w:color w:val="auto"/>
                      <w:sz w:val="18"/>
                      <w:szCs w:val="18"/>
                      <w:highlight w:val="none"/>
                    </w:rPr>
                    <w:t>项目</w:t>
                  </w:r>
                  <w:r>
                    <w:rPr>
                      <w:rFonts w:hint="eastAsia"/>
                      <w:snapToGrid w:val="0"/>
                      <w:color w:val="auto"/>
                      <w:sz w:val="18"/>
                      <w:szCs w:val="18"/>
                      <w:highlight w:val="none"/>
                      <w:lang w:val="en-US" w:eastAsia="zh-CN"/>
                    </w:rPr>
                    <w:t>严格落实</w:t>
                  </w:r>
                  <w:r>
                    <w:rPr>
                      <w:rFonts w:hint="eastAsia"/>
                      <w:snapToGrid w:val="0"/>
                      <w:color w:val="auto"/>
                      <w:sz w:val="18"/>
                      <w:szCs w:val="18"/>
                      <w:highlight w:val="none"/>
                    </w:rPr>
                    <w:t>危险废物的贮存、申报、经营许可、转移及处置管理制度。</w:t>
                  </w:r>
                </w:p>
              </w:tc>
              <w:tc>
                <w:tcPr>
                  <w:tcW w:w="693" w:type="dxa"/>
                  <w:tcBorders>
                    <w:tl2br w:val="nil"/>
                    <w:tr2bl w:val="nil"/>
                  </w:tcBorders>
                  <w:tcMar>
                    <w:top w:w="0" w:type="dxa"/>
                    <w:left w:w="57" w:type="dxa"/>
                    <w:bottom w:w="0" w:type="dxa"/>
                    <w:right w:w="57" w:type="dxa"/>
                  </w:tcMar>
                  <w:vAlign w:val="center"/>
                </w:tcPr>
                <w:p w14:paraId="53E69B30">
                  <w:pPr>
                    <w:pStyle w:val="60"/>
                    <w:rPr>
                      <w:snapToGrid w:val="0"/>
                      <w:color w:val="auto"/>
                      <w:sz w:val="18"/>
                      <w:szCs w:val="18"/>
                    </w:rPr>
                  </w:pPr>
                  <w:r>
                    <w:rPr>
                      <w:rFonts w:hint="eastAsia"/>
                      <w:snapToGrid w:val="0"/>
                      <w:color w:val="auto"/>
                      <w:sz w:val="18"/>
                      <w:szCs w:val="18"/>
                    </w:rPr>
                    <w:t>符合</w:t>
                  </w:r>
                </w:p>
              </w:tc>
            </w:tr>
            <w:tr w14:paraId="5744D8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3168FCFE">
                  <w:pPr>
                    <w:widowControl/>
                    <w:jc w:val="left"/>
                    <w:rPr>
                      <w:snapToGrid w:val="0"/>
                      <w:color w:val="auto"/>
                      <w:sz w:val="18"/>
                      <w:szCs w:val="18"/>
                    </w:rPr>
                  </w:pPr>
                </w:p>
              </w:tc>
              <w:tc>
                <w:tcPr>
                  <w:tcW w:w="3774" w:type="dxa"/>
                  <w:tcBorders>
                    <w:tl2br w:val="nil"/>
                    <w:tr2bl w:val="nil"/>
                  </w:tcBorders>
                  <w:vAlign w:val="center"/>
                </w:tcPr>
                <w:p w14:paraId="23BE5AC4">
                  <w:pPr>
                    <w:pStyle w:val="60"/>
                    <w:jc w:val="both"/>
                    <w:rPr>
                      <w:snapToGrid w:val="0"/>
                      <w:color w:val="auto"/>
                      <w:sz w:val="18"/>
                      <w:szCs w:val="18"/>
                    </w:rPr>
                  </w:pPr>
                  <w:r>
                    <w:rPr>
                      <w:rFonts w:hint="eastAsia"/>
                      <w:snapToGrid w:val="0"/>
                      <w:color w:val="auto"/>
                      <w:sz w:val="18"/>
                      <w:szCs w:val="18"/>
                      <w:lang w:val="en-US" w:eastAsia="zh-CN"/>
                    </w:rPr>
                    <w:t>4</w:t>
                  </w:r>
                  <w:r>
                    <w:rPr>
                      <w:snapToGrid w:val="0"/>
                      <w:color w:val="auto"/>
                      <w:sz w:val="18"/>
                      <w:szCs w:val="18"/>
                    </w:rPr>
                    <w:t>.</w:t>
                  </w:r>
                  <w:r>
                    <w:rPr>
                      <w:rFonts w:hint="eastAsia"/>
                      <w:snapToGrid w:val="0"/>
                      <w:color w:val="auto"/>
                      <w:sz w:val="18"/>
                      <w:szCs w:val="18"/>
                    </w:rPr>
                    <w:t>按照省市要求，做好清洁取暖改造工作。</w:t>
                  </w:r>
                </w:p>
              </w:tc>
              <w:tc>
                <w:tcPr>
                  <w:tcW w:w="3389" w:type="dxa"/>
                  <w:tcBorders>
                    <w:tl2br w:val="nil"/>
                    <w:tr2bl w:val="nil"/>
                  </w:tcBorders>
                  <w:vAlign w:val="center"/>
                </w:tcPr>
                <w:p w14:paraId="58ACD769">
                  <w:pPr>
                    <w:pStyle w:val="60"/>
                    <w:jc w:val="both"/>
                    <w:rPr>
                      <w:rFonts w:hint="default" w:eastAsia="宋体"/>
                      <w:snapToGrid w:val="0"/>
                      <w:color w:val="auto"/>
                      <w:sz w:val="18"/>
                      <w:szCs w:val="18"/>
                      <w:lang w:val="en-US" w:eastAsia="zh-CN"/>
                    </w:rPr>
                  </w:pPr>
                  <w:r>
                    <w:rPr>
                      <w:rFonts w:hint="eastAsia"/>
                      <w:snapToGrid w:val="0"/>
                      <w:color w:val="auto"/>
                      <w:sz w:val="18"/>
                      <w:szCs w:val="18"/>
                      <w:lang w:val="en-US" w:eastAsia="zh-CN"/>
                    </w:rPr>
                    <w:t>本项目使用集中供暖。</w:t>
                  </w:r>
                </w:p>
              </w:tc>
              <w:tc>
                <w:tcPr>
                  <w:tcW w:w="693" w:type="dxa"/>
                  <w:tcBorders>
                    <w:tl2br w:val="nil"/>
                    <w:tr2bl w:val="nil"/>
                  </w:tcBorders>
                  <w:tcMar>
                    <w:top w:w="0" w:type="dxa"/>
                    <w:left w:w="57" w:type="dxa"/>
                    <w:bottom w:w="0" w:type="dxa"/>
                    <w:right w:w="57" w:type="dxa"/>
                  </w:tcMar>
                  <w:vAlign w:val="center"/>
                </w:tcPr>
                <w:p w14:paraId="79D0B88C">
                  <w:pPr>
                    <w:pStyle w:val="60"/>
                    <w:rPr>
                      <w:snapToGrid w:val="0"/>
                      <w:color w:val="auto"/>
                      <w:sz w:val="18"/>
                      <w:szCs w:val="18"/>
                    </w:rPr>
                  </w:pPr>
                  <w:r>
                    <w:rPr>
                      <w:rFonts w:hint="eastAsia"/>
                      <w:snapToGrid w:val="0"/>
                      <w:color w:val="auto"/>
                      <w:sz w:val="18"/>
                      <w:szCs w:val="18"/>
                    </w:rPr>
                    <w:t>符合</w:t>
                  </w:r>
                </w:p>
              </w:tc>
            </w:tr>
            <w:tr w14:paraId="401487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restart"/>
                  <w:tcBorders>
                    <w:tl2br w:val="nil"/>
                    <w:tr2bl w:val="nil"/>
                  </w:tcBorders>
                  <w:tcMar>
                    <w:top w:w="0" w:type="dxa"/>
                    <w:left w:w="57" w:type="dxa"/>
                    <w:bottom w:w="0" w:type="dxa"/>
                    <w:right w:w="57" w:type="dxa"/>
                  </w:tcMar>
                  <w:vAlign w:val="center"/>
                </w:tcPr>
                <w:p w14:paraId="7E41F237">
                  <w:pPr>
                    <w:pStyle w:val="60"/>
                    <w:rPr>
                      <w:snapToGrid w:val="0"/>
                      <w:color w:val="auto"/>
                      <w:sz w:val="18"/>
                      <w:szCs w:val="18"/>
                    </w:rPr>
                  </w:pPr>
                  <w:r>
                    <w:rPr>
                      <w:rFonts w:hint="eastAsia"/>
                      <w:snapToGrid w:val="0"/>
                      <w:color w:val="auto"/>
                      <w:sz w:val="18"/>
                      <w:szCs w:val="18"/>
                    </w:rPr>
                    <w:t>资源开发效率要求</w:t>
                  </w:r>
                </w:p>
              </w:tc>
              <w:tc>
                <w:tcPr>
                  <w:tcW w:w="3774" w:type="dxa"/>
                  <w:tcBorders>
                    <w:tl2br w:val="nil"/>
                    <w:tr2bl w:val="nil"/>
                  </w:tcBorders>
                  <w:vAlign w:val="center"/>
                </w:tcPr>
                <w:p w14:paraId="42F61CCB">
                  <w:pPr>
                    <w:pStyle w:val="60"/>
                    <w:jc w:val="both"/>
                    <w:rPr>
                      <w:snapToGrid w:val="0"/>
                      <w:color w:val="auto"/>
                      <w:sz w:val="18"/>
                      <w:szCs w:val="18"/>
                    </w:rPr>
                  </w:pPr>
                  <w:r>
                    <w:rPr>
                      <w:snapToGrid w:val="0"/>
                      <w:color w:val="auto"/>
                      <w:sz w:val="18"/>
                      <w:szCs w:val="18"/>
                    </w:rPr>
                    <w:t>1.</w:t>
                  </w:r>
                  <w:r>
                    <w:rPr>
                      <w:rFonts w:hint="default"/>
                      <w:snapToGrid w:val="0"/>
                      <w:color w:val="auto"/>
                      <w:sz w:val="18"/>
                      <w:szCs w:val="18"/>
                      <w:lang w:val="en-US" w:eastAsia="zh-CN"/>
                    </w:rPr>
                    <w:t>进污水处理厂提标改造和中水管网建设，提高中水回用率</w:t>
                  </w:r>
                  <w:r>
                    <w:rPr>
                      <w:rFonts w:hint="eastAsia"/>
                      <w:snapToGrid w:val="0"/>
                      <w:color w:val="auto"/>
                      <w:sz w:val="18"/>
                      <w:szCs w:val="18"/>
                    </w:rPr>
                    <w:t>。</w:t>
                  </w:r>
                </w:p>
              </w:tc>
              <w:tc>
                <w:tcPr>
                  <w:tcW w:w="3389" w:type="dxa"/>
                  <w:tcBorders>
                    <w:tl2br w:val="nil"/>
                    <w:tr2bl w:val="nil"/>
                  </w:tcBorders>
                  <w:vAlign w:val="center"/>
                </w:tcPr>
                <w:p w14:paraId="76BB787A">
                  <w:pPr>
                    <w:pStyle w:val="60"/>
                    <w:jc w:val="both"/>
                    <w:rPr>
                      <w:snapToGrid w:val="0"/>
                      <w:color w:val="auto"/>
                      <w:sz w:val="18"/>
                      <w:szCs w:val="18"/>
                    </w:rPr>
                  </w:pPr>
                  <w:r>
                    <w:rPr>
                      <w:rFonts w:hint="eastAsia"/>
                      <w:snapToGrid w:val="0"/>
                      <w:color w:val="auto"/>
                      <w:sz w:val="18"/>
                      <w:szCs w:val="18"/>
                      <w:lang w:val="en-US" w:eastAsia="zh-CN"/>
                    </w:rPr>
                    <w:t>本项目不涉及左侧所列情形。</w:t>
                  </w:r>
                </w:p>
              </w:tc>
              <w:tc>
                <w:tcPr>
                  <w:tcW w:w="693" w:type="dxa"/>
                  <w:tcBorders>
                    <w:tl2br w:val="nil"/>
                    <w:tr2bl w:val="nil"/>
                  </w:tcBorders>
                  <w:tcMar>
                    <w:top w:w="0" w:type="dxa"/>
                    <w:left w:w="57" w:type="dxa"/>
                    <w:bottom w:w="0" w:type="dxa"/>
                    <w:right w:w="57" w:type="dxa"/>
                  </w:tcMar>
                  <w:vAlign w:val="center"/>
                </w:tcPr>
                <w:p w14:paraId="1109CD45">
                  <w:pPr>
                    <w:pStyle w:val="60"/>
                    <w:rPr>
                      <w:snapToGrid w:val="0"/>
                      <w:color w:val="auto"/>
                      <w:sz w:val="18"/>
                      <w:szCs w:val="18"/>
                    </w:rPr>
                  </w:pPr>
                  <w:r>
                    <w:rPr>
                      <w:rFonts w:hint="eastAsia"/>
                      <w:snapToGrid w:val="0"/>
                      <w:color w:val="auto"/>
                      <w:sz w:val="18"/>
                      <w:szCs w:val="18"/>
                    </w:rPr>
                    <w:t>符合</w:t>
                  </w:r>
                </w:p>
              </w:tc>
            </w:tr>
            <w:tr w14:paraId="3912DD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6EA835EC">
                  <w:pPr>
                    <w:widowControl/>
                    <w:jc w:val="left"/>
                    <w:rPr>
                      <w:snapToGrid w:val="0"/>
                      <w:color w:val="auto"/>
                      <w:sz w:val="18"/>
                      <w:szCs w:val="18"/>
                    </w:rPr>
                  </w:pPr>
                </w:p>
              </w:tc>
              <w:tc>
                <w:tcPr>
                  <w:tcW w:w="3774" w:type="dxa"/>
                  <w:tcBorders>
                    <w:tl2br w:val="nil"/>
                    <w:tr2bl w:val="nil"/>
                  </w:tcBorders>
                  <w:vAlign w:val="center"/>
                </w:tcPr>
                <w:p w14:paraId="46299DE3">
                  <w:pPr>
                    <w:pStyle w:val="60"/>
                    <w:jc w:val="both"/>
                    <w:rPr>
                      <w:snapToGrid w:val="0"/>
                      <w:color w:val="auto"/>
                      <w:sz w:val="18"/>
                      <w:szCs w:val="18"/>
                    </w:rPr>
                  </w:pPr>
                  <w:r>
                    <w:rPr>
                      <w:snapToGrid w:val="0"/>
                      <w:color w:val="auto"/>
                      <w:sz w:val="18"/>
                      <w:szCs w:val="18"/>
                    </w:rPr>
                    <w:t>2.</w:t>
                  </w:r>
                  <w:r>
                    <w:rPr>
                      <w:rFonts w:hint="eastAsia"/>
                      <w:snapToGrid w:val="0"/>
                      <w:color w:val="auto"/>
                      <w:sz w:val="18"/>
                      <w:szCs w:val="18"/>
                    </w:rPr>
                    <w:t>未经许可不得开采地下水，执行浅层地下水限采区管理规定。</w:t>
                  </w:r>
                </w:p>
              </w:tc>
              <w:tc>
                <w:tcPr>
                  <w:tcW w:w="3389" w:type="dxa"/>
                  <w:tcBorders>
                    <w:tl2br w:val="nil"/>
                    <w:tr2bl w:val="nil"/>
                  </w:tcBorders>
                  <w:vAlign w:val="center"/>
                </w:tcPr>
                <w:p w14:paraId="459AF0BF">
                  <w:pPr>
                    <w:pStyle w:val="60"/>
                    <w:jc w:val="both"/>
                    <w:rPr>
                      <w:snapToGrid w:val="0"/>
                      <w:color w:val="auto"/>
                      <w:sz w:val="18"/>
                      <w:szCs w:val="18"/>
                    </w:rPr>
                  </w:pPr>
                  <w:r>
                    <w:rPr>
                      <w:rFonts w:hint="eastAsia"/>
                      <w:snapToGrid w:val="0"/>
                      <w:color w:val="auto"/>
                      <w:sz w:val="18"/>
                      <w:szCs w:val="18"/>
                      <w:lang w:val="en-US" w:eastAsia="zh-CN"/>
                    </w:rPr>
                    <w:t>本项目不采用地下水</w:t>
                  </w:r>
                  <w:r>
                    <w:rPr>
                      <w:rFonts w:hint="eastAsia"/>
                      <w:snapToGrid w:val="0"/>
                      <w:color w:val="auto"/>
                      <w:sz w:val="18"/>
                      <w:szCs w:val="18"/>
                    </w:rPr>
                    <w:t>。</w:t>
                  </w:r>
                </w:p>
              </w:tc>
              <w:tc>
                <w:tcPr>
                  <w:tcW w:w="693" w:type="dxa"/>
                  <w:tcBorders>
                    <w:tl2br w:val="nil"/>
                    <w:tr2bl w:val="nil"/>
                  </w:tcBorders>
                  <w:tcMar>
                    <w:top w:w="0" w:type="dxa"/>
                    <w:left w:w="57" w:type="dxa"/>
                    <w:bottom w:w="0" w:type="dxa"/>
                    <w:right w:w="57" w:type="dxa"/>
                  </w:tcMar>
                  <w:vAlign w:val="center"/>
                </w:tcPr>
                <w:p w14:paraId="64129CB6">
                  <w:pPr>
                    <w:pStyle w:val="60"/>
                    <w:rPr>
                      <w:snapToGrid w:val="0"/>
                      <w:color w:val="auto"/>
                      <w:sz w:val="18"/>
                      <w:szCs w:val="18"/>
                    </w:rPr>
                  </w:pPr>
                  <w:r>
                    <w:rPr>
                      <w:rFonts w:hint="eastAsia"/>
                      <w:snapToGrid w:val="0"/>
                      <w:color w:val="auto"/>
                      <w:sz w:val="18"/>
                      <w:szCs w:val="18"/>
                    </w:rPr>
                    <w:t>符合</w:t>
                  </w:r>
                </w:p>
              </w:tc>
            </w:tr>
            <w:tr w14:paraId="420F46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5D32195F">
                  <w:pPr>
                    <w:widowControl/>
                    <w:jc w:val="left"/>
                    <w:rPr>
                      <w:rFonts w:hint="default" w:eastAsia="宋体"/>
                      <w:snapToGrid w:val="0"/>
                      <w:color w:val="auto"/>
                      <w:sz w:val="18"/>
                      <w:szCs w:val="18"/>
                      <w:lang w:val="en-US" w:eastAsia="zh-CN"/>
                    </w:rPr>
                  </w:pPr>
                  <w:r>
                    <w:rPr>
                      <w:rFonts w:hint="eastAsia"/>
                      <w:snapToGrid w:val="0"/>
                      <w:color w:val="auto"/>
                      <w:sz w:val="18"/>
                      <w:szCs w:val="18"/>
                      <w:lang w:val="en-US" w:eastAsia="zh-CN"/>
                    </w:rPr>
                    <w:t>3.</w:t>
                  </w:r>
                </w:p>
              </w:tc>
              <w:tc>
                <w:tcPr>
                  <w:tcW w:w="3774" w:type="dxa"/>
                  <w:tcBorders>
                    <w:tl2br w:val="nil"/>
                    <w:tr2bl w:val="nil"/>
                  </w:tcBorders>
                  <w:vAlign w:val="center"/>
                </w:tcPr>
                <w:p w14:paraId="42280807">
                  <w:pPr>
                    <w:pStyle w:val="60"/>
                    <w:jc w:val="both"/>
                    <w:rPr>
                      <w:snapToGrid w:val="0"/>
                      <w:color w:val="auto"/>
                      <w:sz w:val="18"/>
                      <w:szCs w:val="18"/>
                    </w:rPr>
                  </w:pPr>
                  <w:r>
                    <w:rPr>
                      <w:rFonts w:hint="eastAsia"/>
                      <w:snapToGrid w:val="0"/>
                      <w:color w:val="auto"/>
                      <w:sz w:val="18"/>
                      <w:szCs w:val="18"/>
                      <w:lang w:val="en-US" w:eastAsia="zh-CN"/>
                    </w:rPr>
                    <w:t>3.</w:t>
                  </w:r>
                  <w:r>
                    <w:rPr>
                      <w:rFonts w:hint="eastAsia"/>
                      <w:snapToGrid w:val="0"/>
                      <w:color w:val="auto"/>
                      <w:sz w:val="18"/>
                      <w:szCs w:val="18"/>
                    </w:rPr>
                    <w:t>提升土地集约化水平。</w:t>
                  </w:r>
                </w:p>
              </w:tc>
              <w:tc>
                <w:tcPr>
                  <w:tcW w:w="3389" w:type="dxa"/>
                  <w:tcBorders>
                    <w:tl2br w:val="nil"/>
                    <w:tr2bl w:val="nil"/>
                  </w:tcBorders>
                  <w:vAlign w:val="center"/>
                </w:tcPr>
                <w:p w14:paraId="18F652AC">
                  <w:pPr>
                    <w:pStyle w:val="60"/>
                    <w:jc w:val="both"/>
                    <w:rPr>
                      <w:rFonts w:hint="default"/>
                      <w:snapToGrid w:val="0"/>
                      <w:color w:val="auto"/>
                      <w:sz w:val="18"/>
                      <w:szCs w:val="18"/>
                      <w:lang w:val="en-US" w:eastAsia="zh-CN"/>
                    </w:rPr>
                  </w:pPr>
                  <w:r>
                    <w:rPr>
                      <w:rFonts w:hint="eastAsia"/>
                      <w:snapToGrid w:val="0"/>
                      <w:color w:val="auto"/>
                      <w:sz w:val="18"/>
                      <w:szCs w:val="18"/>
                      <w:lang w:val="en-US" w:eastAsia="zh-CN"/>
                    </w:rPr>
                    <w:t>本项目位于山东诚光工贸有限公司现有厂区内，不新增占地</w:t>
                  </w:r>
                </w:p>
              </w:tc>
              <w:tc>
                <w:tcPr>
                  <w:tcW w:w="693" w:type="dxa"/>
                  <w:tcBorders>
                    <w:tl2br w:val="nil"/>
                    <w:tr2bl w:val="nil"/>
                  </w:tcBorders>
                  <w:tcMar>
                    <w:top w:w="0" w:type="dxa"/>
                    <w:left w:w="57" w:type="dxa"/>
                    <w:bottom w:w="0" w:type="dxa"/>
                    <w:right w:w="57" w:type="dxa"/>
                  </w:tcMar>
                  <w:vAlign w:val="center"/>
                </w:tcPr>
                <w:p w14:paraId="6813FD0D">
                  <w:pPr>
                    <w:pStyle w:val="60"/>
                    <w:rPr>
                      <w:rFonts w:hint="eastAsia" w:eastAsia="宋体"/>
                      <w:snapToGrid w:val="0"/>
                      <w:color w:val="auto"/>
                      <w:sz w:val="18"/>
                      <w:szCs w:val="18"/>
                      <w:lang w:val="en-US" w:eastAsia="zh-CN"/>
                    </w:rPr>
                  </w:pPr>
                  <w:r>
                    <w:rPr>
                      <w:rFonts w:hint="eastAsia"/>
                      <w:snapToGrid w:val="0"/>
                      <w:color w:val="auto"/>
                      <w:sz w:val="18"/>
                      <w:szCs w:val="18"/>
                      <w:lang w:val="en-US" w:eastAsia="zh-CN"/>
                    </w:rPr>
                    <w:t>符合</w:t>
                  </w:r>
                </w:p>
              </w:tc>
            </w:tr>
            <w:tr w14:paraId="73BD55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13" w:type="dxa"/>
                  <w:vMerge w:val="continue"/>
                  <w:tcBorders>
                    <w:tl2br w:val="nil"/>
                    <w:tr2bl w:val="nil"/>
                  </w:tcBorders>
                  <w:vAlign w:val="center"/>
                </w:tcPr>
                <w:p w14:paraId="4CA4E72C">
                  <w:pPr>
                    <w:widowControl/>
                    <w:jc w:val="left"/>
                    <w:rPr>
                      <w:snapToGrid w:val="0"/>
                      <w:color w:val="auto"/>
                      <w:sz w:val="18"/>
                      <w:szCs w:val="18"/>
                    </w:rPr>
                  </w:pPr>
                </w:p>
              </w:tc>
              <w:tc>
                <w:tcPr>
                  <w:tcW w:w="3774" w:type="dxa"/>
                  <w:tcBorders>
                    <w:tl2br w:val="nil"/>
                    <w:tr2bl w:val="nil"/>
                  </w:tcBorders>
                  <w:vAlign w:val="center"/>
                </w:tcPr>
                <w:p w14:paraId="6AC587DE">
                  <w:pPr>
                    <w:pStyle w:val="60"/>
                    <w:jc w:val="both"/>
                    <w:rPr>
                      <w:snapToGrid w:val="0"/>
                      <w:color w:val="auto"/>
                      <w:sz w:val="18"/>
                      <w:szCs w:val="18"/>
                    </w:rPr>
                  </w:pPr>
                  <w:r>
                    <w:rPr>
                      <w:rFonts w:hint="eastAsia"/>
                      <w:snapToGrid w:val="0"/>
                      <w:color w:val="auto"/>
                      <w:sz w:val="18"/>
                      <w:szCs w:val="18"/>
                      <w:lang w:val="en-US" w:eastAsia="zh-CN"/>
                    </w:rPr>
                    <w:t>4</w:t>
                  </w:r>
                  <w:r>
                    <w:rPr>
                      <w:snapToGrid w:val="0"/>
                      <w:color w:val="auto"/>
                      <w:sz w:val="18"/>
                      <w:szCs w:val="18"/>
                    </w:rPr>
                    <w:t>.</w:t>
                  </w:r>
                  <w:r>
                    <w:rPr>
                      <w:rFonts w:hint="eastAsia"/>
                      <w:snapToGrid w:val="0"/>
                      <w:color w:val="auto"/>
                      <w:sz w:val="18"/>
                      <w:szCs w:val="18"/>
                    </w:rPr>
                    <w:t>调整能源利用结构，控制煤炭消费量，实现减量化，鼓励使用清洁能源、新能源和可再生能源。</w:t>
                  </w:r>
                </w:p>
              </w:tc>
              <w:tc>
                <w:tcPr>
                  <w:tcW w:w="3389" w:type="dxa"/>
                  <w:tcBorders>
                    <w:tl2br w:val="nil"/>
                    <w:tr2bl w:val="nil"/>
                  </w:tcBorders>
                  <w:vAlign w:val="center"/>
                </w:tcPr>
                <w:p w14:paraId="36FA4E6E">
                  <w:pPr>
                    <w:pStyle w:val="60"/>
                    <w:jc w:val="both"/>
                    <w:rPr>
                      <w:snapToGrid w:val="0"/>
                      <w:color w:val="auto"/>
                      <w:sz w:val="18"/>
                      <w:szCs w:val="18"/>
                    </w:rPr>
                  </w:pPr>
                  <w:r>
                    <w:rPr>
                      <w:rFonts w:hint="eastAsia"/>
                      <w:snapToGrid w:val="0"/>
                      <w:color w:val="auto"/>
                      <w:sz w:val="18"/>
                      <w:szCs w:val="18"/>
                    </w:rPr>
                    <w:t>本项目不涉及煤炭消耗。</w:t>
                  </w:r>
                </w:p>
              </w:tc>
              <w:tc>
                <w:tcPr>
                  <w:tcW w:w="693" w:type="dxa"/>
                  <w:tcBorders>
                    <w:tl2br w:val="nil"/>
                    <w:tr2bl w:val="nil"/>
                  </w:tcBorders>
                  <w:tcMar>
                    <w:top w:w="0" w:type="dxa"/>
                    <w:left w:w="57" w:type="dxa"/>
                    <w:bottom w:w="0" w:type="dxa"/>
                    <w:right w:w="57" w:type="dxa"/>
                  </w:tcMar>
                  <w:vAlign w:val="center"/>
                </w:tcPr>
                <w:p w14:paraId="3B9F9253">
                  <w:pPr>
                    <w:pStyle w:val="60"/>
                    <w:rPr>
                      <w:snapToGrid w:val="0"/>
                      <w:color w:val="auto"/>
                      <w:sz w:val="18"/>
                      <w:szCs w:val="18"/>
                    </w:rPr>
                  </w:pPr>
                  <w:r>
                    <w:rPr>
                      <w:rFonts w:hint="eastAsia"/>
                      <w:snapToGrid w:val="0"/>
                      <w:color w:val="auto"/>
                      <w:sz w:val="18"/>
                      <w:szCs w:val="18"/>
                    </w:rPr>
                    <w:t>符合</w:t>
                  </w:r>
                </w:p>
              </w:tc>
            </w:tr>
            <w:bookmarkEnd w:id="4"/>
            <w:bookmarkEnd w:id="5"/>
            <w:bookmarkEnd w:id="6"/>
            <w:bookmarkEnd w:id="7"/>
            <w:bookmarkEnd w:id="8"/>
            <w:bookmarkEnd w:id="9"/>
          </w:tbl>
          <w:p w14:paraId="1038707D">
            <w:pPr>
              <w:snapToGrid w:val="0"/>
              <w:spacing w:line="420" w:lineRule="exact"/>
              <w:ind w:firstLine="420" w:firstLineChars="200"/>
              <w:rPr>
                <w:b/>
                <w:color w:val="auto"/>
              </w:rPr>
            </w:pPr>
            <w:r>
              <w:rPr>
                <w:rFonts w:hint="eastAsia"/>
                <w:color w:val="auto"/>
              </w:rPr>
              <w:t>综上分析可知，项目建设符合淄博市“三线一单”生态环境分区管控要求。</w:t>
            </w:r>
          </w:p>
          <w:p w14:paraId="60401405">
            <w:pPr>
              <w:snapToGrid w:val="0"/>
              <w:spacing w:line="420" w:lineRule="exact"/>
              <w:rPr>
                <w:b/>
                <w:color w:val="auto"/>
              </w:rPr>
            </w:pPr>
            <w:r>
              <w:rPr>
                <w:b/>
                <w:color w:val="auto"/>
              </w:rPr>
              <w:t>四、</w:t>
            </w:r>
            <w:r>
              <w:rPr>
                <w:rFonts w:hint="eastAsia"/>
                <w:b/>
                <w:color w:val="auto"/>
              </w:rPr>
              <w:t>其他</w:t>
            </w:r>
            <w:r>
              <w:rPr>
                <w:b/>
                <w:color w:val="auto"/>
              </w:rPr>
              <w:t>政策符合性分析</w:t>
            </w:r>
          </w:p>
          <w:p w14:paraId="3B81EED2">
            <w:pPr>
              <w:snapToGrid w:val="0"/>
              <w:spacing w:line="420" w:lineRule="exact"/>
              <w:ind w:firstLine="420" w:firstLineChars="200"/>
              <w:rPr>
                <w:rFonts w:hint="default" w:eastAsia="宋体"/>
                <w:bCs/>
                <w:color w:val="auto"/>
                <w:lang w:val="en-US" w:eastAsia="zh-CN"/>
              </w:rPr>
            </w:pPr>
            <w:r>
              <w:rPr>
                <w:rFonts w:hint="eastAsia"/>
                <w:bCs/>
                <w:color w:val="auto"/>
                <w:lang w:val="en-US" w:eastAsia="zh-CN"/>
              </w:rPr>
              <w:t>1、与《山东省化工行业投资项目管理规定》（鲁工信发[2022]5号）符合性分析</w:t>
            </w:r>
          </w:p>
          <w:p w14:paraId="3563AD88">
            <w:pPr>
              <w:pStyle w:val="41"/>
              <w:spacing w:before="120" w:beforeLines="50" w:afterLines="0" w:line="240" w:lineRule="auto"/>
              <w:rPr>
                <w:rFonts w:ascii="Times New Roman" w:hAnsi="Times New Roman" w:eastAsia="宋体" w:cs="Times New Roman"/>
                <w:b/>
                <w:bCs/>
                <w:color w:val="auto"/>
                <w:kern w:val="2"/>
                <w:lang w:val="en-US"/>
              </w:rPr>
            </w:pPr>
            <w:r>
              <w:rPr>
                <w:rFonts w:ascii="Times New Roman" w:hAnsi="Times New Roman" w:eastAsia="宋体" w:cs="Times New Roman"/>
                <w:b/>
                <w:bCs/>
                <w:color w:val="auto"/>
                <w:kern w:val="2"/>
                <w:lang w:val="en-US"/>
              </w:rPr>
              <w:t>表</w:t>
            </w:r>
            <w:r>
              <w:rPr>
                <w:rFonts w:hint="eastAsia" w:ascii="Times New Roman" w:hAnsi="Times New Roman" w:eastAsia="宋体" w:cs="Times New Roman"/>
                <w:b/>
                <w:bCs/>
                <w:color w:val="auto"/>
                <w:kern w:val="2"/>
                <w:lang w:val="en-US" w:eastAsia="zh-CN"/>
              </w:rPr>
              <w:t>1-6</w:t>
            </w:r>
            <w:r>
              <w:rPr>
                <w:rFonts w:hint="eastAsia" w:ascii="Times New Roman" w:hAnsi="Times New Roman" w:eastAsia="宋体" w:cs="Times New Roman"/>
                <w:b/>
                <w:bCs/>
                <w:color w:val="auto"/>
                <w:kern w:val="2"/>
                <w:lang w:val="en-US"/>
              </w:rPr>
              <w:t xml:space="preserve">  </w:t>
            </w:r>
            <w:r>
              <w:rPr>
                <w:rFonts w:ascii="Times New Roman" w:hAnsi="Times New Roman" w:eastAsia="宋体" w:cs="Times New Roman"/>
                <w:b/>
                <w:bCs/>
                <w:color w:val="auto"/>
                <w:kern w:val="2"/>
                <w:lang w:val="en-US"/>
              </w:rPr>
              <w:t>项目与</w:t>
            </w:r>
            <w:r>
              <w:rPr>
                <w:rFonts w:hint="eastAsia" w:ascii="Times New Roman" w:hAnsi="Times New Roman" w:eastAsia="宋体" w:cs="Times New Roman"/>
                <w:b/>
                <w:bCs/>
                <w:color w:val="auto"/>
                <w:kern w:val="2"/>
                <w:lang w:val="en-US"/>
              </w:rPr>
              <w:t>鲁工信发[2022]5号</w:t>
            </w:r>
            <w:r>
              <w:rPr>
                <w:rFonts w:ascii="Times New Roman" w:hAnsi="Times New Roman" w:eastAsia="宋体" w:cs="Times New Roman"/>
                <w:b/>
                <w:bCs/>
                <w:color w:val="auto"/>
                <w:kern w:val="2"/>
                <w:lang w:val="en-US"/>
              </w:rPr>
              <w:t>符合性分析表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705"/>
              <w:gridCol w:w="4327"/>
              <w:gridCol w:w="2629"/>
              <w:gridCol w:w="703"/>
            </w:tblGrid>
            <w:tr w14:paraId="4DCFB4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4C05045C">
                  <w:pPr>
                    <w:pStyle w:val="60"/>
                    <w:rPr>
                      <w:b/>
                      <w:bCs/>
                      <w:color w:val="auto"/>
                      <w:sz w:val="18"/>
                      <w:szCs w:val="18"/>
                    </w:rPr>
                  </w:pPr>
                  <w:r>
                    <w:rPr>
                      <w:b/>
                      <w:bCs/>
                      <w:color w:val="auto"/>
                      <w:sz w:val="18"/>
                      <w:szCs w:val="18"/>
                    </w:rPr>
                    <w:t>序号</w:t>
                  </w:r>
                </w:p>
              </w:tc>
              <w:tc>
                <w:tcPr>
                  <w:tcW w:w="4330" w:type="dxa"/>
                  <w:tcMar>
                    <w:left w:w="57" w:type="dxa"/>
                    <w:right w:w="57" w:type="dxa"/>
                  </w:tcMar>
                  <w:vAlign w:val="center"/>
                </w:tcPr>
                <w:p w14:paraId="778521F9">
                  <w:pPr>
                    <w:pStyle w:val="60"/>
                    <w:rPr>
                      <w:b/>
                      <w:bCs/>
                      <w:color w:val="auto"/>
                      <w:sz w:val="18"/>
                      <w:szCs w:val="18"/>
                    </w:rPr>
                  </w:pPr>
                  <w:r>
                    <w:rPr>
                      <w:rFonts w:hint="eastAsia"/>
                      <w:b/>
                      <w:bCs/>
                      <w:color w:val="auto"/>
                      <w:sz w:val="18"/>
                      <w:szCs w:val="18"/>
                    </w:rPr>
                    <w:t>文件要求</w:t>
                  </w:r>
                </w:p>
              </w:tc>
              <w:tc>
                <w:tcPr>
                  <w:tcW w:w="2631" w:type="dxa"/>
                  <w:tcMar>
                    <w:left w:w="57" w:type="dxa"/>
                    <w:right w:w="57" w:type="dxa"/>
                  </w:tcMar>
                  <w:vAlign w:val="center"/>
                </w:tcPr>
                <w:p w14:paraId="49754485">
                  <w:pPr>
                    <w:pStyle w:val="60"/>
                    <w:rPr>
                      <w:b/>
                      <w:bCs/>
                      <w:color w:val="auto"/>
                      <w:sz w:val="18"/>
                      <w:szCs w:val="18"/>
                    </w:rPr>
                  </w:pPr>
                  <w:r>
                    <w:rPr>
                      <w:b/>
                      <w:bCs/>
                      <w:color w:val="auto"/>
                      <w:sz w:val="18"/>
                      <w:szCs w:val="18"/>
                    </w:rPr>
                    <w:t>本项目情况</w:t>
                  </w:r>
                </w:p>
              </w:tc>
              <w:tc>
                <w:tcPr>
                  <w:tcW w:w="703" w:type="dxa"/>
                  <w:tcMar>
                    <w:left w:w="57" w:type="dxa"/>
                    <w:right w:w="57" w:type="dxa"/>
                  </w:tcMar>
                  <w:vAlign w:val="center"/>
                </w:tcPr>
                <w:p w14:paraId="32D26DEC">
                  <w:pPr>
                    <w:pStyle w:val="60"/>
                    <w:rPr>
                      <w:b/>
                      <w:bCs/>
                      <w:color w:val="auto"/>
                      <w:sz w:val="18"/>
                      <w:szCs w:val="18"/>
                    </w:rPr>
                  </w:pPr>
                  <w:r>
                    <w:rPr>
                      <w:b/>
                      <w:bCs/>
                      <w:color w:val="auto"/>
                      <w:sz w:val="18"/>
                      <w:szCs w:val="18"/>
                    </w:rPr>
                    <w:t>符合</w:t>
                  </w:r>
                  <w:r>
                    <w:rPr>
                      <w:rFonts w:hint="eastAsia"/>
                      <w:b/>
                      <w:bCs/>
                      <w:color w:val="auto"/>
                      <w:sz w:val="18"/>
                      <w:szCs w:val="18"/>
                    </w:rPr>
                    <w:t>性</w:t>
                  </w:r>
                </w:p>
              </w:tc>
            </w:tr>
            <w:tr w14:paraId="4CB09D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3456F90E">
                  <w:pPr>
                    <w:pStyle w:val="60"/>
                    <w:rPr>
                      <w:color w:val="auto"/>
                      <w:sz w:val="18"/>
                      <w:szCs w:val="18"/>
                    </w:rPr>
                  </w:pPr>
                  <w:r>
                    <w:rPr>
                      <w:rFonts w:hint="eastAsia"/>
                      <w:color w:val="auto"/>
                      <w:sz w:val="18"/>
                      <w:szCs w:val="18"/>
                    </w:rPr>
                    <w:t>第二章</w:t>
                  </w:r>
                </w:p>
              </w:tc>
              <w:tc>
                <w:tcPr>
                  <w:tcW w:w="6961" w:type="dxa"/>
                  <w:gridSpan w:val="2"/>
                  <w:tcMar>
                    <w:left w:w="57" w:type="dxa"/>
                    <w:right w:w="57" w:type="dxa"/>
                  </w:tcMar>
                  <w:vAlign w:val="center"/>
                </w:tcPr>
                <w:p w14:paraId="079D61DC">
                  <w:pPr>
                    <w:pStyle w:val="60"/>
                    <w:rPr>
                      <w:color w:val="auto"/>
                      <w:sz w:val="18"/>
                      <w:szCs w:val="18"/>
                    </w:rPr>
                  </w:pPr>
                  <w:r>
                    <w:rPr>
                      <w:rFonts w:hint="eastAsia"/>
                      <w:color w:val="auto"/>
                      <w:sz w:val="18"/>
                      <w:szCs w:val="18"/>
                    </w:rPr>
                    <w:t>投资原则</w:t>
                  </w:r>
                </w:p>
              </w:tc>
              <w:tc>
                <w:tcPr>
                  <w:tcW w:w="703" w:type="dxa"/>
                  <w:tcMar>
                    <w:left w:w="57" w:type="dxa"/>
                    <w:right w:w="57" w:type="dxa"/>
                  </w:tcMar>
                  <w:vAlign w:val="center"/>
                </w:tcPr>
                <w:p w14:paraId="3BBFEB3F">
                  <w:pPr>
                    <w:pStyle w:val="60"/>
                    <w:rPr>
                      <w:color w:val="auto"/>
                      <w:sz w:val="18"/>
                      <w:szCs w:val="18"/>
                    </w:rPr>
                  </w:pPr>
                  <w:r>
                    <w:rPr>
                      <w:color w:val="auto"/>
                      <w:sz w:val="18"/>
                      <w:szCs w:val="18"/>
                    </w:rPr>
                    <w:t>符合</w:t>
                  </w:r>
                </w:p>
              </w:tc>
            </w:tr>
            <w:tr w14:paraId="387620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2EA30ACE">
                  <w:pPr>
                    <w:pStyle w:val="60"/>
                    <w:rPr>
                      <w:color w:val="auto"/>
                      <w:sz w:val="18"/>
                      <w:szCs w:val="18"/>
                    </w:rPr>
                  </w:pPr>
                  <w:r>
                    <w:rPr>
                      <w:rFonts w:hint="eastAsia"/>
                      <w:color w:val="auto"/>
                      <w:sz w:val="18"/>
                      <w:szCs w:val="18"/>
                    </w:rPr>
                    <w:t>第五条</w:t>
                  </w:r>
                </w:p>
              </w:tc>
              <w:tc>
                <w:tcPr>
                  <w:tcW w:w="4330" w:type="dxa"/>
                  <w:tcMar>
                    <w:left w:w="57" w:type="dxa"/>
                    <w:right w:w="57" w:type="dxa"/>
                  </w:tcMar>
                  <w:vAlign w:val="center"/>
                </w:tcPr>
                <w:p w14:paraId="3FE25D4C">
                  <w:pPr>
                    <w:pStyle w:val="60"/>
                    <w:jc w:val="both"/>
                    <w:rPr>
                      <w:color w:val="auto"/>
                      <w:sz w:val="18"/>
                      <w:szCs w:val="18"/>
                    </w:rPr>
                  </w:pPr>
                  <w:r>
                    <w:rPr>
                      <w:rFonts w:hint="eastAsia"/>
                      <w:color w:val="auto"/>
                      <w:sz w:val="18"/>
                      <w:szCs w:val="18"/>
                    </w:rPr>
                    <w:t>坚持高质高效原则。严格执行国家产业政策，支持建设国家《产业结构调整指导目录》鼓励类项目，严禁新建、扩建限制类项目，严禁建设淘汰类项目。</w:t>
                  </w:r>
                </w:p>
              </w:tc>
              <w:tc>
                <w:tcPr>
                  <w:tcW w:w="2631" w:type="dxa"/>
                  <w:tcMar>
                    <w:left w:w="57" w:type="dxa"/>
                    <w:right w:w="57" w:type="dxa"/>
                  </w:tcMar>
                  <w:vAlign w:val="center"/>
                </w:tcPr>
                <w:p w14:paraId="6A220BFE">
                  <w:pPr>
                    <w:pStyle w:val="60"/>
                    <w:jc w:val="both"/>
                    <w:rPr>
                      <w:rFonts w:hint="default" w:eastAsia="宋体"/>
                      <w:color w:val="auto"/>
                      <w:sz w:val="18"/>
                      <w:szCs w:val="18"/>
                      <w:lang w:val="en-US" w:eastAsia="zh-CN"/>
                    </w:rPr>
                  </w:pPr>
                  <w:r>
                    <w:rPr>
                      <w:rFonts w:hint="eastAsia"/>
                      <w:snapToGrid w:val="0"/>
                      <w:color w:val="auto"/>
                      <w:sz w:val="18"/>
                      <w:szCs w:val="18"/>
                    </w:rPr>
                    <w:t>项目不属于《产业结构调整指导目录》中淘汰类、限制类项目</w:t>
                  </w:r>
                  <w:r>
                    <w:rPr>
                      <w:rFonts w:hint="eastAsia"/>
                      <w:color w:val="auto"/>
                      <w:sz w:val="18"/>
                      <w:szCs w:val="18"/>
                      <w:lang w:eastAsia="zh-CN"/>
                    </w:rPr>
                    <w:t>，</w:t>
                  </w:r>
                  <w:r>
                    <w:rPr>
                      <w:rFonts w:hint="eastAsia"/>
                      <w:color w:val="auto"/>
                      <w:sz w:val="18"/>
                      <w:szCs w:val="18"/>
                      <w:lang w:val="en-US" w:eastAsia="zh-CN"/>
                    </w:rPr>
                    <w:t>且已取得备案证明。</w:t>
                  </w:r>
                </w:p>
              </w:tc>
              <w:tc>
                <w:tcPr>
                  <w:tcW w:w="703" w:type="dxa"/>
                  <w:tcMar>
                    <w:left w:w="57" w:type="dxa"/>
                    <w:right w:w="57" w:type="dxa"/>
                  </w:tcMar>
                  <w:vAlign w:val="center"/>
                </w:tcPr>
                <w:p w14:paraId="3732F1E1">
                  <w:pPr>
                    <w:pStyle w:val="60"/>
                    <w:rPr>
                      <w:color w:val="auto"/>
                      <w:sz w:val="18"/>
                      <w:szCs w:val="18"/>
                    </w:rPr>
                  </w:pPr>
                  <w:r>
                    <w:rPr>
                      <w:color w:val="auto"/>
                      <w:sz w:val="18"/>
                      <w:szCs w:val="18"/>
                    </w:rPr>
                    <w:t>符合</w:t>
                  </w:r>
                </w:p>
              </w:tc>
            </w:tr>
            <w:tr w14:paraId="65C02E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26B962DA">
                  <w:pPr>
                    <w:pStyle w:val="60"/>
                    <w:rPr>
                      <w:color w:val="auto"/>
                      <w:sz w:val="18"/>
                      <w:szCs w:val="18"/>
                    </w:rPr>
                  </w:pPr>
                  <w:r>
                    <w:rPr>
                      <w:rFonts w:hint="eastAsia"/>
                      <w:color w:val="auto"/>
                      <w:sz w:val="18"/>
                      <w:szCs w:val="18"/>
                    </w:rPr>
                    <w:t>第六条</w:t>
                  </w:r>
                </w:p>
              </w:tc>
              <w:tc>
                <w:tcPr>
                  <w:tcW w:w="4330" w:type="dxa"/>
                  <w:tcMar>
                    <w:left w:w="57" w:type="dxa"/>
                    <w:right w:w="57" w:type="dxa"/>
                  </w:tcMar>
                  <w:vAlign w:val="center"/>
                </w:tcPr>
                <w:p w14:paraId="311218E4">
                  <w:pPr>
                    <w:pStyle w:val="60"/>
                    <w:jc w:val="both"/>
                    <w:rPr>
                      <w:color w:val="auto"/>
                      <w:sz w:val="18"/>
                      <w:szCs w:val="18"/>
                    </w:rPr>
                  </w:pPr>
                  <w:r>
                    <w:rPr>
                      <w:rFonts w:hint="eastAsia"/>
                      <w:color w:val="auto"/>
                      <w:sz w:val="18"/>
                      <w:szCs w:val="18"/>
                    </w:rPr>
                    <w:t>坚持安全发展原则。认真落实国家环保、安全有关要求，做好环境影响评价和安全生产评价，确保投资项目中的安全、环保等设施与主体工程同时设计、同时施工、同时投产使用。</w:t>
                  </w:r>
                </w:p>
              </w:tc>
              <w:tc>
                <w:tcPr>
                  <w:tcW w:w="2631" w:type="dxa"/>
                  <w:tcMar>
                    <w:left w:w="57" w:type="dxa"/>
                    <w:right w:w="57" w:type="dxa"/>
                  </w:tcMar>
                  <w:vAlign w:val="center"/>
                </w:tcPr>
                <w:p w14:paraId="1E51B88C">
                  <w:pPr>
                    <w:pStyle w:val="60"/>
                    <w:jc w:val="both"/>
                    <w:rPr>
                      <w:color w:val="auto"/>
                      <w:sz w:val="18"/>
                      <w:szCs w:val="18"/>
                    </w:rPr>
                  </w:pPr>
                  <w:r>
                    <w:rPr>
                      <w:rFonts w:hint="eastAsia"/>
                      <w:color w:val="auto"/>
                      <w:sz w:val="18"/>
                      <w:szCs w:val="18"/>
                    </w:rPr>
                    <w:t>项目严格落实环保相关要求，做好环评工作，并严格执行“三同时”制度。</w:t>
                  </w:r>
                </w:p>
              </w:tc>
              <w:tc>
                <w:tcPr>
                  <w:tcW w:w="703" w:type="dxa"/>
                  <w:tcMar>
                    <w:left w:w="57" w:type="dxa"/>
                    <w:right w:w="57" w:type="dxa"/>
                  </w:tcMar>
                  <w:vAlign w:val="center"/>
                </w:tcPr>
                <w:p w14:paraId="4021A4E8">
                  <w:pPr>
                    <w:pStyle w:val="60"/>
                    <w:rPr>
                      <w:color w:val="auto"/>
                      <w:sz w:val="18"/>
                      <w:szCs w:val="18"/>
                    </w:rPr>
                  </w:pPr>
                  <w:r>
                    <w:rPr>
                      <w:color w:val="auto"/>
                      <w:sz w:val="18"/>
                      <w:szCs w:val="18"/>
                    </w:rPr>
                    <w:t>符合</w:t>
                  </w:r>
                </w:p>
              </w:tc>
            </w:tr>
            <w:tr w14:paraId="27FF45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18B747CA">
                  <w:pPr>
                    <w:pStyle w:val="60"/>
                    <w:rPr>
                      <w:color w:val="auto"/>
                      <w:sz w:val="18"/>
                      <w:szCs w:val="18"/>
                    </w:rPr>
                  </w:pPr>
                  <w:r>
                    <w:rPr>
                      <w:rFonts w:hint="eastAsia"/>
                      <w:color w:val="auto"/>
                      <w:sz w:val="18"/>
                      <w:szCs w:val="18"/>
                    </w:rPr>
                    <w:t>第七条</w:t>
                  </w:r>
                </w:p>
              </w:tc>
              <w:tc>
                <w:tcPr>
                  <w:tcW w:w="4330" w:type="dxa"/>
                  <w:tcMar>
                    <w:left w:w="57" w:type="dxa"/>
                    <w:right w:w="57" w:type="dxa"/>
                  </w:tcMar>
                  <w:vAlign w:val="center"/>
                </w:tcPr>
                <w:p w14:paraId="4A49DE02">
                  <w:pPr>
                    <w:pStyle w:val="60"/>
                    <w:jc w:val="both"/>
                    <w:rPr>
                      <w:color w:val="auto"/>
                      <w:sz w:val="18"/>
                      <w:szCs w:val="18"/>
                    </w:rPr>
                  </w:pPr>
                  <w:r>
                    <w:rPr>
                      <w:rFonts w:hint="eastAsia"/>
                      <w:color w:val="auto"/>
                      <w:sz w:val="18"/>
                      <w:szCs w:val="18"/>
                    </w:rPr>
                    <w:t>坚持绿色低碳原则。贯彻落实国家双碳战略，加强技术创新，提升工艺装备技术水平，加强能源消耗综合评价，推动工业领域绿色转型和循环低碳发展。</w:t>
                  </w:r>
                </w:p>
              </w:tc>
              <w:tc>
                <w:tcPr>
                  <w:tcW w:w="2631" w:type="dxa"/>
                  <w:tcMar>
                    <w:left w:w="57" w:type="dxa"/>
                    <w:right w:w="57" w:type="dxa"/>
                  </w:tcMar>
                  <w:vAlign w:val="center"/>
                </w:tcPr>
                <w:p w14:paraId="0ED6D376">
                  <w:pPr>
                    <w:pStyle w:val="60"/>
                    <w:jc w:val="both"/>
                    <w:rPr>
                      <w:rFonts w:hint="eastAsia" w:eastAsia="宋体"/>
                      <w:color w:val="auto"/>
                      <w:sz w:val="18"/>
                      <w:szCs w:val="18"/>
                      <w:lang w:val="en-US" w:eastAsia="zh-CN"/>
                    </w:rPr>
                  </w:pPr>
                  <w:r>
                    <w:rPr>
                      <w:rFonts w:hint="eastAsia"/>
                      <w:color w:val="auto"/>
                      <w:sz w:val="18"/>
                      <w:szCs w:val="18"/>
                    </w:rPr>
                    <w:t>项目建设积极响应国家绿色低碳发展战略。</w:t>
                  </w:r>
                  <w:r>
                    <w:rPr>
                      <w:rFonts w:hint="eastAsia"/>
                      <w:color w:val="auto"/>
                      <w:sz w:val="18"/>
                      <w:szCs w:val="18"/>
                      <w:lang w:val="en-US" w:eastAsia="zh-CN"/>
                    </w:rPr>
                    <w:t>项目建成后淘汰现有落后储罐及设备，可提升装置</w:t>
                  </w:r>
                  <w:r>
                    <w:rPr>
                      <w:rFonts w:hint="eastAsia"/>
                      <w:color w:val="auto"/>
                      <w:sz w:val="18"/>
                      <w:szCs w:val="18"/>
                    </w:rPr>
                    <w:t>工艺装备技术水平</w:t>
                  </w:r>
                  <w:r>
                    <w:rPr>
                      <w:rFonts w:hint="eastAsia"/>
                      <w:color w:val="auto"/>
                      <w:sz w:val="18"/>
                      <w:szCs w:val="18"/>
                      <w:lang w:eastAsia="zh-CN"/>
                    </w:rPr>
                    <w:t>。</w:t>
                  </w:r>
                </w:p>
              </w:tc>
              <w:tc>
                <w:tcPr>
                  <w:tcW w:w="703" w:type="dxa"/>
                  <w:tcMar>
                    <w:left w:w="57" w:type="dxa"/>
                    <w:right w:w="57" w:type="dxa"/>
                  </w:tcMar>
                  <w:vAlign w:val="center"/>
                </w:tcPr>
                <w:p w14:paraId="627B1C73">
                  <w:pPr>
                    <w:pStyle w:val="60"/>
                    <w:rPr>
                      <w:color w:val="auto"/>
                      <w:sz w:val="18"/>
                      <w:szCs w:val="18"/>
                    </w:rPr>
                  </w:pPr>
                  <w:r>
                    <w:rPr>
                      <w:color w:val="auto"/>
                      <w:sz w:val="18"/>
                      <w:szCs w:val="18"/>
                    </w:rPr>
                    <w:t>符合</w:t>
                  </w:r>
                </w:p>
              </w:tc>
            </w:tr>
            <w:tr w14:paraId="3B4171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641C7C1B">
                  <w:pPr>
                    <w:pStyle w:val="60"/>
                    <w:rPr>
                      <w:color w:val="auto"/>
                      <w:sz w:val="18"/>
                      <w:szCs w:val="18"/>
                    </w:rPr>
                  </w:pPr>
                  <w:r>
                    <w:rPr>
                      <w:rFonts w:hint="eastAsia"/>
                      <w:color w:val="auto"/>
                      <w:sz w:val="18"/>
                      <w:szCs w:val="18"/>
                    </w:rPr>
                    <w:t>第八条</w:t>
                  </w:r>
                </w:p>
              </w:tc>
              <w:tc>
                <w:tcPr>
                  <w:tcW w:w="4330" w:type="dxa"/>
                  <w:tcMar>
                    <w:left w:w="57" w:type="dxa"/>
                    <w:right w:w="57" w:type="dxa"/>
                  </w:tcMar>
                  <w:vAlign w:val="center"/>
                </w:tcPr>
                <w:p w14:paraId="33D20295">
                  <w:pPr>
                    <w:pStyle w:val="60"/>
                    <w:jc w:val="both"/>
                    <w:rPr>
                      <w:color w:val="auto"/>
                      <w:sz w:val="18"/>
                      <w:szCs w:val="18"/>
                    </w:rPr>
                  </w:pPr>
                  <w:r>
                    <w:rPr>
                      <w:rFonts w:hint="eastAsia"/>
                      <w:color w:val="auto"/>
                      <w:sz w:val="18"/>
                      <w:szCs w:val="18"/>
                    </w:rPr>
                    <w:t>坚持集聚集约原则。大力推进化工企业进区入园，鼓励企业建链延链补链强链，推动上下游协同、耦合发展。</w:t>
                  </w:r>
                </w:p>
              </w:tc>
              <w:tc>
                <w:tcPr>
                  <w:tcW w:w="2631" w:type="dxa"/>
                  <w:tcMar>
                    <w:left w:w="57" w:type="dxa"/>
                    <w:right w:w="57" w:type="dxa"/>
                  </w:tcMar>
                  <w:vAlign w:val="center"/>
                </w:tcPr>
                <w:p w14:paraId="1AB9E1C0">
                  <w:pPr>
                    <w:pStyle w:val="60"/>
                    <w:jc w:val="both"/>
                    <w:rPr>
                      <w:rFonts w:hint="default" w:eastAsia="宋体"/>
                      <w:color w:val="auto"/>
                      <w:sz w:val="18"/>
                      <w:szCs w:val="18"/>
                      <w:lang w:val="en-US" w:eastAsia="zh-CN"/>
                    </w:rPr>
                  </w:pPr>
                  <w:r>
                    <w:rPr>
                      <w:rFonts w:hint="eastAsia"/>
                      <w:bCs/>
                      <w:color w:val="auto"/>
                      <w:sz w:val="18"/>
                      <w:szCs w:val="18"/>
                    </w:rPr>
                    <w:t>本项目</w:t>
                  </w:r>
                  <w:r>
                    <w:rPr>
                      <w:rFonts w:hint="eastAsia"/>
                      <w:bCs/>
                      <w:color w:val="auto"/>
                      <w:sz w:val="18"/>
                      <w:szCs w:val="18"/>
                      <w:lang w:val="en-US" w:eastAsia="zh-CN"/>
                    </w:rPr>
                    <w:t>位于朱台镇工业集聚区内</w:t>
                  </w:r>
                </w:p>
              </w:tc>
              <w:tc>
                <w:tcPr>
                  <w:tcW w:w="703" w:type="dxa"/>
                  <w:tcMar>
                    <w:left w:w="57" w:type="dxa"/>
                    <w:right w:w="57" w:type="dxa"/>
                  </w:tcMar>
                  <w:vAlign w:val="center"/>
                </w:tcPr>
                <w:p w14:paraId="6816517F">
                  <w:pPr>
                    <w:pStyle w:val="60"/>
                    <w:rPr>
                      <w:color w:val="auto"/>
                      <w:sz w:val="18"/>
                      <w:szCs w:val="18"/>
                    </w:rPr>
                  </w:pPr>
                  <w:r>
                    <w:rPr>
                      <w:rFonts w:hint="eastAsia"/>
                      <w:color w:val="auto"/>
                      <w:sz w:val="18"/>
                      <w:szCs w:val="18"/>
                    </w:rPr>
                    <w:t>符合</w:t>
                  </w:r>
                </w:p>
              </w:tc>
            </w:tr>
            <w:tr w14:paraId="33CCE0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07205517">
                  <w:pPr>
                    <w:pStyle w:val="60"/>
                    <w:rPr>
                      <w:color w:val="auto"/>
                      <w:sz w:val="18"/>
                      <w:szCs w:val="18"/>
                    </w:rPr>
                  </w:pPr>
                  <w:r>
                    <w:rPr>
                      <w:rFonts w:hint="eastAsia"/>
                      <w:color w:val="auto"/>
                      <w:sz w:val="18"/>
                      <w:szCs w:val="18"/>
                    </w:rPr>
                    <w:t>第三章</w:t>
                  </w:r>
                </w:p>
              </w:tc>
              <w:tc>
                <w:tcPr>
                  <w:tcW w:w="6961" w:type="dxa"/>
                  <w:gridSpan w:val="2"/>
                  <w:tcMar>
                    <w:left w:w="57" w:type="dxa"/>
                    <w:right w:w="57" w:type="dxa"/>
                  </w:tcMar>
                  <w:vAlign w:val="center"/>
                </w:tcPr>
                <w:p w14:paraId="7E6D0E05">
                  <w:pPr>
                    <w:pStyle w:val="60"/>
                    <w:rPr>
                      <w:color w:val="auto"/>
                      <w:sz w:val="18"/>
                      <w:szCs w:val="18"/>
                    </w:rPr>
                  </w:pPr>
                  <w:r>
                    <w:rPr>
                      <w:rFonts w:hint="eastAsia"/>
                      <w:color w:val="auto"/>
                      <w:sz w:val="18"/>
                      <w:szCs w:val="18"/>
                    </w:rPr>
                    <w:t>项目管理</w:t>
                  </w:r>
                </w:p>
              </w:tc>
              <w:tc>
                <w:tcPr>
                  <w:tcW w:w="703" w:type="dxa"/>
                  <w:tcMar>
                    <w:left w:w="57" w:type="dxa"/>
                    <w:right w:w="57" w:type="dxa"/>
                  </w:tcMar>
                  <w:vAlign w:val="center"/>
                </w:tcPr>
                <w:p w14:paraId="38BFDEA3">
                  <w:pPr>
                    <w:pStyle w:val="60"/>
                    <w:rPr>
                      <w:color w:val="auto"/>
                      <w:sz w:val="18"/>
                      <w:szCs w:val="18"/>
                    </w:rPr>
                  </w:pPr>
                  <w:r>
                    <w:rPr>
                      <w:color w:val="auto"/>
                      <w:sz w:val="18"/>
                      <w:szCs w:val="18"/>
                    </w:rPr>
                    <w:t>符合</w:t>
                  </w:r>
                </w:p>
              </w:tc>
            </w:tr>
            <w:tr w14:paraId="1C2AD6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55D798F7">
                  <w:pPr>
                    <w:pStyle w:val="60"/>
                    <w:rPr>
                      <w:color w:val="auto"/>
                      <w:sz w:val="18"/>
                      <w:szCs w:val="18"/>
                    </w:rPr>
                  </w:pPr>
                  <w:r>
                    <w:rPr>
                      <w:rFonts w:hint="eastAsia"/>
                      <w:color w:val="auto"/>
                      <w:sz w:val="18"/>
                      <w:szCs w:val="18"/>
                    </w:rPr>
                    <w:t>第十条</w:t>
                  </w:r>
                </w:p>
              </w:tc>
              <w:tc>
                <w:tcPr>
                  <w:tcW w:w="4330" w:type="dxa"/>
                  <w:tcMar>
                    <w:left w:w="57" w:type="dxa"/>
                    <w:right w:w="57" w:type="dxa"/>
                  </w:tcMar>
                  <w:vAlign w:val="center"/>
                </w:tcPr>
                <w:p w14:paraId="4B142CCC">
                  <w:pPr>
                    <w:pStyle w:val="60"/>
                    <w:jc w:val="both"/>
                    <w:rPr>
                      <w:rFonts w:eastAsia="微软雅黑"/>
                      <w:color w:val="auto"/>
                      <w:sz w:val="18"/>
                      <w:szCs w:val="18"/>
                      <w:shd w:val="clear" w:color="auto" w:fill="FFFFFF"/>
                    </w:rPr>
                  </w:pPr>
                  <w:r>
                    <w:rPr>
                      <w:rFonts w:hint="eastAsia"/>
                      <w:color w:val="auto"/>
                      <w:sz w:val="18"/>
                      <w:szCs w:val="18"/>
                    </w:rPr>
                    <w:t>化工项目原则上应在省政府认定的化工园区、专业化工园区和重点监控点实施，沿黄重点地区“十四五”时期拟建化工项目，除满足上述条件外，还应在合规工业园区实施。</w:t>
                  </w:r>
                </w:p>
              </w:tc>
              <w:tc>
                <w:tcPr>
                  <w:tcW w:w="2631" w:type="dxa"/>
                  <w:vMerge w:val="restart"/>
                  <w:tcMar>
                    <w:left w:w="57" w:type="dxa"/>
                    <w:right w:w="57" w:type="dxa"/>
                  </w:tcMar>
                  <w:vAlign w:val="center"/>
                </w:tcPr>
                <w:p w14:paraId="60076B9E">
                  <w:pPr>
                    <w:pStyle w:val="60"/>
                    <w:jc w:val="both"/>
                    <w:rPr>
                      <w:rFonts w:hint="default"/>
                      <w:color w:val="auto"/>
                      <w:sz w:val="18"/>
                      <w:szCs w:val="18"/>
                      <w:lang w:val="en-US"/>
                    </w:rPr>
                  </w:pPr>
                  <w:r>
                    <w:rPr>
                      <w:rFonts w:hint="eastAsia"/>
                      <w:bCs/>
                      <w:color w:val="auto"/>
                      <w:sz w:val="18"/>
                      <w:szCs w:val="18"/>
                      <w:lang w:val="en-US" w:eastAsia="zh-CN"/>
                    </w:rPr>
                    <w:t>本项目为原料、产品罐区安全环保提升技术改造项目，项目主要淘汰东厂区灌装间东侧原有2台老旧储罐，在西厂区新建2台1000立方甲醇储罐和1台1000立方叔丁醇储罐设施，同时拆除东厂区老旧甲醇卸车设施，在西厂区配套建设甲醇、叔丁醇自动化定量装卸车设施。项目不涉及危化品的生产，仅进行原料甲醇及产品叔丁醇的暂存，项目行业类别为G5942危险化学品仓储，报告等级为报告表。</w:t>
                  </w:r>
                  <w:r>
                    <w:rPr>
                      <w:rFonts w:hint="eastAsia"/>
                      <w:bCs/>
                      <w:color w:val="auto"/>
                      <w:sz w:val="18"/>
                      <w:szCs w:val="18"/>
                    </w:rPr>
                    <w:t>本项目</w:t>
                  </w:r>
                  <w:r>
                    <w:rPr>
                      <w:rFonts w:hint="eastAsia"/>
                      <w:bCs/>
                      <w:color w:val="auto"/>
                      <w:sz w:val="18"/>
                      <w:szCs w:val="18"/>
                      <w:lang w:val="en-US" w:eastAsia="zh-CN"/>
                    </w:rPr>
                    <w:t>位于朱台镇工业集聚区内，符合集聚区产业定位。</w:t>
                  </w:r>
                </w:p>
              </w:tc>
              <w:tc>
                <w:tcPr>
                  <w:tcW w:w="703" w:type="dxa"/>
                  <w:vMerge w:val="restart"/>
                  <w:tcMar>
                    <w:left w:w="57" w:type="dxa"/>
                    <w:right w:w="57" w:type="dxa"/>
                  </w:tcMar>
                  <w:vAlign w:val="center"/>
                </w:tcPr>
                <w:p w14:paraId="17B8809D">
                  <w:pPr>
                    <w:pStyle w:val="60"/>
                    <w:rPr>
                      <w:color w:val="auto"/>
                      <w:sz w:val="18"/>
                      <w:szCs w:val="18"/>
                    </w:rPr>
                  </w:pPr>
                  <w:r>
                    <w:rPr>
                      <w:rFonts w:hint="eastAsia"/>
                      <w:color w:val="auto"/>
                      <w:sz w:val="18"/>
                      <w:szCs w:val="18"/>
                    </w:rPr>
                    <w:t>符合</w:t>
                  </w:r>
                </w:p>
              </w:tc>
            </w:tr>
            <w:tr w14:paraId="461FCA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326C7548">
                  <w:pPr>
                    <w:pStyle w:val="60"/>
                    <w:rPr>
                      <w:color w:val="auto"/>
                      <w:sz w:val="18"/>
                      <w:szCs w:val="18"/>
                    </w:rPr>
                  </w:pPr>
                  <w:r>
                    <w:rPr>
                      <w:rFonts w:hint="eastAsia"/>
                      <w:color w:val="auto"/>
                      <w:sz w:val="18"/>
                      <w:szCs w:val="18"/>
                    </w:rPr>
                    <w:t>第十一条</w:t>
                  </w:r>
                </w:p>
              </w:tc>
              <w:tc>
                <w:tcPr>
                  <w:tcW w:w="4330" w:type="dxa"/>
                  <w:tcMar>
                    <w:left w:w="57" w:type="dxa"/>
                    <w:right w:w="57" w:type="dxa"/>
                  </w:tcMar>
                  <w:vAlign w:val="center"/>
                </w:tcPr>
                <w:p w14:paraId="05DC2A2B">
                  <w:pPr>
                    <w:pStyle w:val="60"/>
                    <w:jc w:val="both"/>
                    <w:rPr>
                      <w:color w:val="auto"/>
                      <w:sz w:val="18"/>
                      <w:szCs w:val="18"/>
                    </w:rPr>
                  </w:pPr>
                  <w:r>
                    <w:rPr>
                      <w:rFonts w:hint="eastAsia"/>
                      <w:color w:val="auto"/>
                      <w:sz w:val="18"/>
                      <w:szCs w:val="18"/>
                    </w:rPr>
                    <w:t>新建生产危险化学品的项目（危险化学品详见最新版《危险化学品目录》），固定资产投资额原则上不低于3亿元（不含土地费用）；列入国家《产业结构调整指导目录》鼓励类和《鼓励外商投资产业目录》项目，以及搬迁入园、配套氯碱企业耗氯和耗氢项目，不受3亿元投资额限制。</w:t>
                  </w:r>
                </w:p>
              </w:tc>
              <w:tc>
                <w:tcPr>
                  <w:tcW w:w="2631" w:type="dxa"/>
                  <w:vMerge w:val="continue"/>
                  <w:tcMar>
                    <w:left w:w="57" w:type="dxa"/>
                    <w:right w:w="57" w:type="dxa"/>
                  </w:tcMar>
                  <w:vAlign w:val="center"/>
                </w:tcPr>
                <w:p w14:paraId="6A4A7362">
                  <w:pPr>
                    <w:pStyle w:val="60"/>
                    <w:rPr>
                      <w:color w:val="auto"/>
                      <w:sz w:val="18"/>
                      <w:szCs w:val="18"/>
                    </w:rPr>
                  </w:pPr>
                </w:p>
              </w:tc>
              <w:tc>
                <w:tcPr>
                  <w:tcW w:w="703" w:type="dxa"/>
                  <w:vMerge w:val="continue"/>
                  <w:tcMar>
                    <w:left w:w="57" w:type="dxa"/>
                    <w:right w:w="57" w:type="dxa"/>
                  </w:tcMar>
                  <w:vAlign w:val="center"/>
                </w:tcPr>
                <w:p w14:paraId="4539668B">
                  <w:pPr>
                    <w:pStyle w:val="60"/>
                    <w:rPr>
                      <w:color w:val="auto"/>
                      <w:sz w:val="18"/>
                      <w:szCs w:val="18"/>
                    </w:rPr>
                  </w:pPr>
                </w:p>
              </w:tc>
            </w:tr>
            <w:tr w14:paraId="2B6620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4CAB2857">
                  <w:pPr>
                    <w:pStyle w:val="60"/>
                    <w:rPr>
                      <w:color w:val="auto"/>
                      <w:sz w:val="18"/>
                      <w:szCs w:val="18"/>
                    </w:rPr>
                  </w:pPr>
                  <w:r>
                    <w:rPr>
                      <w:rFonts w:hint="eastAsia"/>
                      <w:color w:val="auto"/>
                      <w:sz w:val="18"/>
                      <w:szCs w:val="18"/>
                    </w:rPr>
                    <w:t>第十二条</w:t>
                  </w:r>
                </w:p>
              </w:tc>
              <w:tc>
                <w:tcPr>
                  <w:tcW w:w="4330" w:type="dxa"/>
                  <w:tcMar>
                    <w:left w:w="57" w:type="dxa"/>
                    <w:right w:w="57" w:type="dxa"/>
                  </w:tcMar>
                  <w:vAlign w:val="center"/>
                </w:tcPr>
                <w:p w14:paraId="79121E4F">
                  <w:pPr>
                    <w:pStyle w:val="60"/>
                    <w:jc w:val="both"/>
                    <w:rPr>
                      <w:color w:val="auto"/>
                      <w:sz w:val="18"/>
                      <w:szCs w:val="18"/>
                    </w:rPr>
                  </w:pPr>
                  <w:r>
                    <w:rPr>
                      <w:rFonts w:hint="eastAsia"/>
                      <w:color w:val="auto"/>
                      <w:sz w:val="18"/>
                      <w:szCs w:val="18"/>
                    </w:rPr>
                    <w:t>符合下列情形之一的化工项目，除国家另有规定的外，可以在省政府认定的化工园区、专业化工园区和重点监控点外实施，且不受投资额限制。</w:t>
                  </w:r>
                </w:p>
                <w:p w14:paraId="79E87511">
                  <w:pPr>
                    <w:pStyle w:val="60"/>
                    <w:jc w:val="both"/>
                    <w:rPr>
                      <w:color w:val="auto"/>
                      <w:sz w:val="18"/>
                      <w:szCs w:val="18"/>
                    </w:rPr>
                  </w:pPr>
                  <w:r>
                    <w:rPr>
                      <w:rFonts w:hint="eastAsia"/>
                      <w:color w:val="auto"/>
                      <w:sz w:val="18"/>
                      <w:szCs w:val="18"/>
                    </w:rPr>
                    <w:t>（一）2625有机肥料及微生物肥料制造、2682化妆品制造、2683口腔清洁用品制造、291橡胶制品业项目。</w:t>
                  </w:r>
                </w:p>
                <w:p w14:paraId="5EE9D9EF">
                  <w:pPr>
                    <w:pStyle w:val="60"/>
                    <w:jc w:val="both"/>
                    <w:rPr>
                      <w:color w:val="auto"/>
                      <w:sz w:val="18"/>
                      <w:szCs w:val="18"/>
                    </w:rPr>
                  </w:pPr>
                  <w:r>
                    <w:rPr>
                      <w:rFonts w:hint="eastAsia"/>
                      <w:color w:val="auto"/>
                      <w:sz w:val="18"/>
                      <w:szCs w:val="18"/>
                    </w:rPr>
                    <w:t>（二）列入《建设项目环境影响评价分类管理名录》的环评类别为报告表、登记表的非危险化学品项目。</w:t>
                  </w:r>
                </w:p>
                <w:p w14:paraId="5D37819F">
                  <w:pPr>
                    <w:pStyle w:val="60"/>
                    <w:jc w:val="both"/>
                    <w:rPr>
                      <w:color w:val="auto"/>
                      <w:sz w:val="18"/>
                      <w:szCs w:val="18"/>
                    </w:rPr>
                  </w:pPr>
                  <w:r>
                    <w:rPr>
                      <w:rFonts w:hint="eastAsia"/>
                      <w:color w:val="auto"/>
                      <w:sz w:val="18"/>
                      <w:szCs w:val="18"/>
                    </w:rPr>
                    <w:t>（三）海水或卤水提取溴素、二氧化碳收集、新建大型冶金项目配套焦化和制酸、可再生能源发电制氢、为非化工项目配套的空分以及依托钢铁企业副产煤气就地实施钢化联产项目。</w:t>
                  </w:r>
                </w:p>
              </w:tc>
              <w:tc>
                <w:tcPr>
                  <w:tcW w:w="2631" w:type="dxa"/>
                  <w:vMerge w:val="continue"/>
                  <w:tcMar>
                    <w:left w:w="57" w:type="dxa"/>
                    <w:right w:w="57" w:type="dxa"/>
                  </w:tcMar>
                  <w:vAlign w:val="center"/>
                </w:tcPr>
                <w:p w14:paraId="35749FCE">
                  <w:pPr>
                    <w:pStyle w:val="60"/>
                    <w:rPr>
                      <w:color w:val="auto"/>
                      <w:sz w:val="18"/>
                      <w:szCs w:val="18"/>
                    </w:rPr>
                  </w:pPr>
                </w:p>
              </w:tc>
              <w:tc>
                <w:tcPr>
                  <w:tcW w:w="703" w:type="dxa"/>
                  <w:vMerge w:val="continue"/>
                  <w:tcMar>
                    <w:left w:w="57" w:type="dxa"/>
                    <w:right w:w="57" w:type="dxa"/>
                  </w:tcMar>
                  <w:vAlign w:val="center"/>
                </w:tcPr>
                <w:p w14:paraId="56238304">
                  <w:pPr>
                    <w:pStyle w:val="60"/>
                    <w:rPr>
                      <w:color w:val="auto"/>
                      <w:sz w:val="18"/>
                      <w:szCs w:val="18"/>
                    </w:rPr>
                  </w:pPr>
                </w:p>
              </w:tc>
            </w:tr>
            <w:tr w14:paraId="24993B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0806E9FF">
                  <w:pPr>
                    <w:pStyle w:val="60"/>
                    <w:rPr>
                      <w:color w:val="auto"/>
                      <w:sz w:val="18"/>
                      <w:szCs w:val="18"/>
                    </w:rPr>
                  </w:pPr>
                  <w:r>
                    <w:rPr>
                      <w:rFonts w:hint="eastAsia"/>
                      <w:color w:val="auto"/>
                      <w:sz w:val="18"/>
                      <w:szCs w:val="18"/>
                    </w:rPr>
                    <w:t>第十三条</w:t>
                  </w:r>
                </w:p>
              </w:tc>
              <w:tc>
                <w:tcPr>
                  <w:tcW w:w="4330" w:type="dxa"/>
                  <w:tcMar>
                    <w:left w:w="57" w:type="dxa"/>
                    <w:right w:w="57" w:type="dxa"/>
                  </w:tcMar>
                  <w:vAlign w:val="center"/>
                </w:tcPr>
                <w:p w14:paraId="0C4B81DB">
                  <w:pPr>
                    <w:pStyle w:val="60"/>
                    <w:jc w:val="both"/>
                    <w:rPr>
                      <w:color w:val="auto"/>
                      <w:sz w:val="18"/>
                      <w:szCs w:val="18"/>
                    </w:rPr>
                  </w:pPr>
                  <w:r>
                    <w:rPr>
                      <w:rFonts w:hint="eastAsia"/>
                      <w:color w:val="auto"/>
                      <w:sz w:val="18"/>
                      <w:szCs w:val="18"/>
                    </w:rPr>
                    <w:t>园区外非重点监控点化工企业，可以在原厂区就地实施环境污染治理、安全隐患整治、机械化换人、自动化减人、智能化无人改造项目，不受投资额限制，但原则上不得新增产能。</w:t>
                  </w:r>
                </w:p>
              </w:tc>
              <w:tc>
                <w:tcPr>
                  <w:tcW w:w="2631" w:type="dxa"/>
                  <w:tcMar>
                    <w:left w:w="57" w:type="dxa"/>
                    <w:right w:w="57" w:type="dxa"/>
                  </w:tcMar>
                  <w:vAlign w:val="center"/>
                </w:tcPr>
                <w:p w14:paraId="47C15419">
                  <w:pPr>
                    <w:pStyle w:val="60"/>
                    <w:rPr>
                      <w:rFonts w:hint="default" w:eastAsia="宋体"/>
                      <w:color w:val="auto"/>
                      <w:sz w:val="18"/>
                      <w:szCs w:val="18"/>
                      <w:lang w:val="en-US" w:eastAsia="zh-CN"/>
                    </w:rPr>
                  </w:pPr>
                  <w:r>
                    <w:rPr>
                      <w:rFonts w:hint="eastAsia"/>
                      <w:color w:val="auto"/>
                      <w:sz w:val="18"/>
                      <w:szCs w:val="18"/>
                      <w:lang w:val="en-US" w:eastAsia="zh-CN"/>
                    </w:rPr>
                    <w:t>本项目在现有项目基础上进行</w:t>
                  </w:r>
                  <w:r>
                    <w:rPr>
                      <w:rFonts w:hint="eastAsia"/>
                      <w:bCs/>
                      <w:color w:val="auto"/>
                      <w:sz w:val="18"/>
                      <w:szCs w:val="18"/>
                      <w:lang w:val="en-US" w:eastAsia="zh-CN"/>
                    </w:rPr>
                    <w:t>原料、产品罐区安全环保提升，淘汰东厂区灌装间东侧原有2台老旧储罐，在西厂区新建2台1000立方甲醇储罐和1台1000立方叔丁醇储罐设施，同时拆除东厂区老旧甲醇卸车设施，在西厂区配套建设甲醇、叔丁醇自动化定量装卸车设施。项目建成后后原甲醛及叔丁醇产能保持不变</w:t>
                  </w:r>
                </w:p>
              </w:tc>
              <w:tc>
                <w:tcPr>
                  <w:tcW w:w="703" w:type="dxa"/>
                  <w:tcMar>
                    <w:left w:w="57" w:type="dxa"/>
                    <w:right w:w="57" w:type="dxa"/>
                  </w:tcMar>
                  <w:vAlign w:val="center"/>
                </w:tcPr>
                <w:p w14:paraId="5EC41CFF">
                  <w:pPr>
                    <w:pStyle w:val="60"/>
                    <w:rPr>
                      <w:color w:val="auto"/>
                      <w:sz w:val="18"/>
                      <w:szCs w:val="18"/>
                    </w:rPr>
                  </w:pPr>
                  <w:r>
                    <w:rPr>
                      <w:rFonts w:hint="eastAsia"/>
                      <w:color w:val="auto"/>
                      <w:sz w:val="18"/>
                      <w:szCs w:val="18"/>
                    </w:rPr>
                    <w:t>符合</w:t>
                  </w:r>
                </w:p>
              </w:tc>
            </w:tr>
            <w:tr w14:paraId="562A5B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2583E810">
                  <w:pPr>
                    <w:pStyle w:val="60"/>
                    <w:rPr>
                      <w:color w:val="auto"/>
                      <w:sz w:val="18"/>
                      <w:szCs w:val="18"/>
                    </w:rPr>
                  </w:pPr>
                  <w:r>
                    <w:rPr>
                      <w:rFonts w:hint="eastAsia"/>
                      <w:color w:val="auto"/>
                      <w:sz w:val="18"/>
                      <w:szCs w:val="18"/>
                    </w:rPr>
                    <w:t>第十四条</w:t>
                  </w:r>
                </w:p>
              </w:tc>
              <w:tc>
                <w:tcPr>
                  <w:tcW w:w="4330" w:type="dxa"/>
                  <w:tcMar>
                    <w:left w:w="57" w:type="dxa"/>
                    <w:right w:w="57" w:type="dxa"/>
                  </w:tcMar>
                  <w:vAlign w:val="center"/>
                </w:tcPr>
                <w:p w14:paraId="506A7C69">
                  <w:pPr>
                    <w:pStyle w:val="60"/>
                    <w:jc w:val="both"/>
                    <w:rPr>
                      <w:color w:val="auto"/>
                      <w:sz w:val="18"/>
                      <w:szCs w:val="18"/>
                    </w:rPr>
                  </w:pPr>
                  <w:r>
                    <w:rPr>
                      <w:rFonts w:hint="eastAsia"/>
                      <w:color w:val="auto"/>
                      <w:sz w:val="18"/>
                      <w:szCs w:val="18"/>
                    </w:rPr>
                    <w:t>严格限制新建剧毒化学品项目，原则上剧毒化学品生产企业只减不增。</w:t>
                  </w:r>
                </w:p>
              </w:tc>
              <w:tc>
                <w:tcPr>
                  <w:tcW w:w="2631" w:type="dxa"/>
                  <w:tcMar>
                    <w:left w:w="57" w:type="dxa"/>
                    <w:right w:w="57" w:type="dxa"/>
                  </w:tcMar>
                  <w:vAlign w:val="center"/>
                </w:tcPr>
                <w:p w14:paraId="2033B6BE">
                  <w:pPr>
                    <w:pStyle w:val="60"/>
                    <w:rPr>
                      <w:color w:val="auto"/>
                      <w:sz w:val="18"/>
                      <w:szCs w:val="18"/>
                    </w:rPr>
                  </w:pPr>
                  <w:r>
                    <w:rPr>
                      <w:rFonts w:hint="eastAsia"/>
                      <w:color w:val="auto"/>
                      <w:sz w:val="18"/>
                      <w:szCs w:val="18"/>
                    </w:rPr>
                    <w:t>项目不属于上述情况</w:t>
                  </w:r>
                </w:p>
              </w:tc>
              <w:tc>
                <w:tcPr>
                  <w:tcW w:w="703" w:type="dxa"/>
                  <w:tcMar>
                    <w:left w:w="57" w:type="dxa"/>
                    <w:right w:w="57" w:type="dxa"/>
                  </w:tcMar>
                  <w:vAlign w:val="center"/>
                </w:tcPr>
                <w:p w14:paraId="7AF64E64">
                  <w:pPr>
                    <w:pStyle w:val="60"/>
                    <w:rPr>
                      <w:color w:val="auto"/>
                      <w:sz w:val="18"/>
                      <w:szCs w:val="18"/>
                    </w:rPr>
                  </w:pPr>
                  <w:r>
                    <w:rPr>
                      <w:rFonts w:hint="eastAsia"/>
                      <w:color w:val="auto"/>
                      <w:sz w:val="18"/>
                      <w:szCs w:val="18"/>
                    </w:rPr>
                    <w:t>符合</w:t>
                  </w:r>
                </w:p>
              </w:tc>
            </w:tr>
            <w:tr w14:paraId="7AD394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011D6FCD">
                  <w:pPr>
                    <w:pStyle w:val="60"/>
                    <w:rPr>
                      <w:color w:val="auto"/>
                      <w:sz w:val="18"/>
                      <w:szCs w:val="18"/>
                    </w:rPr>
                  </w:pPr>
                  <w:r>
                    <w:rPr>
                      <w:rFonts w:hint="eastAsia"/>
                      <w:color w:val="auto"/>
                      <w:sz w:val="18"/>
                      <w:szCs w:val="18"/>
                    </w:rPr>
                    <w:t>第四章</w:t>
                  </w:r>
                </w:p>
              </w:tc>
              <w:tc>
                <w:tcPr>
                  <w:tcW w:w="6961" w:type="dxa"/>
                  <w:gridSpan w:val="2"/>
                  <w:tcMar>
                    <w:left w:w="57" w:type="dxa"/>
                    <w:right w:w="57" w:type="dxa"/>
                  </w:tcMar>
                  <w:vAlign w:val="center"/>
                </w:tcPr>
                <w:p w14:paraId="6156AC97">
                  <w:pPr>
                    <w:pStyle w:val="60"/>
                    <w:rPr>
                      <w:color w:val="auto"/>
                      <w:sz w:val="18"/>
                      <w:szCs w:val="18"/>
                    </w:rPr>
                  </w:pPr>
                  <w:r>
                    <w:rPr>
                      <w:rFonts w:hint="eastAsia"/>
                      <w:color w:val="auto"/>
                      <w:sz w:val="18"/>
                      <w:szCs w:val="18"/>
                    </w:rPr>
                    <w:t>核准备案</w:t>
                  </w:r>
                </w:p>
              </w:tc>
              <w:tc>
                <w:tcPr>
                  <w:tcW w:w="703" w:type="dxa"/>
                  <w:tcMar>
                    <w:left w:w="57" w:type="dxa"/>
                    <w:right w:w="57" w:type="dxa"/>
                  </w:tcMar>
                  <w:vAlign w:val="center"/>
                </w:tcPr>
                <w:p w14:paraId="552801A2">
                  <w:pPr>
                    <w:pStyle w:val="60"/>
                    <w:rPr>
                      <w:color w:val="auto"/>
                      <w:sz w:val="18"/>
                      <w:szCs w:val="18"/>
                    </w:rPr>
                  </w:pPr>
                  <w:r>
                    <w:rPr>
                      <w:rFonts w:hint="eastAsia"/>
                      <w:color w:val="auto"/>
                      <w:sz w:val="18"/>
                      <w:szCs w:val="18"/>
                    </w:rPr>
                    <w:t>符合</w:t>
                  </w:r>
                </w:p>
              </w:tc>
            </w:tr>
            <w:tr w14:paraId="6E9852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2204D8E2">
                  <w:pPr>
                    <w:pStyle w:val="60"/>
                    <w:rPr>
                      <w:color w:val="auto"/>
                      <w:sz w:val="18"/>
                      <w:szCs w:val="18"/>
                    </w:rPr>
                  </w:pPr>
                  <w:r>
                    <w:rPr>
                      <w:rFonts w:hint="eastAsia"/>
                      <w:color w:val="auto"/>
                      <w:sz w:val="18"/>
                      <w:szCs w:val="18"/>
                    </w:rPr>
                    <w:t>第十五条</w:t>
                  </w:r>
                </w:p>
              </w:tc>
              <w:tc>
                <w:tcPr>
                  <w:tcW w:w="4330" w:type="dxa"/>
                  <w:tcMar>
                    <w:left w:w="57" w:type="dxa"/>
                    <w:right w:w="57" w:type="dxa"/>
                  </w:tcMar>
                  <w:vAlign w:val="center"/>
                </w:tcPr>
                <w:p w14:paraId="2F0123F4">
                  <w:pPr>
                    <w:pStyle w:val="60"/>
                    <w:jc w:val="both"/>
                    <w:rPr>
                      <w:color w:val="auto"/>
                      <w:sz w:val="18"/>
                      <w:szCs w:val="18"/>
                    </w:rPr>
                  </w:pPr>
                  <w:r>
                    <w:rPr>
                      <w:rFonts w:hint="eastAsia"/>
                      <w:color w:val="auto"/>
                      <w:sz w:val="18"/>
                      <w:szCs w:val="18"/>
                    </w:rPr>
                    <w:t>省政府核准、备案机关负责核准列入国家批准的相关规划的新建炼油及扩建一次炼油项目，新建乙烯、对二甲苯（PX）、二苯基甲烷二异氰酸酯（MDI）项目；列入国家批准的相关规划的新建煤制烯烃、新建煤制对二甲苯（PX）项目、新建年产超过100万吨的煤制甲醇项目。按照全省“两高”项目管理规定，相关化工项目需严格执行提级审批和窗口指导要求。</w:t>
                  </w:r>
                </w:p>
              </w:tc>
              <w:tc>
                <w:tcPr>
                  <w:tcW w:w="2631" w:type="dxa"/>
                  <w:tcMar>
                    <w:left w:w="57" w:type="dxa"/>
                    <w:right w:w="57" w:type="dxa"/>
                  </w:tcMar>
                  <w:vAlign w:val="center"/>
                </w:tcPr>
                <w:p w14:paraId="59CD16EA">
                  <w:pPr>
                    <w:pStyle w:val="60"/>
                    <w:rPr>
                      <w:color w:val="auto"/>
                      <w:sz w:val="18"/>
                      <w:szCs w:val="18"/>
                    </w:rPr>
                  </w:pPr>
                  <w:r>
                    <w:rPr>
                      <w:rFonts w:hint="eastAsia"/>
                      <w:color w:val="auto"/>
                      <w:sz w:val="18"/>
                      <w:szCs w:val="18"/>
                    </w:rPr>
                    <w:t>项目不属于上述情况</w:t>
                  </w:r>
                </w:p>
              </w:tc>
              <w:tc>
                <w:tcPr>
                  <w:tcW w:w="703" w:type="dxa"/>
                  <w:tcMar>
                    <w:left w:w="57" w:type="dxa"/>
                    <w:right w:w="57" w:type="dxa"/>
                  </w:tcMar>
                  <w:vAlign w:val="center"/>
                </w:tcPr>
                <w:p w14:paraId="2BF4EF98">
                  <w:pPr>
                    <w:pStyle w:val="60"/>
                    <w:rPr>
                      <w:color w:val="auto"/>
                      <w:sz w:val="18"/>
                      <w:szCs w:val="18"/>
                    </w:rPr>
                  </w:pPr>
                  <w:r>
                    <w:rPr>
                      <w:rFonts w:hint="eastAsia"/>
                      <w:color w:val="auto"/>
                      <w:sz w:val="18"/>
                      <w:szCs w:val="18"/>
                    </w:rPr>
                    <w:t>符合</w:t>
                  </w:r>
                </w:p>
              </w:tc>
            </w:tr>
            <w:tr w14:paraId="2142F3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64AFCE69">
                  <w:pPr>
                    <w:pStyle w:val="60"/>
                    <w:rPr>
                      <w:color w:val="auto"/>
                      <w:sz w:val="18"/>
                      <w:szCs w:val="18"/>
                    </w:rPr>
                  </w:pPr>
                  <w:r>
                    <w:rPr>
                      <w:rFonts w:hint="eastAsia"/>
                      <w:color w:val="auto"/>
                      <w:sz w:val="18"/>
                      <w:szCs w:val="18"/>
                    </w:rPr>
                    <w:t>第十六条</w:t>
                  </w:r>
                </w:p>
              </w:tc>
              <w:tc>
                <w:tcPr>
                  <w:tcW w:w="4330" w:type="dxa"/>
                  <w:tcMar>
                    <w:left w:w="57" w:type="dxa"/>
                    <w:right w:w="57" w:type="dxa"/>
                  </w:tcMar>
                  <w:vAlign w:val="center"/>
                </w:tcPr>
                <w:p w14:paraId="478E822A">
                  <w:pPr>
                    <w:pStyle w:val="60"/>
                    <w:jc w:val="both"/>
                    <w:rPr>
                      <w:color w:val="auto"/>
                      <w:sz w:val="18"/>
                      <w:szCs w:val="18"/>
                    </w:rPr>
                  </w:pPr>
                  <w:r>
                    <w:rPr>
                      <w:rFonts w:hint="eastAsia"/>
                      <w:color w:val="auto"/>
                      <w:sz w:val="18"/>
                      <w:szCs w:val="18"/>
                    </w:rPr>
                    <w:t>设区的市政府核准、备案机关负责核准或备案省级权限以外的新建、扩建、新增产能的改建、新增产能的技术改造危险化学品项目。</w:t>
                  </w:r>
                </w:p>
              </w:tc>
              <w:tc>
                <w:tcPr>
                  <w:tcW w:w="2631" w:type="dxa"/>
                  <w:vMerge w:val="restart"/>
                  <w:tcMar>
                    <w:left w:w="57" w:type="dxa"/>
                    <w:right w:w="57" w:type="dxa"/>
                  </w:tcMar>
                  <w:vAlign w:val="center"/>
                </w:tcPr>
                <w:p w14:paraId="41244DF0">
                  <w:pPr>
                    <w:pStyle w:val="60"/>
                    <w:jc w:val="both"/>
                    <w:rPr>
                      <w:color w:val="auto"/>
                      <w:sz w:val="18"/>
                      <w:szCs w:val="18"/>
                    </w:rPr>
                  </w:pPr>
                  <w:r>
                    <w:rPr>
                      <w:rFonts w:hint="eastAsia"/>
                      <w:color w:val="auto"/>
                      <w:sz w:val="18"/>
                      <w:szCs w:val="18"/>
                      <w:lang w:val="en-US" w:eastAsia="zh-CN"/>
                    </w:rPr>
                    <w:t>本项目在现有项目基础上进行</w:t>
                  </w:r>
                  <w:r>
                    <w:rPr>
                      <w:rFonts w:hint="eastAsia"/>
                      <w:bCs/>
                      <w:color w:val="auto"/>
                      <w:sz w:val="18"/>
                      <w:szCs w:val="18"/>
                      <w:lang w:val="en-US" w:eastAsia="zh-CN"/>
                    </w:rPr>
                    <w:t>原料、产品罐区安全环保提升，淘汰东厂区灌装间东侧原有2台老旧储罐，在西厂区新建2台1000立方甲醇储罐和1台1000立方叔丁醇储罐设施，同时拆除东厂区老旧甲醇卸车设施，在西厂区配套建设甲醇、叔丁醇自动化定量装卸车设施。项目建成后保持原产能不变，</w:t>
                  </w:r>
                  <w:r>
                    <w:rPr>
                      <w:rFonts w:hint="eastAsia"/>
                      <w:color w:val="auto"/>
                      <w:sz w:val="18"/>
                      <w:szCs w:val="18"/>
                    </w:rPr>
                    <w:t>项目已取得山东省建设项目备案证明，项目代码：2512-370305-89-02-111832。</w:t>
                  </w:r>
                </w:p>
              </w:tc>
              <w:tc>
                <w:tcPr>
                  <w:tcW w:w="703" w:type="dxa"/>
                  <w:vMerge w:val="restart"/>
                  <w:tcMar>
                    <w:left w:w="57" w:type="dxa"/>
                    <w:right w:w="57" w:type="dxa"/>
                  </w:tcMar>
                  <w:vAlign w:val="center"/>
                </w:tcPr>
                <w:p w14:paraId="28CED15F">
                  <w:pPr>
                    <w:pStyle w:val="60"/>
                    <w:rPr>
                      <w:color w:val="auto"/>
                      <w:sz w:val="18"/>
                      <w:szCs w:val="18"/>
                    </w:rPr>
                  </w:pPr>
                  <w:r>
                    <w:rPr>
                      <w:rFonts w:hint="eastAsia"/>
                      <w:color w:val="auto"/>
                      <w:sz w:val="18"/>
                      <w:szCs w:val="18"/>
                    </w:rPr>
                    <w:t>符合</w:t>
                  </w:r>
                </w:p>
              </w:tc>
            </w:tr>
            <w:tr w14:paraId="53BF02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05" w:type="dxa"/>
                  <w:tcMar>
                    <w:left w:w="57" w:type="dxa"/>
                    <w:right w:w="57" w:type="dxa"/>
                  </w:tcMar>
                  <w:vAlign w:val="center"/>
                </w:tcPr>
                <w:p w14:paraId="2085E0A8">
                  <w:pPr>
                    <w:pStyle w:val="60"/>
                    <w:rPr>
                      <w:color w:val="auto"/>
                      <w:sz w:val="18"/>
                      <w:szCs w:val="18"/>
                    </w:rPr>
                  </w:pPr>
                  <w:r>
                    <w:rPr>
                      <w:rFonts w:hint="eastAsia"/>
                      <w:color w:val="auto"/>
                      <w:sz w:val="18"/>
                      <w:szCs w:val="18"/>
                    </w:rPr>
                    <w:t>第十七条</w:t>
                  </w:r>
                </w:p>
              </w:tc>
              <w:tc>
                <w:tcPr>
                  <w:tcW w:w="4330" w:type="dxa"/>
                  <w:tcMar>
                    <w:left w:w="57" w:type="dxa"/>
                    <w:right w:w="57" w:type="dxa"/>
                  </w:tcMar>
                  <w:vAlign w:val="center"/>
                </w:tcPr>
                <w:p w14:paraId="4B08599C">
                  <w:pPr>
                    <w:pStyle w:val="60"/>
                    <w:jc w:val="both"/>
                    <w:rPr>
                      <w:color w:val="auto"/>
                      <w:sz w:val="18"/>
                      <w:szCs w:val="18"/>
                    </w:rPr>
                  </w:pPr>
                  <w:r>
                    <w:rPr>
                      <w:rFonts w:hint="eastAsia"/>
                      <w:color w:val="auto"/>
                      <w:sz w:val="18"/>
                      <w:szCs w:val="18"/>
                    </w:rPr>
                    <w:t>县（市、区）政府核准、备案机关负责备案非危险化学品项目以及不新增产能的改建和不新增产能的技术改造危险化学品项目。</w:t>
                  </w:r>
                </w:p>
              </w:tc>
              <w:tc>
                <w:tcPr>
                  <w:tcW w:w="2631" w:type="dxa"/>
                  <w:vMerge w:val="continue"/>
                  <w:tcMar>
                    <w:left w:w="57" w:type="dxa"/>
                    <w:right w:w="57" w:type="dxa"/>
                  </w:tcMar>
                  <w:vAlign w:val="center"/>
                </w:tcPr>
                <w:p w14:paraId="1A628194">
                  <w:pPr>
                    <w:pStyle w:val="60"/>
                    <w:rPr>
                      <w:color w:val="auto"/>
                      <w:sz w:val="18"/>
                      <w:szCs w:val="18"/>
                    </w:rPr>
                  </w:pPr>
                </w:p>
              </w:tc>
              <w:tc>
                <w:tcPr>
                  <w:tcW w:w="703" w:type="dxa"/>
                  <w:vMerge w:val="continue"/>
                  <w:tcMar>
                    <w:left w:w="57" w:type="dxa"/>
                    <w:right w:w="57" w:type="dxa"/>
                  </w:tcMar>
                  <w:vAlign w:val="center"/>
                </w:tcPr>
                <w:p w14:paraId="5011BE51">
                  <w:pPr>
                    <w:pStyle w:val="60"/>
                    <w:rPr>
                      <w:color w:val="auto"/>
                      <w:sz w:val="18"/>
                      <w:szCs w:val="18"/>
                    </w:rPr>
                  </w:pPr>
                </w:p>
              </w:tc>
            </w:tr>
          </w:tbl>
          <w:p w14:paraId="0FC52C30">
            <w:pPr>
              <w:snapToGrid w:val="0"/>
              <w:spacing w:line="420" w:lineRule="exact"/>
              <w:ind w:firstLine="420" w:firstLineChars="200"/>
              <w:rPr>
                <w:rFonts w:hint="default" w:eastAsia="宋体"/>
                <w:bCs/>
                <w:color w:val="auto"/>
                <w:lang w:val="en-US" w:eastAsia="zh-CN"/>
              </w:rPr>
            </w:pPr>
            <w:r>
              <w:rPr>
                <w:rFonts w:hint="eastAsia"/>
                <w:bCs/>
                <w:color w:val="auto"/>
                <w:lang w:val="en-US" w:eastAsia="zh-CN"/>
              </w:rPr>
              <w:t>综上所述，项目建设满足《山东省化工行业投资项目管理规定》（鲁工信发[2022]5号）相关要求。</w:t>
            </w:r>
          </w:p>
          <w:p w14:paraId="154CEEE4">
            <w:pPr>
              <w:snapToGrid w:val="0"/>
              <w:spacing w:line="420" w:lineRule="exact"/>
              <w:ind w:firstLine="420" w:firstLineChars="200"/>
              <w:rPr>
                <w:bCs/>
                <w:color w:val="auto"/>
                <w:szCs w:val="21"/>
              </w:rPr>
            </w:pPr>
            <w:r>
              <w:rPr>
                <w:rFonts w:hint="eastAsia"/>
                <w:bCs/>
                <w:color w:val="auto"/>
                <w:lang w:val="en-US" w:eastAsia="zh-CN"/>
              </w:rPr>
              <w:t>2</w:t>
            </w:r>
            <w:r>
              <w:rPr>
                <w:rFonts w:hint="eastAsia"/>
                <w:bCs/>
                <w:color w:val="auto"/>
              </w:rPr>
              <w:t>、</w:t>
            </w:r>
            <w:r>
              <w:rPr>
                <w:bCs/>
                <w:color w:val="auto"/>
                <w:szCs w:val="21"/>
              </w:rPr>
              <w:t>与《山东省环境保护条例》符合性分析</w:t>
            </w:r>
          </w:p>
          <w:p w14:paraId="437569F5">
            <w:pPr>
              <w:pStyle w:val="41"/>
              <w:spacing w:before="120" w:beforeLines="50" w:afterLines="0" w:line="240" w:lineRule="auto"/>
              <w:rPr>
                <w:rFonts w:ascii="Times New Roman"/>
                <w:b/>
                <w:bCs/>
                <w:color w:val="auto"/>
                <w:kern w:val="2"/>
                <w:lang w:val="en-US"/>
              </w:rPr>
            </w:pPr>
            <w:r>
              <w:rPr>
                <w:rFonts w:ascii="Times New Roman"/>
                <w:b/>
                <w:bCs/>
                <w:color w:val="auto"/>
                <w:kern w:val="2"/>
                <w:lang w:val="en-US"/>
              </w:rPr>
              <w:t>表1-</w:t>
            </w:r>
            <w:r>
              <w:rPr>
                <w:rFonts w:hint="eastAsia" w:ascii="Times New Roman"/>
                <w:b/>
                <w:bCs/>
                <w:color w:val="auto"/>
                <w:kern w:val="2"/>
                <w:lang w:val="en-US" w:eastAsia="zh-CN"/>
              </w:rPr>
              <w:t>7</w:t>
            </w:r>
            <w:r>
              <w:rPr>
                <w:rFonts w:ascii="Times New Roman"/>
                <w:b/>
                <w:bCs/>
                <w:color w:val="auto"/>
                <w:kern w:val="2"/>
                <w:lang w:val="en-US"/>
              </w:rPr>
              <w:t xml:space="preserve">  项目建设与</w:t>
            </w:r>
            <w:r>
              <w:rPr>
                <w:rFonts w:hint="eastAsia" w:ascii="Times New Roman"/>
                <w:b/>
                <w:bCs/>
                <w:color w:val="auto"/>
                <w:kern w:val="2"/>
                <w:lang w:val="en-US"/>
              </w:rPr>
              <w:t>《山东省环境保护条例》符合性分析表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60"/>
              <w:gridCol w:w="4877"/>
              <w:gridCol w:w="2026"/>
              <w:gridCol w:w="701"/>
            </w:tblGrid>
            <w:tr w14:paraId="5159D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54" w:type="pct"/>
                  <w:tcBorders>
                    <w:tl2br w:val="nil"/>
                    <w:tr2bl w:val="nil"/>
                  </w:tcBorders>
                  <w:vAlign w:val="center"/>
                </w:tcPr>
                <w:p w14:paraId="0A6EC0A3">
                  <w:pPr>
                    <w:pStyle w:val="21"/>
                    <w:spacing w:after="0"/>
                    <w:ind w:left="0" w:leftChars="0" w:firstLine="0" w:firstLineChars="0"/>
                    <w:jc w:val="center"/>
                    <w:rPr>
                      <w:rFonts w:ascii="Times New Roman" w:hAnsi="Times New Roman"/>
                      <w:b/>
                      <w:bCs/>
                      <w:color w:val="auto"/>
                      <w:sz w:val="18"/>
                      <w:szCs w:val="18"/>
                      <w:lang w:val="en-US"/>
                    </w:rPr>
                  </w:pPr>
                  <w:r>
                    <w:rPr>
                      <w:rFonts w:ascii="Times New Roman" w:hAnsi="Times New Roman"/>
                      <w:b/>
                      <w:bCs/>
                      <w:color w:val="auto"/>
                      <w:sz w:val="18"/>
                      <w:szCs w:val="18"/>
                      <w:lang w:val="en-US"/>
                    </w:rPr>
                    <w:t>序号</w:t>
                  </w:r>
                </w:p>
              </w:tc>
              <w:tc>
                <w:tcPr>
                  <w:tcW w:w="2916" w:type="pct"/>
                  <w:tcBorders>
                    <w:tl2br w:val="nil"/>
                    <w:tr2bl w:val="nil"/>
                  </w:tcBorders>
                  <w:vAlign w:val="center"/>
                </w:tcPr>
                <w:p w14:paraId="55E0DE84">
                  <w:pPr>
                    <w:pStyle w:val="21"/>
                    <w:spacing w:after="0"/>
                    <w:ind w:left="0" w:leftChars="0" w:firstLine="0" w:firstLineChars="0"/>
                    <w:jc w:val="center"/>
                    <w:rPr>
                      <w:rFonts w:ascii="Times New Roman" w:hAnsi="Times New Roman"/>
                      <w:b/>
                      <w:bCs/>
                      <w:color w:val="auto"/>
                      <w:sz w:val="18"/>
                      <w:szCs w:val="18"/>
                      <w:lang w:val="en-US"/>
                    </w:rPr>
                  </w:pPr>
                  <w:r>
                    <w:rPr>
                      <w:rFonts w:ascii="Times New Roman" w:hAnsi="Times New Roman"/>
                      <w:b/>
                      <w:bCs/>
                      <w:color w:val="auto"/>
                      <w:sz w:val="18"/>
                      <w:szCs w:val="18"/>
                      <w:lang w:val="en-US"/>
                    </w:rPr>
                    <w:t>具体规定</w:t>
                  </w:r>
                </w:p>
              </w:tc>
              <w:tc>
                <w:tcPr>
                  <w:tcW w:w="1211" w:type="pct"/>
                  <w:tcBorders>
                    <w:tl2br w:val="nil"/>
                    <w:tr2bl w:val="nil"/>
                  </w:tcBorders>
                  <w:vAlign w:val="center"/>
                </w:tcPr>
                <w:p w14:paraId="2EC55BB9">
                  <w:pPr>
                    <w:pStyle w:val="21"/>
                    <w:spacing w:after="0"/>
                    <w:ind w:left="0" w:leftChars="0" w:firstLine="0" w:firstLineChars="0"/>
                    <w:jc w:val="center"/>
                    <w:rPr>
                      <w:rFonts w:ascii="Times New Roman" w:hAnsi="Times New Roman"/>
                      <w:b/>
                      <w:bCs/>
                      <w:color w:val="auto"/>
                      <w:sz w:val="18"/>
                      <w:szCs w:val="18"/>
                      <w:lang w:val="en-US"/>
                    </w:rPr>
                  </w:pPr>
                  <w:r>
                    <w:rPr>
                      <w:rFonts w:ascii="Times New Roman" w:hAnsi="Times New Roman"/>
                      <w:b/>
                      <w:bCs/>
                      <w:color w:val="auto"/>
                      <w:sz w:val="18"/>
                      <w:szCs w:val="18"/>
                      <w:lang w:val="en-US"/>
                    </w:rPr>
                    <w:t>本项目情况</w:t>
                  </w:r>
                </w:p>
              </w:tc>
              <w:tc>
                <w:tcPr>
                  <w:tcW w:w="419" w:type="pct"/>
                  <w:tcBorders>
                    <w:tl2br w:val="nil"/>
                    <w:tr2bl w:val="nil"/>
                  </w:tcBorders>
                  <w:vAlign w:val="center"/>
                </w:tcPr>
                <w:p w14:paraId="645CA604">
                  <w:pPr>
                    <w:pStyle w:val="21"/>
                    <w:spacing w:after="0"/>
                    <w:ind w:left="0" w:leftChars="0" w:firstLine="0" w:firstLineChars="0"/>
                    <w:jc w:val="center"/>
                    <w:rPr>
                      <w:rFonts w:ascii="Times New Roman" w:hAnsi="Times New Roman"/>
                      <w:b/>
                      <w:bCs/>
                      <w:color w:val="auto"/>
                      <w:sz w:val="18"/>
                      <w:szCs w:val="18"/>
                      <w:lang w:val="en-US"/>
                    </w:rPr>
                  </w:pPr>
                  <w:r>
                    <w:rPr>
                      <w:rFonts w:ascii="Times New Roman" w:hAnsi="Times New Roman"/>
                      <w:b/>
                      <w:bCs/>
                      <w:color w:val="auto"/>
                      <w:sz w:val="18"/>
                      <w:szCs w:val="18"/>
                      <w:lang w:val="en-US"/>
                    </w:rPr>
                    <w:t>符合</w:t>
                  </w:r>
                  <w:r>
                    <w:rPr>
                      <w:rFonts w:hint="eastAsia" w:ascii="Times New Roman" w:hAnsi="Times New Roman"/>
                      <w:b/>
                      <w:bCs/>
                      <w:color w:val="auto"/>
                      <w:sz w:val="18"/>
                      <w:szCs w:val="18"/>
                      <w:lang w:val="en-US"/>
                    </w:rPr>
                    <w:t>性</w:t>
                  </w:r>
                </w:p>
              </w:tc>
            </w:tr>
            <w:tr w14:paraId="6659A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54" w:type="pct"/>
                  <w:tcBorders>
                    <w:tl2br w:val="nil"/>
                    <w:tr2bl w:val="nil"/>
                  </w:tcBorders>
                  <w:vAlign w:val="center"/>
                </w:tcPr>
                <w:p w14:paraId="7DBA907F">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bCs/>
                      <w:color w:val="auto"/>
                      <w:sz w:val="18"/>
                      <w:szCs w:val="18"/>
                    </w:rPr>
                    <w:t>第十五条</w:t>
                  </w:r>
                </w:p>
              </w:tc>
              <w:tc>
                <w:tcPr>
                  <w:tcW w:w="2916" w:type="pct"/>
                  <w:tcBorders>
                    <w:tl2br w:val="nil"/>
                    <w:tr2bl w:val="nil"/>
                  </w:tcBorders>
                  <w:vAlign w:val="center"/>
                </w:tcPr>
                <w:p w14:paraId="79466094">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bCs/>
                      <w:color w:val="auto"/>
                      <w:sz w:val="18"/>
                      <w:szCs w:val="18"/>
                    </w:rPr>
                    <w:t>禁止建设不符合国家和省产业政策的小型造纸、制革、印染、染料、炼焦、炼硫、炼砷、炼汞、炼油、电镀、农药、石棉、水泥、玻璃、钢铁、火电以及其他严重污染环境的生产项目。</w:t>
                  </w:r>
                </w:p>
              </w:tc>
              <w:tc>
                <w:tcPr>
                  <w:tcW w:w="1211" w:type="pct"/>
                  <w:tcBorders>
                    <w:tl2br w:val="nil"/>
                    <w:tr2bl w:val="nil"/>
                  </w:tcBorders>
                  <w:vAlign w:val="center"/>
                </w:tcPr>
                <w:p w14:paraId="1BF40521">
                  <w:pPr>
                    <w:pStyle w:val="21"/>
                    <w:spacing w:after="0"/>
                    <w:ind w:left="0" w:leftChars="0" w:firstLine="0" w:firstLineChars="0"/>
                    <w:rPr>
                      <w:rFonts w:ascii="Times New Roman" w:hAnsi="Times New Roman"/>
                      <w:color w:val="auto"/>
                      <w:sz w:val="18"/>
                      <w:szCs w:val="18"/>
                      <w:lang w:val="en-US"/>
                    </w:rPr>
                  </w:pPr>
                  <w:r>
                    <w:rPr>
                      <w:rFonts w:ascii="Times New Roman" w:hAnsi="Times New Roman"/>
                      <w:color w:val="auto"/>
                      <w:sz w:val="18"/>
                      <w:szCs w:val="18"/>
                      <w:lang w:val="en-US"/>
                    </w:rPr>
                    <w:t>本项目符合国家产业政策</w:t>
                  </w:r>
                </w:p>
              </w:tc>
              <w:tc>
                <w:tcPr>
                  <w:tcW w:w="419" w:type="pct"/>
                  <w:tcBorders>
                    <w:tl2br w:val="nil"/>
                    <w:tr2bl w:val="nil"/>
                  </w:tcBorders>
                  <w:vAlign w:val="center"/>
                </w:tcPr>
                <w:p w14:paraId="7B758419">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color w:val="auto"/>
                      <w:sz w:val="18"/>
                      <w:szCs w:val="18"/>
                      <w:lang w:val="en-US"/>
                    </w:rPr>
                    <w:t>符合</w:t>
                  </w:r>
                </w:p>
              </w:tc>
            </w:tr>
            <w:tr w14:paraId="0B1FE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54" w:type="pct"/>
                  <w:tcBorders>
                    <w:tl2br w:val="nil"/>
                    <w:tr2bl w:val="nil"/>
                  </w:tcBorders>
                  <w:vAlign w:val="center"/>
                </w:tcPr>
                <w:p w14:paraId="195CB369">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bCs/>
                      <w:color w:val="auto"/>
                      <w:sz w:val="18"/>
                      <w:szCs w:val="18"/>
                    </w:rPr>
                    <w:t>第四十五条</w:t>
                  </w:r>
                </w:p>
              </w:tc>
              <w:tc>
                <w:tcPr>
                  <w:tcW w:w="2916" w:type="pct"/>
                  <w:tcBorders>
                    <w:tl2br w:val="nil"/>
                    <w:tr2bl w:val="nil"/>
                  </w:tcBorders>
                  <w:vAlign w:val="center"/>
                </w:tcPr>
                <w:p w14:paraId="145B88D5">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bCs/>
                      <w:color w:val="auto"/>
                      <w:sz w:val="18"/>
                      <w:szCs w:val="18"/>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按照排污许可证规定的污染物种类、浓度、排放去向和许可排放量等要求排放污染物。</w:t>
                  </w:r>
                </w:p>
              </w:tc>
              <w:tc>
                <w:tcPr>
                  <w:tcW w:w="1211" w:type="pct"/>
                  <w:tcBorders>
                    <w:tl2br w:val="nil"/>
                    <w:tr2bl w:val="nil"/>
                  </w:tcBorders>
                  <w:vAlign w:val="center"/>
                </w:tcPr>
                <w:p w14:paraId="169D0403">
                  <w:pPr>
                    <w:pStyle w:val="21"/>
                    <w:spacing w:after="0"/>
                    <w:ind w:left="0" w:leftChars="0" w:firstLine="0" w:firstLineChars="0"/>
                    <w:rPr>
                      <w:rFonts w:ascii="Times New Roman" w:hAnsi="Times New Roman"/>
                      <w:color w:val="auto"/>
                      <w:sz w:val="18"/>
                      <w:szCs w:val="18"/>
                      <w:lang w:val="en-US"/>
                    </w:rPr>
                  </w:pPr>
                  <w:r>
                    <w:rPr>
                      <w:rFonts w:ascii="Times New Roman" w:hAnsi="Times New Roman"/>
                      <w:color w:val="auto"/>
                      <w:sz w:val="18"/>
                      <w:szCs w:val="18"/>
                      <w:lang w:val="en-US"/>
                    </w:rPr>
                    <w:t>企业在运营期严格落实本报告提出的环保治理措施，污染物达标排放。</w:t>
                  </w:r>
                </w:p>
              </w:tc>
              <w:tc>
                <w:tcPr>
                  <w:tcW w:w="419" w:type="pct"/>
                  <w:tcBorders>
                    <w:tl2br w:val="nil"/>
                    <w:tr2bl w:val="nil"/>
                  </w:tcBorders>
                  <w:vAlign w:val="center"/>
                </w:tcPr>
                <w:p w14:paraId="20AF9626">
                  <w:pPr>
                    <w:pStyle w:val="21"/>
                    <w:spacing w:after="0"/>
                    <w:ind w:left="0" w:leftChars="0" w:firstLine="0" w:firstLineChars="0"/>
                    <w:jc w:val="center"/>
                    <w:rPr>
                      <w:rFonts w:ascii="Times New Roman" w:hAnsi="Times New Roman"/>
                      <w:color w:val="auto"/>
                      <w:sz w:val="18"/>
                      <w:szCs w:val="18"/>
                      <w:lang w:val="en-US"/>
                    </w:rPr>
                  </w:pPr>
                  <w:r>
                    <w:rPr>
                      <w:rFonts w:ascii="Times New Roman" w:hAnsi="Times New Roman"/>
                      <w:color w:val="auto"/>
                      <w:sz w:val="18"/>
                      <w:szCs w:val="18"/>
                      <w:lang w:val="en-US"/>
                    </w:rPr>
                    <w:t>符合</w:t>
                  </w:r>
                </w:p>
              </w:tc>
            </w:tr>
          </w:tbl>
          <w:p w14:paraId="41FFFF1B">
            <w:pPr>
              <w:snapToGrid w:val="0"/>
              <w:spacing w:line="480" w:lineRule="exact"/>
              <w:ind w:firstLine="420" w:firstLineChars="200"/>
              <w:rPr>
                <w:bCs/>
                <w:color w:val="auto"/>
              </w:rPr>
            </w:pPr>
            <w:r>
              <w:rPr>
                <w:rFonts w:hint="eastAsia"/>
                <w:bCs/>
                <w:color w:val="auto"/>
                <w:lang w:val="en-US" w:eastAsia="zh-CN"/>
              </w:rPr>
              <w:t>3</w:t>
            </w:r>
            <w:r>
              <w:rPr>
                <w:rFonts w:hint="eastAsia"/>
                <w:bCs/>
                <w:color w:val="auto"/>
              </w:rPr>
              <w:t>、与《山东省空气质量持续改善暨第三轮“四减四增”行动实施方案》符合性分析</w:t>
            </w:r>
          </w:p>
          <w:p w14:paraId="14EA8EA5">
            <w:pPr>
              <w:pStyle w:val="41"/>
              <w:spacing w:before="120" w:beforeLines="50" w:afterLines="0" w:line="240" w:lineRule="auto"/>
              <w:rPr>
                <w:rFonts w:ascii="Times New Roman"/>
                <w:b/>
                <w:bCs/>
                <w:color w:val="auto"/>
                <w:spacing w:val="-10"/>
                <w:kern w:val="2"/>
                <w:lang w:val="en-US"/>
              </w:rPr>
            </w:pPr>
            <w:r>
              <w:rPr>
                <w:rFonts w:ascii="Times New Roman"/>
                <w:b/>
                <w:bCs/>
                <w:color w:val="auto"/>
                <w:spacing w:val="-10"/>
                <w:kern w:val="2"/>
                <w:lang w:val="en-US"/>
              </w:rPr>
              <w:t>表</w:t>
            </w:r>
            <w:r>
              <w:rPr>
                <w:rFonts w:hint="eastAsia" w:ascii="Times New Roman"/>
                <w:b/>
                <w:bCs/>
                <w:color w:val="auto"/>
                <w:spacing w:val="-10"/>
                <w:kern w:val="2"/>
                <w:lang w:val="en-US"/>
              </w:rPr>
              <w:t>1-</w:t>
            </w:r>
            <w:r>
              <w:rPr>
                <w:rFonts w:hint="eastAsia" w:ascii="Times New Roman"/>
                <w:b/>
                <w:bCs/>
                <w:color w:val="auto"/>
                <w:spacing w:val="-10"/>
                <w:kern w:val="2"/>
                <w:lang w:val="en-US" w:eastAsia="zh-CN"/>
              </w:rPr>
              <w:t>8</w:t>
            </w:r>
            <w:r>
              <w:rPr>
                <w:rFonts w:hint="eastAsia" w:ascii="Times New Roman"/>
                <w:b/>
                <w:bCs/>
                <w:color w:val="auto"/>
                <w:spacing w:val="-10"/>
                <w:kern w:val="2"/>
                <w:lang w:val="en-US"/>
              </w:rPr>
              <w:t xml:space="preserve"> </w:t>
            </w:r>
            <w:r>
              <w:rPr>
                <w:rFonts w:ascii="Times New Roman"/>
                <w:b/>
                <w:bCs/>
                <w:color w:val="auto"/>
                <w:spacing w:val="-10"/>
                <w:kern w:val="2"/>
                <w:lang w:val="en-US"/>
              </w:rPr>
              <w:t xml:space="preserve"> </w:t>
            </w:r>
            <w:r>
              <w:rPr>
                <w:rFonts w:hint="eastAsia" w:ascii="Times New Roman"/>
                <w:b/>
                <w:bCs/>
                <w:color w:val="auto"/>
                <w:spacing w:val="-10"/>
                <w:kern w:val="2"/>
                <w:lang w:val="en-US"/>
              </w:rPr>
              <w:t>项目与《山东省空气质量持续改善暨第三轮“四减四增”行动实施方案》符合性分析表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5"/>
              <w:gridCol w:w="4859"/>
              <w:gridCol w:w="2003"/>
              <w:gridCol w:w="677"/>
            </w:tblGrid>
            <w:tr w14:paraId="1ACBF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blHeader/>
                <w:jc w:val="center"/>
              </w:trPr>
              <w:tc>
                <w:tcPr>
                  <w:tcW w:w="5688" w:type="dxa"/>
                  <w:gridSpan w:val="2"/>
                  <w:tcBorders>
                    <w:tl2br w:val="nil"/>
                    <w:tr2bl w:val="nil"/>
                  </w:tcBorders>
                  <w:vAlign w:val="center"/>
                </w:tcPr>
                <w:p w14:paraId="056F0FA2">
                  <w:pPr>
                    <w:pStyle w:val="60"/>
                    <w:rPr>
                      <w:b/>
                      <w:bCs/>
                      <w:color w:val="auto"/>
                      <w:sz w:val="18"/>
                      <w:szCs w:val="18"/>
                    </w:rPr>
                  </w:pPr>
                  <w:r>
                    <w:rPr>
                      <w:rFonts w:hint="eastAsia"/>
                      <w:b/>
                      <w:bCs/>
                      <w:color w:val="auto"/>
                      <w:sz w:val="18"/>
                      <w:szCs w:val="18"/>
                    </w:rPr>
                    <w:t>方案要求</w:t>
                  </w:r>
                </w:p>
              </w:tc>
              <w:tc>
                <w:tcPr>
                  <w:tcW w:w="2004" w:type="dxa"/>
                  <w:tcBorders>
                    <w:tl2br w:val="nil"/>
                    <w:tr2bl w:val="nil"/>
                  </w:tcBorders>
                  <w:vAlign w:val="center"/>
                </w:tcPr>
                <w:p w14:paraId="10B77C77">
                  <w:pPr>
                    <w:pStyle w:val="60"/>
                    <w:rPr>
                      <w:b/>
                      <w:bCs/>
                      <w:color w:val="auto"/>
                      <w:sz w:val="18"/>
                      <w:szCs w:val="18"/>
                    </w:rPr>
                  </w:pPr>
                  <w:r>
                    <w:rPr>
                      <w:rFonts w:hint="eastAsia"/>
                      <w:b/>
                      <w:bCs/>
                      <w:color w:val="auto"/>
                      <w:sz w:val="18"/>
                      <w:szCs w:val="18"/>
                    </w:rPr>
                    <w:t>本项目情况</w:t>
                  </w:r>
                </w:p>
              </w:tc>
              <w:tc>
                <w:tcPr>
                  <w:tcW w:w="677" w:type="dxa"/>
                  <w:tcBorders>
                    <w:tl2br w:val="nil"/>
                    <w:tr2bl w:val="nil"/>
                  </w:tcBorders>
                  <w:vAlign w:val="center"/>
                </w:tcPr>
                <w:p w14:paraId="6A2EA710">
                  <w:pPr>
                    <w:pStyle w:val="60"/>
                    <w:rPr>
                      <w:b/>
                      <w:bCs/>
                      <w:color w:val="auto"/>
                      <w:sz w:val="18"/>
                      <w:szCs w:val="18"/>
                    </w:rPr>
                  </w:pPr>
                  <w:r>
                    <w:rPr>
                      <w:rFonts w:hint="eastAsia"/>
                      <w:b/>
                      <w:bCs/>
                      <w:color w:val="auto"/>
                      <w:sz w:val="18"/>
                      <w:szCs w:val="18"/>
                    </w:rPr>
                    <w:t>符合性</w:t>
                  </w:r>
                </w:p>
              </w:tc>
            </w:tr>
            <w:tr w14:paraId="2C179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restart"/>
                  <w:tcBorders>
                    <w:tl2br w:val="nil"/>
                    <w:tr2bl w:val="nil"/>
                  </w:tcBorders>
                  <w:vAlign w:val="center"/>
                </w:tcPr>
                <w:p w14:paraId="1D9F4734">
                  <w:pPr>
                    <w:pStyle w:val="60"/>
                    <w:jc w:val="both"/>
                    <w:rPr>
                      <w:color w:val="auto"/>
                      <w:sz w:val="18"/>
                      <w:szCs w:val="18"/>
                    </w:rPr>
                  </w:pPr>
                  <w:r>
                    <w:rPr>
                      <w:rFonts w:hint="eastAsia"/>
                      <w:color w:val="auto"/>
                      <w:sz w:val="18"/>
                      <w:szCs w:val="18"/>
                    </w:rPr>
                    <w:t>二、产业结构绿色升级行动</w:t>
                  </w:r>
                </w:p>
              </w:tc>
              <w:tc>
                <w:tcPr>
                  <w:tcW w:w="4863" w:type="dxa"/>
                  <w:tcBorders>
                    <w:tl2br w:val="nil"/>
                    <w:tr2bl w:val="nil"/>
                  </w:tcBorders>
                  <w:vAlign w:val="center"/>
                </w:tcPr>
                <w:p w14:paraId="027B4CD1">
                  <w:pPr>
                    <w:pStyle w:val="60"/>
                    <w:jc w:val="both"/>
                    <w:rPr>
                      <w:color w:val="auto"/>
                      <w:sz w:val="18"/>
                      <w:szCs w:val="18"/>
                    </w:rPr>
                  </w:pPr>
                  <w:r>
                    <w:rPr>
                      <w:rFonts w:hint="eastAsia"/>
                      <w:color w:val="auto"/>
                      <w:sz w:val="18"/>
                      <w:szCs w:val="18"/>
                    </w:rPr>
                    <w:t>（一）严格环境准入。坚决遏制高耗能、高排放、低水平项目盲目上马，新、改、扩建项目严格落实国家和省产业规划、产业政策、生态环境分区管控方案、规划环评、项目环评、规划水土保持审查、节能审查、产能置换、重点污染物总量控制、污染物排放区域削减、碳排放达峰目标等相关要求，原则上采用清洁运输方式。涉及产能置换的项目，被置换产能及其配套设施关停后，新建项目方可投产。严格落实国家粗钢产量调控目标。</w:t>
                  </w:r>
                  <w:r>
                    <w:rPr>
                      <w:color w:val="auto"/>
                      <w:sz w:val="18"/>
                      <w:szCs w:val="18"/>
                    </w:rPr>
                    <w:t>……</w:t>
                  </w:r>
                </w:p>
              </w:tc>
              <w:tc>
                <w:tcPr>
                  <w:tcW w:w="2004" w:type="dxa"/>
                  <w:tcBorders>
                    <w:tl2br w:val="nil"/>
                    <w:tr2bl w:val="nil"/>
                  </w:tcBorders>
                  <w:vAlign w:val="center"/>
                </w:tcPr>
                <w:p w14:paraId="4F3EA6DF">
                  <w:pPr>
                    <w:pStyle w:val="60"/>
                    <w:jc w:val="both"/>
                    <w:rPr>
                      <w:color w:val="auto"/>
                      <w:sz w:val="18"/>
                      <w:szCs w:val="18"/>
                    </w:rPr>
                  </w:pPr>
                  <w:r>
                    <w:rPr>
                      <w:rFonts w:hint="eastAsia"/>
                      <w:color w:val="auto"/>
                      <w:sz w:val="18"/>
                      <w:szCs w:val="18"/>
                    </w:rPr>
                    <w:t>本项目不属于高耗能、高排放、低水平项目。项目建设符合国家产业政策、生态环境分区管控方案、重点污染物总量控制、污染物排放区域削减、碳排放达峰目标等相关要求。本项目不涉及产能置换。</w:t>
                  </w:r>
                </w:p>
              </w:tc>
              <w:tc>
                <w:tcPr>
                  <w:tcW w:w="677" w:type="dxa"/>
                  <w:tcBorders>
                    <w:tl2br w:val="nil"/>
                    <w:tr2bl w:val="nil"/>
                  </w:tcBorders>
                  <w:vAlign w:val="center"/>
                </w:tcPr>
                <w:p w14:paraId="319494A7">
                  <w:pPr>
                    <w:pStyle w:val="60"/>
                    <w:rPr>
                      <w:color w:val="auto"/>
                      <w:sz w:val="18"/>
                      <w:szCs w:val="18"/>
                    </w:rPr>
                  </w:pPr>
                  <w:r>
                    <w:rPr>
                      <w:rFonts w:hint="eastAsia"/>
                      <w:color w:val="auto"/>
                      <w:sz w:val="18"/>
                      <w:szCs w:val="18"/>
                    </w:rPr>
                    <w:t>符合</w:t>
                  </w:r>
                </w:p>
              </w:tc>
            </w:tr>
            <w:tr w14:paraId="1A7CB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continue"/>
                  <w:tcBorders>
                    <w:tl2br w:val="nil"/>
                    <w:tr2bl w:val="nil"/>
                  </w:tcBorders>
                  <w:vAlign w:val="center"/>
                </w:tcPr>
                <w:p w14:paraId="209931B7">
                  <w:pPr>
                    <w:pStyle w:val="60"/>
                    <w:jc w:val="both"/>
                    <w:rPr>
                      <w:color w:val="auto"/>
                      <w:sz w:val="18"/>
                      <w:szCs w:val="18"/>
                    </w:rPr>
                  </w:pPr>
                </w:p>
              </w:tc>
              <w:tc>
                <w:tcPr>
                  <w:tcW w:w="4863" w:type="dxa"/>
                  <w:tcBorders>
                    <w:tl2br w:val="nil"/>
                    <w:tr2bl w:val="nil"/>
                  </w:tcBorders>
                  <w:vAlign w:val="center"/>
                </w:tcPr>
                <w:p w14:paraId="3014EB29">
                  <w:pPr>
                    <w:pStyle w:val="60"/>
                    <w:jc w:val="both"/>
                    <w:rPr>
                      <w:color w:val="auto"/>
                      <w:sz w:val="18"/>
                      <w:szCs w:val="18"/>
                    </w:rPr>
                  </w:pPr>
                  <w:r>
                    <w:rPr>
                      <w:rFonts w:hint="eastAsia"/>
                      <w:color w:val="auto"/>
                      <w:sz w:val="18"/>
                      <w:szCs w:val="18"/>
                    </w:rPr>
                    <w:t>（二）优化调整重点行业结构。重点区域进一步提高落后产能能耗、环保、质量、安全、技术等要求，逐步退出限制类涉气行业工艺和装备；逐步淘汰步进式烧结机和球团竖炉以及半封闭式硅锰合金、镍铁、高碳铬铁、高碳锰铁电炉。引导钢铁、水泥、焦化、电解铝等产业有序调整优化。</w:t>
                  </w:r>
                  <w:r>
                    <w:rPr>
                      <w:color w:val="auto"/>
                      <w:sz w:val="18"/>
                      <w:szCs w:val="18"/>
                    </w:rPr>
                    <w:t>……</w:t>
                  </w:r>
                </w:p>
              </w:tc>
              <w:tc>
                <w:tcPr>
                  <w:tcW w:w="2004" w:type="dxa"/>
                  <w:tcBorders>
                    <w:tl2br w:val="nil"/>
                    <w:tr2bl w:val="nil"/>
                  </w:tcBorders>
                  <w:vAlign w:val="center"/>
                </w:tcPr>
                <w:p w14:paraId="2D8E47C8">
                  <w:pPr>
                    <w:pStyle w:val="60"/>
                    <w:jc w:val="both"/>
                    <w:rPr>
                      <w:color w:val="auto"/>
                      <w:sz w:val="18"/>
                      <w:szCs w:val="18"/>
                    </w:rPr>
                  </w:pPr>
                  <w:r>
                    <w:rPr>
                      <w:rFonts w:hint="eastAsia"/>
                      <w:color w:val="auto"/>
                      <w:sz w:val="18"/>
                      <w:szCs w:val="18"/>
                    </w:rPr>
                    <w:t>本项目不属于落后产能、限制类涉气行业，不属于钢铁、水泥、焦化、电解铝等项目。</w:t>
                  </w:r>
                </w:p>
              </w:tc>
              <w:tc>
                <w:tcPr>
                  <w:tcW w:w="677" w:type="dxa"/>
                  <w:tcBorders>
                    <w:tl2br w:val="nil"/>
                    <w:tr2bl w:val="nil"/>
                  </w:tcBorders>
                  <w:vAlign w:val="center"/>
                </w:tcPr>
                <w:p w14:paraId="46648CDC">
                  <w:pPr>
                    <w:pStyle w:val="60"/>
                    <w:rPr>
                      <w:color w:val="auto"/>
                      <w:sz w:val="18"/>
                      <w:szCs w:val="18"/>
                    </w:rPr>
                  </w:pPr>
                  <w:r>
                    <w:rPr>
                      <w:rFonts w:hint="eastAsia"/>
                      <w:color w:val="auto"/>
                      <w:sz w:val="18"/>
                      <w:szCs w:val="18"/>
                    </w:rPr>
                    <w:t>符合</w:t>
                  </w:r>
                </w:p>
              </w:tc>
            </w:tr>
            <w:tr w14:paraId="1699F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continue"/>
                  <w:tcBorders>
                    <w:tl2br w:val="nil"/>
                    <w:tr2bl w:val="nil"/>
                  </w:tcBorders>
                  <w:vAlign w:val="center"/>
                </w:tcPr>
                <w:p w14:paraId="3ECC24DD">
                  <w:pPr>
                    <w:pStyle w:val="60"/>
                    <w:jc w:val="both"/>
                    <w:rPr>
                      <w:color w:val="auto"/>
                      <w:sz w:val="18"/>
                      <w:szCs w:val="18"/>
                    </w:rPr>
                  </w:pPr>
                </w:p>
              </w:tc>
              <w:tc>
                <w:tcPr>
                  <w:tcW w:w="4863" w:type="dxa"/>
                  <w:tcBorders>
                    <w:tl2br w:val="nil"/>
                    <w:tr2bl w:val="nil"/>
                  </w:tcBorders>
                  <w:vAlign w:val="center"/>
                </w:tcPr>
                <w:p w14:paraId="38AEFA11">
                  <w:pPr>
                    <w:pStyle w:val="60"/>
                    <w:jc w:val="both"/>
                    <w:rPr>
                      <w:color w:val="auto"/>
                      <w:sz w:val="18"/>
                      <w:szCs w:val="18"/>
                    </w:rPr>
                  </w:pPr>
                  <w:r>
                    <w:rPr>
                      <w:rFonts w:hint="eastAsia"/>
                      <w:color w:val="auto"/>
                      <w:sz w:val="18"/>
                      <w:szCs w:val="18"/>
                    </w:rPr>
                    <w:t>（三）开展传统产业集群升级改造。中小型传统制造企业集中的市要制定涉气产业集群发展规划，严格项目审批，严防污染下乡。针对现有产业集群制定专项整治方案，依法淘汰关停一批、搬迁入园一批、就地改造一批、做优做强一批。各市要结合产业集群特点，因地制宜建设集中供热中心、集中喷涂中心、有机溶剂集中回收处置中心、活性炭集中再生中心。</w:t>
                  </w:r>
                </w:p>
              </w:tc>
              <w:tc>
                <w:tcPr>
                  <w:tcW w:w="2004" w:type="dxa"/>
                  <w:tcBorders>
                    <w:tl2br w:val="nil"/>
                    <w:tr2bl w:val="nil"/>
                  </w:tcBorders>
                  <w:vAlign w:val="center"/>
                </w:tcPr>
                <w:p w14:paraId="2BBC3877">
                  <w:pPr>
                    <w:pStyle w:val="60"/>
                    <w:jc w:val="both"/>
                    <w:rPr>
                      <w:color w:val="auto"/>
                      <w:sz w:val="18"/>
                      <w:szCs w:val="18"/>
                    </w:rPr>
                  </w:pPr>
                  <w:r>
                    <w:rPr>
                      <w:rFonts w:hint="eastAsia"/>
                      <w:color w:val="auto"/>
                      <w:sz w:val="18"/>
                      <w:szCs w:val="18"/>
                    </w:rPr>
                    <w:t>本项目</w:t>
                  </w:r>
                  <w:r>
                    <w:rPr>
                      <w:rFonts w:hint="eastAsia"/>
                      <w:color w:val="auto"/>
                      <w:sz w:val="18"/>
                      <w:szCs w:val="18"/>
                      <w:lang w:val="en-US"/>
                    </w:rPr>
                    <w:t>为</w:t>
                  </w:r>
                  <w:r>
                    <w:rPr>
                      <w:rFonts w:hint="eastAsia"/>
                      <w:color w:val="auto"/>
                      <w:sz w:val="18"/>
                      <w:szCs w:val="18"/>
                      <w:lang w:val="en-US" w:eastAsia="zh-CN"/>
                    </w:rPr>
                    <w:t>原料、产品罐区安全环保提升技术改造</w:t>
                  </w:r>
                  <w:r>
                    <w:rPr>
                      <w:rFonts w:hint="eastAsia"/>
                      <w:color w:val="auto"/>
                      <w:sz w:val="18"/>
                      <w:szCs w:val="18"/>
                      <w:lang w:val="en-US"/>
                    </w:rPr>
                    <w:t>项目，项目</w:t>
                  </w:r>
                  <w:r>
                    <w:rPr>
                      <w:rFonts w:hint="eastAsia"/>
                      <w:color w:val="auto"/>
                      <w:sz w:val="18"/>
                      <w:szCs w:val="18"/>
                      <w:lang w:val="en-US" w:eastAsia="zh-CN"/>
                    </w:rPr>
                    <w:t>选址位于朱台镇工业集聚区</w:t>
                  </w:r>
                  <w:r>
                    <w:rPr>
                      <w:rFonts w:hint="eastAsia"/>
                      <w:color w:val="auto"/>
                      <w:sz w:val="18"/>
                      <w:szCs w:val="18"/>
                      <w:lang w:val="en-US"/>
                    </w:rPr>
                    <w:t>，项目建设符合</w:t>
                  </w:r>
                  <w:r>
                    <w:rPr>
                      <w:rFonts w:hint="eastAsia"/>
                      <w:color w:val="auto"/>
                      <w:sz w:val="18"/>
                      <w:szCs w:val="18"/>
                      <w:lang w:val="en-US" w:eastAsia="zh-CN"/>
                    </w:rPr>
                    <w:t>朱台镇工业集聚区总体发展规划</w:t>
                  </w:r>
                  <w:r>
                    <w:rPr>
                      <w:rFonts w:hint="eastAsia"/>
                      <w:color w:val="auto"/>
                      <w:sz w:val="18"/>
                      <w:szCs w:val="18"/>
                      <w:lang w:val="en-US"/>
                    </w:rPr>
                    <w:t>要求</w:t>
                  </w:r>
                  <w:r>
                    <w:rPr>
                      <w:rFonts w:hint="eastAsia"/>
                      <w:color w:val="auto"/>
                      <w:sz w:val="18"/>
                      <w:szCs w:val="18"/>
                    </w:rPr>
                    <w:t>。</w:t>
                  </w:r>
                </w:p>
              </w:tc>
              <w:tc>
                <w:tcPr>
                  <w:tcW w:w="677" w:type="dxa"/>
                  <w:tcBorders>
                    <w:tl2br w:val="nil"/>
                    <w:tr2bl w:val="nil"/>
                  </w:tcBorders>
                  <w:vAlign w:val="center"/>
                </w:tcPr>
                <w:p w14:paraId="6ECF0259">
                  <w:pPr>
                    <w:pStyle w:val="60"/>
                    <w:rPr>
                      <w:color w:val="auto"/>
                      <w:sz w:val="18"/>
                      <w:szCs w:val="18"/>
                    </w:rPr>
                  </w:pPr>
                  <w:r>
                    <w:rPr>
                      <w:rFonts w:hint="eastAsia"/>
                      <w:color w:val="auto"/>
                      <w:sz w:val="18"/>
                      <w:szCs w:val="18"/>
                    </w:rPr>
                    <w:t>符合</w:t>
                  </w:r>
                </w:p>
              </w:tc>
            </w:tr>
            <w:tr w14:paraId="74A8E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continue"/>
                  <w:tcBorders>
                    <w:tl2br w:val="nil"/>
                    <w:tr2bl w:val="nil"/>
                  </w:tcBorders>
                  <w:vAlign w:val="center"/>
                </w:tcPr>
                <w:p w14:paraId="2BB354F9">
                  <w:pPr>
                    <w:pStyle w:val="60"/>
                    <w:jc w:val="both"/>
                    <w:rPr>
                      <w:color w:val="auto"/>
                      <w:sz w:val="18"/>
                      <w:szCs w:val="18"/>
                    </w:rPr>
                  </w:pPr>
                </w:p>
              </w:tc>
              <w:tc>
                <w:tcPr>
                  <w:tcW w:w="4863" w:type="dxa"/>
                  <w:tcBorders>
                    <w:tl2br w:val="nil"/>
                    <w:tr2bl w:val="nil"/>
                  </w:tcBorders>
                  <w:vAlign w:val="center"/>
                </w:tcPr>
                <w:p w14:paraId="19CF920D">
                  <w:pPr>
                    <w:pStyle w:val="60"/>
                    <w:jc w:val="both"/>
                    <w:rPr>
                      <w:color w:val="auto"/>
                      <w:sz w:val="18"/>
                      <w:szCs w:val="18"/>
                    </w:rPr>
                  </w:pPr>
                  <w:r>
                    <w:rPr>
                      <w:rFonts w:hint="eastAsia"/>
                      <w:color w:val="auto"/>
                      <w:sz w:val="18"/>
                      <w:szCs w:val="18"/>
                    </w:rPr>
                    <w:t>（四）优化含VOCs原辅材料和产品结构。严格控制生产和使用高VOCs含量涂料、油墨、胶粘剂、清洗剂等建设项目，提高低（无）VOCs含量产品比重。实施源头替代工程，加大工业涂装、包装印刷和电子行业低（无）VOCs含量原辅材料替代力度。指导企业积极申报VOCs末端治理豁免。在生产、销售、进口、使用等环节严格执行VOCs含量限值标准。</w:t>
                  </w:r>
                </w:p>
              </w:tc>
              <w:tc>
                <w:tcPr>
                  <w:tcW w:w="2004" w:type="dxa"/>
                  <w:tcBorders>
                    <w:tl2br w:val="nil"/>
                    <w:tr2bl w:val="nil"/>
                  </w:tcBorders>
                  <w:vAlign w:val="center"/>
                </w:tcPr>
                <w:p w14:paraId="4B22BC09">
                  <w:pPr>
                    <w:pStyle w:val="60"/>
                    <w:jc w:val="both"/>
                    <w:rPr>
                      <w:color w:val="auto"/>
                      <w:sz w:val="18"/>
                      <w:szCs w:val="18"/>
                    </w:rPr>
                  </w:pPr>
                  <w:r>
                    <w:rPr>
                      <w:rFonts w:hint="eastAsia"/>
                      <w:color w:val="auto"/>
                      <w:sz w:val="18"/>
                      <w:szCs w:val="18"/>
                    </w:rPr>
                    <w:t>项目不涉及高VOCs含量涂料、油墨、胶粘剂、清洗剂等。</w:t>
                  </w:r>
                </w:p>
              </w:tc>
              <w:tc>
                <w:tcPr>
                  <w:tcW w:w="677" w:type="dxa"/>
                  <w:tcBorders>
                    <w:tl2br w:val="nil"/>
                    <w:tr2bl w:val="nil"/>
                  </w:tcBorders>
                  <w:vAlign w:val="center"/>
                </w:tcPr>
                <w:p w14:paraId="0E9491C5">
                  <w:pPr>
                    <w:pStyle w:val="60"/>
                    <w:rPr>
                      <w:color w:val="auto"/>
                      <w:sz w:val="18"/>
                      <w:szCs w:val="18"/>
                    </w:rPr>
                  </w:pPr>
                  <w:r>
                    <w:rPr>
                      <w:rFonts w:hint="eastAsia"/>
                      <w:color w:val="auto"/>
                      <w:sz w:val="18"/>
                      <w:szCs w:val="18"/>
                    </w:rPr>
                    <w:t>符合</w:t>
                  </w:r>
                </w:p>
              </w:tc>
            </w:tr>
            <w:tr w14:paraId="432AF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tcBorders>
                    <w:tl2br w:val="nil"/>
                    <w:tr2bl w:val="nil"/>
                  </w:tcBorders>
                  <w:vAlign w:val="center"/>
                </w:tcPr>
                <w:p w14:paraId="0EA504A3">
                  <w:pPr>
                    <w:pStyle w:val="60"/>
                    <w:jc w:val="both"/>
                    <w:rPr>
                      <w:color w:val="auto"/>
                      <w:sz w:val="18"/>
                      <w:szCs w:val="18"/>
                    </w:rPr>
                  </w:pPr>
                  <w:r>
                    <w:rPr>
                      <w:rFonts w:hint="eastAsia"/>
                      <w:color w:val="auto"/>
                      <w:sz w:val="18"/>
                      <w:szCs w:val="18"/>
                    </w:rPr>
                    <w:t>三、能源结构清洁低碳高效发展行动</w:t>
                  </w:r>
                </w:p>
              </w:tc>
              <w:tc>
                <w:tcPr>
                  <w:tcW w:w="4863" w:type="dxa"/>
                  <w:tcBorders>
                    <w:tl2br w:val="nil"/>
                    <w:tr2bl w:val="nil"/>
                  </w:tcBorders>
                  <w:vAlign w:val="center"/>
                </w:tcPr>
                <w:p w14:paraId="6BAF99C9">
                  <w:pPr>
                    <w:pStyle w:val="60"/>
                    <w:jc w:val="both"/>
                    <w:rPr>
                      <w:color w:val="auto"/>
                      <w:sz w:val="18"/>
                      <w:szCs w:val="18"/>
                    </w:rPr>
                  </w:pPr>
                  <w:r>
                    <w:rPr>
                      <w:rFonts w:hint="eastAsia"/>
                      <w:color w:val="auto"/>
                      <w:sz w:val="18"/>
                      <w:szCs w:val="18"/>
                    </w:rPr>
                    <w:t>（一）加快推进能源低碳转型。</w:t>
                  </w:r>
                  <w:r>
                    <w:rPr>
                      <w:color w:val="auto"/>
                      <w:sz w:val="18"/>
                      <w:szCs w:val="18"/>
                    </w:rPr>
                    <w:t>……</w:t>
                  </w:r>
                </w:p>
                <w:p w14:paraId="4AAB932E">
                  <w:pPr>
                    <w:pStyle w:val="60"/>
                    <w:jc w:val="both"/>
                    <w:rPr>
                      <w:color w:val="auto"/>
                      <w:sz w:val="18"/>
                      <w:szCs w:val="18"/>
                    </w:rPr>
                  </w:pPr>
                  <w:r>
                    <w:rPr>
                      <w:rFonts w:hint="eastAsia"/>
                      <w:color w:val="auto"/>
                      <w:sz w:val="18"/>
                      <w:szCs w:val="18"/>
                    </w:rPr>
                    <w:t>（二）严格合理控制煤炭消费总量。</w:t>
                  </w:r>
                  <w:r>
                    <w:rPr>
                      <w:color w:val="auto"/>
                      <w:sz w:val="18"/>
                      <w:szCs w:val="18"/>
                    </w:rPr>
                    <w:t>……</w:t>
                  </w:r>
                </w:p>
                <w:p w14:paraId="333A1990">
                  <w:pPr>
                    <w:pStyle w:val="60"/>
                    <w:jc w:val="both"/>
                    <w:rPr>
                      <w:color w:val="auto"/>
                      <w:sz w:val="18"/>
                      <w:szCs w:val="18"/>
                    </w:rPr>
                  </w:pPr>
                  <w:r>
                    <w:rPr>
                      <w:rFonts w:hint="eastAsia"/>
                      <w:color w:val="auto"/>
                      <w:sz w:val="18"/>
                      <w:szCs w:val="18"/>
                    </w:rPr>
                    <w:t>（三）积极开展燃煤锅炉关停整合。</w:t>
                  </w:r>
                  <w:r>
                    <w:rPr>
                      <w:color w:val="auto"/>
                      <w:sz w:val="18"/>
                      <w:szCs w:val="18"/>
                    </w:rPr>
                    <w:t>……</w:t>
                  </w:r>
                </w:p>
              </w:tc>
              <w:tc>
                <w:tcPr>
                  <w:tcW w:w="2004" w:type="dxa"/>
                  <w:tcBorders>
                    <w:tl2br w:val="nil"/>
                    <w:tr2bl w:val="nil"/>
                  </w:tcBorders>
                  <w:vAlign w:val="center"/>
                </w:tcPr>
                <w:p w14:paraId="56F37896">
                  <w:pPr>
                    <w:pStyle w:val="60"/>
                    <w:jc w:val="both"/>
                    <w:rPr>
                      <w:color w:val="auto"/>
                      <w:sz w:val="18"/>
                      <w:szCs w:val="18"/>
                    </w:rPr>
                  </w:pPr>
                  <w:r>
                    <w:rPr>
                      <w:rFonts w:hint="eastAsia"/>
                      <w:color w:val="auto"/>
                      <w:sz w:val="18"/>
                      <w:szCs w:val="18"/>
                    </w:rPr>
                    <w:t>本项目不涉及煤炭消耗，不涉及燃料类煤气发生炉、加热炉、热处理炉、干燥炉、熔化炉、锅炉。</w:t>
                  </w:r>
                </w:p>
              </w:tc>
              <w:tc>
                <w:tcPr>
                  <w:tcW w:w="677" w:type="dxa"/>
                  <w:tcBorders>
                    <w:tl2br w:val="nil"/>
                    <w:tr2bl w:val="nil"/>
                  </w:tcBorders>
                  <w:vAlign w:val="center"/>
                </w:tcPr>
                <w:p w14:paraId="5565F313">
                  <w:pPr>
                    <w:pStyle w:val="60"/>
                    <w:rPr>
                      <w:color w:val="auto"/>
                      <w:sz w:val="18"/>
                      <w:szCs w:val="18"/>
                    </w:rPr>
                  </w:pPr>
                  <w:r>
                    <w:rPr>
                      <w:rFonts w:hint="eastAsia"/>
                      <w:color w:val="auto"/>
                      <w:sz w:val="18"/>
                      <w:szCs w:val="18"/>
                    </w:rPr>
                    <w:t>符合</w:t>
                  </w:r>
                </w:p>
              </w:tc>
            </w:tr>
            <w:tr w14:paraId="1C40B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restart"/>
                  <w:tcBorders>
                    <w:tl2br w:val="nil"/>
                    <w:tr2bl w:val="nil"/>
                  </w:tcBorders>
                  <w:vAlign w:val="center"/>
                </w:tcPr>
                <w:p w14:paraId="638216C5">
                  <w:pPr>
                    <w:pStyle w:val="60"/>
                    <w:jc w:val="both"/>
                    <w:rPr>
                      <w:color w:val="auto"/>
                      <w:sz w:val="18"/>
                      <w:szCs w:val="18"/>
                    </w:rPr>
                  </w:pPr>
                  <w:r>
                    <w:rPr>
                      <w:rFonts w:hint="eastAsia"/>
                      <w:color w:val="auto"/>
                      <w:sz w:val="18"/>
                      <w:szCs w:val="18"/>
                    </w:rPr>
                    <w:t>四、交通结构绿色转型行动</w:t>
                  </w:r>
                </w:p>
              </w:tc>
              <w:tc>
                <w:tcPr>
                  <w:tcW w:w="4863" w:type="dxa"/>
                  <w:tcBorders>
                    <w:tl2br w:val="nil"/>
                    <w:tr2bl w:val="nil"/>
                  </w:tcBorders>
                  <w:vAlign w:val="center"/>
                </w:tcPr>
                <w:p w14:paraId="10B07383">
                  <w:pPr>
                    <w:pStyle w:val="60"/>
                    <w:jc w:val="both"/>
                    <w:rPr>
                      <w:color w:val="auto"/>
                      <w:sz w:val="18"/>
                      <w:szCs w:val="18"/>
                    </w:rPr>
                  </w:pPr>
                  <w:r>
                    <w:rPr>
                      <w:rFonts w:hint="eastAsia"/>
                      <w:color w:val="auto"/>
                      <w:sz w:val="18"/>
                      <w:szCs w:val="18"/>
                    </w:rPr>
                    <w:t>（二）加快提升机动车绿色低碳水平。</w:t>
                  </w:r>
                  <w:r>
                    <w:rPr>
                      <w:color w:val="auto"/>
                      <w:sz w:val="18"/>
                      <w:szCs w:val="18"/>
                    </w:rPr>
                    <w:t>……</w:t>
                  </w:r>
                  <w:r>
                    <w:rPr>
                      <w:rFonts w:hint="eastAsia"/>
                      <w:color w:val="auto"/>
                      <w:sz w:val="18"/>
                      <w:szCs w:val="18"/>
                    </w:rPr>
                    <w:t>在火电、钢铁、煤炭、焦化、有色、水泥等行业和物流园区推广新能源中重型货车，发展零排放货运车队。</w:t>
                  </w:r>
                  <w:r>
                    <w:rPr>
                      <w:color w:val="auto"/>
                      <w:sz w:val="18"/>
                      <w:szCs w:val="18"/>
                    </w:rPr>
                    <w:t>……</w:t>
                  </w:r>
                </w:p>
              </w:tc>
              <w:tc>
                <w:tcPr>
                  <w:tcW w:w="2004" w:type="dxa"/>
                  <w:tcBorders>
                    <w:tl2br w:val="nil"/>
                    <w:tr2bl w:val="nil"/>
                  </w:tcBorders>
                  <w:vAlign w:val="center"/>
                </w:tcPr>
                <w:p w14:paraId="5C4C2A4D">
                  <w:pPr>
                    <w:pStyle w:val="60"/>
                    <w:jc w:val="both"/>
                    <w:rPr>
                      <w:color w:val="auto"/>
                      <w:sz w:val="18"/>
                      <w:szCs w:val="18"/>
                    </w:rPr>
                  </w:pPr>
                  <w:r>
                    <w:rPr>
                      <w:rFonts w:hint="eastAsia"/>
                      <w:color w:val="auto"/>
                      <w:sz w:val="18"/>
                      <w:szCs w:val="18"/>
                    </w:rPr>
                    <w:t>本项目物料运输拟优先采用新能源车辆。</w:t>
                  </w:r>
                </w:p>
              </w:tc>
              <w:tc>
                <w:tcPr>
                  <w:tcW w:w="677" w:type="dxa"/>
                  <w:tcBorders>
                    <w:tl2br w:val="nil"/>
                    <w:tr2bl w:val="nil"/>
                  </w:tcBorders>
                  <w:vAlign w:val="center"/>
                </w:tcPr>
                <w:p w14:paraId="70FFB146">
                  <w:pPr>
                    <w:pStyle w:val="60"/>
                    <w:rPr>
                      <w:color w:val="auto"/>
                      <w:sz w:val="18"/>
                      <w:szCs w:val="18"/>
                    </w:rPr>
                  </w:pPr>
                  <w:r>
                    <w:rPr>
                      <w:rFonts w:hint="eastAsia"/>
                      <w:color w:val="auto"/>
                      <w:sz w:val="18"/>
                      <w:szCs w:val="18"/>
                    </w:rPr>
                    <w:t>符合</w:t>
                  </w:r>
                </w:p>
              </w:tc>
            </w:tr>
            <w:tr w14:paraId="4327B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25" w:type="dxa"/>
                  <w:vMerge w:val="continue"/>
                  <w:tcBorders>
                    <w:tl2br w:val="nil"/>
                    <w:tr2bl w:val="nil"/>
                  </w:tcBorders>
                  <w:vAlign w:val="center"/>
                </w:tcPr>
                <w:p w14:paraId="7A3D9688">
                  <w:pPr>
                    <w:pStyle w:val="60"/>
                    <w:jc w:val="both"/>
                    <w:rPr>
                      <w:color w:val="auto"/>
                      <w:sz w:val="18"/>
                      <w:szCs w:val="18"/>
                    </w:rPr>
                  </w:pPr>
                </w:p>
              </w:tc>
              <w:tc>
                <w:tcPr>
                  <w:tcW w:w="4863" w:type="dxa"/>
                  <w:tcBorders>
                    <w:tl2br w:val="nil"/>
                    <w:tr2bl w:val="nil"/>
                  </w:tcBorders>
                  <w:vAlign w:val="center"/>
                </w:tcPr>
                <w:p w14:paraId="27C4C78F">
                  <w:pPr>
                    <w:pStyle w:val="60"/>
                    <w:jc w:val="both"/>
                    <w:rPr>
                      <w:color w:val="auto"/>
                      <w:sz w:val="18"/>
                      <w:szCs w:val="18"/>
                    </w:rPr>
                  </w:pPr>
                  <w:r>
                    <w:rPr>
                      <w:rFonts w:hint="eastAsia"/>
                      <w:color w:val="auto"/>
                      <w:sz w:val="18"/>
                      <w:szCs w:val="18"/>
                    </w:rPr>
                    <w:t>（三）强化非道路移动源综合治理。加快推进铁路货场、物流园区、港口、机场、工矿企业内部作业车辆和机械新能源更新改造。推动新能源和清洁能源船舶发展。到2025年，基本消除非道路移动机械、船舶及铁路机车“冒黑烟”现象；年旅客吞吐量500万人次以上的机场，桥电使用率达到95%以上。</w:t>
                  </w:r>
                </w:p>
              </w:tc>
              <w:tc>
                <w:tcPr>
                  <w:tcW w:w="2004" w:type="dxa"/>
                  <w:tcBorders>
                    <w:tl2br w:val="nil"/>
                    <w:tr2bl w:val="nil"/>
                  </w:tcBorders>
                  <w:vAlign w:val="center"/>
                </w:tcPr>
                <w:p w14:paraId="43287F02">
                  <w:pPr>
                    <w:pStyle w:val="60"/>
                    <w:jc w:val="both"/>
                    <w:rPr>
                      <w:color w:val="auto"/>
                      <w:sz w:val="18"/>
                      <w:szCs w:val="18"/>
                    </w:rPr>
                  </w:pPr>
                  <w:r>
                    <w:rPr>
                      <w:rFonts w:hint="eastAsia"/>
                      <w:color w:val="auto"/>
                      <w:sz w:val="18"/>
                      <w:szCs w:val="18"/>
                    </w:rPr>
                    <w:t>项目厂区内非道路移动车辆和机械拟优先采用新能源机械。</w:t>
                  </w:r>
                </w:p>
              </w:tc>
              <w:tc>
                <w:tcPr>
                  <w:tcW w:w="677" w:type="dxa"/>
                  <w:tcBorders>
                    <w:tl2br w:val="nil"/>
                    <w:tr2bl w:val="nil"/>
                  </w:tcBorders>
                  <w:vAlign w:val="center"/>
                </w:tcPr>
                <w:p w14:paraId="039D4333">
                  <w:pPr>
                    <w:pStyle w:val="60"/>
                    <w:rPr>
                      <w:color w:val="auto"/>
                      <w:sz w:val="18"/>
                      <w:szCs w:val="18"/>
                    </w:rPr>
                  </w:pPr>
                  <w:r>
                    <w:rPr>
                      <w:rFonts w:hint="eastAsia"/>
                      <w:color w:val="auto"/>
                      <w:sz w:val="18"/>
                      <w:szCs w:val="18"/>
                    </w:rPr>
                    <w:t>符合</w:t>
                  </w:r>
                </w:p>
              </w:tc>
            </w:tr>
          </w:tbl>
          <w:p w14:paraId="584EFBE4">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4、与《关于严格项目审批工作坚决防止新上“散乱污”项目的通知》鲁环字[2021]58号符合性分析</w:t>
            </w:r>
          </w:p>
          <w:p w14:paraId="6147B498">
            <w:pPr>
              <w:pStyle w:val="41"/>
              <w:spacing w:before="120" w:beforeLines="50" w:afterLines="0" w:line="240" w:lineRule="auto"/>
              <w:rPr>
                <w:rFonts w:ascii="Times New Roman" w:hAnsi="Times New Roman" w:eastAsia="宋体" w:cs="Times New Roman"/>
                <w:b/>
                <w:bCs/>
                <w:color w:val="auto"/>
                <w:kern w:val="2"/>
                <w:lang w:val="en-US"/>
              </w:rPr>
            </w:pPr>
            <w:r>
              <w:rPr>
                <w:rFonts w:ascii="Times New Roman" w:hAnsi="Times New Roman" w:eastAsia="宋体" w:cs="Times New Roman"/>
                <w:b/>
                <w:bCs/>
                <w:color w:val="auto"/>
                <w:kern w:val="2"/>
                <w:lang w:val="en-US"/>
              </w:rPr>
              <w:t>表</w:t>
            </w:r>
            <w:r>
              <w:rPr>
                <w:rFonts w:hint="eastAsia" w:ascii="Times New Roman" w:hAnsi="Times New Roman" w:eastAsia="宋体" w:cs="Times New Roman"/>
                <w:b/>
                <w:bCs/>
                <w:color w:val="auto"/>
                <w:kern w:val="2"/>
                <w:lang w:val="en-US"/>
              </w:rPr>
              <w:t>1-</w:t>
            </w:r>
            <w:r>
              <w:rPr>
                <w:rFonts w:hint="eastAsia" w:ascii="Times New Roman" w:hAnsi="Times New Roman" w:eastAsia="宋体" w:cs="Times New Roman"/>
                <w:b/>
                <w:bCs/>
                <w:color w:val="auto"/>
                <w:kern w:val="2"/>
                <w:lang w:val="en-US" w:eastAsia="zh-CN"/>
              </w:rPr>
              <w:t>9</w:t>
            </w:r>
            <w:r>
              <w:rPr>
                <w:rFonts w:ascii="Times New Roman" w:hAnsi="Times New Roman" w:eastAsia="宋体" w:cs="Times New Roman"/>
                <w:b/>
                <w:bCs/>
                <w:color w:val="auto"/>
                <w:kern w:val="2"/>
                <w:lang w:val="en-US"/>
              </w:rPr>
              <w:t xml:space="preserve">  项目与鲁环字</w:t>
            </w:r>
            <w:r>
              <w:rPr>
                <w:rFonts w:hint="eastAsia" w:ascii="Times New Roman" w:hAnsi="Times New Roman" w:eastAsia="宋体" w:cs="Times New Roman"/>
                <w:b/>
                <w:bCs/>
                <w:color w:val="auto"/>
                <w:kern w:val="2"/>
                <w:lang w:val="en-US"/>
              </w:rPr>
              <w:t>[</w:t>
            </w:r>
            <w:r>
              <w:rPr>
                <w:rFonts w:ascii="Times New Roman" w:hAnsi="Times New Roman" w:eastAsia="宋体" w:cs="Times New Roman"/>
                <w:b/>
                <w:bCs/>
                <w:color w:val="auto"/>
                <w:kern w:val="2"/>
                <w:lang w:val="en-US"/>
              </w:rPr>
              <w:t>2021]58号符合性分析</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4"/>
              <w:gridCol w:w="2415"/>
              <w:gridCol w:w="780"/>
            </w:tblGrid>
            <w:tr w14:paraId="41544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1B0F4B04">
                  <w:pPr>
                    <w:pStyle w:val="60"/>
                    <w:rPr>
                      <w:color w:val="auto"/>
                      <w:kern w:val="2"/>
                      <w:sz w:val="18"/>
                      <w:szCs w:val="18"/>
                    </w:rPr>
                  </w:pPr>
                  <w:r>
                    <w:rPr>
                      <w:color w:val="auto"/>
                      <w:kern w:val="2"/>
                      <w:sz w:val="18"/>
                      <w:szCs w:val="18"/>
                    </w:rPr>
                    <w:t>鲁环字</w:t>
                  </w:r>
                  <w:r>
                    <w:rPr>
                      <w:rFonts w:hint="eastAsia"/>
                      <w:color w:val="auto"/>
                      <w:kern w:val="2"/>
                      <w:sz w:val="18"/>
                      <w:szCs w:val="18"/>
                      <w:lang w:val="en-US" w:eastAsia="zh-CN"/>
                    </w:rPr>
                    <w:t>[2021]</w:t>
                  </w:r>
                  <w:r>
                    <w:rPr>
                      <w:color w:val="auto"/>
                      <w:kern w:val="2"/>
                      <w:sz w:val="18"/>
                      <w:szCs w:val="18"/>
                    </w:rPr>
                    <w:t>58号文要求</w:t>
                  </w:r>
                </w:p>
              </w:tc>
              <w:tc>
                <w:tcPr>
                  <w:tcW w:w="1444" w:type="pct"/>
                  <w:noWrap w:val="0"/>
                  <w:vAlign w:val="center"/>
                </w:tcPr>
                <w:p w14:paraId="4C44FBD0">
                  <w:pPr>
                    <w:pStyle w:val="60"/>
                    <w:rPr>
                      <w:color w:val="auto"/>
                      <w:kern w:val="2"/>
                      <w:sz w:val="18"/>
                      <w:szCs w:val="18"/>
                    </w:rPr>
                  </w:pPr>
                  <w:r>
                    <w:rPr>
                      <w:color w:val="auto"/>
                      <w:kern w:val="2"/>
                      <w:sz w:val="18"/>
                      <w:szCs w:val="18"/>
                    </w:rPr>
                    <w:t>本项目情况</w:t>
                  </w:r>
                </w:p>
              </w:tc>
              <w:tc>
                <w:tcPr>
                  <w:tcW w:w="466" w:type="pct"/>
                  <w:noWrap w:val="0"/>
                  <w:vAlign w:val="center"/>
                </w:tcPr>
                <w:p w14:paraId="084A0D6E">
                  <w:pPr>
                    <w:pStyle w:val="60"/>
                    <w:rPr>
                      <w:color w:val="auto"/>
                      <w:kern w:val="2"/>
                      <w:sz w:val="18"/>
                      <w:szCs w:val="18"/>
                    </w:rPr>
                  </w:pPr>
                  <w:r>
                    <w:rPr>
                      <w:color w:val="auto"/>
                      <w:kern w:val="2"/>
                      <w:sz w:val="18"/>
                      <w:szCs w:val="18"/>
                    </w:rPr>
                    <w:t>符合性</w:t>
                  </w:r>
                </w:p>
              </w:tc>
            </w:tr>
            <w:tr w14:paraId="6262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7761B1CC">
                  <w:pPr>
                    <w:pStyle w:val="60"/>
                    <w:rPr>
                      <w:rFonts w:hint="eastAsia"/>
                      <w:color w:val="auto"/>
                      <w:kern w:val="2"/>
                      <w:sz w:val="18"/>
                      <w:szCs w:val="18"/>
                      <w:lang w:val="zh-CN"/>
                    </w:rPr>
                  </w:pPr>
                  <w:r>
                    <w:rPr>
                      <w:rFonts w:hint="eastAsia"/>
                      <w:color w:val="auto"/>
                      <w:kern w:val="2"/>
                      <w:sz w:val="18"/>
                      <w:szCs w:val="18"/>
                      <w:lang w:val="zh-CN"/>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2019年本）》，对鼓励类项目，按照有关规定审批、核准或备案；对限制类项目，禁止新建，现有生产能力允许在一定期限内改造升级；对淘汰类项目，市场主体不得进入，行政机关不予审批。</w:t>
                  </w:r>
                </w:p>
              </w:tc>
              <w:tc>
                <w:tcPr>
                  <w:tcW w:w="1444" w:type="pct"/>
                  <w:noWrap w:val="0"/>
                  <w:vAlign w:val="center"/>
                </w:tcPr>
                <w:p w14:paraId="6C29EABB">
                  <w:pPr>
                    <w:pStyle w:val="60"/>
                    <w:rPr>
                      <w:color w:val="auto"/>
                      <w:kern w:val="2"/>
                      <w:sz w:val="18"/>
                      <w:szCs w:val="18"/>
                    </w:rPr>
                  </w:pPr>
                  <w:r>
                    <w:rPr>
                      <w:color w:val="auto"/>
                      <w:kern w:val="2"/>
                      <w:sz w:val="18"/>
                      <w:szCs w:val="18"/>
                    </w:rPr>
                    <w:t>根据《产业结构调整指导目录(2024年本)》的规定，本项目不属于鼓励类</w:t>
                  </w:r>
                  <w:r>
                    <w:rPr>
                      <w:rFonts w:hint="eastAsia"/>
                      <w:color w:val="auto"/>
                      <w:kern w:val="2"/>
                      <w:sz w:val="18"/>
                      <w:szCs w:val="18"/>
                    </w:rPr>
                    <w:t>、</w:t>
                  </w:r>
                  <w:r>
                    <w:rPr>
                      <w:color w:val="auto"/>
                      <w:kern w:val="2"/>
                      <w:sz w:val="18"/>
                      <w:szCs w:val="18"/>
                    </w:rPr>
                    <w:t>限制类、淘汰类项目，属于允许类项目，本项目</w:t>
                  </w:r>
                  <w:r>
                    <w:rPr>
                      <w:rFonts w:hint="eastAsia"/>
                      <w:color w:val="auto"/>
                      <w:kern w:val="2"/>
                      <w:sz w:val="18"/>
                      <w:szCs w:val="18"/>
                    </w:rPr>
                    <w:t>已</w:t>
                  </w:r>
                  <w:r>
                    <w:rPr>
                      <w:color w:val="auto"/>
                      <w:kern w:val="2"/>
                      <w:sz w:val="18"/>
                      <w:szCs w:val="18"/>
                    </w:rPr>
                    <w:t>备案，备案文号为：</w:t>
                  </w:r>
                  <w:r>
                    <w:rPr>
                      <w:rFonts w:hint="eastAsia"/>
                      <w:color w:val="auto"/>
                      <w:sz w:val="18"/>
                      <w:szCs w:val="18"/>
                    </w:rPr>
                    <w:t>2512-370305-89-02-111832</w:t>
                  </w:r>
                </w:p>
              </w:tc>
              <w:tc>
                <w:tcPr>
                  <w:tcW w:w="466" w:type="pct"/>
                  <w:noWrap w:val="0"/>
                  <w:vAlign w:val="center"/>
                </w:tcPr>
                <w:p w14:paraId="35A7EF55">
                  <w:pPr>
                    <w:pStyle w:val="60"/>
                    <w:rPr>
                      <w:color w:val="auto"/>
                      <w:kern w:val="2"/>
                      <w:sz w:val="18"/>
                      <w:szCs w:val="18"/>
                    </w:rPr>
                  </w:pPr>
                  <w:r>
                    <w:rPr>
                      <w:color w:val="auto"/>
                      <w:kern w:val="2"/>
                      <w:sz w:val="18"/>
                      <w:szCs w:val="18"/>
                    </w:rPr>
                    <w:t>符合</w:t>
                  </w:r>
                </w:p>
              </w:tc>
            </w:tr>
            <w:tr w14:paraId="211C0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5DCF97A9">
                  <w:pPr>
                    <w:pStyle w:val="60"/>
                    <w:rPr>
                      <w:rFonts w:hint="eastAsia"/>
                      <w:color w:val="auto"/>
                      <w:kern w:val="2"/>
                      <w:sz w:val="18"/>
                      <w:szCs w:val="18"/>
                      <w:lang w:val="zh-CN"/>
                    </w:rPr>
                  </w:pPr>
                  <w:r>
                    <w:rPr>
                      <w:rFonts w:hint="eastAsia"/>
                      <w:color w:val="auto"/>
                      <w:kern w:val="2"/>
                      <w:sz w:val="18"/>
                      <w:szCs w:val="18"/>
                      <w:lang w:val="zh-CN"/>
                    </w:rPr>
                    <w:t>强化规划刚性约束。新上项目必须符合国土空间规划、产业发展规划等要求，积极引导产业园区外“散乱污”整治搬迁改造企业进入产业园区或工业集聚区，并鼓励租赁标准厂房。按照“布局集中、用地集约、产业集聚、空间优化”的原则，高标准制定产业发展规划，明确主导产业、布局和产业发展方向，引导企业规范化、规模化、集约化发展。</w:t>
                  </w:r>
                </w:p>
              </w:tc>
              <w:tc>
                <w:tcPr>
                  <w:tcW w:w="1444" w:type="pct"/>
                  <w:noWrap w:val="0"/>
                  <w:vAlign w:val="center"/>
                </w:tcPr>
                <w:p w14:paraId="65618936">
                  <w:pPr>
                    <w:pStyle w:val="60"/>
                    <w:rPr>
                      <w:rFonts w:hint="eastAsia"/>
                      <w:color w:val="auto"/>
                      <w:kern w:val="2"/>
                      <w:sz w:val="18"/>
                      <w:szCs w:val="18"/>
                    </w:rPr>
                  </w:pPr>
                  <w:r>
                    <w:rPr>
                      <w:rFonts w:hint="eastAsia"/>
                      <w:color w:val="auto"/>
                      <w:sz w:val="18"/>
                      <w:szCs w:val="18"/>
                      <w:lang w:val="zh-CN"/>
                    </w:rPr>
                    <w:t>本项目位于</w:t>
                  </w:r>
                  <w:r>
                    <w:rPr>
                      <w:rFonts w:hint="eastAsia"/>
                      <w:color w:val="auto"/>
                      <w:sz w:val="18"/>
                      <w:szCs w:val="18"/>
                      <w:lang w:val="en-US" w:eastAsia="zh-CN"/>
                    </w:rPr>
                    <w:t>朱台镇工业集聚区</w:t>
                  </w:r>
                  <w:r>
                    <w:rPr>
                      <w:rFonts w:hint="eastAsia"/>
                      <w:color w:val="auto"/>
                      <w:sz w:val="18"/>
                      <w:szCs w:val="18"/>
                      <w:lang w:val="zh-CN"/>
                    </w:rPr>
                    <w:t>内，符合</w:t>
                  </w:r>
                  <w:r>
                    <w:rPr>
                      <w:rFonts w:hint="eastAsia"/>
                      <w:color w:val="auto"/>
                      <w:sz w:val="18"/>
                      <w:szCs w:val="18"/>
                      <w:lang w:val="en-US" w:eastAsia="zh-CN"/>
                    </w:rPr>
                    <w:t>淄博</w:t>
                  </w:r>
                  <w:r>
                    <w:rPr>
                      <w:rFonts w:hint="eastAsia"/>
                      <w:color w:val="auto"/>
                      <w:sz w:val="18"/>
                      <w:szCs w:val="18"/>
                    </w:rPr>
                    <w:t>市</w:t>
                  </w:r>
                  <w:r>
                    <w:rPr>
                      <w:rFonts w:hint="eastAsia"/>
                      <w:color w:val="auto"/>
                      <w:sz w:val="18"/>
                      <w:szCs w:val="18"/>
                      <w:lang w:val="zh-CN"/>
                    </w:rPr>
                    <w:t>国土空间规划</w:t>
                  </w:r>
                  <w:r>
                    <w:rPr>
                      <w:rFonts w:hint="eastAsia"/>
                      <w:color w:val="auto"/>
                      <w:sz w:val="18"/>
                      <w:szCs w:val="18"/>
                      <w:lang w:val="en-US" w:eastAsia="zh-CN"/>
                    </w:rPr>
                    <w:t>及朱台镇工业集聚区总体发展规划要求</w:t>
                  </w:r>
                  <w:r>
                    <w:rPr>
                      <w:rFonts w:hint="eastAsia"/>
                      <w:color w:val="auto"/>
                      <w:sz w:val="18"/>
                      <w:szCs w:val="18"/>
                      <w:lang w:val="zh-CN"/>
                    </w:rPr>
                    <w:t>。</w:t>
                  </w:r>
                </w:p>
              </w:tc>
              <w:tc>
                <w:tcPr>
                  <w:tcW w:w="466" w:type="pct"/>
                  <w:noWrap w:val="0"/>
                  <w:vAlign w:val="center"/>
                </w:tcPr>
                <w:p w14:paraId="643F002A">
                  <w:pPr>
                    <w:pStyle w:val="60"/>
                    <w:rPr>
                      <w:color w:val="auto"/>
                      <w:kern w:val="2"/>
                      <w:sz w:val="18"/>
                      <w:szCs w:val="18"/>
                    </w:rPr>
                  </w:pPr>
                  <w:r>
                    <w:rPr>
                      <w:color w:val="auto"/>
                      <w:kern w:val="2"/>
                      <w:sz w:val="18"/>
                      <w:szCs w:val="18"/>
                    </w:rPr>
                    <w:t>符合</w:t>
                  </w:r>
                </w:p>
              </w:tc>
            </w:tr>
            <w:tr w14:paraId="3B7D8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137ADFF3">
                  <w:pPr>
                    <w:pStyle w:val="60"/>
                    <w:rPr>
                      <w:rFonts w:hint="eastAsia"/>
                      <w:color w:val="auto"/>
                      <w:kern w:val="2"/>
                      <w:sz w:val="18"/>
                      <w:szCs w:val="18"/>
                      <w:lang w:val="zh-CN"/>
                    </w:rPr>
                  </w:pPr>
                  <w:r>
                    <w:rPr>
                      <w:rFonts w:hint="eastAsia"/>
                      <w:color w:val="auto"/>
                      <w:kern w:val="2"/>
                      <w:sz w:val="18"/>
                      <w:szCs w:val="18"/>
                      <w:lang w:val="zh-CN"/>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1444" w:type="pct"/>
                  <w:noWrap w:val="0"/>
                  <w:vAlign w:val="center"/>
                </w:tcPr>
                <w:p w14:paraId="6999973B">
                  <w:pPr>
                    <w:pStyle w:val="60"/>
                    <w:rPr>
                      <w:color w:val="auto"/>
                      <w:kern w:val="2"/>
                      <w:sz w:val="18"/>
                      <w:szCs w:val="18"/>
                    </w:rPr>
                  </w:pPr>
                  <w:r>
                    <w:rPr>
                      <w:rFonts w:hint="eastAsia"/>
                      <w:color w:val="auto"/>
                      <w:sz w:val="18"/>
                      <w:szCs w:val="18"/>
                      <w:lang w:val="zh-CN"/>
                    </w:rPr>
                    <w:t>本项目位于</w:t>
                  </w:r>
                  <w:r>
                    <w:rPr>
                      <w:rFonts w:hint="eastAsia"/>
                      <w:color w:val="auto"/>
                      <w:sz w:val="18"/>
                      <w:szCs w:val="18"/>
                      <w:lang w:val="en-US" w:eastAsia="zh-CN"/>
                    </w:rPr>
                    <w:t>朱台镇工业集聚区</w:t>
                  </w:r>
                  <w:r>
                    <w:rPr>
                      <w:rFonts w:hint="eastAsia"/>
                      <w:color w:val="auto"/>
                      <w:sz w:val="18"/>
                      <w:szCs w:val="18"/>
                      <w:lang w:val="zh-CN"/>
                    </w:rPr>
                    <w:t>内，符合</w:t>
                  </w:r>
                  <w:r>
                    <w:rPr>
                      <w:rFonts w:hint="eastAsia"/>
                      <w:color w:val="auto"/>
                      <w:sz w:val="18"/>
                      <w:szCs w:val="18"/>
                      <w:lang w:val="en-US" w:eastAsia="zh-CN"/>
                    </w:rPr>
                    <w:t>朱台镇工业集聚区</w:t>
                  </w:r>
                  <w:r>
                    <w:rPr>
                      <w:rFonts w:hint="eastAsia"/>
                      <w:color w:val="auto"/>
                      <w:sz w:val="18"/>
                      <w:szCs w:val="18"/>
                      <w:lang w:val="zh-CN"/>
                    </w:rPr>
                    <w:t>内</w:t>
                  </w:r>
                  <w:r>
                    <w:rPr>
                      <w:rFonts w:hint="eastAsia"/>
                      <w:color w:val="auto"/>
                      <w:sz w:val="18"/>
                      <w:szCs w:val="18"/>
                      <w:lang w:val="en-US" w:eastAsia="zh-CN"/>
                    </w:rPr>
                    <w:t>总体发展</w:t>
                  </w:r>
                  <w:r>
                    <w:rPr>
                      <w:rFonts w:hint="eastAsia"/>
                      <w:color w:val="auto"/>
                      <w:sz w:val="18"/>
                      <w:szCs w:val="18"/>
                    </w:rPr>
                    <w:t>规划</w:t>
                  </w:r>
                  <w:r>
                    <w:rPr>
                      <w:rFonts w:hint="eastAsia"/>
                      <w:color w:val="auto"/>
                      <w:sz w:val="18"/>
                      <w:szCs w:val="18"/>
                      <w:lang w:val="zh-CN"/>
                    </w:rPr>
                    <w:t>要求</w:t>
                  </w:r>
                </w:p>
              </w:tc>
              <w:tc>
                <w:tcPr>
                  <w:tcW w:w="466" w:type="pct"/>
                  <w:noWrap w:val="0"/>
                  <w:vAlign w:val="center"/>
                </w:tcPr>
                <w:p w14:paraId="58F1C497">
                  <w:pPr>
                    <w:pStyle w:val="60"/>
                    <w:rPr>
                      <w:color w:val="auto"/>
                      <w:kern w:val="2"/>
                      <w:sz w:val="18"/>
                      <w:szCs w:val="18"/>
                    </w:rPr>
                  </w:pPr>
                  <w:r>
                    <w:rPr>
                      <w:color w:val="auto"/>
                      <w:kern w:val="2"/>
                      <w:sz w:val="18"/>
                      <w:szCs w:val="18"/>
                    </w:rPr>
                    <w:t>符合</w:t>
                  </w:r>
                </w:p>
              </w:tc>
            </w:tr>
            <w:tr w14:paraId="433A9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45DBAB89">
                  <w:pPr>
                    <w:pStyle w:val="60"/>
                    <w:rPr>
                      <w:rFonts w:hint="eastAsia"/>
                      <w:color w:val="auto"/>
                      <w:kern w:val="2"/>
                      <w:sz w:val="18"/>
                      <w:szCs w:val="18"/>
                      <w:lang w:val="zh-CN"/>
                    </w:rPr>
                  </w:pPr>
                  <w:r>
                    <w:rPr>
                      <w:rFonts w:hint="eastAsia"/>
                      <w:color w:val="auto"/>
                      <w:kern w:val="2"/>
                      <w:sz w:val="18"/>
                      <w:szCs w:val="18"/>
                      <w:lang w:val="zh-CN"/>
                    </w:rPr>
                    <w:t>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1444" w:type="pct"/>
                  <w:noWrap w:val="0"/>
                  <w:vAlign w:val="center"/>
                </w:tcPr>
                <w:p w14:paraId="1C31D134">
                  <w:pPr>
                    <w:pStyle w:val="60"/>
                    <w:rPr>
                      <w:color w:val="auto"/>
                      <w:kern w:val="2"/>
                      <w:sz w:val="18"/>
                      <w:szCs w:val="18"/>
                    </w:rPr>
                  </w:pPr>
                  <w:r>
                    <w:rPr>
                      <w:color w:val="auto"/>
                      <w:kern w:val="2"/>
                      <w:sz w:val="18"/>
                      <w:szCs w:val="18"/>
                    </w:rPr>
                    <w:t>本项目符合</w:t>
                  </w:r>
                  <w:r>
                    <w:rPr>
                      <w:rFonts w:hint="eastAsia"/>
                      <w:color w:val="auto"/>
                      <w:kern w:val="2"/>
                      <w:sz w:val="18"/>
                      <w:szCs w:val="18"/>
                      <w:lang w:val="en-US" w:eastAsia="zh-CN"/>
                    </w:rPr>
                    <w:t>淄博市</w:t>
                  </w:r>
                  <w:r>
                    <w:rPr>
                      <w:color w:val="auto"/>
                      <w:kern w:val="2"/>
                      <w:sz w:val="18"/>
                      <w:szCs w:val="18"/>
                    </w:rPr>
                    <w:t>生态环境分区管控要求；污染物排放满足当地总量要求；不涉及煤炭消耗。</w:t>
                  </w:r>
                </w:p>
              </w:tc>
              <w:tc>
                <w:tcPr>
                  <w:tcW w:w="466" w:type="pct"/>
                  <w:noWrap w:val="0"/>
                  <w:vAlign w:val="center"/>
                </w:tcPr>
                <w:p w14:paraId="59CFF9CD">
                  <w:pPr>
                    <w:pStyle w:val="60"/>
                    <w:rPr>
                      <w:rFonts w:hint="eastAsia"/>
                      <w:color w:val="auto"/>
                      <w:kern w:val="2"/>
                      <w:sz w:val="18"/>
                      <w:szCs w:val="18"/>
                    </w:rPr>
                  </w:pPr>
                  <w:r>
                    <w:rPr>
                      <w:rFonts w:hint="eastAsia"/>
                      <w:color w:val="auto"/>
                      <w:kern w:val="2"/>
                      <w:sz w:val="18"/>
                      <w:szCs w:val="18"/>
                    </w:rPr>
                    <w:t>符合</w:t>
                  </w:r>
                </w:p>
              </w:tc>
            </w:tr>
            <w:tr w14:paraId="463B9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473BEB71">
                  <w:pPr>
                    <w:pStyle w:val="60"/>
                    <w:rPr>
                      <w:rFonts w:hint="eastAsia"/>
                      <w:color w:val="auto"/>
                      <w:kern w:val="2"/>
                      <w:sz w:val="18"/>
                      <w:szCs w:val="18"/>
                      <w:lang w:val="zh-CN"/>
                    </w:rPr>
                  </w:pPr>
                  <w:r>
                    <w:rPr>
                      <w:rFonts w:hint="eastAsia"/>
                      <w:color w:val="auto"/>
                      <w:kern w:val="2"/>
                      <w:sz w:val="18"/>
                      <w:szCs w:val="18"/>
                      <w:lang w:val="zh-CN"/>
                    </w:rPr>
                    <w:t>建立部门联动协调机制。各级发展改革、工业和信息化、自然资源、生态环境等部门要按照职责分工，建立长效工作机制，密切配合，强化对项目产业政策、固定资产投资、能耗、用地标准、环境等的论证，对不符合要求的，一律不得办理立项、规划、土地、环评等手续。</w:t>
                  </w:r>
                </w:p>
              </w:tc>
              <w:tc>
                <w:tcPr>
                  <w:tcW w:w="1444" w:type="pct"/>
                  <w:noWrap w:val="0"/>
                  <w:vAlign w:val="center"/>
                </w:tcPr>
                <w:p w14:paraId="3D094A63">
                  <w:pPr>
                    <w:pStyle w:val="60"/>
                    <w:rPr>
                      <w:color w:val="auto"/>
                      <w:kern w:val="2"/>
                      <w:sz w:val="18"/>
                      <w:szCs w:val="18"/>
                    </w:rPr>
                  </w:pPr>
                  <w:r>
                    <w:rPr>
                      <w:rFonts w:hint="eastAsia"/>
                      <w:color w:val="auto"/>
                      <w:sz w:val="18"/>
                      <w:szCs w:val="18"/>
                      <w:lang w:val="zh-CN"/>
                    </w:rPr>
                    <w:t>本项目符合产业政策、固定资产投资、能耗、用地标准、环境管理要求。</w:t>
                  </w:r>
                </w:p>
              </w:tc>
              <w:tc>
                <w:tcPr>
                  <w:tcW w:w="466" w:type="pct"/>
                  <w:noWrap w:val="0"/>
                  <w:vAlign w:val="center"/>
                </w:tcPr>
                <w:p w14:paraId="7083BB3B">
                  <w:pPr>
                    <w:pStyle w:val="60"/>
                    <w:rPr>
                      <w:rFonts w:hint="eastAsia"/>
                      <w:color w:val="auto"/>
                      <w:kern w:val="2"/>
                      <w:sz w:val="18"/>
                      <w:szCs w:val="18"/>
                    </w:rPr>
                  </w:pPr>
                  <w:r>
                    <w:rPr>
                      <w:rFonts w:hint="eastAsia"/>
                      <w:color w:val="auto"/>
                      <w:kern w:val="2"/>
                      <w:sz w:val="18"/>
                      <w:szCs w:val="18"/>
                    </w:rPr>
                    <w:t>符合</w:t>
                  </w:r>
                </w:p>
              </w:tc>
            </w:tr>
            <w:tr w14:paraId="4E2F3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9" w:type="pct"/>
                  <w:noWrap w:val="0"/>
                  <w:vAlign w:val="center"/>
                </w:tcPr>
                <w:p w14:paraId="6579E423">
                  <w:pPr>
                    <w:pStyle w:val="60"/>
                    <w:rPr>
                      <w:rFonts w:hint="eastAsia"/>
                      <w:color w:val="auto"/>
                      <w:kern w:val="2"/>
                      <w:sz w:val="18"/>
                      <w:szCs w:val="18"/>
                      <w:lang w:val="zh-CN"/>
                    </w:rPr>
                  </w:pPr>
                  <w:r>
                    <w:rPr>
                      <w:rFonts w:hint="eastAsia"/>
                      <w:color w:val="auto"/>
                      <w:kern w:val="2"/>
                      <w:sz w:val="18"/>
                      <w:szCs w:val="18"/>
                      <w:lang w:val="zh-CN"/>
                    </w:rPr>
                    <w:t>强化日常监管执法。持续加大对违反产业政策、规划、准入规定等违法违规建设行为的查处力度，坚决遏制“未批先建”等违法行为。畅通群众举报投诉渠道，对“散乱污”项目做到早发现、早应对、早处置，严防死灰复燃。</w:t>
                  </w:r>
                </w:p>
              </w:tc>
              <w:tc>
                <w:tcPr>
                  <w:tcW w:w="1444" w:type="pct"/>
                  <w:noWrap w:val="0"/>
                  <w:vAlign w:val="center"/>
                </w:tcPr>
                <w:p w14:paraId="0131AF95">
                  <w:pPr>
                    <w:pStyle w:val="60"/>
                    <w:rPr>
                      <w:color w:val="auto"/>
                      <w:kern w:val="2"/>
                      <w:sz w:val="18"/>
                      <w:szCs w:val="18"/>
                    </w:rPr>
                  </w:pPr>
                  <w:r>
                    <w:rPr>
                      <w:rFonts w:hint="eastAsia"/>
                      <w:color w:val="auto"/>
                      <w:sz w:val="18"/>
                      <w:szCs w:val="18"/>
                      <w:lang w:val="zh-CN"/>
                    </w:rPr>
                    <w:t>本项目不涉及未批先建及“散乱污”项目情况。</w:t>
                  </w:r>
                </w:p>
              </w:tc>
              <w:tc>
                <w:tcPr>
                  <w:tcW w:w="466" w:type="pct"/>
                  <w:noWrap w:val="0"/>
                  <w:vAlign w:val="center"/>
                </w:tcPr>
                <w:p w14:paraId="48C63DEE">
                  <w:pPr>
                    <w:pStyle w:val="60"/>
                    <w:rPr>
                      <w:color w:val="auto"/>
                      <w:kern w:val="2"/>
                      <w:sz w:val="18"/>
                      <w:szCs w:val="18"/>
                    </w:rPr>
                  </w:pPr>
                  <w:r>
                    <w:rPr>
                      <w:rFonts w:hint="eastAsia"/>
                      <w:color w:val="auto"/>
                      <w:kern w:val="2"/>
                      <w:sz w:val="18"/>
                      <w:szCs w:val="18"/>
                    </w:rPr>
                    <w:t>符合</w:t>
                  </w:r>
                </w:p>
              </w:tc>
            </w:tr>
          </w:tbl>
          <w:p w14:paraId="65F5DA8B">
            <w:pPr>
              <w:snapToGrid w:val="0"/>
              <w:spacing w:line="480" w:lineRule="exact"/>
              <w:ind w:firstLine="420" w:firstLineChars="200"/>
              <w:rPr>
                <w:rFonts w:hint="eastAsia"/>
                <w:bCs/>
                <w:color w:val="auto"/>
                <w:lang w:val="en-US" w:eastAsia="zh-CN"/>
              </w:rPr>
            </w:pPr>
            <w:r>
              <w:rPr>
                <w:rFonts w:hint="eastAsia"/>
                <w:color w:val="auto"/>
                <w:szCs w:val="21"/>
              </w:rPr>
              <w:t>根据上表，本项目符合</w:t>
            </w:r>
            <w:r>
              <w:rPr>
                <w:color w:val="auto"/>
                <w:szCs w:val="21"/>
              </w:rPr>
              <w:t>《关于严格项目审批工作坚决防止新上“散乱污”项目的通知》（鲁环字</w:t>
            </w:r>
            <w:r>
              <w:rPr>
                <w:rFonts w:hint="eastAsia"/>
                <w:color w:val="auto"/>
                <w:szCs w:val="21"/>
              </w:rPr>
              <w:t>[2021]</w:t>
            </w:r>
            <w:r>
              <w:rPr>
                <w:color w:val="auto"/>
                <w:szCs w:val="21"/>
              </w:rPr>
              <w:t>58号）</w:t>
            </w:r>
            <w:r>
              <w:rPr>
                <w:rFonts w:hint="eastAsia"/>
                <w:color w:val="auto"/>
                <w:szCs w:val="21"/>
              </w:rPr>
              <w:t>相关要求。</w:t>
            </w:r>
          </w:p>
          <w:p w14:paraId="1410F46A">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5、与《空气质量持续改善行动计划》（国发[2023]24号）符合性分析</w:t>
            </w:r>
          </w:p>
          <w:p w14:paraId="5B75A23E">
            <w:pPr>
              <w:pStyle w:val="41"/>
              <w:spacing w:before="120" w:beforeLines="50" w:afterLines="0" w:line="240" w:lineRule="auto"/>
              <w:rPr>
                <w:rFonts w:ascii="Times New Roman" w:hAnsi="Times New Roman" w:eastAsia="宋体" w:cs="Times New Roman"/>
                <w:b/>
                <w:bCs/>
                <w:color w:val="auto"/>
                <w:kern w:val="2"/>
                <w:lang w:val="en-US"/>
              </w:rPr>
            </w:pPr>
            <w:r>
              <w:rPr>
                <w:rFonts w:ascii="Times New Roman" w:hAnsi="Times New Roman" w:eastAsia="宋体" w:cs="Times New Roman"/>
                <w:b/>
                <w:bCs/>
                <w:color w:val="auto"/>
                <w:kern w:val="2"/>
                <w:lang w:val="en-US"/>
              </w:rPr>
              <w:t>表</w:t>
            </w:r>
            <w:r>
              <w:rPr>
                <w:rFonts w:hint="eastAsia" w:ascii="Times New Roman" w:hAnsi="Times New Roman" w:eastAsia="宋体" w:cs="Times New Roman"/>
                <w:b/>
                <w:bCs/>
                <w:color w:val="auto"/>
                <w:kern w:val="2"/>
                <w:lang w:val="en-US" w:eastAsia="zh-CN"/>
              </w:rPr>
              <w:t>1-10</w:t>
            </w:r>
            <w:r>
              <w:rPr>
                <w:rFonts w:ascii="Times New Roman" w:hAnsi="Times New Roman" w:eastAsia="宋体" w:cs="Times New Roman"/>
                <w:b/>
                <w:bCs/>
                <w:color w:val="auto"/>
                <w:kern w:val="2"/>
                <w:lang w:val="en-US"/>
              </w:rPr>
              <w:t xml:space="preserve">  </w:t>
            </w:r>
            <w:r>
              <w:rPr>
                <w:rFonts w:hint="eastAsia" w:ascii="Times New Roman" w:hAnsi="Times New Roman" w:eastAsia="宋体" w:cs="Times New Roman"/>
                <w:b/>
                <w:bCs/>
                <w:color w:val="auto"/>
                <w:kern w:val="2"/>
                <w:lang w:val="en-US"/>
              </w:rPr>
              <w:t>项目与《空气质量持续改善行动计划》符合性分析表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72"/>
              <w:gridCol w:w="3019"/>
              <w:gridCol w:w="673"/>
            </w:tblGrid>
            <w:tr w14:paraId="2A1B1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blHeader/>
                <w:jc w:val="center"/>
              </w:trPr>
              <w:tc>
                <w:tcPr>
                  <w:tcW w:w="4675" w:type="dxa"/>
                  <w:vAlign w:val="center"/>
                </w:tcPr>
                <w:p w14:paraId="5342D046">
                  <w:pPr>
                    <w:pStyle w:val="60"/>
                    <w:rPr>
                      <w:color w:val="auto"/>
                      <w:sz w:val="18"/>
                      <w:szCs w:val="18"/>
                    </w:rPr>
                  </w:pPr>
                  <w:r>
                    <w:rPr>
                      <w:color w:val="auto"/>
                      <w:sz w:val="18"/>
                      <w:szCs w:val="18"/>
                    </w:rPr>
                    <w:t>文件要求</w:t>
                  </w:r>
                </w:p>
              </w:tc>
              <w:tc>
                <w:tcPr>
                  <w:tcW w:w="3021" w:type="dxa"/>
                  <w:vAlign w:val="center"/>
                </w:tcPr>
                <w:p w14:paraId="453CF4AE">
                  <w:pPr>
                    <w:pStyle w:val="60"/>
                    <w:rPr>
                      <w:color w:val="auto"/>
                      <w:sz w:val="18"/>
                      <w:szCs w:val="18"/>
                    </w:rPr>
                  </w:pPr>
                  <w:r>
                    <w:rPr>
                      <w:color w:val="auto"/>
                      <w:sz w:val="18"/>
                      <w:szCs w:val="18"/>
                    </w:rPr>
                    <w:t>本项目情况</w:t>
                  </w:r>
                </w:p>
              </w:tc>
              <w:tc>
                <w:tcPr>
                  <w:tcW w:w="673" w:type="dxa"/>
                  <w:vAlign w:val="center"/>
                </w:tcPr>
                <w:p w14:paraId="4E839C97">
                  <w:pPr>
                    <w:pStyle w:val="60"/>
                    <w:rPr>
                      <w:color w:val="auto"/>
                      <w:sz w:val="18"/>
                      <w:szCs w:val="18"/>
                    </w:rPr>
                  </w:pPr>
                  <w:r>
                    <w:rPr>
                      <w:color w:val="auto"/>
                      <w:sz w:val="18"/>
                      <w:szCs w:val="18"/>
                    </w:rPr>
                    <w:t>符合性</w:t>
                  </w:r>
                </w:p>
              </w:tc>
            </w:tr>
            <w:tr w14:paraId="00D2E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369" w:type="dxa"/>
                  <w:gridSpan w:val="3"/>
                  <w:vAlign w:val="center"/>
                </w:tcPr>
                <w:p w14:paraId="788E294A">
                  <w:pPr>
                    <w:pStyle w:val="60"/>
                    <w:jc w:val="both"/>
                    <w:rPr>
                      <w:color w:val="auto"/>
                      <w:sz w:val="18"/>
                      <w:szCs w:val="18"/>
                    </w:rPr>
                  </w:pPr>
                  <w:r>
                    <w:rPr>
                      <w:rFonts w:hint="eastAsia"/>
                      <w:color w:val="auto"/>
                      <w:sz w:val="18"/>
                      <w:szCs w:val="18"/>
                    </w:rPr>
                    <w:t>二、优化产业结构，促进产业产品绿色升级</w:t>
                  </w:r>
                </w:p>
              </w:tc>
            </w:tr>
            <w:tr w14:paraId="5B502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675" w:type="dxa"/>
                  <w:vAlign w:val="center"/>
                </w:tcPr>
                <w:p w14:paraId="4DB07814">
                  <w:pPr>
                    <w:pStyle w:val="60"/>
                    <w:jc w:val="both"/>
                    <w:rPr>
                      <w:color w:val="auto"/>
                      <w:sz w:val="18"/>
                      <w:szCs w:val="18"/>
                    </w:rPr>
                  </w:pPr>
                  <w:r>
                    <w:rPr>
                      <w:rFonts w:hint="eastAsia"/>
                      <w:color w:val="auto"/>
                      <w:sz w:val="18"/>
                      <w:szCs w:val="18"/>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r>
                    <w:rPr>
                      <w:color w:val="auto"/>
                      <w:sz w:val="18"/>
                      <w:szCs w:val="18"/>
                    </w:rPr>
                    <w:t>……</w:t>
                  </w:r>
                </w:p>
              </w:tc>
              <w:tc>
                <w:tcPr>
                  <w:tcW w:w="3021" w:type="dxa"/>
                  <w:vAlign w:val="center"/>
                </w:tcPr>
                <w:p w14:paraId="05FB844A">
                  <w:pPr>
                    <w:pStyle w:val="60"/>
                    <w:jc w:val="both"/>
                    <w:rPr>
                      <w:color w:val="auto"/>
                      <w:sz w:val="18"/>
                      <w:szCs w:val="18"/>
                    </w:rPr>
                  </w:pPr>
                  <w:r>
                    <w:rPr>
                      <w:rFonts w:hint="eastAsia"/>
                      <w:color w:val="auto"/>
                      <w:sz w:val="18"/>
                      <w:szCs w:val="18"/>
                    </w:rPr>
                    <w:t>本项目建设符合国家产业政策要求，符合淄博市</w:t>
                  </w:r>
                  <w:r>
                    <w:rPr>
                      <w:rFonts w:hint="eastAsia" w:hAnsi="宋体"/>
                      <w:bCs/>
                      <w:color w:val="auto"/>
                      <w:sz w:val="18"/>
                      <w:szCs w:val="18"/>
                    </w:rPr>
                    <w:t>“三线一单”生态环境分区管控方案、</w:t>
                  </w:r>
                  <w:r>
                    <w:rPr>
                      <w:rFonts w:hint="eastAsia" w:hAnsi="宋体"/>
                      <w:bCs/>
                      <w:color w:val="auto"/>
                      <w:sz w:val="18"/>
                      <w:szCs w:val="18"/>
                      <w:lang w:val="en-US" w:eastAsia="zh-CN"/>
                    </w:rPr>
                    <w:t>朱台镇工业集聚区</w:t>
                  </w:r>
                  <w:r>
                    <w:rPr>
                      <w:rFonts w:hint="eastAsia" w:hAnsi="宋体"/>
                      <w:bCs/>
                      <w:color w:val="auto"/>
                      <w:sz w:val="18"/>
                      <w:szCs w:val="18"/>
                    </w:rPr>
                    <w:t>总体发展规划要求，项目拟严格落实环评、节能审查、重点污染物总量控制、</w:t>
                  </w:r>
                  <w:r>
                    <w:rPr>
                      <w:rFonts w:hint="eastAsia"/>
                      <w:color w:val="auto"/>
                      <w:sz w:val="18"/>
                      <w:szCs w:val="18"/>
                    </w:rPr>
                    <w:t>污染物排放区域削减等要求；项目</w:t>
                  </w:r>
                  <w:r>
                    <w:rPr>
                      <w:color w:val="auto"/>
                      <w:sz w:val="18"/>
                      <w:szCs w:val="18"/>
                    </w:rPr>
                    <w:t>汽车运输采用国五及以上排放标准的汽车或新能源汽车。</w:t>
                  </w:r>
                </w:p>
              </w:tc>
              <w:tc>
                <w:tcPr>
                  <w:tcW w:w="673" w:type="dxa"/>
                  <w:vAlign w:val="center"/>
                </w:tcPr>
                <w:p w14:paraId="1D0EC960">
                  <w:pPr>
                    <w:pStyle w:val="60"/>
                    <w:rPr>
                      <w:color w:val="auto"/>
                      <w:sz w:val="18"/>
                      <w:szCs w:val="18"/>
                    </w:rPr>
                  </w:pPr>
                  <w:r>
                    <w:rPr>
                      <w:rFonts w:hint="eastAsia"/>
                      <w:color w:val="auto"/>
                      <w:sz w:val="18"/>
                      <w:szCs w:val="18"/>
                    </w:rPr>
                    <w:t>符合</w:t>
                  </w:r>
                </w:p>
              </w:tc>
            </w:tr>
            <w:tr w14:paraId="5FA4B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675" w:type="dxa"/>
                  <w:vAlign w:val="center"/>
                </w:tcPr>
                <w:p w14:paraId="06D4E135">
                  <w:pPr>
                    <w:pStyle w:val="60"/>
                    <w:jc w:val="both"/>
                    <w:rPr>
                      <w:color w:val="auto"/>
                      <w:sz w:val="18"/>
                      <w:szCs w:val="18"/>
                    </w:rPr>
                  </w:pPr>
                  <w:r>
                    <w:rPr>
                      <w:rFonts w:hint="eastAsia"/>
                      <w:color w:val="auto"/>
                      <w:sz w:val="18"/>
                      <w:szCs w:val="18"/>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021" w:type="dxa"/>
                  <w:vAlign w:val="center"/>
                </w:tcPr>
                <w:p w14:paraId="2FD0670D">
                  <w:pPr>
                    <w:pStyle w:val="60"/>
                    <w:jc w:val="both"/>
                    <w:rPr>
                      <w:color w:val="auto"/>
                      <w:sz w:val="18"/>
                      <w:szCs w:val="18"/>
                    </w:rPr>
                  </w:pPr>
                  <w:r>
                    <w:rPr>
                      <w:rFonts w:hint="eastAsia"/>
                      <w:color w:val="auto"/>
                      <w:sz w:val="18"/>
                      <w:szCs w:val="18"/>
                    </w:rPr>
                    <w:t>本项目不属于《产业结构调整指导目录（2024年本）》中“限制类”和“淘汰类”项目。</w:t>
                  </w:r>
                </w:p>
              </w:tc>
              <w:tc>
                <w:tcPr>
                  <w:tcW w:w="673" w:type="dxa"/>
                  <w:vAlign w:val="center"/>
                </w:tcPr>
                <w:p w14:paraId="690E2B6C">
                  <w:pPr>
                    <w:pStyle w:val="60"/>
                    <w:rPr>
                      <w:color w:val="auto"/>
                      <w:sz w:val="18"/>
                      <w:szCs w:val="18"/>
                    </w:rPr>
                  </w:pPr>
                  <w:r>
                    <w:rPr>
                      <w:rFonts w:hint="eastAsia"/>
                      <w:color w:val="auto"/>
                      <w:sz w:val="18"/>
                      <w:szCs w:val="18"/>
                    </w:rPr>
                    <w:t>符合</w:t>
                  </w:r>
                </w:p>
              </w:tc>
            </w:tr>
            <w:tr w14:paraId="737E1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369" w:type="dxa"/>
                  <w:gridSpan w:val="3"/>
                  <w:vAlign w:val="center"/>
                </w:tcPr>
                <w:p w14:paraId="476E74A7">
                  <w:pPr>
                    <w:pStyle w:val="60"/>
                    <w:jc w:val="both"/>
                    <w:rPr>
                      <w:color w:val="auto"/>
                      <w:sz w:val="18"/>
                      <w:szCs w:val="18"/>
                    </w:rPr>
                  </w:pPr>
                  <w:r>
                    <w:rPr>
                      <w:rFonts w:hint="eastAsia"/>
                      <w:color w:val="auto"/>
                      <w:sz w:val="18"/>
                      <w:szCs w:val="18"/>
                    </w:rPr>
                    <w:t>三、优化能源结构，加速能源清洁低碳高效发展</w:t>
                  </w:r>
                </w:p>
              </w:tc>
            </w:tr>
            <w:tr w14:paraId="360CB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675" w:type="dxa"/>
                  <w:vAlign w:val="center"/>
                </w:tcPr>
                <w:p w14:paraId="135AC4CE">
                  <w:pPr>
                    <w:pStyle w:val="60"/>
                    <w:jc w:val="both"/>
                    <w:rPr>
                      <w:color w:val="auto"/>
                      <w:sz w:val="18"/>
                      <w:szCs w:val="18"/>
                    </w:rPr>
                  </w:pPr>
                  <w:r>
                    <w:rPr>
                      <w:rFonts w:hint="eastAsia"/>
                      <w:color w:val="auto"/>
                      <w:sz w:val="18"/>
                      <w:szCs w:val="18"/>
                    </w:rPr>
                    <w:t>（九）大力发展新能源和清洁能源。</w:t>
                  </w:r>
                  <w:r>
                    <w:rPr>
                      <w:color w:val="auto"/>
                      <w:sz w:val="18"/>
                      <w:szCs w:val="18"/>
                    </w:rPr>
                    <w:t>……</w:t>
                  </w:r>
                </w:p>
                <w:p w14:paraId="4B6CDF33">
                  <w:pPr>
                    <w:pStyle w:val="60"/>
                    <w:jc w:val="both"/>
                    <w:rPr>
                      <w:color w:val="auto"/>
                      <w:sz w:val="18"/>
                      <w:szCs w:val="18"/>
                    </w:rPr>
                  </w:pPr>
                  <w:r>
                    <w:rPr>
                      <w:rFonts w:hint="eastAsia"/>
                      <w:color w:val="auto"/>
                      <w:sz w:val="18"/>
                      <w:szCs w:val="18"/>
                    </w:rPr>
                    <w:t>（十）严格合理控制煤炭消费总量。</w:t>
                  </w:r>
                  <w:r>
                    <w:rPr>
                      <w:color w:val="auto"/>
                      <w:sz w:val="18"/>
                      <w:szCs w:val="18"/>
                    </w:rPr>
                    <w:t>……</w:t>
                  </w:r>
                </w:p>
                <w:p w14:paraId="7EB7A534">
                  <w:pPr>
                    <w:pStyle w:val="60"/>
                    <w:jc w:val="both"/>
                    <w:rPr>
                      <w:color w:val="auto"/>
                      <w:sz w:val="18"/>
                      <w:szCs w:val="18"/>
                    </w:rPr>
                  </w:pPr>
                  <w:r>
                    <w:rPr>
                      <w:rFonts w:hint="eastAsia"/>
                      <w:color w:val="auto"/>
                      <w:sz w:val="18"/>
                      <w:szCs w:val="18"/>
                    </w:rPr>
                    <w:t>（十一）积极开展燃煤锅炉关停整合。</w:t>
                  </w:r>
                  <w:r>
                    <w:rPr>
                      <w:color w:val="auto"/>
                      <w:sz w:val="18"/>
                      <w:szCs w:val="18"/>
                    </w:rPr>
                    <w:t>……</w:t>
                  </w:r>
                </w:p>
                <w:p w14:paraId="74421090">
                  <w:pPr>
                    <w:pStyle w:val="60"/>
                    <w:jc w:val="both"/>
                    <w:rPr>
                      <w:color w:val="auto"/>
                      <w:sz w:val="18"/>
                      <w:szCs w:val="18"/>
                    </w:rPr>
                  </w:pPr>
                  <w:r>
                    <w:rPr>
                      <w:rFonts w:hint="eastAsia"/>
                      <w:color w:val="auto"/>
                      <w:sz w:val="18"/>
                      <w:szCs w:val="18"/>
                    </w:rPr>
                    <w:t>（十二）实施工业炉窑清洁能源替代。</w:t>
                  </w:r>
                  <w:r>
                    <w:rPr>
                      <w:color w:val="auto"/>
                      <w:sz w:val="18"/>
                      <w:szCs w:val="18"/>
                    </w:rPr>
                    <w:t>……</w:t>
                  </w:r>
                </w:p>
              </w:tc>
              <w:tc>
                <w:tcPr>
                  <w:tcW w:w="3021" w:type="dxa"/>
                  <w:vAlign w:val="center"/>
                </w:tcPr>
                <w:p w14:paraId="2582517C">
                  <w:pPr>
                    <w:pStyle w:val="60"/>
                    <w:jc w:val="both"/>
                    <w:rPr>
                      <w:color w:val="auto"/>
                      <w:sz w:val="18"/>
                      <w:szCs w:val="18"/>
                    </w:rPr>
                  </w:pPr>
                  <w:r>
                    <w:rPr>
                      <w:rFonts w:hint="eastAsia"/>
                      <w:color w:val="auto"/>
                      <w:sz w:val="18"/>
                      <w:szCs w:val="18"/>
                    </w:rPr>
                    <w:t>本项目不涉及煤炭消耗。</w:t>
                  </w:r>
                </w:p>
              </w:tc>
              <w:tc>
                <w:tcPr>
                  <w:tcW w:w="673" w:type="dxa"/>
                  <w:vAlign w:val="center"/>
                </w:tcPr>
                <w:p w14:paraId="137CCE8D">
                  <w:pPr>
                    <w:pStyle w:val="60"/>
                    <w:rPr>
                      <w:color w:val="auto"/>
                      <w:sz w:val="18"/>
                      <w:szCs w:val="18"/>
                    </w:rPr>
                  </w:pPr>
                  <w:r>
                    <w:rPr>
                      <w:rFonts w:hint="eastAsia"/>
                      <w:color w:val="auto"/>
                      <w:sz w:val="18"/>
                      <w:szCs w:val="18"/>
                    </w:rPr>
                    <w:t>符合</w:t>
                  </w:r>
                </w:p>
              </w:tc>
            </w:tr>
            <w:tr w14:paraId="2839D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369" w:type="dxa"/>
                  <w:gridSpan w:val="3"/>
                  <w:vAlign w:val="center"/>
                </w:tcPr>
                <w:p w14:paraId="7A97AFA2">
                  <w:pPr>
                    <w:pStyle w:val="60"/>
                    <w:jc w:val="both"/>
                    <w:rPr>
                      <w:color w:val="auto"/>
                      <w:sz w:val="18"/>
                      <w:szCs w:val="18"/>
                    </w:rPr>
                  </w:pPr>
                  <w:r>
                    <w:rPr>
                      <w:rFonts w:hint="eastAsia"/>
                      <w:color w:val="auto"/>
                      <w:sz w:val="18"/>
                      <w:szCs w:val="18"/>
                    </w:rPr>
                    <w:t>五、强化面源污染治理，提升精细化管理水平</w:t>
                  </w:r>
                </w:p>
              </w:tc>
            </w:tr>
            <w:tr w14:paraId="0AE13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675" w:type="dxa"/>
                  <w:vAlign w:val="center"/>
                </w:tcPr>
                <w:p w14:paraId="076BCE2D">
                  <w:pPr>
                    <w:pStyle w:val="60"/>
                    <w:jc w:val="both"/>
                    <w:rPr>
                      <w:color w:val="auto"/>
                      <w:sz w:val="18"/>
                      <w:szCs w:val="18"/>
                    </w:rPr>
                  </w:pPr>
                  <w:r>
                    <w:rPr>
                      <w:rFonts w:hint="eastAsia"/>
                      <w:color w:val="auto"/>
                      <w:sz w:val="18"/>
                      <w:szCs w:val="18"/>
                    </w:rPr>
                    <w:t>（十八）深化扬尘污染综合治理。鼓励经济发达地区5000平方米及以上建筑工地安装视频监控并接入当地监管平台；重点区域道路、水务等长距离线性工程实行分段施工。将防治扬尘污染费用纳入工程造价。</w:t>
                  </w:r>
                  <w:r>
                    <w:rPr>
                      <w:color w:val="auto"/>
                      <w:sz w:val="18"/>
                      <w:szCs w:val="18"/>
                    </w:rPr>
                    <w:t>……</w:t>
                  </w:r>
                </w:p>
              </w:tc>
              <w:tc>
                <w:tcPr>
                  <w:tcW w:w="3021" w:type="dxa"/>
                  <w:vAlign w:val="center"/>
                </w:tcPr>
                <w:p w14:paraId="4DD14DE4">
                  <w:pPr>
                    <w:pStyle w:val="60"/>
                    <w:jc w:val="both"/>
                    <w:rPr>
                      <w:color w:val="auto"/>
                      <w:sz w:val="18"/>
                      <w:szCs w:val="18"/>
                    </w:rPr>
                  </w:pPr>
                  <w:r>
                    <w:rPr>
                      <w:rFonts w:hint="eastAsia"/>
                      <w:color w:val="auto"/>
                      <w:sz w:val="18"/>
                      <w:szCs w:val="18"/>
                    </w:rPr>
                    <w:t>项目施工期拟严格按照相关要求做好施工扬尘精细化管控措施，并将防治扬尘污染费用纳入工程造价。</w:t>
                  </w:r>
                </w:p>
              </w:tc>
              <w:tc>
                <w:tcPr>
                  <w:tcW w:w="673" w:type="dxa"/>
                  <w:vAlign w:val="center"/>
                </w:tcPr>
                <w:p w14:paraId="71A610D9">
                  <w:pPr>
                    <w:pStyle w:val="60"/>
                    <w:rPr>
                      <w:color w:val="auto"/>
                      <w:sz w:val="18"/>
                      <w:szCs w:val="18"/>
                    </w:rPr>
                  </w:pPr>
                  <w:r>
                    <w:rPr>
                      <w:rFonts w:hint="eastAsia"/>
                      <w:color w:val="auto"/>
                      <w:sz w:val="18"/>
                      <w:szCs w:val="18"/>
                    </w:rPr>
                    <w:t>符合</w:t>
                  </w:r>
                </w:p>
              </w:tc>
            </w:tr>
            <w:tr w14:paraId="1737C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8369" w:type="dxa"/>
                  <w:gridSpan w:val="3"/>
                  <w:vAlign w:val="center"/>
                </w:tcPr>
                <w:p w14:paraId="3D4B9249">
                  <w:pPr>
                    <w:pStyle w:val="60"/>
                    <w:jc w:val="both"/>
                    <w:rPr>
                      <w:color w:val="auto"/>
                      <w:sz w:val="18"/>
                      <w:szCs w:val="18"/>
                    </w:rPr>
                  </w:pPr>
                  <w:r>
                    <w:rPr>
                      <w:rFonts w:hint="eastAsia"/>
                      <w:color w:val="auto"/>
                      <w:sz w:val="18"/>
                      <w:szCs w:val="18"/>
                    </w:rPr>
                    <w:t>六、强化多污染物减排，切实降低排放强度</w:t>
                  </w:r>
                </w:p>
              </w:tc>
            </w:tr>
            <w:tr w14:paraId="44B85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675" w:type="dxa"/>
                  <w:vAlign w:val="center"/>
                </w:tcPr>
                <w:p w14:paraId="67A690EA">
                  <w:pPr>
                    <w:pStyle w:val="60"/>
                    <w:jc w:val="both"/>
                    <w:rPr>
                      <w:color w:val="auto"/>
                      <w:sz w:val="18"/>
                      <w:szCs w:val="18"/>
                    </w:rPr>
                  </w:pPr>
                  <w:r>
                    <w:rPr>
                      <w:rFonts w:hint="eastAsia"/>
                      <w:color w:val="auto"/>
                      <w:sz w:val="18"/>
                      <w:szCs w:val="18"/>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3021" w:type="dxa"/>
                  <w:vAlign w:val="center"/>
                </w:tcPr>
                <w:p w14:paraId="7C123F44">
                  <w:pPr>
                    <w:pStyle w:val="60"/>
                    <w:jc w:val="both"/>
                    <w:rPr>
                      <w:color w:val="auto"/>
                      <w:sz w:val="18"/>
                      <w:szCs w:val="18"/>
                    </w:rPr>
                  </w:pPr>
                  <w:r>
                    <w:rPr>
                      <w:rFonts w:hint="eastAsia"/>
                      <w:color w:val="auto"/>
                      <w:sz w:val="18"/>
                      <w:szCs w:val="18"/>
                    </w:rPr>
                    <w:t>项目储罐拟采用低泄漏的呼吸阀、紧急泄压阀，并定期开展LDAR泄漏检测与修复。项目对开停工、检维修期间的VOCs废气进行收集处理。项目不设火炬燃烧装置。</w:t>
                  </w:r>
                </w:p>
              </w:tc>
              <w:tc>
                <w:tcPr>
                  <w:tcW w:w="673" w:type="dxa"/>
                  <w:vAlign w:val="center"/>
                </w:tcPr>
                <w:p w14:paraId="631200DF">
                  <w:pPr>
                    <w:pStyle w:val="60"/>
                    <w:rPr>
                      <w:color w:val="auto"/>
                      <w:sz w:val="18"/>
                      <w:szCs w:val="18"/>
                    </w:rPr>
                  </w:pPr>
                  <w:r>
                    <w:rPr>
                      <w:rFonts w:hint="eastAsia"/>
                      <w:color w:val="auto"/>
                      <w:sz w:val="18"/>
                      <w:szCs w:val="18"/>
                    </w:rPr>
                    <w:t>符合</w:t>
                  </w:r>
                </w:p>
              </w:tc>
            </w:tr>
          </w:tbl>
          <w:p w14:paraId="01793A79">
            <w:pPr>
              <w:snapToGrid w:val="0"/>
              <w:spacing w:line="480" w:lineRule="exact"/>
              <w:ind w:firstLine="420" w:firstLineChars="200"/>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根据上表，项目建设符合《空气质量持续改善行动计划》相关要求。</w:t>
            </w:r>
          </w:p>
          <w:p w14:paraId="5006FF8F">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6、与《山东省工业企业无组织排放分行业管控指导意见》（鲁环发[2020]30号）符合性分析</w:t>
            </w:r>
          </w:p>
          <w:p w14:paraId="7E2C5DA0">
            <w:pPr>
              <w:pStyle w:val="41"/>
              <w:spacing w:before="120" w:beforeLines="50" w:afterLines="0" w:line="240" w:lineRule="auto"/>
              <w:rPr>
                <w:rFonts w:hint="eastAsia" w:ascii="Times New Roman" w:hAnsi="Times New Roman" w:eastAsia="宋体" w:cs="Times New Roman"/>
                <w:b/>
                <w:bCs/>
                <w:color w:val="auto"/>
                <w:kern w:val="2"/>
                <w:lang w:val="en-US"/>
              </w:rPr>
            </w:pPr>
            <w:r>
              <w:rPr>
                <w:rFonts w:hint="eastAsia" w:ascii="Times New Roman" w:hAnsi="Times New Roman" w:eastAsia="宋体" w:cs="Times New Roman"/>
                <w:b/>
                <w:bCs/>
                <w:color w:val="auto"/>
                <w:kern w:val="2"/>
                <w:lang w:val="en-US"/>
              </w:rPr>
              <w:t>表1-</w:t>
            </w:r>
            <w:r>
              <w:rPr>
                <w:rFonts w:hint="eastAsia" w:ascii="Times New Roman" w:hAnsi="Times New Roman" w:eastAsia="宋体" w:cs="Times New Roman"/>
                <w:b/>
                <w:bCs/>
                <w:color w:val="auto"/>
                <w:kern w:val="2"/>
                <w:lang w:val="en-US" w:eastAsia="zh-CN"/>
              </w:rPr>
              <w:t>11</w:t>
            </w:r>
            <w:r>
              <w:rPr>
                <w:rFonts w:hint="eastAsia" w:ascii="Times New Roman" w:hAnsi="Times New Roman" w:eastAsia="宋体" w:cs="Times New Roman"/>
                <w:b/>
                <w:bCs/>
                <w:color w:val="auto"/>
                <w:kern w:val="2"/>
                <w:lang w:val="en-US"/>
              </w:rPr>
              <w:t xml:space="preserve"> </w:t>
            </w:r>
            <w:r>
              <w:rPr>
                <w:rFonts w:ascii="Times New Roman" w:hAnsi="Times New Roman" w:eastAsia="宋体" w:cs="Times New Roman"/>
                <w:b/>
                <w:bCs/>
                <w:color w:val="auto"/>
                <w:kern w:val="2"/>
                <w:lang w:val="en-US"/>
              </w:rPr>
              <w:t xml:space="preserve"> </w:t>
            </w:r>
            <w:r>
              <w:rPr>
                <w:rFonts w:hint="eastAsia" w:ascii="Times New Roman" w:hAnsi="Times New Roman" w:eastAsia="宋体" w:cs="Times New Roman"/>
                <w:b/>
                <w:bCs/>
                <w:color w:val="auto"/>
                <w:kern w:val="2"/>
                <w:lang w:val="en-US"/>
              </w:rPr>
              <w:t>与鲁环发[2020]30号符合性分析</w:t>
            </w:r>
          </w:p>
          <w:tbl>
            <w:tblPr>
              <w:tblStyle w:val="22"/>
              <w:tblW w:w="842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72"/>
              <w:gridCol w:w="4956"/>
              <w:gridCol w:w="2195"/>
              <w:gridCol w:w="700"/>
            </w:tblGrid>
            <w:tr w14:paraId="43ADDD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tblHeader/>
                <w:jc w:val="center"/>
              </w:trPr>
              <w:tc>
                <w:tcPr>
                  <w:tcW w:w="572" w:type="dxa"/>
                  <w:tcBorders>
                    <w:top w:val="single" w:color="auto" w:sz="12" w:space="0"/>
                    <w:left w:val="nil"/>
                    <w:bottom w:val="single" w:color="auto" w:sz="2" w:space="0"/>
                    <w:right w:val="single" w:color="auto" w:sz="2" w:space="0"/>
                  </w:tcBorders>
                  <w:vAlign w:val="center"/>
                </w:tcPr>
                <w:p w14:paraId="59E3F336">
                  <w:pPr>
                    <w:pStyle w:val="60"/>
                    <w:rPr>
                      <w:b/>
                      <w:bCs/>
                      <w:color w:val="auto"/>
                      <w:sz w:val="18"/>
                      <w:szCs w:val="18"/>
                    </w:rPr>
                  </w:pPr>
                  <w:r>
                    <w:rPr>
                      <w:rFonts w:hint="eastAsia"/>
                      <w:b/>
                      <w:bCs/>
                      <w:color w:val="auto"/>
                      <w:sz w:val="18"/>
                      <w:szCs w:val="18"/>
                    </w:rPr>
                    <w:t>序号</w:t>
                  </w:r>
                </w:p>
              </w:tc>
              <w:tc>
                <w:tcPr>
                  <w:tcW w:w="4956" w:type="dxa"/>
                  <w:tcBorders>
                    <w:top w:val="single" w:color="auto" w:sz="12" w:space="0"/>
                    <w:left w:val="single" w:color="auto" w:sz="2" w:space="0"/>
                    <w:bottom w:val="single" w:color="auto" w:sz="2" w:space="0"/>
                    <w:right w:val="single" w:color="auto" w:sz="2" w:space="0"/>
                  </w:tcBorders>
                  <w:vAlign w:val="center"/>
                </w:tcPr>
                <w:p w14:paraId="18F655E8">
                  <w:pPr>
                    <w:pStyle w:val="60"/>
                    <w:rPr>
                      <w:b/>
                      <w:bCs/>
                      <w:color w:val="auto"/>
                      <w:sz w:val="18"/>
                      <w:szCs w:val="18"/>
                    </w:rPr>
                  </w:pPr>
                  <w:r>
                    <w:rPr>
                      <w:rFonts w:hint="eastAsia"/>
                      <w:b/>
                      <w:bCs/>
                      <w:color w:val="auto"/>
                      <w:sz w:val="18"/>
                      <w:szCs w:val="18"/>
                    </w:rPr>
                    <w:t>指导意见要求</w:t>
                  </w:r>
                </w:p>
              </w:tc>
              <w:tc>
                <w:tcPr>
                  <w:tcW w:w="2195" w:type="dxa"/>
                  <w:tcBorders>
                    <w:top w:val="single" w:color="auto" w:sz="12" w:space="0"/>
                    <w:left w:val="single" w:color="auto" w:sz="2" w:space="0"/>
                    <w:bottom w:val="single" w:color="auto" w:sz="2" w:space="0"/>
                    <w:right w:val="single" w:color="auto" w:sz="2" w:space="0"/>
                  </w:tcBorders>
                  <w:vAlign w:val="center"/>
                </w:tcPr>
                <w:p w14:paraId="3D4A5F5A">
                  <w:pPr>
                    <w:pStyle w:val="60"/>
                    <w:rPr>
                      <w:b/>
                      <w:bCs/>
                      <w:color w:val="auto"/>
                      <w:sz w:val="18"/>
                      <w:szCs w:val="18"/>
                    </w:rPr>
                  </w:pPr>
                  <w:r>
                    <w:rPr>
                      <w:rFonts w:hint="eastAsia"/>
                      <w:b/>
                      <w:bCs/>
                      <w:color w:val="auto"/>
                      <w:sz w:val="18"/>
                      <w:szCs w:val="18"/>
                    </w:rPr>
                    <w:t>本项目情况</w:t>
                  </w:r>
                </w:p>
              </w:tc>
              <w:tc>
                <w:tcPr>
                  <w:tcW w:w="700" w:type="dxa"/>
                  <w:tcBorders>
                    <w:top w:val="single" w:color="auto" w:sz="12" w:space="0"/>
                    <w:left w:val="single" w:color="auto" w:sz="2" w:space="0"/>
                    <w:bottom w:val="single" w:color="auto" w:sz="2" w:space="0"/>
                    <w:right w:val="nil"/>
                  </w:tcBorders>
                  <w:vAlign w:val="center"/>
                </w:tcPr>
                <w:p w14:paraId="6938D0C4">
                  <w:pPr>
                    <w:pStyle w:val="60"/>
                    <w:rPr>
                      <w:b/>
                      <w:bCs/>
                      <w:color w:val="auto"/>
                      <w:sz w:val="18"/>
                      <w:szCs w:val="18"/>
                    </w:rPr>
                  </w:pPr>
                  <w:r>
                    <w:rPr>
                      <w:rFonts w:hint="eastAsia"/>
                      <w:b/>
                      <w:bCs/>
                      <w:color w:val="auto"/>
                      <w:sz w:val="18"/>
                      <w:szCs w:val="18"/>
                    </w:rPr>
                    <w:t>符合性</w:t>
                  </w:r>
                </w:p>
              </w:tc>
            </w:tr>
            <w:tr w14:paraId="6C670A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72" w:type="dxa"/>
                  <w:tcBorders>
                    <w:top w:val="single" w:color="auto" w:sz="2" w:space="0"/>
                    <w:left w:val="nil"/>
                    <w:bottom w:val="single" w:color="auto" w:sz="2" w:space="0"/>
                    <w:right w:val="single" w:color="auto" w:sz="2" w:space="0"/>
                  </w:tcBorders>
                  <w:vAlign w:val="center"/>
                </w:tcPr>
                <w:p w14:paraId="141F6F29">
                  <w:pPr>
                    <w:pStyle w:val="60"/>
                    <w:rPr>
                      <w:color w:val="auto"/>
                      <w:sz w:val="18"/>
                      <w:szCs w:val="18"/>
                    </w:rPr>
                  </w:pPr>
                  <w:r>
                    <w:rPr>
                      <w:rFonts w:hint="eastAsia"/>
                      <w:color w:val="auto"/>
                      <w:sz w:val="18"/>
                      <w:szCs w:val="18"/>
                    </w:rPr>
                    <w:t>（一）</w:t>
                  </w:r>
                </w:p>
              </w:tc>
              <w:tc>
                <w:tcPr>
                  <w:tcW w:w="4956" w:type="dxa"/>
                  <w:tcBorders>
                    <w:top w:val="single" w:color="auto" w:sz="2" w:space="0"/>
                    <w:left w:val="single" w:color="auto" w:sz="2" w:space="0"/>
                    <w:bottom w:val="single" w:color="auto" w:sz="2" w:space="0"/>
                    <w:right w:val="single" w:color="auto" w:sz="2" w:space="0"/>
                  </w:tcBorders>
                  <w:vAlign w:val="center"/>
                </w:tcPr>
                <w:p w14:paraId="14F821BF">
                  <w:pPr>
                    <w:pStyle w:val="60"/>
                    <w:jc w:val="both"/>
                    <w:rPr>
                      <w:color w:val="auto"/>
                      <w:sz w:val="18"/>
                      <w:szCs w:val="18"/>
                    </w:rPr>
                  </w:pPr>
                  <w:r>
                    <w:rPr>
                      <w:rFonts w:hint="eastAsia"/>
                      <w:color w:val="auto"/>
                      <w:sz w:val="18"/>
                      <w:szCs w:val="18"/>
                    </w:rPr>
                    <w:t>加强物料运输、装卸环节管控。煤粉、粉煤灰、石灰、除尘灰、脱硫灰、原料药等粉状物料采用管状带式输送机、气力输送、真空罐车、密闭车厢等密闭方式运输；砂石、矿石、煤、铁精矿、脱硫石膏等块状、粒状或粘湿物料采用皮带通廊、封闭车厢等封闭方式运输或苫盖严密，防止沿途抛洒和飞扬。料场或厂区出入口配备车辆清洗装置或采取其他控制措施，确保出场车辆清洁、运输不起尘。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挥发性有机液体装车采用顶部浸没式或底部装载，严禁喷溅，运输相关产品的车辆具备油气回收接口。</w:t>
                  </w:r>
                </w:p>
              </w:tc>
              <w:tc>
                <w:tcPr>
                  <w:tcW w:w="2195" w:type="dxa"/>
                  <w:tcBorders>
                    <w:top w:val="single" w:color="auto" w:sz="2" w:space="0"/>
                    <w:left w:val="single" w:color="auto" w:sz="2" w:space="0"/>
                    <w:bottom w:val="single" w:color="auto" w:sz="2" w:space="0"/>
                    <w:right w:val="single" w:color="auto" w:sz="2" w:space="0"/>
                  </w:tcBorders>
                  <w:vAlign w:val="center"/>
                </w:tcPr>
                <w:p w14:paraId="0E334DCE">
                  <w:pPr>
                    <w:pStyle w:val="60"/>
                    <w:jc w:val="both"/>
                    <w:rPr>
                      <w:color w:val="auto"/>
                      <w:sz w:val="18"/>
                      <w:szCs w:val="18"/>
                    </w:rPr>
                  </w:pPr>
                  <w:r>
                    <w:rPr>
                      <w:rFonts w:hint="eastAsia"/>
                      <w:color w:val="auto"/>
                      <w:sz w:val="18"/>
                      <w:szCs w:val="18"/>
                    </w:rPr>
                    <w:t>项目厂区道路硬化，平整无破损、无积尘，厂区无裸露空地，闲置裸露空地及时绿化或硬化，厂区道路定期洒水清扫；含VOC</w:t>
                  </w:r>
                  <w:r>
                    <w:rPr>
                      <w:rFonts w:hint="eastAsia"/>
                      <w:color w:val="auto"/>
                      <w:sz w:val="18"/>
                      <w:szCs w:val="18"/>
                      <w:vertAlign w:val="subscript"/>
                    </w:rPr>
                    <w:t>S</w:t>
                  </w:r>
                  <w:r>
                    <w:rPr>
                      <w:rFonts w:hint="eastAsia"/>
                      <w:color w:val="auto"/>
                      <w:sz w:val="18"/>
                      <w:szCs w:val="18"/>
                    </w:rPr>
                    <w:t>物料装车采取底部装载方式，废气经收集处理后排放。</w:t>
                  </w:r>
                </w:p>
              </w:tc>
              <w:tc>
                <w:tcPr>
                  <w:tcW w:w="700" w:type="dxa"/>
                  <w:tcBorders>
                    <w:top w:val="single" w:color="auto" w:sz="2" w:space="0"/>
                    <w:left w:val="single" w:color="auto" w:sz="2" w:space="0"/>
                    <w:bottom w:val="single" w:color="auto" w:sz="2" w:space="0"/>
                    <w:right w:val="nil"/>
                  </w:tcBorders>
                  <w:vAlign w:val="center"/>
                </w:tcPr>
                <w:p w14:paraId="613C9683">
                  <w:pPr>
                    <w:pStyle w:val="60"/>
                    <w:rPr>
                      <w:color w:val="auto"/>
                      <w:sz w:val="18"/>
                      <w:szCs w:val="18"/>
                    </w:rPr>
                  </w:pPr>
                  <w:r>
                    <w:rPr>
                      <w:rFonts w:hint="eastAsia"/>
                      <w:color w:val="auto"/>
                      <w:sz w:val="18"/>
                      <w:szCs w:val="18"/>
                    </w:rPr>
                    <w:t>符合</w:t>
                  </w:r>
                </w:p>
              </w:tc>
            </w:tr>
            <w:tr w14:paraId="60640E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72" w:type="dxa"/>
                  <w:tcBorders>
                    <w:top w:val="single" w:color="auto" w:sz="2" w:space="0"/>
                    <w:left w:val="nil"/>
                    <w:bottom w:val="single" w:color="auto" w:sz="2" w:space="0"/>
                    <w:right w:val="single" w:color="auto" w:sz="2" w:space="0"/>
                  </w:tcBorders>
                  <w:vAlign w:val="center"/>
                </w:tcPr>
                <w:p w14:paraId="4806D54E">
                  <w:pPr>
                    <w:pStyle w:val="60"/>
                    <w:rPr>
                      <w:color w:val="auto"/>
                      <w:sz w:val="18"/>
                      <w:szCs w:val="18"/>
                    </w:rPr>
                  </w:pPr>
                  <w:r>
                    <w:rPr>
                      <w:rFonts w:hint="eastAsia"/>
                      <w:color w:val="auto"/>
                      <w:sz w:val="18"/>
                      <w:szCs w:val="18"/>
                    </w:rPr>
                    <w:t>（二）</w:t>
                  </w:r>
                </w:p>
              </w:tc>
              <w:tc>
                <w:tcPr>
                  <w:tcW w:w="4956" w:type="dxa"/>
                  <w:tcBorders>
                    <w:top w:val="single" w:color="auto" w:sz="2" w:space="0"/>
                    <w:left w:val="single" w:color="auto" w:sz="2" w:space="0"/>
                    <w:bottom w:val="single" w:color="auto" w:sz="2" w:space="0"/>
                    <w:right w:val="single" w:color="auto" w:sz="2" w:space="0"/>
                  </w:tcBorders>
                  <w:vAlign w:val="center"/>
                </w:tcPr>
                <w:p w14:paraId="4931DAB1">
                  <w:pPr>
                    <w:pStyle w:val="60"/>
                    <w:jc w:val="both"/>
                    <w:rPr>
                      <w:color w:val="auto"/>
                      <w:sz w:val="18"/>
                      <w:szCs w:val="18"/>
                    </w:rPr>
                  </w:pPr>
                  <w:r>
                    <w:rPr>
                      <w:rFonts w:hint="eastAsia"/>
                      <w:color w:val="auto"/>
                      <w:sz w:val="18"/>
                      <w:szCs w:val="18"/>
                    </w:rPr>
                    <w:t>加强物料储存、输送环节管控。煤粉、粉煤灰、石灰、除尘灰、脱硫灰、原料药等粉状物料采用料仓、储罐、容器、包装袋等方式密闭储存，料仓、储罐配置高效除尘设施；采用管状带式输送机、气力输送、真空罐车、密闭车辆等方式输送。砂石、矿石、煤、铁精矿、脱硫石膏等块状、粒状或粘湿物料采用密闭料仓、封闭料棚或建设防风抑尘网等方式进行规范储存，封闭料棚和露天料场内设有喷淋装置，喷淋范围覆盖整个料堆。所储存物料对含水率有严格要求或遇水发生变化的，在料场内安装有效集尘除尘设施。封闭料棚进出口安装封闭性良好且便于开关的卷帘门、推拉门或自动感应门等，无车辆通过时将门关闭。防风抑尘网高度高于料场堆存高度，并对堆存物料进行严密苫盖。块状、粒状或粘湿物料上料口设置在封闭料棚内，采用管状带式输送机、皮带通廊、封闭车辆等方式输送。物料上料、输送、转接、出料和扒渣等过程中的产尘点采取有效抑尘、集尘除尘措施。含挥发性有机物（</w:t>
                  </w:r>
                  <w:r>
                    <w:rPr>
                      <w:color w:val="auto"/>
                      <w:sz w:val="18"/>
                      <w:szCs w:val="18"/>
                    </w:rPr>
                    <w:t>VOCs</w:t>
                  </w:r>
                  <w:r>
                    <w:rPr>
                      <w:rFonts w:hint="eastAsia"/>
                      <w:color w:val="auto"/>
                      <w:sz w:val="18"/>
                      <w:szCs w:val="18"/>
                    </w:rPr>
                    <w:t>）物料储存于密闭容器、包装袋，高效密封储罐，封闭式储库、料仓等；封闭式储库、料仓设置</w:t>
                  </w:r>
                  <w:r>
                    <w:rPr>
                      <w:color w:val="auto"/>
                      <w:sz w:val="18"/>
                      <w:szCs w:val="18"/>
                    </w:rPr>
                    <w:t>VOCs</w:t>
                  </w:r>
                  <w:r>
                    <w:rPr>
                      <w:rFonts w:hint="eastAsia"/>
                      <w:color w:val="auto"/>
                      <w:sz w:val="18"/>
                      <w:szCs w:val="18"/>
                    </w:rPr>
                    <w:t>有效收集治理设施。含</w:t>
                  </w:r>
                  <w:r>
                    <w:rPr>
                      <w:color w:val="auto"/>
                      <w:sz w:val="18"/>
                      <w:szCs w:val="18"/>
                    </w:rPr>
                    <w:t>VOCs</w:t>
                  </w:r>
                  <w:r>
                    <w:rPr>
                      <w:rFonts w:hint="eastAsia"/>
                      <w:color w:val="auto"/>
                      <w:sz w:val="18"/>
                      <w:szCs w:val="18"/>
                    </w:rPr>
                    <w:t>物料输送，采用密闭管道或密闭容器、罐车等。</w:t>
                  </w:r>
                </w:p>
              </w:tc>
              <w:tc>
                <w:tcPr>
                  <w:tcW w:w="2195" w:type="dxa"/>
                  <w:tcBorders>
                    <w:top w:val="single" w:color="auto" w:sz="2" w:space="0"/>
                    <w:left w:val="single" w:color="auto" w:sz="2" w:space="0"/>
                    <w:bottom w:val="single" w:color="auto" w:sz="2" w:space="0"/>
                    <w:right w:val="single" w:color="auto" w:sz="2" w:space="0"/>
                  </w:tcBorders>
                  <w:vAlign w:val="center"/>
                </w:tcPr>
                <w:p w14:paraId="189F8B79">
                  <w:pPr>
                    <w:pStyle w:val="60"/>
                    <w:jc w:val="both"/>
                    <w:rPr>
                      <w:color w:val="auto"/>
                      <w:sz w:val="18"/>
                      <w:szCs w:val="18"/>
                    </w:rPr>
                  </w:pPr>
                  <w:r>
                    <w:rPr>
                      <w:rFonts w:hint="eastAsia"/>
                      <w:color w:val="auto"/>
                      <w:sz w:val="18"/>
                      <w:szCs w:val="18"/>
                    </w:rPr>
                    <w:t>项目挥发性物料采用密封储罐储存。装卸、转移和输送环节采用密闭管道或密闭罐车。</w:t>
                  </w:r>
                </w:p>
              </w:tc>
              <w:tc>
                <w:tcPr>
                  <w:tcW w:w="700" w:type="dxa"/>
                  <w:tcBorders>
                    <w:top w:val="single" w:color="auto" w:sz="2" w:space="0"/>
                    <w:left w:val="single" w:color="auto" w:sz="2" w:space="0"/>
                    <w:bottom w:val="single" w:color="auto" w:sz="2" w:space="0"/>
                    <w:right w:val="nil"/>
                  </w:tcBorders>
                  <w:vAlign w:val="center"/>
                </w:tcPr>
                <w:p w14:paraId="3BB66C43">
                  <w:pPr>
                    <w:pStyle w:val="60"/>
                    <w:rPr>
                      <w:color w:val="auto"/>
                      <w:sz w:val="18"/>
                      <w:szCs w:val="18"/>
                    </w:rPr>
                  </w:pPr>
                  <w:r>
                    <w:rPr>
                      <w:rFonts w:hint="eastAsia"/>
                      <w:color w:val="auto"/>
                      <w:sz w:val="18"/>
                      <w:szCs w:val="18"/>
                    </w:rPr>
                    <w:t>符合</w:t>
                  </w:r>
                </w:p>
              </w:tc>
            </w:tr>
            <w:tr w14:paraId="3739FB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72" w:type="dxa"/>
                  <w:tcBorders>
                    <w:top w:val="single" w:color="auto" w:sz="2" w:space="0"/>
                    <w:left w:val="nil"/>
                    <w:bottom w:val="single" w:color="auto" w:sz="2" w:space="0"/>
                    <w:right w:val="single" w:color="auto" w:sz="2" w:space="0"/>
                  </w:tcBorders>
                  <w:vAlign w:val="center"/>
                </w:tcPr>
                <w:p w14:paraId="799B5441">
                  <w:pPr>
                    <w:pStyle w:val="60"/>
                    <w:rPr>
                      <w:color w:val="auto"/>
                      <w:sz w:val="18"/>
                      <w:szCs w:val="18"/>
                    </w:rPr>
                  </w:pPr>
                  <w:r>
                    <w:rPr>
                      <w:rFonts w:hint="eastAsia"/>
                      <w:color w:val="auto"/>
                      <w:sz w:val="18"/>
                      <w:szCs w:val="18"/>
                    </w:rPr>
                    <w:t>（三）</w:t>
                  </w:r>
                </w:p>
              </w:tc>
              <w:tc>
                <w:tcPr>
                  <w:tcW w:w="4956" w:type="dxa"/>
                  <w:tcBorders>
                    <w:top w:val="single" w:color="auto" w:sz="2" w:space="0"/>
                    <w:left w:val="single" w:color="auto" w:sz="2" w:space="0"/>
                    <w:bottom w:val="single" w:color="auto" w:sz="2" w:space="0"/>
                    <w:right w:val="single" w:color="auto" w:sz="2" w:space="0"/>
                  </w:tcBorders>
                  <w:vAlign w:val="center"/>
                </w:tcPr>
                <w:p w14:paraId="56FC3A3F">
                  <w:pPr>
                    <w:pStyle w:val="60"/>
                    <w:jc w:val="both"/>
                    <w:rPr>
                      <w:color w:val="auto"/>
                      <w:sz w:val="18"/>
                      <w:szCs w:val="18"/>
                    </w:rPr>
                  </w:pPr>
                  <w:r>
                    <w:rPr>
                      <w:rFonts w:hint="eastAsia"/>
                      <w:color w:val="auto"/>
                      <w:sz w:val="18"/>
                      <w:szCs w:val="18"/>
                    </w:rPr>
                    <w:t>加强生产环节管控。通过提高工艺自动化和设备密闭化水平，减少生产过程中的无组织排放。生产过程中的产尘点和</w:t>
                  </w:r>
                  <w:r>
                    <w:rPr>
                      <w:color w:val="auto"/>
                      <w:sz w:val="18"/>
                      <w:szCs w:val="18"/>
                    </w:rPr>
                    <w:t>VOCs</w:t>
                  </w:r>
                  <w:r>
                    <w:rPr>
                      <w:rFonts w:hint="eastAsia"/>
                      <w:color w:val="auto"/>
                      <w:sz w:val="18"/>
                      <w:szCs w:val="18"/>
                    </w:rPr>
                    <w:t>产生点密闭、封闭或采取有效收集处理措施。生产设备和废气收集处理设施同步运行，废气收集处理设施发生故障或检修时，停止运行对应的生产设备，待检修完毕后投入使用。生产设备不能停止或不能及时停止运行的，设置废气应急处理设施或采取其他替代措施。生产车间地面及生产设备表面保持清洁，除电子、电气原件外，不得采用压缩空气吹扫等易产生扬尘的清理措施。厂内污水收集、输送、处理，污泥产生、暂存、处置，危险废物暂存等产生</w:t>
                  </w:r>
                  <w:r>
                    <w:rPr>
                      <w:color w:val="auto"/>
                      <w:sz w:val="18"/>
                      <w:szCs w:val="18"/>
                    </w:rPr>
                    <w:t>VOCs</w:t>
                  </w:r>
                  <w:r>
                    <w:rPr>
                      <w:rFonts w:hint="eastAsia"/>
                      <w:color w:val="auto"/>
                      <w:sz w:val="18"/>
                      <w:szCs w:val="18"/>
                    </w:rPr>
                    <w:t>或恶臭气体的区域加罩或加盖封闭并进行收集处理。涉</w:t>
                  </w:r>
                  <w:r>
                    <w:rPr>
                      <w:color w:val="auto"/>
                      <w:sz w:val="18"/>
                      <w:szCs w:val="18"/>
                    </w:rPr>
                    <w:t>VOCs</w:t>
                  </w:r>
                  <w:r>
                    <w:rPr>
                      <w:rFonts w:hint="eastAsia"/>
                      <w:color w:val="auto"/>
                      <w:sz w:val="18"/>
                      <w:szCs w:val="18"/>
                    </w:rPr>
                    <w:t>化（试）验室实验平台设置负压集气系统，对化（试）验室中产生的废气进行集中收集治理。</w:t>
                  </w:r>
                </w:p>
              </w:tc>
              <w:tc>
                <w:tcPr>
                  <w:tcW w:w="2195" w:type="dxa"/>
                  <w:tcBorders>
                    <w:top w:val="single" w:color="auto" w:sz="2" w:space="0"/>
                    <w:left w:val="single" w:color="auto" w:sz="2" w:space="0"/>
                    <w:bottom w:val="single" w:color="auto" w:sz="2" w:space="0"/>
                    <w:right w:val="single" w:color="auto" w:sz="2" w:space="0"/>
                  </w:tcBorders>
                  <w:vAlign w:val="center"/>
                </w:tcPr>
                <w:p w14:paraId="25536DD0">
                  <w:pPr>
                    <w:pStyle w:val="60"/>
                    <w:jc w:val="both"/>
                    <w:rPr>
                      <w:color w:val="auto"/>
                      <w:sz w:val="18"/>
                      <w:szCs w:val="18"/>
                    </w:rPr>
                  </w:pPr>
                  <w:r>
                    <w:rPr>
                      <w:rFonts w:hint="eastAsia"/>
                      <w:color w:val="auto"/>
                      <w:sz w:val="18"/>
                      <w:szCs w:val="18"/>
                    </w:rPr>
                    <w:t>项目废气治理设施按照与储运设施“同启同停”的原则运行；</w:t>
                  </w:r>
                  <w:r>
                    <w:rPr>
                      <w:rFonts w:hint="eastAsia"/>
                      <w:color w:val="auto"/>
                      <w:sz w:val="18"/>
                      <w:szCs w:val="18"/>
                      <w:lang w:val="en-US" w:eastAsia="zh-CN"/>
                    </w:rPr>
                    <w:t>项目厂区共设置2台尾气炉，1台炉子发生故障或检修时，可随时切换进入另一台炉子处理</w:t>
                  </w:r>
                  <w:r>
                    <w:rPr>
                      <w:rFonts w:hint="eastAsia"/>
                      <w:color w:val="auto"/>
                      <w:sz w:val="18"/>
                      <w:szCs w:val="18"/>
                    </w:rPr>
                    <w:t>。</w:t>
                  </w:r>
                </w:p>
              </w:tc>
              <w:tc>
                <w:tcPr>
                  <w:tcW w:w="700" w:type="dxa"/>
                  <w:tcBorders>
                    <w:top w:val="single" w:color="auto" w:sz="2" w:space="0"/>
                    <w:left w:val="single" w:color="auto" w:sz="2" w:space="0"/>
                    <w:bottom w:val="single" w:color="auto" w:sz="2" w:space="0"/>
                    <w:right w:val="nil"/>
                  </w:tcBorders>
                  <w:vAlign w:val="center"/>
                </w:tcPr>
                <w:p w14:paraId="0CA87FC2">
                  <w:pPr>
                    <w:pStyle w:val="60"/>
                    <w:rPr>
                      <w:color w:val="auto"/>
                      <w:sz w:val="18"/>
                      <w:szCs w:val="18"/>
                    </w:rPr>
                  </w:pPr>
                  <w:r>
                    <w:rPr>
                      <w:rFonts w:hint="eastAsia"/>
                      <w:color w:val="auto"/>
                      <w:sz w:val="18"/>
                      <w:szCs w:val="18"/>
                    </w:rPr>
                    <w:t>符合</w:t>
                  </w:r>
                </w:p>
              </w:tc>
            </w:tr>
            <w:tr w14:paraId="245FF0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72" w:type="dxa"/>
                  <w:tcBorders>
                    <w:top w:val="single" w:color="auto" w:sz="2" w:space="0"/>
                    <w:left w:val="nil"/>
                    <w:bottom w:val="single" w:color="auto" w:sz="2" w:space="0"/>
                    <w:right w:val="single" w:color="auto" w:sz="2" w:space="0"/>
                  </w:tcBorders>
                  <w:vAlign w:val="center"/>
                </w:tcPr>
                <w:p w14:paraId="4684C977">
                  <w:pPr>
                    <w:pStyle w:val="60"/>
                    <w:rPr>
                      <w:color w:val="auto"/>
                      <w:sz w:val="18"/>
                      <w:szCs w:val="18"/>
                    </w:rPr>
                  </w:pPr>
                  <w:r>
                    <w:rPr>
                      <w:rFonts w:hint="eastAsia"/>
                      <w:color w:val="auto"/>
                      <w:sz w:val="18"/>
                      <w:szCs w:val="18"/>
                    </w:rPr>
                    <w:t>（四）</w:t>
                  </w:r>
                </w:p>
              </w:tc>
              <w:tc>
                <w:tcPr>
                  <w:tcW w:w="4956" w:type="dxa"/>
                  <w:tcBorders>
                    <w:top w:val="single" w:color="auto" w:sz="2" w:space="0"/>
                    <w:left w:val="single" w:color="auto" w:sz="2" w:space="0"/>
                    <w:bottom w:val="single" w:color="auto" w:sz="2" w:space="0"/>
                    <w:right w:val="single" w:color="auto" w:sz="2" w:space="0"/>
                  </w:tcBorders>
                  <w:vAlign w:val="center"/>
                </w:tcPr>
                <w:p w14:paraId="6F31A8AE">
                  <w:pPr>
                    <w:pStyle w:val="60"/>
                    <w:jc w:val="both"/>
                    <w:rPr>
                      <w:color w:val="auto"/>
                      <w:sz w:val="18"/>
                      <w:szCs w:val="18"/>
                    </w:rPr>
                  </w:pPr>
                  <w:r>
                    <w:rPr>
                      <w:rFonts w:hint="eastAsia"/>
                      <w:color w:val="auto"/>
                      <w:sz w:val="18"/>
                      <w:szCs w:val="18"/>
                    </w:rPr>
                    <w:t>加强精细化管控。针对各无组织排放环节，制定“一厂一策”深度治理方案。制定无组织排放治理设施操作规程，并建立管理台账，记录操作人员操作内容、运行、维护、检修和含</w:t>
                  </w:r>
                  <w:r>
                    <w:rPr>
                      <w:color w:val="auto"/>
                      <w:sz w:val="18"/>
                      <w:szCs w:val="18"/>
                    </w:rPr>
                    <w:t>VOCs</w:t>
                  </w:r>
                  <w:r>
                    <w:rPr>
                      <w:rFonts w:hint="eastAsia"/>
                      <w:color w:val="auto"/>
                      <w:sz w:val="18"/>
                      <w:szCs w:val="18"/>
                    </w:rPr>
                    <w:t>物料使用回收等情况，记录保存期限不得少于三年。鼓励安装视频、空气微站等监控设施和综合监控信息平台，用于企业日常自我监督，逐步实现无组织排放向精细化和可量化管理方式转变。</w:t>
                  </w:r>
                </w:p>
              </w:tc>
              <w:tc>
                <w:tcPr>
                  <w:tcW w:w="2195" w:type="dxa"/>
                  <w:tcBorders>
                    <w:top w:val="single" w:color="auto" w:sz="2" w:space="0"/>
                    <w:left w:val="single" w:color="auto" w:sz="2" w:space="0"/>
                    <w:bottom w:val="single" w:color="auto" w:sz="2" w:space="0"/>
                    <w:right w:val="single" w:color="auto" w:sz="2" w:space="0"/>
                  </w:tcBorders>
                  <w:vAlign w:val="center"/>
                </w:tcPr>
                <w:p w14:paraId="5F20FBDE">
                  <w:pPr>
                    <w:pStyle w:val="60"/>
                    <w:jc w:val="both"/>
                    <w:rPr>
                      <w:color w:val="auto"/>
                      <w:sz w:val="18"/>
                      <w:szCs w:val="18"/>
                    </w:rPr>
                  </w:pPr>
                  <w:r>
                    <w:rPr>
                      <w:rFonts w:hint="eastAsia"/>
                      <w:color w:val="auto"/>
                      <w:sz w:val="18"/>
                      <w:szCs w:val="18"/>
                    </w:rPr>
                    <w:t>企业拟积极响应当地政府及主管环保部门要求，强化厂区</w:t>
                  </w:r>
                  <w:r>
                    <w:rPr>
                      <w:color w:val="auto"/>
                      <w:sz w:val="18"/>
                      <w:szCs w:val="18"/>
                    </w:rPr>
                    <w:t>VOCs</w:t>
                  </w:r>
                  <w:r>
                    <w:rPr>
                      <w:rFonts w:hint="eastAsia"/>
                      <w:color w:val="auto"/>
                      <w:sz w:val="18"/>
                      <w:szCs w:val="18"/>
                    </w:rPr>
                    <w:t>综合治理；制定“一厂一策”深度治理方案，制定无组织排放治理设施操作规程，并建立管理台账，记录操作人员操作内容、运行、维护、检修和含</w:t>
                  </w:r>
                  <w:r>
                    <w:rPr>
                      <w:color w:val="auto"/>
                      <w:sz w:val="18"/>
                      <w:szCs w:val="18"/>
                    </w:rPr>
                    <w:t>VOCs</w:t>
                  </w:r>
                  <w:r>
                    <w:rPr>
                      <w:rFonts w:hint="eastAsia"/>
                      <w:color w:val="auto"/>
                      <w:sz w:val="18"/>
                      <w:szCs w:val="18"/>
                    </w:rPr>
                    <w:t>物料使用回收等情况，记录保存不少于5年。</w:t>
                  </w:r>
                </w:p>
              </w:tc>
              <w:tc>
                <w:tcPr>
                  <w:tcW w:w="700" w:type="dxa"/>
                  <w:tcBorders>
                    <w:top w:val="single" w:color="auto" w:sz="2" w:space="0"/>
                    <w:left w:val="single" w:color="auto" w:sz="2" w:space="0"/>
                    <w:bottom w:val="single" w:color="auto" w:sz="2" w:space="0"/>
                    <w:right w:val="nil"/>
                  </w:tcBorders>
                  <w:vAlign w:val="center"/>
                </w:tcPr>
                <w:p w14:paraId="0F6B59C7">
                  <w:pPr>
                    <w:pStyle w:val="60"/>
                    <w:rPr>
                      <w:color w:val="auto"/>
                      <w:sz w:val="18"/>
                      <w:szCs w:val="18"/>
                    </w:rPr>
                  </w:pPr>
                  <w:r>
                    <w:rPr>
                      <w:rFonts w:hint="eastAsia"/>
                      <w:color w:val="auto"/>
                      <w:sz w:val="18"/>
                      <w:szCs w:val="18"/>
                    </w:rPr>
                    <w:t>符合</w:t>
                  </w:r>
                </w:p>
              </w:tc>
            </w:tr>
          </w:tbl>
          <w:p w14:paraId="15C8D1FB">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根据上述分析，本项目符合《山东省工业企业无组织排放分行业管控指导意见》（鲁环发[2020]30号）无组织排放控制要求。</w:t>
            </w:r>
          </w:p>
          <w:p w14:paraId="513A0CD0">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7、与《山东省涉挥发性有机物企业分行业指导意见》符合性分析</w:t>
            </w:r>
          </w:p>
          <w:p w14:paraId="0D2A148F">
            <w:pPr>
              <w:pStyle w:val="41"/>
              <w:spacing w:before="120" w:beforeLines="50" w:afterLines="0" w:line="240" w:lineRule="auto"/>
              <w:rPr>
                <w:rFonts w:hint="eastAsia" w:ascii="Times New Roman" w:hAnsi="Times New Roman" w:eastAsia="宋体" w:cs="Times New Roman"/>
                <w:b/>
                <w:bCs/>
                <w:color w:val="auto"/>
                <w:kern w:val="2"/>
                <w:lang w:val="en-US"/>
              </w:rPr>
            </w:pPr>
          </w:p>
          <w:p w14:paraId="29E49400">
            <w:pPr>
              <w:pStyle w:val="41"/>
              <w:spacing w:before="120" w:beforeLines="50" w:afterLines="0" w:line="240" w:lineRule="auto"/>
              <w:rPr>
                <w:rFonts w:hint="eastAsia" w:ascii="Times New Roman" w:hAnsi="Times New Roman" w:eastAsia="宋体" w:cs="Times New Roman"/>
                <w:b/>
                <w:bCs/>
                <w:color w:val="auto"/>
                <w:kern w:val="2"/>
                <w:lang w:val="en-US"/>
              </w:rPr>
            </w:pPr>
            <w:r>
              <w:rPr>
                <w:rFonts w:hint="eastAsia" w:ascii="Times New Roman" w:hAnsi="Times New Roman" w:eastAsia="宋体" w:cs="Times New Roman"/>
                <w:b/>
                <w:bCs/>
                <w:color w:val="auto"/>
                <w:kern w:val="2"/>
                <w:lang w:val="en-US"/>
              </w:rPr>
              <w:t>表1-</w:t>
            </w:r>
            <w:r>
              <w:rPr>
                <w:rFonts w:hint="eastAsia" w:ascii="Times New Roman" w:hAnsi="Times New Roman" w:eastAsia="宋体" w:cs="Times New Roman"/>
                <w:b/>
                <w:bCs/>
                <w:color w:val="auto"/>
                <w:kern w:val="2"/>
                <w:lang w:val="en-US" w:eastAsia="zh-CN"/>
              </w:rPr>
              <w:t>12</w:t>
            </w:r>
            <w:r>
              <w:rPr>
                <w:rFonts w:hint="eastAsia" w:ascii="Times New Roman" w:hAnsi="Times New Roman" w:eastAsia="宋体" w:cs="Times New Roman"/>
                <w:b/>
                <w:bCs/>
                <w:color w:val="auto"/>
                <w:kern w:val="2"/>
                <w:lang w:val="en-US"/>
              </w:rPr>
              <w:t xml:space="preserve">  与鲁环发[2019]146号符合性分析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46"/>
              <w:gridCol w:w="5522"/>
              <w:gridCol w:w="1623"/>
              <w:gridCol w:w="673"/>
            </w:tblGrid>
            <w:tr w14:paraId="01FE91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tblHeader/>
                <w:jc w:val="center"/>
              </w:trPr>
              <w:tc>
                <w:tcPr>
                  <w:tcW w:w="546" w:type="dxa"/>
                  <w:vAlign w:val="center"/>
                </w:tcPr>
                <w:p w14:paraId="0311E195">
                  <w:pPr>
                    <w:pStyle w:val="60"/>
                    <w:rPr>
                      <w:color w:val="auto"/>
                      <w:sz w:val="18"/>
                      <w:szCs w:val="18"/>
                    </w:rPr>
                  </w:pPr>
                  <w:r>
                    <w:rPr>
                      <w:rFonts w:hint="eastAsia"/>
                      <w:color w:val="auto"/>
                      <w:sz w:val="18"/>
                      <w:szCs w:val="18"/>
                    </w:rPr>
                    <w:t>序号</w:t>
                  </w:r>
                </w:p>
              </w:tc>
              <w:tc>
                <w:tcPr>
                  <w:tcW w:w="5522" w:type="dxa"/>
                  <w:vAlign w:val="center"/>
                </w:tcPr>
                <w:p w14:paraId="6007C9D9">
                  <w:pPr>
                    <w:pStyle w:val="60"/>
                    <w:rPr>
                      <w:color w:val="auto"/>
                      <w:sz w:val="18"/>
                      <w:szCs w:val="18"/>
                    </w:rPr>
                  </w:pPr>
                  <w:r>
                    <w:rPr>
                      <w:rFonts w:hint="eastAsia"/>
                      <w:color w:val="auto"/>
                      <w:sz w:val="18"/>
                      <w:szCs w:val="18"/>
                    </w:rPr>
                    <w:t>指导意见要求</w:t>
                  </w:r>
                </w:p>
              </w:tc>
              <w:tc>
                <w:tcPr>
                  <w:tcW w:w="1623" w:type="dxa"/>
                  <w:vAlign w:val="center"/>
                </w:tcPr>
                <w:p w14:paraId="25D776EF">
                  <w:pPr>
                    <w:pStyle w:val="60"/>
                    <w:rPr>
                      <w:color w:val="auto"/>
                      <w:sz w:val="18"/>
                      <w:szCs w:val="18"/>
                    </w:rPr>
                  </w:pPr>
                  <w:r>
                    <w:rPr>
                      <w:rFonts w:hint="eastAsia"/>
                      <w:color w:val="auto"/>
                      <w:sz w:val="18"/>
                      <w:szCs w:val="18"/>
                    </w:rPr>
                    <w:t>本项目情况</w:t>
                  </w:r>
                </w:p>
              </w:tc>
              <w:tc>
                <w:tcPr>
                  <w:tcW w:w="673" w:type="dxa"/>
                  <w:vAlign w:val="center"/>
                </w:tcPr>
                <w:p w14:paraId="55FA64EC">
                  <w:pPr>
                    <w:pStyle w:val="60"/>
                    <w:rPr>
                      <w:color w:val="auto"/>
                      <w:sz w:val="18"/>
                      <w:szCs w:val="18"/>
                    </w:rPr>
                  </w:pPr>
                  <w:r>
                    <w:rPr>
                      <w:rFonts w:hint="eastAsia"/>
                      <w:color w:val="auto"/>
                      <w:sz w:val="18"/>
                      <w:szCs w:val="18"/>
                    </w:rPr>
                    <w:t>符合性</w:t>
                  </w:r>
                </w:p>
              </w:tc>
            </w:tr>
            <w:tr w14:paraId="257C48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1D1D2051">
                  <w:pPr>
                    <w:pStyle w:val="60"/>
                    <w:rPr>
                      <w:color w:val="auto"/>
                      <w:sz w:val="18"/>
                      <w:szCs w:val="18"/>
                    </w:rPr>
                  </w:pPr>
                  <w:r>
                    <w:rPr>
                      <w:rFonts w:hint="eastAsia"/>
                      <w:color w:val="auto"/>
                      <w:sz w:val="18"/>
                      <w:szCs w:val="18"/>
                    </w:rPr>
                    <w:t>（一）</w:t>
                  </w:r>
                </w:p>
              </w:tc>
              <w:tc>
                <w:tcPr>
                  <w:tcW w:w="5522" w:type="dxa"/>
                  <w:vAlign w:val="center"/>
                </w:tcPr>
                <w:p w14:paraId="016D739C">
                  <w:pPr>
                    <w:pStyle w:val="60"/>
                    <w:jc w:val="both"/>
                    <w:rPr>
                      <w:color w:val="auto"/>
                      <w:sz w:val="18"/>
                      <w:szCs w:val="18"/>
                    </w:rPr>
                  </w:pPr>
                  <w:r>
                    <w:rPr>
                      <w:rFonts w:hint="eastAsia"/>
                      <w:color w:val="auto"/>
                      <w:sz w:val="18"/>
                      <w:szCs w:val="18"/>
                    </w:rPr>
                    <w:t>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623" w:type="dxa"/>
                  <w:vAlign w:val="center"/>
                </w:tcPr>
                <w:p w14:paraId="5EF8D347">
                  <w:pPr>
                    <w:pStyle w:val="60"/>
                    <w:jc w:val="both"/>
                    <w:rPr>
                      <w:color w:val="auto"/>
                      <w:sz w:val="18"/>
                      <w:szCs w:val="18"/>
                      <w:highlight w:val="yellow"/>
                    </w:rPr>
                  </w:pPr>
                  <w:r>
                    <w:rPr>
                      <w:rFonts w:hint="eastAsia"/>
                      <w:color w:val="auto"/>
                      <w:sz w:val="18"/>
                      <w:szCs w:val="18"/>
                    </w:rPr>
                    <w:t>项目施工过程拟采用低VOCs含量的建筑涂料和胶黏剂。</w:t>
                  </w:r>
                </w:p>
              </w:tc>
              <w:tc>
                <w:tcPr>
                  <w:tcW w:w="673" w:type="dxa"/>
                  <w:vAlign w:val="center"/>
                </w:tcPr>
                <w:p w14:paraId="0ACE400F">
                  <w:pPr>
                    <w:pStyle w:val="60"/>
                    <w:rPr>
                      <w:color w:val="auto"/>
                      <w:sz w:val="18"/>
                      <w:szCs w:val="18"/>
                    </w:rPr>
                  </w:pPr>
                  <w:r>
                    <w:rPr>
                      <w:rFonts w:hint="eastAsia"/>
                      <w:color w:val="auto"/>
                      <w:sz w:val="18"/>
                      <w:szCs w:val="18"/>
                    </w:rPr>
                    <w:t>符合</w:t>
                  </w:r>
                </w:p>
              </w:tc>
            </w:tr>
            <w:tr w14:paraId="14AAFC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2BFC1A44">
                  <w:pPr>
                    <w:pStyle w:val="60"/>
                    <w:rPr>
                      <w:color w:val="auto"/>
                      <w:sz w:val="18"/>
                      <w:szCs w:val="18"/>
                    </w:rPr>
                  </w:pPr>
                  <w:r>
                    <w:rPr>
                      <w:rFonts w:hint="eastAsia"/>
                      <w:color w:val="auto"/>
                      <w:sz w:val="18"/>
                      <w:szCs w:val="18"/>
                    </w:rPr>
                    <w:t>（二）</w:t>
                  </w:r>
                </w:p>
              </w:tc>
              <w:tc>
                <w:tcPr>
                  <w:tcW w:w="5522" w:type="dxa"/>
                  <w:vAlign w:val="center"/>
                </w:tcPr>
                <w:p w14:paraId="01887641">
                  <w:pPr>
                    <w:pStyle w:val="60"/>
                    <w:jc w:val="both"/>
                    <w:rPr>
                      <w:color w:val="auto"/>
                      <w:sz w:val="18"/>
                      <w:szCs w:val="18"/>
                    </w:rPr>
                  </w:pPr>
                  <w:r>
                    <w:rPr>
                      <w:rFonts w:hint="eastAsia"/>
                      <w:color w:val="auto"/>
                      <w:sz w:val="18"/>
                      <w:szCs w:val="18"/>
                    </w:rPr>
                    <w:t>加强过程控制。</w:t>
                  </w:r>
                </w:p>
              </w:tc>
              <w:tc>
                <w:tcPr>
                  <w:tcW w:w="1623" w:type="dxa"/>
                  <w:vAlign w:val="center"/>
                </w:tcPr>
                <w:p w14:paraId="6B2D3D07">
                  <w:pPr>
                    <w:pStyle w:val="60"/>
                    <w:jc w:val="both"/>
                    <w:rPr>
                      <w:color w:val="auto"/>
                      <w:sz w:val="18"/>
                      <w:szCs w:val="18"/>
                      <w:highlight w:val="yellow"/>
                    </w:rPr>
                  </w:pPr>
                </w:p>
              </w:tc>
              <w:tc>
                <w:tcPr>
                  <w:tcW w:w="673" w:type="dxa"/>
                  <w:vAlign w:val="center"/>
                </w:tcPr>
                <w:p w14:paraId="418B3632">
                  <w:pPr>
                    <w:pStyle w:val="60"/>
                    <w:rPr>
                      <w:color w:val="auto"/>
                      <w:sz w:val="18"/>
                      <w:szCs w:val="18"/>
                    </w:rPr>
                  </w:pPr>
                </w:p>
              </w:tc>
            </w:tr>
            <w:tr w14:paraId="7501C5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7EB4CA22">
                  <w:pPr>
                    <w:pStyle w:val="60"/>
                    <w:rPr>
                      <w:color w:val="auto"/>
                      <w:sz w:val="18"/>
                      <w:szCs w:val="18"/>
                    </w:rPr>
                  </w:pPr>
                  <w:r>
                    <w:rPr>
                      <w:rFonts w:hint="eastAsia"/>
                      <w:color w:val="auto"/>
                      <w:sz w:val="18"/>
                      <w:szCs w:val="18"/>
                    </w:rPr>
                    <w:t>1</w:t>
                  </w:r>
                </w:p>
              </w:tc>
              <w:tc>
                <w:tcPr>
                  <w:tcW w:w="5522" w:type="dxa"/>
                  <w:vAlign w:val="center"/>
                </w:tcPr>
                <w:p w14:paraId="78BB7E99">
                  <w:pPr>
                    <w:pStyle w:val="60"/>
                    <w:jc w:val="both"/>
                    <w:rPr>
                      <w:color w:val="auto"/>
                      <w:sz w:val="18"/>
                      <w:szCs w:val="18"/>
                    </w:rPr>
                  </w:pPr>
                  <w:r>
                    <w:rPr>
                      <w:rFonts w:hint="eastAsia"/>
                      <w:color w:val="auto"/>
                      <w:sz w:val="18"/>
                      <w:szCs w:val="18"/>
                    </w:rPr>
                    <w:t>加强无组织排放控制。重点对含VOCs物料（包括含VOCs原辅材料、含VOCs产品、含VOCs废料以及有机聚合物材料等）储存、转移和输送、设备与管线组件泄漏、敞开液面逸散、工艺过程等五类排放源实施管控，通过采取设备与场所密闭、工艺改进、废气有效收集等措施，削减VOCs无组织排放。</w:t>
                  </w:r>
                </w:p>
              </w:tc>
              <w:tc>
                <w:tcPr>
                  <w:tcW w:w="1623" w:type="dxa"/>
                  <w:vMerge w:val="restart"/>
                  <w:vAlign w:val="center"/>
                </w:tcPr>
                <w:p w14:paraId="4BF4A459">
                  <w:pPr>
                    <w:pStyle w:val="60"/>
                    <w:jc w:val="both"/>
                    <w:rPr>
                      <w:color w:val="auto"/>
                      <w:sz w:val="18"/>
                      <w:szCs w:val="18"/>
                    </w:rPr>
                  </w:pPr>
                  <w:r>
                    <w:rPr>
                      <w:rFonts w:hint="eastAsia"/>
                      <w:color w:val="auto"/>
                      <w:sz w:val="18"/>
                      <w:szCs w:val="18"/>
                    </w:rPr>
                    <w:t>项目含VOCs物料的储存均采用密封储罐。装卸、转移和输送环节采用密闭管道或密闭罐车；储罐废气采取收集处理措施。项目投产后拟定期进行泄漏检测与修复工作，及时修复泄漏源。</w:t>
                  </w:r>
                </w:p>
              </w:tc>
              <w:tc>
                <w:tcPr>
                  <w:tcW w:w="673" w:type="dxa"/>
                  <w:vAlign w:val="center"/>
                </w:tcPr>
                <w:p w14:paraId="0351D269">
                  <w:pPr>
                    <w:pStyle w:val="60"/>
                    <w:rPr>
                      <w:color w:val="auto"/>
                      <w:sz w:val="18"/>
                      <w:szCs w:val="18"/>
                    </w:rPr>
                  </w:pPr>
                  <w:r>
                    <w:rPr>
                      <w:rFonts w:hint="eastAsia"/>
                      <w:color w:val="auto"/>
                      <w:sz w:val="18"/>
                      <w:szCs w:val="18"/>
                    </w:rPr>
                    <w:t>符合</w:t>
                  </w:r>
                </w:p>
              </w:tc>
            </w:tr>
            <w:tr w14:paraId="36F9BC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5FF2A6A6">
                  <w:pPr>
                    <w:pStyle w:val="60"/>
                    <w:rPr>
                      <w:color w:val="auto"/>
                      <w:sz w:val="18"/>
                      <w:szCs w:val="18"/>
                    </w:rPr>
                  </w:pPr>
                  <w:r>
                    <w:rPr>
                      <w:rFonts w:hint="eastAsia"/>
                      <w:color w:val="auto"/>
                      <w:sz w:val="18"/>
                      <w:szCs w:val="18"/>
                    </w:rPr>
                    <w:t>2</w:t>
                  </w:r>
                </w:p>
              </w:tc>
              <w:tc>
                <w:tcPr>
                  <w:tcW w:w="5522" w:type="dxa"/>
                  <w:vAlign w:val="center"/>
                </w:tcPr>
                <w:p w14:paraId="7AF00DFC">
                  <w:pPr>
                    <w:pStyle w:val="60"/>
                    <w:jc w:val="both"/>
                    <w:rPr>
                      <w:color w:val="auto"/>
                      <w:sz w:val="18"/>
                      <w:szCs w:val="18"/>
                    </w:rPr>
                  </w:pPr>
                  <w:r>
                    <w:rPr>
                      <w:rFonts w:hint="eastAsia"/>
                      <w:color w:val="auto"/>
                      <w:sz w:val="18"/>
                      <w:szCs w:val="18"/>
                    </w:rPr>
                    <w:t>加强设备与场所密闭管理</w:t>
                  </w:r>
                  <w:r>
                    <w:rPr>
                      <w:rFonts w:hint="eastAsia"/>
                      <w:color w:val="auto"/>
                      <w:sz w:val="18"/>
                      <w:szCs w:val="18"/>
                      <w:lang w:eastAsia="zh-CN"/>
                    </w:rPr>
                    <w:t>。</w:t>
                  </w:r>
                  <w:r>
                    <w:rPr>
                      <w:rFonts w:hint="eastAsia"/>
                      <w:color w:val="auto"/>
                      <w:sz w:val="18"/>
                      <w:szCs w:val="18"/>
                    </w:rPr>
                    <w:t>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收集运输、储存和处理过程，应加盖密闭。含VOCs物料生产和使用过程，应采取有效收集措施或在密闭空间中操作。</w:t>
                  </w:r>
                </w:p>
              </w:tc>
              <w:tc>
                <w:tcPr>
                  <w:tcW w:w="1623" w:type="dxa"/>
                  <w:vMerge w:val="continue"/>
                  <w:vAlign w:val="center"/>
                </w:tcPr>
                <w:p w14:paraId="66557B06">
                  <w:pPr>
                    <w:pStyle w:val="60"/>
                    <w:jc w:val="both"/>
                    <w:rPr>
                      <w:color w:val="auto"/>
                      <w:sz w:val="18"/>
                      <w:szCs w:val="18"/>
                    </w:rPr>
                  </w:pPr>
                </w:p>
              </w:tc>
              <w:tc>
                <w:tcPr>
                  <w:tcW w:w="673" w:type="dxa"/>
                  <w:vAlign w:val="center"/>
                </w:tcPr>
                <w:p w14:paraId="785D8665">
                  <w:pPr>
                    <w:pStyle w:val="60"/>
                    <w:rPr>
                      <w:color w:val="auto"/>
                      <w:sz w:val="18"/>
                      <w:szCs w:val="18"/>
                    </w:rPr>
                  </w:pPr>
                  <w:r>
                    <w:rPr>
                      <w:rFonts w:hint="eastAsia"/>
                      <w:color w:val="auto"/>
                      <w:sz w:val="18"/>
                      <w:szCs w:val="18"/>
                    </w:rPr>
                    <w:t>符合</w:t>
                  </w:r>
                </w:p>
              </w:tc>
            </w:tr>
            <w:tr w14:paraId="0F4EAE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25B376D7">
                  <w:pPr>
                    <w:pStyle w:val="60"/>
                    <w:rPr>
                      <w:color w:val="auto"/>
                      <w:sz w:val="18"/>
                      <w:szCs w:val="18"/>
                    </w:rPr>
                  </w:pPr>
                  <w:r>
                    <w:rPr>
                      <w:rFonts w:hint="eastAsia"/>
                      <w:color w:val="auto"/>
                      <w:sz w:val="18"/>
                      <w:szCs w:val="18"/>
                    </w:rPr>
                    <w:t>3</w:t>
                  </w:r>
                </w:p>
              </w:tc>
              <w:tc>
                <w:tcPr>
                  <w:tcW w:w="5522" w:type="dxa"/>
                  <w:vAlign w:val="center"/>
                </w:tcPr>
                <w:p w14:paraId="70E2CDB3">
                  <w:pPr>
                    <w:pStyle w:val="60"/>
                    <w:jc w:val="both"/>
                    <w:rPr>
                      <w:color w:val="auto"/>
                      <w:sz w:val="18"/>
                      <w:szCs w:val="18"/>
                    </w:rPr>
                  </w:pPr>
                  <w:r>
                    <w:rPr>
                      <w:rFonts w:hint="eastAsia"/>
                      <w:color w:val="auto"/>
                      <w:sz w:val="18"/>
                      <w:szCs w:val="18"/>
                    </w:rPr>
                    <w:t>推进使用先进生产工艺。通过采用全密闭、连续化、自动化等生产技术，以及高效工艺与设备等，减少工艺过程无组织排放。挥发性有机液体装载优先采用底部装载方式。</w:t>
                  </w:r>
                </w:p>
              </w:tc>
              <w:tc>
                <w:tcPr>
                  <w:tcW w:w="1623" w:type="dxa"/>
                  <w:vAlign w:val="center"/>
                </w:tcPr>
                <w:p w14:paraId="47FA43B0">
                  <w:pPr>
                    <w:pStyle w:val="60"/>
                    <w:jc w:val="both"/>
                    <w:rPr>
                      <w:color w:val="auto"/>
                      <w:sz w:val="18"/>
                      <w:szCs w:val="18"/>
                    </w:rPr>
                  </w:pPr>
                  <w:r>
                    <w:rPr>
                      <w:rFonts w:hint="eastAsia"/>
                      <w:color w:val="auto"/>
                      <w:sz w:val="18"/>
                      <w:szCs w:val="18"/>
                    </w:rPr>
                    <w:t>项目物料装载采用底部装载方式，废气经收集处理后排放。</w:t>
                  </w:r>
                </w:p>
              </w:tc>
              <w:tc>
                <w:tcPr>
                  <w:tcW w:w="673" w:type="dxa"/>
                  <w:vAlign w:val="center"/>
                </w:tcPr>
                <w:p w14:paraId="670393EC">
                  <w:pPr>
                    <w:pStyle w:val="60"/>
                    <w:rPr>
                      <w:color w:val="auto"/>
                      <w:sz w:val="18"/>
                      <w:szCs w:val="18"/>
                    </w:rPr>
                  </w:pPr>
                  <w:r>
                    <w:rPr>
                      <w:rFonts w:hint="eastAsia"/>
                      <w:color w:val="auto"/>
                      <w:sz w:val="18"/>
                      <w:szCs w:val="18"/>
                    </w:rPr>
                    <w:t>符合</w:t>
                  </w:r>
                </w:p>
              </w:tc>
            </w:tr>
            <w:tr w14:paraId="1D9862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588A8387">
                  <w:pPr>
                    <w:pStyle w:val="60"/>
                    <w:rPr>
                      <w:color w:val="auto"/>
                      <w:sz w:val="18"/>
                      <w:szCs w:val="18"/>
                    </w:rPr>
                  </w:pPr>
                  <w:r>
                    <w:rPr>
                      <w:rFonts w:hint="eastAsia"/>
                      <w:color w:val="auto"/>
                      <w:sz w:val="18"/>
                      <w:szCs w:val="18"/>
                    </w:rPr>
                    <w:t>4</w:t>
                  </w:r>
                </w:p>
              </w:tc>
              <w:tc>
                <w:tcPr>
                  <w:tcW w:w="5522" w:type="dxa"/>
                  <w:vAlign w:val="center"/>
                </w:tcPr>
                <w:p w14:paraId="54E4B001">
                  <w:pPr>
                    <w:pStyle w:val="60"/>
                    <w:jc w:val="both"/>
                    <w:rPr>
                      <w:color w:val="auto"/>
                      <w:sz w:val="18"/>
                      <w:szCs w:val="18"/>
                    </w:rPr>
                  </w:pPr>
                  <w:r>
                    <w:rPr>
                      <w:rFonts w:hint="eastAsia"/>
                      <w:color w:val="auto"/>
                      <w:sz w:val="18"/>
                      <w:szCs w:val="18"/>
                    </w:rPr>
                    <w:t>遵循“应收尽收、分质收集”的原则，科学设计废气收集系统，将无组织排放转变为有组织排放进行控制。采用全密闭措施的，除行业有特殊要求外，应保持微负压状态，并根据相关规范合理设置配风量。采用局部集气罩的，距集气罩开口面最远处的</w:t>
                  </w:r>
                  <w:r>
                    <w:rPr>
                      <w:color w:val="auto"/>
                      <w:sz w:val="18"/>
                      <w:szCs w:val="18"/>
                    </w:rPr>
                    <w:t>VOCs</w:t>
                  </w:r>
                  <w:r>
                    <w:rPr>
                      <w:rFonts w:hint="eastAsia"/>
                      <w:color w:val="auto"/>
                      <w:sz w:val="18"/>
                      <w:szCs w:val="18"/>
                    </w:rPr>
                    <w:t>无组织排放位置，控制风速应不低于</w:t>
                  </w:r>
                  <w:r>
                    <w:rPr>
                      <w:color w:val="auto"/>
                      <w:sz w:val="18"/>
                      <w:szCs w:val="18"/>
                    </w:rPr>
                    <w:t>0.3</w:t>
                  </w:r>
                  <w:r>
                    <w:rPr>
                      <w:rFonts w:hint="eastAsia"/>
                      <w:color w:val="auto"/>
                      <w:sz w:val="18"/>
                      <w:szCs w:val="18"/>
                    </w:rPr>
                    <w:t>米</w:t>
                  </w:r>
                  <w:r>
                    <w:rPr>
                      <w:color w:val="auto"/>
                      <w:sz w:val="18"/>
                      <w:szCs w:val="18"/>
                    </w:rPr>
                    <w:t>/</w:t>
                  </w:r>
                  <w:r>
                    <w:rPr>
                      <w:rFonts w:hint="eastAsia"/>
                      <w:color w:val="auto"/>
                      <w:sz w:val="18"/>
                      <w:szCs w:val="18"/>
                    </w:rPr>
                    <w:t>秒，有行业要求的按照相关规定执行；集气罩的设计、安装应符合《机械安全局部排气通风系统安全要求》（</w:t>
                  </w:r>
                  <w:r>
                    <w:rPr>
                      <w:color w:val="auto"/>
                      <w:sz w:val="18"/>
                      <w:szCs w:val="18"/>
                    </w:rPr>
                    <w:t>GB/T35077</w:t>
                  </w:r>
                  <w:r>
                    <w:rPr>
                      <w:rFonts w:hint="eastAsia"/>
                      <w:color w:val="auto"/>
                      <w:sz w:val="18"/>
                      <w:szCs w:val="18"/>
                    </w:rPr>
                    <w:t>），通风管路设计应符合《通风管道技术规程》（</w:t>
                  </w:r>
                  <w:r>
                    <w:rPr>
                      <w:color w:val="auto"/>
                      <w:sz w:val="18"/>
                      <w:szCs w:val="18"/>
                    </w:rPr>
                    <w:t>JGJ/T141</w:t>
                  </w:r>
                  <w:r>
                    <w:rPr>
                      <w:rFonts w:hint="eastAsia"/>
                      <w:color w:val="auto"/>
                      <w:sz w:val="18"/>
                      <w:szCs w:val="18"/>
                    </w:rPr>
                    <w:t>）等相关规范要求，</w:t>
                  </w:r>
                  <w:r>
                    <w:rPr>
                      <w:color w:val="auto"/>
                      <w:sz w:val="18"/>
                      <w:szCs w:val="18"/>
                    </w:rPr>
                    <w:t>VOCs</w:t>
                  </w:r>
                  <w:r>
                    <w:rPr>
                      <w:rFonts w:hint="eastAsia"/>
                      <w:color w:val="auto"/>
                      <w:sz w:val="18"/>
                      <w:szCs w:val="18"/>
                    </w:rPr>
                    <w:t>废气管路不得与其他废气管路合并。</w:t>
                  </w:r>
                </w:p>
              </w:tc>
              <w:tc>
                <w:tcPr>
                  <w:tcW w:w="1623" w:type="dxa"/>
                  <w:vAlign w:val="center"/>
                </w:tcPr>
                <w:p w14:paraId="6440E7A9">
                  <w:pPr>
                    <w:pStyle w:val="60"/>
                    <w:jc w:val="both"/>
                    <w:rPr>
                      <w:color w:val="auto"/>
                      <w:sz w:val="18"/>
                      <w:szCs w:val="18"/>
                    </w:rPr>
                  </w:pPr>
                  <w:r>
                    <w:rPr>
                      <w:rFonts w:hint="eastAsia"/>
                      <w:color w:val="auto"/>
                      <w:sz w:val="18"/>
                      <w:szCs w:val="18"/>
                    </w:rPr>
                    <w:t>项目按照“应收尽收、分质收集、适宜高效”的原则设置废气收集处理措施，尽可能的将无组织排放转变为有组织排放进行控制。</w:t>
                  </w:r>
                </w:p>
              </w:tc>
              <w:tc>
                <w:tcPr>
                  <w:tcW w:w="673" w:type="dxa"/>
                  <w:vAlign w:val="center"/>
                </w:tcPr>
                <w:p w14:paraId="29041B4F">
                  <w:pPr>
                    <w:pStyle w:val="60"/>
                    <w:rPr>
                      <w:color w:val="auto"/>
                      <w:sz w:val="18"/>
                      <w:szCs w:val="18"/>
                    </w:rPr>
                  </w:pPr>
                  <w:r>
                    <w:rPr>
                      <w:rFonts w:hint="eastAsia"/>
                      <w:color w:val="auto"/>
                      <w:sz w:val="18"/>
                      <w:szCs w:val="18"/>
                    </w:rPr>
                    <w:t>符合</w:t>
                  </w:r>
                </w:p>
              </w:tc>
            </w:tr>
            <w:tr w14:paraId="0CAF56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79FAD57F">
                  <w:pPr>
                    <w:pStyle w:val="60"/>
                    <w:rPr>
                      <w:color w:val="auto"/>
                      <w:sz w:val="18"/>
                      <w:szCs w:val="18"/>
                    </w:rPr>
                  </w:pPr>
                  <w:r>
                    <w:rPr>
                      <w:rFonts w:hint="eastAsia"/>
                      <w:color w:val="auto"/>
                      <w:sz w:val="18"/>
                      <w:szCs w:val="18"/>
                    </w:rPr>
                    <w:t>5</w:t>
                  </w:r>
                </w:p>
              </w:tc>
              <w:tc>
                <w:tcPr>
                  <w:tcW w:w="5522" w:type="dxa"/>
                  <w:vAlign w:val="center"/>
                </w:tcPr>
                <w:p w14:paraId="26DD6D16">
                  <w:pPr>
                    <w:pStyle w:val="60"/>
                    <w:jc w:val="both"/>
                    <w:rPr>
                      <w:color w:val="auto"/>
                      <w:sz w:val="18"/>
                      <w:szCs w:val="18"/>
                    </w:rPr>
                  </w:pPr>
                  <w:r>
                    <w:rPr>
                      <w:rFonts w:hint="eastAsia"/>
                      <w:color w:val="auto"/>
                      <w:sz w:val="18"/>
                      <w:szCs w:val="18"/>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623" w:type="dxa"/>
                  <w:vAlign w:val="center"/>
                </w:tcPr>
                <w:p w14:paraId="17AEB9E4">
                  <w:pPr>
                    <w:pStyle w:val="60"/>
                    <w:jc w:val="both"/>
                    <w:rPr>
                      <w:color w:val="auto"/>
                      <w:sz w:val="18"/>
                      <w:szCs w:val="18"/>
                    </w:rPr>
                  </w:pPr>
                  <w:r>
                    <w:rPr>
                      <w:rFonts w:hint="eastAsia"/>
                      <w:color w:val="auto"/>
                      <w:sz w:val="18"/>
                      <w:szCs w:val="18"/>
                    </w:rPr>
                    <w:t>项目不采用单一的</w:t>
                  </w:r>
                  <w:r>
                    <w:rPr>
                      <w:color w:val="auto"/>
                      <w:sz w:val="18"/>
                      <w:szCs w:val="18"/>
                    </w:rPr>
                    <w:t>VOCs</w:t>
                  </w:r>
                  <w:r>
                    <w:rPr>
                      <w:rFonts w:hint="eastAsia"/>
                      <w:color w:val="auto"/>
                      <w:sz w:val="18"/>
                      <w:szCs w:val="18"/>
                    </w:rPr>
                    <w:t>治理设施；在选用治理措施时，充分考虑了废气的浓度、组分、风量，温度、湿度、压力，以及生产工况等。</w:t>
                  </w:r>
                </w:p>
              </w:tc>
              <w:tc>
                <w:tcPr>
                  <w:tcW w:w="673" w:type="dxa"/>
                  <w:vAlign w:val="center"/>
                </w:tcPr>
                <w:p w14:paraId="251E0B97">
                  <w:pPr>
                    <w:pStyle w:val="60"/>
                    <w:rPr>
                      <w:color w:val="auto"/>
                      <w:sz w:val="18"/>
                      <w:szCs w:val="18"/>
                    </w:rPr>
                  </w:pPr>
                  <w:r>
                    <w:rPr>
                      <w:rFonts w:hint="eastAsia"/>
                      <w:color w:val="auto"/>
                      <w:sz w:val="18"/>
                      <w:szCs w:val="18"/>
                    </w:rPr>
                    <w:t>符合</w:t>
                  </w:r>
                </w:p>
              </w:tc>
            </w:tr>
            <w:tr w14:paraId="1F0E41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3D8FB061">
                  <w:pPr>
                    <w:pStyle w:val="60"/>
                    <w:rPr>
                      <w:color w:val="auto"/>
                      <w:sz w:val="18"/>
                      <w:szCs w:val="18"/>
                    </w:rPr>
                  </w:pPr>
                  <w:r>
                    <w:rPr>
                      <w:rFonts w:hint="eastAsia"/>
                      <w:color w:val="auto"/>
                      <w:sz w:val="18"/>
                      <w:szCs w:val="18"/>
                    </w:rPr>
                    <w:t>6</w:t>
                  </w:r>
                </w:p>
              </w:tc>
              <w:tc>
                <w:tcPr>
                  <w:tcW w:w="5522" w:type="dxa"/>
                  <w:vAlign w:val="center"/>
                </w:tcPr>
                <w:p w14:paraId="4C6E473D">
                  <w:pPr>
                    <w:pStyle w:val="60"/>
                    <w:jc w:val="both"/>
                    <w:rPr>
                      <w:color w:val="auto"/>
                      <w:sz w:val="18"/>
                      <w:szCs w:val="18"/>
                    </w:rPr>
                  </w:pPr>
                  <w:r>
                    <w:rPr>
                      <w:rFonts w:hint="eastAsia"/>
                      <w:color w:val="auto"/>
                      <w:sz w:val="18"/>
                      <w:szCs w:val="18"/>
                    </w:rPr>
                    <w:t>治污设施的设计与安装应充分考虑安全性、经济性及适用性。具有黏连性、积聚自燃性、高沸点、与碳发生化学反应的有机废气，不宜采用活性炭吸附、光催化氧化②、低温等离子③等治污设施。含有酸性物质的有机废气，应充分考虑对治污设施的腐蚀等影响因素。含有颗粒物的废气，为保障VOCs治污设施运行的稳定性，宜进行预处理降低颗粒物浓度。含卤素的有机废气，在使用直接燃烧、蓄热式燃烧等处理工艺时，宜采用急冷等方式减少二噁英④的产生。使用臭氧发生器等基于臭氧发生原理的治污设施，应采取有效措施降低臭氧逸散对周边环境的影响。采用吸附处理工艺的，应满足《吸附法工业有机废气治理工程技术规范》（HJ2026</w:t>
                  </w:r>
                  <w:r>
                    <w:rPr>
                      <w:rFonts w:hint="eastAsia"/>
                      <w:color w:val="auto"/>
                      <w:sz w:val="18"/>
                      <w:szCs w:val="18"/>
                      <w:lang w:val="en-US" w:eastAsia="zh-CN"/>
                    </w:rPr>
                    <w:t>-2013</w:t>
                  </w:r>
                  <w:r>
                    <w:rPr>
                      <w:rFonts w:hint="eastAsia"/>
                      <w:color w:val="auto"/>
                      <w:sz w:val="18"/>
                      <w:szCs w:val="18"/>
                    </w:rPr>
                    <w:t>）要求。采用催化燃烧工艺的，应满足《催化燃烧法工业有机废气治理工程技术规范》（HJ2027</w:t>
                  </w:r>
                  <w:r>
                    <w:rPr>
                      <w:rFonts w:hint="eastAsia"/>
                      <w:color w:val="auto"/>
                      <w:sz w:val="18"/>
                      <w:szCs w:val="18"/>
                      <w:lang w:val="en-US" w:eastAsia="zh-CN"/>
                    </w:rPr>
                    <w:t>-2013</w:t>
                  </w:r>
                  <w:r>
                    <w:rPr>
                      <w:rFonts w:hint="eastAsia"/>
                      <w:color w:val="auto"/>
                      <w:sz w:val="18"/>
                      <w:szCs w:val="18"/>
                    </w:rPr>
                    <w:t>）要求。采用蓄热燃烧等工艺的，应按相关技术规范要求设计。</w:t>
                  </w:r>
                </w:p>
              </w:tc>
              <w:tc>
                <w:tcPr>
                  <w:tcW w:w="1623" w:type="dxa"/>
                  <w:vAlign w:val="center"/>
                </w:tcPr>
                <w:p w14:paraId="1C4030DB">
                  <w:pPr>
                    <w:pStyle w:val="60"/>
                    <w:jc w:val="both"/>
                    <w:rPr>
                      <w:color w:val="auto"/>
                      <w:sz w:val="18"/>
                      <w:szCs w:val="18"/>
                    </w:rPr>
                  </w:pPr>
                  <w:r>
                    <w:rPr>
                      <w:rFonts w:hint="eastAsia"/>
                      <w:color w:val="auto"/>
                      <w:sz w:val="18"/>
                      <w:szCs w:val="18"/>
                    </w:rPr>
                    <w:t>项目不涉及含卤素的有机废气，有机废气经密闭收集进</w:t>
                  </w:r>
                  <w:r>
                    <w:rPr>
                      <w:rFonts w:hint="eastAsia"/>
                      <w:color w:val="auto"/>
                      <w:sz w:val="18"/>
                      <w:szCs w:val="18"/>
                      <w:lang w:val="en-US" w:eastAsia="zh-CN"/>
                    </w:rPr>
                    <w:t>水洗塔</w:t>
                  </w:r>
                  <w:r>
                    <w:rPr>
                      <w:rFonts w:hint="eastAsia"/>
                      <w:color w:val="auto"/>
                      <w:sz w:val="18"/>
                      <w:szCs w:val="18"/>
                    </w:rPr>
                    <w:t>预处理后，</w:t>
                  </w:r>
                  <w:r>
                    <w:rPr>
                      <w:rFonts w:hint="eastAsia"/>
                      <w:color w:val="auto"/>
                      <w:sz w:val="18"/>
                      <w:szCs w:val="18"/>
                      <w:lang w:val="en-US" w:eastAsia="zh-CN"/>
                    </w:rPr>
                    <w:t>送尾气炉焚烧</w:t>
                  </w:r>
                  <w:r>
                    <w:rPr>
                      <w:rFonts w:hint="eastAsia"/>
                      <w:color w:val="auto"/>
                      <w:sz w:val="18"/>
                      <w:szCs w:val="18"/>
                    </w:rPr>
                    <w:t>处理。</w:t>
                  </w:r>
                </w:p>
              </w:tc>
              <w:tc>
                <w:tcPr>
                  <w:tcW w:w="673" w:type="dxa"/>
                  <w:vAlign w:val="center"/>
                </w:tcPr>
                <w:p w14:paraId="659EFAF4">
                  <w:pPr>
                    <w:pStyle w:val="60"/>
                    <w:rPr>
                      <w:color w:val="auto"/>
                      <w:sz w:val="18"/>
                      <w:szCs w:val="18"/>
                    </w:rPr>
                  </w:pPr>
                  <w:r>
                    <w:rPr>
                      <w:rFonts w:hint="eastAsia"/>
                      <w:color w:val="auto"/>
                      <w:sz w:val="18"/>
                      <w:szCs w:val="18"/>
                    </w:rPr>
                    <w:t>符合</w:t>
                  </w:r>
                </w:p>
              </w:tc>
            </w:tr>
            <w:tr w14:paraId="363C5E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46" w:type="dxa"/>
                  <w:vAlign w:val="center"/>
                </w:tcPr>
                <w:p w14:paraId="00FC434F">
                  <w:pPr>
                    <w:pStyle w:val="60"/>
                    <w:rPr>
                      <w:color w:val="auto"/>
                      <w:sz w:val="18"/>
                      <w:szCs w:val="18"/>
                    </w:rPr>
                  </w:pPr>
                  <w:r>
                    <w:rPr>
                      <w:rFonts w:hint="eastAsia"/>
                      <w:color w:val="auto"/>
                      <w:sz w:val="18"/>
                      <w:szCs w:val="18"/>
                    </w:rPr>
                    <w:t>（三）</w:t>
                  </w:r>
                </w:p>
              </w:tc>
              <w:tc>
                <w:tcPr>
                  <w:tcW w:w="5522" w:type="dxa"/>
                  <w:vAlign w:val="center"/>
                </w:tcPr>
                <w:p w14:paraId="68AECCCB">
                  <w:pPr>
                    <w:pStyle w:val="60"/>
                    <w:jc w:val="both"/>
                    <w:rPr>
                      <w:color w:val="auto"/>
                      <w:sz w:val="18"/>
                      <w:szCs w:val="18"/>
                    </w:rPr>
                  </w:pPr>
                  <w:r>
                    <w:rPr>
                      <w:rFonts w:hint="eastAsia"/>
                      <w:color w:val="auto"/>
                      <w:sz w:val="18"/>
                      <w:szCs w:val="18"/>
                    </w:rPr>
                    <w:t>加强末端管控。实行重点排放源排放浓度与去除效率双重控制。车间或生产设施收集排放的废气，VOCs初始排放速率大于等于3千克/小时、重点区域大于等于2千克/小时的，应加大控制力度，除确保排放浓度稳定达标外，还应实行去除效率控制，VOCs去除率应不低于80%。有行业排放标准的按其相关规定执行。</w:t>
                  </w:r>
                </w:p>
              </w:tc>
              <w:tc>
                <w:tcPr>
                  <w:tcW w:w="1623" w:type="dxa"/>
                  <w:vAlign w:val="center"/>
                </w:tcPr>
                <w:p w14:paraId="14F37033">
                  <w:pPr>
                    <w:pStyle w:val="60"/>
                    <w:jc w:val="both"/>
                    <w:rPr>
                      <w:color w:val="auto"/>
                      <w:sz w:val="18"/>
                      <w:szCs w:val="18"/>
                    </w:rPr>
                  </w:pPr>
                  <w:r>
                    <w:rPr>
                      <w:rFonts w:hint="eastAsia"/>
                      <w:color w:val="auto"/>
                      <w:sz w:val="18"/>
                      <w:szCs w:val="18"/>
                    </w:rPr>
                    <w:t>根据分析，项目配套的废气治理设施去除效率在</w:t>
                  </w:r>
                  <w:r>
                    <w:rPr>
                      <w:color w:val="auto"/>
                      <w:sz w:val="18"/>
                      <w:szCs w:val="18"/>
                    </w:rPr>
                    <w:t>80%</w:t>
                  </w:r>
                  <w:r>
                    <w:rPr>
                      <w:rFonts w:hint="eastAsia"/>
                      <w:color w:val="auto"/>
                      <w:sz w:val="18"/>
                      <w:szCs w:val="18"/>
                    </w:rPr>
                    <w:t>以上，能够达标排放。</w:t>
                  </w:r>
                </w:p>
              </w:tc>
              <w:tc>
                <w:tcPr>
                  <w:tcW w:w="673" w:type="dxa"/>
                  <w:vAlign w:val="center"/>
                </w:tcPr>
                <w:p w14:paraId="5A241B69">
                  <w:pPr>
                    <w:pStyle w:val="60"/>
                    <w:rPr>
                      <w:color w:val="auto"/>
                      <w:sz w:val="18"/>
                      <w:szCs w:val="18"/>
                    </w:rPr>
                  </w:pPr>
                  <w:r>
                    <w:rPr>
                      <w:rFonts w:hint="eastAsia"/>
                      <w:color w:val="auto"/>
                      <w:sz w:val="18"/>
                      <w:szCs w:val="18"/>
                    </w:rPr>
                    <w:t>符合</w:t>
                  </w:r>
                </w:p>
              </w:tc>
            </w:tr>
          </w:tbl>
          <w:p w14:paraId="409FA834">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根据上述分析，本项目符合《山东省涉挥发性有机物企业分行业指导意见》（鲁环发[2019]146号）控制要求。</w:t>
            </w:r>
          </w:p>
          <w:p w14:paraId="1D0A76E2">
            <w:pPr>
              <w:snapToGrid w:val="0"/>
              <w:spacing w:line="480" w:lineRule="exact"/>
              <w:ind w:firstLine="420" w:firstLineChars="20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8、与《关于加快重点行业挥发性有机物综合治理工作的通知》（淄环发[2020]31号）中“有机化工行业”相关储运、装载过程挥发性有机物治理规范要求符合性分析</w:t>
            </w:r>
          </w:p>
          <w:p w14:paraId="357F7EA4">
            <w:pPr>
              <w:pStyle w:val="41"/>
              <w:spacing w:before="120" w:beforeLines="50" w:afterLines="0" w:line="240" w:lineRule="auto"/>
              <w:rPr>
                <w:rFonts w:hint="eastAsia" w:ascii="Times New Roman" w:hAnsi="Times New Roman" w:eastAsia="宋体" w:cs="Times New Roman"/>
                <w:b/>
                <w:bCs/>
                <w:color w:val="auto"/>
                <w:kern w:val="2"/>
                <w:lang w:val="en-US"/>
              </w:rPr>
            </w:pPr>
            <w:r>
              <w:rPr>
                <w:rFonts w:hint="eastAsia" w:ascii="Times New Roman" w:hAnsi="Times New Roman" w:eastAsia="宋体" w:cs="Times New Roman"/>
                <w:b/>
                <w:bCs/>
                <w:color w:val="auto"/>
                <w:kern w:val="2"/>
                <w:lang w:val="en-US"/>
              </w:rPr>
              <w:t>表</w:t>
            </w:r>
            <w:r>
              <w:rPr>
                <w:rFonts w:hint="eastAsia" w:ascii="Times New Roman" w:hAnsi="Times New Roman" w:eastAsia="宋体" w:cs="Times New Roman"/>
                <w:b/>
                <w:bCs/>
                <w:color w:val="auto"/>
                <w:kern w:val="2"/>
                <w:lang w:val="en-US" w:eastAsia="zh-CN"/>
              </w:rPr>
              <w:t>1-13</w:t>
            </w:r>
            <w:r>
              <w:rPr>
                <w:rFonts w:hint="eastAsia" w:ascii="Times New Roman" w:hAnsi="Times New Roman" w:eastAsia="宋体" w:cs="Times New Roman"/>
                <w:b/>
                <w:bCs/>
                <w:color w:val="auto"/>
                <w:kern w:val="2"/>
                <w:lang w:val="en-US"/>
              </w:rPr>
              <w:t xml:space="preserve">  项目建设与淄环发[2020]31号文件中相关治理规范符合性分析一览表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45"/>
              <w:gridCol w:w="389"/>
              <w:gridCol w:w="3509"/>
              <w:gridCol w:w="779"/>
              <w:gridCol w:w="2469"/>
              <w:gridCol w:w="673"/>
            </w:tblGrid>
            <w:tr w14:paraId="67F048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tblHeader/>
                <w:jc w:val="center"/>
              </w:trPr>
              <w:tc>
                <w:tcPr>
                  <w:tcW w:w="545" w:type="dxa"/>
                  <w:vAlign w:val="center"/>
                </w:tcPr>
                <w:p w14:paraId="772A1871">
                  <w:pPr>
                    <w:pStyle w:val="60"/>
                    <w:rPr>
                      <w:color w:val="auto"/>
                      <w:sz w:val="18"/>
                      <w:szCs w:val="18"/>
                    </w:rPr>
                  </w:pPr>
                  <w:r>
                    <w:rPr>
                      <w:rFonts w:hint="eastAsia"/>
                      <w:color w:val="auto"/>
                      <w:sz w:val="18"/>
                      <w:szCs w:val="18"/>
                    </w:rPr>
                    <w:t>序号</w:t>
                  </w:r>
                </w:p>
              </w:tc>
              <w:tc>
                <w:tcPr>
                  <w:tcW w:w="389" w:type="dxa"/>
                  <w:vAlign w:val="center"/>
                </w:tcPr>
                <w:p w14:paraId="24F8901A">
                  <w:pPr>
                    <w:pStyle w:val="60"/>
                    <w:rPr>
                      <w:color w:val="auto"/>
                      <w:sz w:val="18"/>
                      <w:szCs w:val="18"/>
                    </w:rPr>
                  </w:pPr>
                  <w:r>
                    <w:rPr>
                      <w:rFonts w:hint="eastAsia"/>
                      <w:color w:val="auto"/>
                      <w:sz w:val="18"/>
                      <w:szCs w:val="18"/>
                    </w:rPr>
                    <w:t>环节</w:t>
                  </w:r>
                </w:p>
              </w:tc>
              <w:tc>
                <w:tcPr>
                  <w:tcW w:w="3509" w:type="dxa"/>
                  <w:vAlign w:val="center"/>
                </w:tcPr>
                <w:p w14:paraId="6EBD0265">
                  <w:pPr>
                    <w:pStyle w:val="60"/>
                    <w:rPr>
                      <w:color w:val="auto"/>
                      <w:sz w:val="18"/>
                      <w:szCs w:val="18"/>
                    </w:rPr>
                  </w:pPr>
                  <w:r>
                    <w:rPr>
                      <w:rFonts w:hint="eastAsia"/>
                      <w:color w:val="auto"/>
                      <w:sz w:val="18"/>
                      <w:szCs w:val="18"/>
                    </w:rPr>
                    <w:t>治理任务</w:t>
                  </w:r>
                </w:p>
              </w:tc>
              <w:tc>
                <w:tcPr>
                  <w:tcW w:w="779" w:type="dxa"/>
                  <w:vAlign w:val="center"/>
                </w:tcPr>
                <w:p w14:paraId="6411CB6F">
                  <w:pPr>
                    <w:pStyle w:val="60"/>
                    <w:rPr>
                      <w:color w:val="auto"/>
                      <w:sz w:val="18"/>
                      <w:szCs w:val="18"/>
                    </w:rPr>
                  </w:pPr>
                  <w:r>
                    <w:rPr>
                      <w:rFonts w:hint="eastAsia"/>
                      <w:color w:val="auto"/>
                      <w:sz w:val="18"/>
                      <w:szCs w:val="18"/>
                    </w:rPr>
                    <w:t>实施要求</w:t>
                  </w:r>
                </w:p>
              </w:tc>
              <w:tc>
                <w:tcPr>
                  <w:tcW w:w="2469" w:type="dxa"/>
                  <w:vAlign w:val="center"/>
                </w:tcPr>
                <w:p w14:paraId="19B64D26">
                  <w:pPr>
                    <w:pStyle w:val="60"/>
                    <w:rPr>
                      <w:color w:val="auto"/>
                      <w:sz w:val="18"/>
                      <w:szCs w:val="18"/>
                    </w:rPr>
                  </w:pPr>
                  <w:r>
                    <w:rPr>
                      <w:rFonts w:hint="eastAsia"/>
                      <w:color w:val="auto"/>
                      <w:sz w:val="18"/>
                      <w:szCs w:val="18"/>
                    </w:rPr>
                    <w:t>项目情况</w:t>
                  </w:r>
                </w:p>
              </w:tc>
              <w:tc>
                <w:tcPr>
                  <w:tcW w:w="673" w:type="dxa"/>
                  <w:vAlign w:val="center"/>
                </w:tcPr>
                <w:p w14:paraId="01BA6CE5">
                  <w:pPr>
                    <w:pStyle w:val="60"/>
                    <w:rPr>
                      <w:color w:val="auto"/>
                      <w:sz w:val="18"/>
                      <w:szCs w:val="18"/>
                    </w:rPr>
                  </w:pPr>
                  <w:r>
                    <w:rPr>
                      <w:rFonts w:hint="eastAsia"/>
                      <w:color w:val="auto"/>
                      <w:sz w:val="18"/>
                      <w:szCs w:val="18"/>
                    </w:rPr>
                    <w:t>符合性</w:t>
                  </w:r>
                </w:p>
              </w:tc>
            </w:tr>
            <w:tr w14:paraId="5C4CCC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Align w:val="center"/>
                </w:tcPr>
                <w:p w14:paraId="4F6A7887">
                  <w:pPr>
                    <w:pStyle w:val="60"/>
                    <w:rPr>
                      <w:color w:val="auto"/>
                      <w:sz w:val="18"/>
                      <w:szCs w:val="18"/>
                    </w:rPr>
                  </w:pPr>
                  <w:r>
                    <w:rPr>
                      <w:rFonts w:hint="eastAsia"/>
                      <w:color w:val="auto"/>
                      <w:sz w:val="18"/>
                      <w:szCs w:val="18"/>
                    </w:rPr>
                    <w:t>（二）</w:t>
                  </w:r>
                </w:p>
              </w:tc>
              <w:tc>
                <w:tcPr>
                  <w:tcW w:w="7819" w:type="dxa"/>
                  <w:gridSpan w:val="5"/>
                  <w:vAlign w:val="center"/>
                </w:tcPr>
                <w:p w14:paraId="429EAC82">
                  <w:pPr>
                    <w:pStyle w:val="60"/>
                    <w:rPr>
                      <w:color w:val="auto"/>
                      <w:sz w:val="18"/>
                      <w:szCs w:val="18"/>
                    </w:rPr>
                  </w:pPr>
                  <w:r>
                    <w:rPr>
                      <w:rFonts w:hint="eastAsia"/>
                      <w:color w:val="auto"/>
                      <w:sz w:val="18"/>
                      <w:szCs w:val="18"/>
                    </w:rPr>
                    <w:t>有机化工行业</w:t>
                  </w:r>
                </w:p>
              </w:tc>
            </w:tr>
            <w:tr w14:paraId="22BC1B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restart"/>
                  <w:vAlign w:val="center"/>
                </w:tcPr>
                <w:p w14:paraId="094B12DF">
                  <w:pPr>
                    <w:pStyle w:val="60"/>
                    <w:rPr>
                      <w:color w:val="auto"/>
                      <w:sz w:val="18"/>
                      <w:szCs w:val="18"/>
                    </w:rPr>
                  </w:pPr>
                  <w:r>
                    <w:rPr>
                      <w:rFonts w:hint="eastAsia"/>
                      <w:color w:val="auto"/>
                      <w:sz w:val="18"/>
                      <w:szCs w:val="18"/>
                    </w:rPr>
                    <w:t>1</w:t>
                  </w:r>
                </w:p>
              </w:tc>
              <w:tc>
                <w:tcPr>
                  <w:tcW w:w="389" w:type="dxa"/>
                  <w:vMerge w:val="restart"/>
                  <w:vAlign w:val="center"/>
                </w:tcPr>
                <w:p w14:paraId="201F9B01">
                  <w:pPr>
                    <w:pStyle w:val="60"/>
                    <w:rPr>
                      <w:color w:val="auto"/>
                      <w:sz w:val="18"/>
                      <w:szCs w:val="18"/>
                    </w:rPr>
                  </w:pPr>
                  <w:r>
                    <w:rPr>
                      <w:rFonts w:hint="eastAsia"/>
                      <w:color w:val="auto"/>
                      <w:sz w:val="18"/>
                      <w:szCs w:val="18"/>
                    </w:rPr>
                    <w:t>装载</w:t>
                  </w:r>
                </w:p>
              </w:tc>
              <w:tc>
                <w:tcPr>
                  <w:tcW w:w="3509" w:type="dxa"/>
                  <w:vAlign w:val="center"/>
                </w:tcPr>
                <w:p w14:paraId="778A2C5C">
                  <w:pPr>
                    <w:pStyle w:val="60"/>
                    <w:jc w:val="both"/>
                    <w:rPr>
                      <w:color w:val="auto"/>
                      <w:sz w:val="18"/>
                      <w:szCs w:val="18"/>
                    </w:rPr>
                  </w:pPr>
                  <w:r>
                    <w:rPr>
                      <w:rFonts w:hint="eastAsia"/>
                      <w:color w:val="auto"/>
                      <w:sz w:val="18"/>
                      <w:szCs w:val="18"/>
                    </w:rPr>
                    <w:t>有机物料输送原则上采用重力流或泵送方式替代真空方式。</w:t>
                  </w:r>
                </w:p>
              </w:tc>
              <w:tc>
                <w:tcPr>
                  <w:tcW w:w="779" w:type="dxa"/>
                  <w:vAlign w:val="center"/>
                </w:tcPr>
                <w:p w14:paraId="0AD4ABB4">
                  <w:pPr>
                    <w:pStyle w:val="60"/>
                    <w:rPr>
                      <w:color w:val="auto"/>
                      <w:sz w:val="18"/>
                      <w:szCs w:val="18"/>
                    </w:rPr>
                  </w:pPr>
                  <w:r>
                    <w:rPr>
                      <w:rFonts w:hint="eastAsia"/>
                      <w:color w:val="auto"/>
                      <w:sz w:val="18"/>
                      <w:szCs w:val="18"/>
                    </w:rPr>
                    <w:t>推荐</w:t>
                  </w:r>
                </w:p>
              </w:tc>
              <w:tc>
                <w:tcPr>
                  <w:tcW w:w="2469" w:type="dxa"/>
                  <w:vAlign w:val="center"/>
                </w:tcPr>
                <w:p w14:paraId="1BCBC99F">
                  <w:pPr>
                    <w:pStyle w:val="60"/>
                    <w:jc w:val="both"/>
                    <w:rPr>
                      <w:color w:val="auto"/>
                      <w:sz w:val="18"/>
                      <w:szCs w:val="18"/>
                    </w:rPr>
                  </w:pPr>
                  <w:r>
                    <w:rPr>
                      <w:rFonts w:hint="eastAsia"/>
                      <w:color w:val="auto"/>
                      <w:sz w:val="18"/>
                      <w:szCs w:val="18"/>
                    </w:rPr>
                    <w:t>项目有机物料输送采用泵送方式。</w:t>
                  </w:r>
                </w:p>
              </w:tc>
              <w:tc>
                <w:tcPr>
                  <w:tcW w:w="673" w:type="dxa"/>
                  <w:vAlign w:val="center"/>
                </w:tcPr>
                <w:p w14:paraId="74029932">
                  <w:pPr>
                    <w:pStyle w:val="60"/>
                    <w:rPr>
                      <w:color w:val="auto"/>
                      <w:sz w:val="18"/>
                      <w:szCs w:val="18"/>
                    </w:rPr>
                  </w:pPr>
                  <w:r>
                    <w:rPr>
                      <w:rFonts w:hint="eastAsia"/>
                      <w:color w:val="auto"/>
                      <w:sz w:val="18"/>
                      <w:szCs w:val="18"/>
                    </w:rPr>
                    <w:t>符合</w:t>
                  </w:r>
                </w:p>
              </w:tc>
            </w:tr>
            <w:tr w14:paraId="200979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continue"/>
                  <w:vAlign w:val="center"/>
                </w:tcPr>
                <w:p w14:paraId="257640EE">
                  <w:pPr>
                    <w:pStyle w:val="60"/>
                    <w:rPr>
                      <w:color w:val="auto"/>
                      <w:sz w:val="18"/>
                      <w:szCs w:val="18"/>
                    </w:rPr>
                  </w:pPr>
                </w:p>
              </w:tc>
              <w:tc>
                <w:tcPr>
                  <w:tcW w:w="389" w:type="dxa"/>
                  <w:vMerge w:val="continue"/>
                  <w:vAlign w:val="center"/>
                </w:tcPr>
                <w:p w14:paraId="44A5B3BE">
                  <w:pPr>
                    <w:pStyle w:val="60"/>
                    <w:rPr>
                      <w:color w:val="auto"/>
                      <w:sz w:val="18"/>
                      <w:szCs w:val="18"/>
                    </w:rPr>
                  </w:pPr>
                </w:p>
              </w:tc>
              <w:tc>
                <w:tcPr>
                  <w:tcW w:w="3509" w:type="dxa"/>
                  <w:vAlign w:val="center"/>
                </w:tcPr>
                <w:p w14:paraId="23ED4C3A">
                  <w:pPr>
                    <w:pStyle w:val="60"/>
                    <w:jc w:val="both"/>
                    <w:rPr>
                      <w:color w:val="auto"/>
                      <w:sz w:val="18"/>
                      <w:szCs w:val="18"/>
                    </w:rPr>
                  </w:pPr>
                  <w:r>
                    <w:rPr>
                      <w:rFonts w:hint="eastAsia"/>
                      <w:color w:val="auto"/>
                      <w:sz w:val="18"/>
                      <w:szCs w:val="18"/>
                    </w:rPr>
                    <w:t>有机液体进料采用底部、浸入管给料方式，替代喷溅式给料。</w:t>
                  </w:r>
                </w:p>
              </w:tc>
              <w:tc>
                <w:tcPr>
                  <w:tcW w:w="779" w:type="dxa"/>
                  <w:vAlign w:val="center"/>
                </w:tcPr>
                <w:p w14:paraId="61921C7E">
                  <w:pPr>
                    <w:pStyle w:val="60"/>
                    <w:rPr>
                      <w:color w:val="auto"/>
                      <w:sz w:val="18"/>
                      <w:szCs w:val="18"/>
                    </w:rPr>
                  </w:pPr>
                  <w:r>
                    <w:rPr>
                      <w:rFonts w:hint="eastAsia"/>
                      <w:color w:val="auto"/>
                      <w:sz w:val="18"/>
                      <w:szCs w:val="18"/>
                    </w:rPr>
                    <w:t>推荐</w:t>
                  </w:r>
                </w:p>
              </w:tc>
              <w:tc>
                <w:tcPr>
                  <w:tcW w:w="2469" w:type="dxa"/>
                  <w:vAlign w:val="center"/>
                </w:tcPr>
                <w:p w14:paraId="3D5BFC4B">
                  <w:pPr>
                    <w:pStyle w:val="60"/>
                    <w:jc w:val="both"/>
                    <w:rPr>
                      <w:color w:val="auto"/>
                      <w:sz w:val="18"/>
                      <w:szCs w:val="18"/>
                    </w:rPr>
                  </w:pPr>
                  <w:r>
                    <w:rPr>
                      <w:rFonts w:hint="eastAsia"/>
                      <w:color w:val="auto"/>
                      <w:sz w:val="18"/>
                      <w:szCs w:val="18"/>
                    </w:rPr>
                    <w:t>有机液体进料采用底部给料方式。</w:t>
                  </w:r>
                </w:p>
              </w:tc>
              <w:tc>
                <w:tcPr>
                  <w:tcW w:w="673" w:type="dxa"/>
                  <w:vAlign w:val="center"/>
                </w:tcPr>
                <w:p w14:paraId="0CEAA004">
                  <w:pPr>
                    <w:pStyle w:val="60"/>
                    <w:rPr>
                      <w:color w:val="auto"/>
                      <w:sz w:val="18"/>
                      <w:szCs w:val="18"/>
                    </w:rPr>
                  </w:pPr>
                  <w:r>
                    <w:rPr>
                      <w:rFonts w:hint="eastAsia"/>
                      <w:color w:val="auto"/>
                      <w:sz w:val="18"/>
                      <w:szCs w:val="18"/>
                    </w:rPr>
                    <w:t>符合</w:t>
                  </w:r>
                </w:p>
              </w:tc>
            </w:tr>
            <w:tr w14:paraId="7EB5C3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continue"/>
                  <w:vAlign w:val="center"/>
                </w:tcPr>
                <w:p w14:paraId="2698E1A2">
                  <w:pPr>
                    <w:pStyle w:val="60"/>
                    <w:rPr>
                      <w:color w:val="auto"/>
                      <w:sz w:val="18"/>
                      <w:szCs w:val="18"/>
                    </w:rPr>
                  </w:pPr>
                </w:p>
              </w:tc>
              <w:tc>
                <w:tcPr>
                  <w:tcW w:w="389" w:type="dxa"/>
                  <w:vMerge w:val="continue"/>
                  <w:vAlign w:val="center"/>
                </w:tcPr>
                <w:p w14:paraId="5214C2B7">
                  <w:pPr>
                    <w:pStyle w:val="60"/>
                    <w:rPr>
                      <w:color w:val="auto"/>
                      <w:sz w:val="18"/>
                      <w:szCs w:val="18"/>
                    </w:rPr>
                  </w:pPr>
                </w:p>
              </w:tc>
              <w:tc>
                <w:tcPr>
                  <w:tcW w:w="3509" w:type="dxa"/>
                  <w:vAlign w:val="center"/>
                </w:tcPr>
                <w:p w14:paraId="017ECF89">
                  <w:pPr>
                    <w:pStyle w:val="60"/>
                    <w:jc w:val="both"/>
                    <w:rPr>
                      <w:color w:val="auto"/>
                      <w:sz w:val="18"/>
                      <w:szCs w:val="18"/>
                    </w:rPr>
                  </w:pPr>
                  <w:r>
                    <w:rPr>
                      <w:rFonts w:hint="eastAsia"/>
                      <w:color w:val="auto"/>
                      <w:sz w:val="18"/>
                      <w:szCs w:val="18"/>
                    </w:rPr>
                    <w:t>挥发性有机液体采用底部装载方式；采用顶部浸没式装载，出料管口距离槽（罐）底部高度小于</w:t>
                  </w:r>
                  <w:r>
                    <w:rPr>
                      <w:color w:val="auto"/>
                      <w:sz w:val="18"/>
                      <w:szCs w:val="18"/>
                    </w:rPr>
                    <w:t>200mm</w:t>
                  </w:r>
                  <w:r>
                    <w:rPr>
                      <w:rFonts w:hint="eastAsia"/>
                      <w:color w:val="auto"/>
                      <w:sz w:val="18"/>
                      <w:szCs w:val="18"/>
                    </w:rPr>
                    <w:t>。</w:t>
                  </w:r>
                </w:p>
              </w:tc>
              <w:tc>
                <w:tcPr>
                  <w:tcW w:w="779" w:type="dxa"/>
                  <w:vAlign w:val="center"/>
                </w:tcPr>
                <w:p w14:paraId="78EC6134">
                  <w:pPr>
                    <w:pStyle w:val="60"/>
                    <w:rPr>
                      <w:color w:val="auto"/>
                      <w:sz w:val="18"/>
                      <w:szCs w:val="18"/>
                    </w:rPr>
                  </w:pPr>
                  <w:r>
                    <w:rPr>
                      <w:rFonts w:hint="eastAsia"/>
                      <w:color w:val="auto"/>
                      <w:sz w:val="18"/>
                      <w:szCs w:val="18"/>
                    </w:rPr>
                    <w:t>要求</w:t>
                  </w:r>
                </w:p>
              </w:tc>
              <w:tc>
                <w:tcPr>
                  <w:tcW w:w="2469" w:type="dxa"/>
                  <w:vAlign w:val="center"/>
                </w:tcPr>
                <w:p w14:paraId="1F5A0F11">
                  <w:pPr>
                    <w:pStyle w:val="60"/>
                    <w:jc w:val="both"/>
                    <w:rPr>
                      <w:color w:val="auto"/>
                      <w:sz w:val="18"/>
                      <w:szCs w:val="18"/>
                    </w:rPr>
                  </w:pPr>
                  <w:r>
                    <w:rPr>
                      <w:rFonts w:hint="eastAsia"/>
                      <w:color w:val="auto"/>
                      <w:sz w:val="18"/>
                      <w:szCs w:val="18"/>
                    </w:rPr>
                    <w:t>挥发性有机液体采用底部装载方式。</w:t>
                  </w:r>
                </w:p>
              </w:tc>
              <w:tc>
                <w:tcPr>
                  <w:tcW w:w="673" w:type="dxa"/>
                  <w:vAlign w:val="center"/>
                </w:tcPr>
                <w:p w14:paraId="5D00B1E7">
                  <w:pPr>
                    <w:pStyle w:val="60"/>
                    <w:rPr>
                      <w:color w:val="auto"/>
                      <w:sz w:val="18"/>
                      <w:szCs w:val="18"/>
                    </w:rPr>
                  </w:pPr>
                  <w:r>
                    <w:rPr>
                      <w:rFonts w:hint="eastAsia"/>
                      <w:color w:val="auto"/>
                      <w:sz w:val="18"/>
                      <w:szCs w:val="18"/>
                    </w:rPr>
                    <w:t>符合</w:t>
                  </w:r>
                </w:p>
              </w:tc>
            </w:tr>
            <w:tr w14:paraId="2C0C50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restart"/>
                  <w:vAlign w:val="center"/>
                </w:tcPr>
                <w:p w14:paraId="1E1EFA17">
                  <w:pPr>
                    <w:pStyle w:val="60"/>
                    <w:rPr>
                      <w:color w:val="auto"/>
                      <w:sz w:val="18"/>
                      <w:szCs w:val="18"/>
                    </w:rPr>
                  </w:pPr>
                  <w:r>
                    <w:rPr>
                      <w:rFonts w:hint="eastAsia"/>
                      <w:color w:val="auto"/>
                      <w:sz w:val="18"/>
                      <w:szCs w:val="18"/>
                    </w:rPr>
                    <w:t>2</w:t>
                  </w:r>
                </w:p>
              </w:tc>
              <w:tc>
                <w:tcPr>
                  <w:tcW w:w="389" w:type="dxa"/>
                  <w:vMerge w:val="restart"/>
                  <w:vAlign w:val="center"/>
                </w:tcPr>
                <w:p w14:paraId="256D0EE9">
                  <w:pPr>
                    <w:pStyle w:val="60"/>
                    <w:rPr>
                      <w:color w:val="auto"/>
                      <w:sz w:val="18"/>
                      <w:szCs w:val="18"/>
                    </w:rPr>
                  </w:pPr>
                  <w:r>
                    <w:rPr>
                      <w:rFonts w:hint="eastAsia"/>
                      <w:color w:val="auto"/>
                      <w:sz w:val="18"/>
                      <w:szCs w:val="18"/>
                    </w:rPr>
                    <w:t>输送</w:t>
                  </w:r>
                </w:p>
              </w:tc>
              <w:tc>
                <w:tcPr>
                  <w:tcW w:w="3509" w:type="dxa"/>
                  <w:vAlign w:val="center"/>
                </w:tcPr>
                <w:p w14:paraId="63E1D037">
                  <w:pPr>
                    <w:pStyle w:val="60"/>
                    <w:jc w:val="both"/>
                    <w:rPr>
                      <w:color w:val="auto"/>
                      <w:sz w:val="18"/>
                      <w:szCs w:val="18"/>
                    </w:rPr>
                  </w:pPr>
                  <w:r>
                    <w:rPr>
                      <w:rFonts w:hint="eastAsia"/>
                      <w:color w:val="auto"/>
                      <w:sz w:val="18"/>
                      <w:szCs w:val="18"/>
                    </w:rPr>
                    <w:t>废气收集系统的输送管道密闭，废气收集系统在负压下运行，若处于正压状态，对输送管道组件的密封点进行泄漏检测，泄漏检测值不超过</w:t>
                  </w:r>
                  <w:r>
                    <w:rPr>
                      <w:color w:val="auto"/>
                      <w:sz w:val="18"/>
                      <w:szCs w:val="18"/>
                    </w:rPr>
                    <w:t>500mmol/mol</w:t>
                  </w:r>
                  <w:r>
                    <w:rPr>
                      <w:rFonts w:hint="eastAsia"/>
                      <w:color w:val="auto"/>
                      <w:sz w:val="18"/>
                      <w:szCs w:val="18"/>
                    </w:rPr>
                    <w:t>。</w:t>
                  </w:r>
                </w:p>
              </w:tc>
              <w:tc>
                <w:tcPr>
                  <w:tcW w:w="779" w:type="dxa"/>
                  <w:vAlign w:val="center"/>
                </w:tcPr>
                <w:p w14:paraId="68FDCA6F">
                  <w:pPr>
                    <w:pStyle w:val="60"/>
                    <w:rPr>
                      <w:color w:val="auto"/>
                      <w:sz w:val="18"/>
                      <w:szCs w:val="18"/>
                    </w:rPr>
                  </w:pPr>
                  <w:r>
                    <w:rPr>
                      <w:rFonts w:hint="eastAsia"/>
                      <w:color w:val="auto"/>
                      <w:sz w:val="18"/>
                      <w:szCs w:val="18"/>
                    </w:rPr>
                    <w:t>要求</w:t>
                  </w:r>
                </w:p>
              </w:tc>
              <w:tc>
                <w:tcPr>
                  <w:tcW w:w="2469" w:type="dxa"/>
                  <w:vAlign w:val="center"/>
                </w:tcPr>
                <w:p w14:paraId="6B4BF936">
                  <w:pPr>
                    <w:pStyle w:val="60"/>
                    <w:jc w:val="both"/>
                    <w:rPr>
                      <w:color w:val="auto"/>
                      <w:sz w:val="18"/>
                      <w:szCs w:val="18"/>
                    </w:rPr>
                  </w:pPr>
                  <w:r>
                    <w:rPr>
                      <w:rFonts w:hint="eastAsia"/>
                      <w:color w:val="auto"/>
                      <w:sz w:val="18"/>
                      <w:szCs w:val="18"/>
                    </w:rPr>
                    <w:t>废气收集采取密闭输送管道，确保在负压下收集；项目运行后，拟定期开展泄漏检测与修复工作。</w:t>
                  </w:r>
                </w:p>
              </w:tc>
              <w:tc>
                <w:tcPr>
                  <w:tcW w:w="673" w:type="dxa"/>
                  <w:vAlign w:val="center"/>
                </w:tcPr>
                <w:p w14:paraId="5CA4743E">
                  <w:pPr>
                    <w:pStyle w:val="60"/>
                    <w:rPr>
                      <w:color w:val="auto"/>
                      <w:sz w:val="18"/>
                      <w:szCs w:val="18"/>
                    </w:rPr>
                  </w:pPr>
                  <w:r>
                    <w:rPr>
                      <w:rFonts w:hint="eastAsia"/>
                      <w:color w:val="auto"/>
                      <w:sz w:val="18"/>
                      <w:szCs w:val="18"/>
                    </w:rPr>
                    <w:t>符合</w:t>
                  </w:r>
                </w:p>
              </w:tc>
            </w:tr>
            <w:tr w14:paraId="06049B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continue"/>
                  <w:vAlign w:val="center"/>
                </w:tcPr>
                <w:p w14:paraId="6F775B7D">
                  <w:pPr>
                    <w:pStyle w:val="60"/>
                    <w:rPr>
                      <w:color w:val="auto"/>
                      <w:sz w:val="18"/>
                      <w:szCs w:val="18"/>
                    </w:rPr>
                  </w:pPr>
                </w:p>
              </w:tc>
              <w:tc>
                <w:tcPr>
                  <w:tcW w:w="389" w:type="dxa"/>
                  <w:vMerge w:val="continue"/>
                  <w:vAlign w:val="center"/>
                </w:tcPr>
                <w:p w14:paraId="50FDB316">
                  <w:pPr>
                    <w:pStyle w:val="60"/>
                    <w:rPr>
                      <w:color w:val="auto"/>
                      <w:sz w:val="18"/>
                      <w:szCs w:val="18"/>
                    </w:rPr>
                  </w:pPr>
                </w:p>
              </w:tc>
              <w:tc>
                <w:tcPr>
                  <w:tcW w:w="3509" w:type="dxa"/>
                  <w:vAlign w:val="center"/>
                </w:tcPr>
                <w:p w14:paraId="2FCC2364">
                  <w:pPr>
                    <w:pStyle w:val="60"/>
                    <w:jc w:val="both"/>
                    <w:rPr>
                      <w:color w:val="auto"/>
                      <w:sz w:val="18"/>
                      <w:szCs w:val="18"/>
                    </w:rPr>
                  </w:pPr>
                  <w:r>
                    <w:rPr>
                      <w:rFonts w:hint="eastAsia"/>
                      <w:color w:val="auto"/>
                      <w:sz w:val="18"/>
                      <w:szCs w:val="18"/>
                    </w:rPr>
                    <w:t>含</w:t>
                  </w:r>
                  <w:r>
                    <w:rPr>
                      <w:color w:val="auto"/>
                      <w:sz w:val="18"/>
                      <w:szCs w:val="18"/>
                    </w:rPr>
                    <w:t>VOCs</w:t>
                  </w:r>
                  <w:r>
                    <w:rPr>
                      <w:rFonts w:hint="eastAsia"/>
                      <w:color w:val="auto"/>
                      <w:sz w:val="18"/>
                      <w:szCs w:val="18"/>
                    </w:rPr>
                    <w:t>物料的储存、输送，涉及</w:t>
                  </w:r>
                  <w:r>
                    <w:rPr>
                      <w:color w:val="auto"/>
                      <w:sz w:val="18"/>
                      <w:szCs w:val="18"/>
                    </w:rPr>
                    <w:t>VOCs</w:t>
                  </w:r>
                  <w:r>
                    <w:rPr>
                      <w:rFonts w:hint="eastAsia"/>
                      <w:color w:val="auto"/>
                      <w:sz w:val="18"/>
                      <w:szCs w:val="18"/>
                    </w:rPr>
                    <w:t>物料的生产及含</w:t>
                  </w:r>
                  <w:r>
                    <w:rPr>
                      <w:color w:val="auto"/>
                      <w:sz w:val="18"/>
                      <w:szCs w:val="18"/>
                    </w:rPr>
                    <w:t>VOCs</w:t>
                  </w:r>
                  <w:r>
                    <w:rPr>
                      <w:rFonts w:hint="eastAsia"/>
                      <w:color w:val="auto"/>
                      <w:sz w:val="18"/>
                      <w:szCs w:val="18"/>
                    </w:rPr>
                    <w:t>产品分装等过程密闭操作。</w:t>
                  </w:r>
                </w:p>
              </w:tc>
              <w:tc>
                <w:tcPr>
                  <w:tcW w:w="779" w:type="dxa"/>
                  <w:vAlign w:val="center"/>
                </w:tcPr>
                <w:p w14:paraId="45768959">
                  <w:pPr>
                    <w:pStyle w:val="60"/>
                    <w:rPr>
                      <w:color w:val="auto"/>
                      <w:sz w:val="18"/>
                      <w:szCs w:val="18"/>
                    </w:rPr>
                  </w:pPr>
                  <w:r>
                    <w:rPr>
                      <w:rFonts w:hint="eastAsia"/>
                      <w:color w:val="auto"/>
                      <w:sz w:val="18"/>
                      <w:szCs w:val="18"/>
                    </w:rPr>
                    <w:t>推荐</w:t>
                  </w:r>
                </w:p>
              </w:tc>
              <w:tc>
                <w:tcPr>
                  <w:tcW w:w="2469" w:type="dxa"/>
                  <w:vAlign w:val="center"/>
                </w:tcPr>
                <w:p w14:paraId="6F7FE2E3">
                  <w:pPr>
                    <w:pStyle w:val="60"/>
                    <w:jc w:val="both"/>
                    <w:rPr>
                      <w:color w:val="auto"/>
                      <w:sz w:val="18"/>
                      <w:szCs w:val="18"/>
                    </w:rPr>
                  </w:pPr>
                  <w:r>
                    <w:rPr>
                      <w:rFonts w:hint="eastAsia"/>
                      <w:color w:val="auto"/>
                      <w:sz w:val="18"/>
                      <w:szCs w:val="18"/>
                    </w:rPr>
                    <w:t>含</w:t>
                  </w:r>
                  <w:r>
                    <w:rPr>
                      <w:color w:val="auto"/>
                      <w:sz w:val="18"/>
                      <w:szCs w:val="18"/>
                    </w:rPr>
                    <w:t>VOCs</w:t>
                  </w:r>
                  <w:r>
                    <w:rPr>
                      <w:rFonts w:hint="eastAsia"/>
                      <w:color w:val="auto"/>
                      <w:sz w:val="18"/>
                      <w:szCs w:val="18"/>
                    </w:rPr>
                    <w:t>物料的储存、输送等过程均采取密闭操作方式。</w:t>
                  </w:r>
                </w:p>
              </w:tc>
              <w:tc>
                <w:tcPr>
                  <w:tcW w:w="673" w:type="dxa"/>
                  <w:vAlign w:val="center"/>
                </w:tcPr>
                <w:p w14:paraId="18300A37">
                  <w:pPr>
                    <w:pStyle w:val="60"/>
                    <w:rPr>
                      <w:color w:val="auto"/>
                      <w:sz w:val="18"/>
                      <w:szCs w:val="18"/>
                    </w:rPr>
                  </w:pPr>
                  <w:r>
                    <w:rPr>
                      <w:rFonts w:hint="eastAsia"/>
                      <w:color w:val="auto"/>
                      <w:sz w:val="18"/>
                      <w:szCs w:val="18"/>
                    </w:rPr>
                    <w:t>符合</w:t>
                  </w:r>
                </w:p>
              </w:tc>
            </w:tr>
            <w:tr w14:paraId="3E5078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restart"/>
                  <w:vAlign w:val="center"/>
                </w:tcPr>
                <w:p w14:paraId="79C4B3B9">
                  <w:pPr>
                    <w:pStyle w:val="60"/>
                    <w:rPr>
                      <w:color w:val="auto"/>
                      <w:sz w:val="18"/>
                      <w:szCs w:val="18"/>
                    </w:rPr>
                  </w:pPr>
                  <w:r>
                    <w:rPr>
                      <w:rFonts w:hint="eastAsia"/>
                      <w:color w:val="auto"/>
                      <w:sz w:val="18"/>
                      <w:szCs w:val="18"/>
                    </w:rPr>
                    <w:t>3</w:t>
                  </w:r>
                </w:p>
              </w:tc>
              <w:tc>
                <w:tcPr>
                  <w:tcW w:w="389" w:type="dxa"/>
                  <w:vMerge w:val="restart"/>
                  <w:vAlign w:val="center"/>
                </w:tcPr>
                <w:p w14:paraId="0A2FB95F">
                  <w:pPr>
                    <w:pStyle w:val="60"/>
                    <w:rPr>
                      <w:color w:val="auto"/>
                      <w:sz w:val="18"/>
                      <w:szCs w:val="18"/>
                    </w:rPr>
                  </w:pPr>
                  <w:r>
                    <w:rPr>
                      <w:rFonts w:hint="eastAsia"/>
                      <w:color w:val="auto"/>
                      <w:sz w:val="18"/>
                      <w:szCs w:val="18"/>
                    </w:rPr>
                    <w:t>储罐</w:t>
                  </w:r>
                </w:p>
              </w:tc>
              <w:tc>
                <w:tcPr>
                  <w:tcW w:w="3509" w:type="dxa"/>
                  <w:vAlign w:val="center"/>
                </w:tcPr>
                <w:p w14:paraId="63E71A0C">
                  <w:pPr>
                    <w:pStyle w:val="60"/>
                    <w:jc w:val="both"/>
                    <w:rPr>
                      <w:color w:val="auto"/>
                      <w:sz w:val="18"/>
                      <w:szCs w:val="18"/>
                    </w:rPr>
                  </w:pPr>
                  <w:r>
                    <w:rPr>
                      <w:rFonts w:hint="eastAsia"/>
                      <w:color w:val="auto"/>
                      <w:sz w:val="18"/>
                      <w:szCs w:val="18"/>
                    </w:rPr>
                    <w:t>储存真实蒸气压≥</w:t>
                  </w:r>
                  <w:r>
                    <w:rPr>
                      <w:color w:val="auto"/>
                      <w:sz w:val="18"/>
                      <w:szCs w:val="18"/>
                    </w:rPr>
                    <w:t>76.6kPa</w:t>
                  </w:r>
                  <w:r>
                    <w:rPr>
                      <w:rFonts w:hint="eastAsia"/>
                      <w:color w:val="auto"/>
                      <w:sz w:val="18"/>
                      <w:szCs w:val="18"/>
                    </w:rPr>
                    <w:t>的挥发性有机液体储罐，采用低压罐、压力罐或其他等效措施。</w:t>
                  </w:r>
                </w:p>
              </w:tc>
              <w:tc>
                <w:tcPr>
                  <w:tcW w:w="779" w:type="dxa"/>
                  <w:vAlign w:val="center"/>
                </w:tcPr>
                <w:p w14:paraId="33DF2277">
                  <w:pPr>
                    <w:pStyle w:val="60"/>
                    <w:rPr>
                      <w:color w:val="auto"/>
                      <w:sz w:val="18"/>
                      <w:szCs w:val="18"/>
                    </w:rPr>
                  </w:pPr>
                  <w:r>
                    <w:rPr>
                      <w:rFonts w:hint="eastAsia"/>
                      <w:color w:val="auto"/>
                      <w:sz w:val="18"/>
                      <w:szCs w:val="18"/>
                    </w:rPr>
                    <w:t>要求</w:t>
                  </w:r>
                </w:p>
              </w:tc>
              <w:tc>
                <w:tcPr>
                  <w:tcW w:w="2469" w:type="dxa"/>
                  <w:vAlign w:val="center"/>
                </w:tcPr>
                <w:p w14:paraId="1239FC7C">
                  <w:pPr>
                    <w:pStyle w:val="60"/>
                    <w:jc w:val="both"/>
                    <w:rPr>
                      <w:color w:val="auto"/>
                      <w:sz w:val="18"/>
                      <w:szCs w:val="18"/>
                    </w:rPr>
                  </w:pPr>
                  <w:r>
                    <w:rPr>
                      <w:rFonts w:hint="eastAsia"/>
                      <w:color w:val="auto"/>
                      <w:sz w:val="18"/>
                      <w:szCs w:val="18"/>
                      <w:lang w:val="en-US" w:eastAsia="zh-CN"/>
                    </w:rPr>
                    <w:t>本项目主要为甲醇及叔丁醇暂存，真实蒸气压均＜</w:t>
                  </w:r>
                  <w:r>
                    <w:rPr>
                      <w:color w:val="auto"/>
                      <w:sz w:val="18"/>
                      <w:szCs w:val="18"/>
                    </w:rPr>
                    <w:t>76.6kPa</w:t>
                  </w:r>
                  <w:r>
                    <w:rPr>
                      <w:rFonts w:hint="eastAsia"/>
                      <w:color w:val="auto"/>
                      <w:sz w:val="18"/>
                      <w:szCs w:val="18"/>
                    </w:rPr>
                    <w:t>。</w:t>
                  </w:r>
                </w:p>
              </w:tc>
              <w:tc>
                <w:tcPr>
                  <w:tcW w:w="673" w:type="dxa"/>
                  <w:vMerge w:val="restart"/>
                  <w:vAlign w:val="center"/>
                </w:tcPr>
                <w:p w14:paraId="5597DEF0">
                  <w:pPr>
                    <w:pStyle w:val="60"/>
                    <w:rPr>
                      <w:color w:val="auto"/>
                      <w:sz w:val="18"/>
                      <w:szCs w:val="18"/>
                    </w:rPr>
                  </w:pPr>
                  <w:r>
                    <w:rPr>
                      <w:rFonts w:hint="eastAsia"/>
                      <w:color w:val="auto"/>
                      <w:sz w:val="18"/>
                      <w:szCs w:val="18"/>
                    </w:rPr>
                    <w:t>符合</w:t>
                  </w:r>
                </w:p>
              </w:tc>
            </w:tr>
            <w:tr w14:paraId="5915FB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Merge w:val="continue"/>
                  <w:vAlign w:val="center"/>
                </w:tcPr>
                <w:p w14:paraId="3026D6E3">
                  <w:pPr>
                    <w:pStyle w:val="60"/>
                    <w:rPr>
                      <w:color w:val="auto"/>
                      <w:sz w:val="18"/>
                      <w:szCs w:val="18"/>
                    </w:rPr>
                  </w:pPr>
                </w:p>
              </w:tc>
              <w:tc>
                <w:tcPr>
                  <w:tcW w:w="389" w:type="dxa"/>
                  <w:vMerge w:val="continue"/>
                  <w:vAlign w:val="center"/>
                </w:tcPr>
                <w:p w14:paraId="5D0E9E67">
                  <w:pPr>
                    <w:pStyle w:val="60"/>
                    <w:rPr>
                      <w:color w:val="auto"/>
                      <w:sz w:val="18"/>
                      <w:szCs w:val="18"/>
                    </w:rPr>
                  </w:pPr>
                </w:p>
              </w:tc>
              <w:tc>
                <w:tcPr>
                  <w:tcW w:w="3509" w:type="dxa"/>
                  <w:vAlign w:val="center"/>
                </w:tcPr>
                <w:p w14:paraId="14DFAA64">
                  <w:pPr>
                    <w:pStyle w:val="60"/>
                    <w:jc w:val="both"/>
                    <w:rPr>
                      <w:color w:val="auto"/>
                      <w:sz w:val="18"/>
                      <w:szCs w:val="18"/>
                    </w:rPr>
                  </w:pPr>
                  <w:r>
                    <w:rPr>
                      <w:rFonts w:hint="eastAsia"/>
                      <w:color w:val="auto"/>
                      <w:sz w:val="18"/>
                      <w:szCs w:val="18"/>
                    </w:rPr>
                    <w:t>储存真实蒸气压≥</w:t>
                  </w:r>
                  <w:r>
                    <w:rPr>
                      <w:color w:val="auto"/>
                      <w:sz w:val="18"/>
                      <w:szCs w:val="18"/>
                    </w:rPr>
                    <w:t>27.6kPa</w:t>
                  </w:r>
                  <w:r>
                    <w:rPr>
                      <w:rFonts w:hint="eastAsia"/>
                      <w:color w:val="auto"/>
                      <w:sz w:val="18"/>
                      <w:szCs w:val="18"/>
                    </w:rPr>
                    <w:t>但＜</w:t>
                  </w:r>
                  <w:r>
                    <w:rPr>
                      <w:color w:val="auto"/>
                      <w:sz w:val="18"/>
                      <w:szCs w:val="18"/>
                    </w:rPr>
                    <w:t>76.6kPa</w:t>
                  </w:r>
                  <w:r>
                    <w:rPr>
                      <w:rFonts w:hint="eastAsia"/>
                      <w:color w:val="auto"/>
                      <w:sz w:val="18"/>
                      <w:szCs w:val="18"/>
                    </w:rPr>
                    <w:t>且储罐容积≥</w:t>
                  </w:r>
                  <w:r>
                    <w:rPr>
                      <w:color w:val="auto"/>
                      <w:sz w:val="18"/>
                      <w:szCs w:val="18"/>
                    </w:rPr>
                    <w:t>75m</w:t>
                  </w:r>
                  <w:r>
                    <w:rPr>
                      <w:color w:val="auto"/>
                      <w:sz w:val="18"/>
                      <w:szCs w:val="18"/>
                      <w:vertAlign w:val="superscript"/>
                    </w:rPr>
                    <w:t>3</w:t>
                  </w:r>
                  <w:r>
                    <w:rPr>
                      <w:rFonts w:hint="eastAsia"/>
                      <w:color w:val="auto"/>
                      <w:sz w:val="18"/>
                      <w:szCs w:val="18"/>
                    </w:rPr>
                    <w:t>的挥发性有机液体储罐，以及储存真实蒸气压≥</w:t>
                  </w:r>
                  <w:r>
                    <w:rPr>
                      <w:color w:val="auto"/>
                      <w:sz w:val="18"/>
                      <w:szCs w:val="18"/>
                    </w:rPr>
                    <w:t>5.2kPa</w:t>
                  </w:r>
                  <w:r>
                    <w:rPr>
                      <w:rFonts w:hint="eastAsia"/>
                      <w:color w:val="auto"/>
                      <w:sz w:val="18"/>
                      <w:szCs w:val="18"/>
                    </w:rPr>
                    <w:t>但＜</w:t>
                  </w:r>
                  <w:r>
                    <w:rPr>
                      <w:color w:val="auto"/>
                      <w:sz w:val="18"/>
                      <w:szCs w:val="18"/>
                    </w:rPr>
                    <w:t>27.6kPa</w:t>
                  </w:r>
                  <w:r>
                    <w:rPr>
                      <w:rFonts w:hint="eastAsia"/>
                      <w:color w:val="auto"/>
                      <w:sz w:val="18"/>
                      <w:szCs w:val="18"/>
                    </w:rPr>
                    <w:t>且储罐容积≥</w:t>
                  </w:r>
                  <w:r>
                    <w:rPr>
                      <w:color w:val="auto"/>
                      <w:sz w:val="18"/>
                      <w:szCs w:val="18"/>
                    </w:rPr>
                    <w:t>150m</w:t>
                  </w:r>
                  <w:r>
                    <w:rPr>
                      <w:color w:val="auto"/>
                      <w:sz w:val="18"/>
                      <w:szCs w:val="18"/>
                      <w:vertAlign w:val="superscript"/>
                    </w:rPr>
                    <w:t>3</w:t>
                  </w:r>
                  <w:r>
                    <w:rPr>
                      <w:rFonts w:hint="eastAsia"/>
                      <w:color w:val="auto"/>
                      <w:sz w:val="18"/>
                      <w:szCs w:val="18"/>
                    </w:rPr>
                    <w:t>的挥发性有机液体储罐，符合下列规定之一：</w:t>
                  </w:r>
                </w:p>
                <w:p w14:paraId="6398710E">
                  <w:pPr>
                    <w:pStyle w:val="60"/>
                    <w:jc w:val="both"/>
                    <w:rPr>
                      <w:color w:val="auto"/>
                      <w:sz w:val="18"/>
                      <w:szCs w:val="18"/>
                    </w:rPr>
                  </w:pPr>
                  <w:r>
                    <w:rPr>
                      <w:color w:val="auto"/>
                      <w:sz w:val="18"/>
                      <w:szCs w:val="18"/>
                    </w:rPr>
                    <w:t>a</w:t>
                  </w:r>
                  <w:r>
                    <w:rPr>
                      <w:rFonts w:hint="eastAsia"/>
                      <w:color w:val="auto"/>
                      <w:sz w:val="18"/>
                      <w:szCs w:val="18"/>
                    </w:rPr>
                    <w:t>）采用固定顶罐，排放的废气收集处理达标排放，或者处理效率不低于</w:t>
                  </w:r>
                  <w:r>
                    <w:rPr>
                      <w:color w:val="auto"/>
                      <w:sz w:val="18"/>
                      <w:szCs w:val="18"/>
                    </w:rPr>
                    <w:t>90%</w:t>
                  </w:r>
                  <w:r>
                    <w:rPr>
                      <w:rFonts w:hint="eastAsia"/>
                      <w:color w:val="auto"/>
                      <w:sz w:val="18"/>
                      <w:szCs w:val="18"/>
                    </w:rPr>
                    <w:t>；</w:t>
                  </w:r>
                </w:p>
                <w:p w14:paraId="6A35FECC">
                  <w:pPr>
                    <w:pStyle w:val="60"/>
                    <w:jc w:val="both"/>
                    <w:rPr>
                      <w:color w:val="auto"/>
                      <w:sz w:val="18"/>
                      <w:szCs w:val="18"/>
                    </w:rPr>
                  </w:pPr>
                  <w:r>
                    <w:rPr>
                      <w:color w:val="auto"/>
                      <w:sz w:val="18"/>
                      <w:szCs w:val="18"/>
                    </w:rPr>
                    <w:t>b</w:t>
                  </w:r>
                  <w:r>
                    <w:rPr>
                      <w:rFonts w:hint="eastAsia"/>
                      <w:color w:val="auto"/>
                      <w:sz w:val="18"/>
                      <w:szCs w:val="18"/>
                    </w:rPr>
                    <w:t>）采用气相平衡系统。</w:t>
                  </w:r>
                </w:p>
              </w:tc>
              <w:tc>
                <w:tcPr>
                  <w:tcW w:w="779" w:type="dxa"/>
                  <w:vAlign w:val="center"/>
                </w:tcPr>
                <w:p w14:paraId="347CDAB6">
                  <w:pPr>
                    <w:pStyle w:val="60"/>
                    <w:rPr>
                      <w:color w:val="auto"/>
                      <w:sz w:val="18"/>
                      <w:szCs w:val="18"/>
                    </w:rPr>
                  </w:pPr>
                  <w:r>
                    <w:rPr>
                      <w:rFonts w:hint="eastAsia"/>
                      <w:color w:val="auto"/>
                      <w:sz w:val="18"/>
                      <w:szCs w:val="18"/>
                    </w:rPr>
                    <w:t>要求</w:t>
                  </w:r>
                </w:p>
              </w:tc>
              <w:tc>
                <w:tcPr>
                  <w:tcW w:w="2469" w:type="dxa"/>
                  <w:vAlign w:val="center"/>
                </w:tcPr>
                <w:p w14:paraId="34DF4299">
                  <w:pPr>
                    <w:pStyle w:val="60"/>
                    <w:jc w:val="both"/>
                    <w:rPr>
                      <w:color w:val="auto"/>
                      <w:sz w:val="18"/>
                      <w:szCs w:val="18"/>
                    </w:rPr>
                  </w:pPr>
                  <w:r>
                    <w:rPr>
                      <w:rFonts w:hint="eastAsia"/>
                      <w:color w:val="auto"/>
                      <w:sz w:val="18"/>
                      <w:szCs w:val="18"/>
                      <w:lang w:val="en-US" w:eastAsia="zh-CN"/>
                    </w:rPr>
                    <w:t>本项目甲醇及叔丁醇均采用内浮顶储罐</w:t>
                  </w:r>
                  <w:r>
                    <w:rPr>
                      <w:rFonts w:hint="eastAsia"/>
                      <w:color w:val="auto"/>
                      <w:sz w:val="18"/>
                      <w:szCs w:val="18"/>
                    </w:rPr>
                    <w:t>储存，储罐</w:t>
                  </w:r>
                  <w:r>
                    <w:rPr>
                      <w:color w:val="auto"/>
                      <w:sz w:val="18"/>
                      <w:szCs w:val="18"/>
                    </w:rPr>
                    <w:t>使用低泄漏的储罐呼吸阀、紧急泄压阀</w:t>
                  </w:r>
                  <w:r>
                    <w:rPr>
                      <w:rFonts w:hint="eastAsia"/>
                      <w:color w:val="auto"/>
                      <w:sz w:val="18"/>
                      <w:szCs w:val="18"/>
                    </w:rPr>
                    <w:t>，内浮顶罐浮顶与罐壁之间采用高效密封方式；储罐</w:t>
                  </w:r>
                  <w:r>
                    <w:rPr>
                      <w:rFonts w:hint="eastAsia"/>
                      <w:color w:val="auto"/>
                      <w:sz w:val="18"/>
                      <w:szCs w:val="18"/>
                      <w:lang w:val="en-US" w:eastAsia="zh-CN"/>
                    </w:rPr>
                    <w:t>呼吸</w:t>
                  </w:r>
                  <w:r>
                    <w:rPr>
                      <w:rFonts w:hint="eastAsia"/>
                      <w:color w:val="auto"/>
                      <w:sz w:val="18"/>
                      <w:szCs w:val="18"/>
                    </w:rPr>
                    <w:t>废气经收集处理后达标排放。</w:t>
                  </w:r>
                </w:p>
              </w:tc>
              <w:tc>
                <w:tcPr>
                  <w:tcW w:w="673" w:type="dxa"/>
                  <w:vMerge w:val="continue"/>
                  <w:vAlign w:val="center"/>
                </w:tcPr>
                <w:p w14:paraId="740AB02F">
                  <w:pPr>
                    <w:pStyle w:val="60"/>
                    <w:rPr>
                      <w:color w:val="auto"/>
                      <w:sz w:val="18"/>
                      <w:szCs w:val="18"/>
                    </w:rPr>
                  </w:pPr>
                </w:p>
              </w:tc>
            </w:tr>
            <w:tr w14:paraId="7EA42C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545" w:type="dxa"/>
                  <w:vAlign w:val="center"/>
                </w:tcPr>
                <w:p w14:paraId="3B6403D2">
                  <w:pPr>
                    <w:pStyle w:val="60"/>
                    <w:rPr>
                      <w:color w:val="auto"/>
                      <w:sz w:val="18"/>
                      <w:szCs w:val="18"/>
                    </w:rPr>
                  </w:pPr>
                  <w:r>
                    <w:rPr>
                      <w:rFonts w:hint="eastAsia"/>
                      <w:color w:val="auto"/>
                      <w:sz w:val="18"/>
                      <w:szCs w:val="18"/>
                    </w:rPr>
                    <w:t>4</w:t>
                  </w:r>
                </w:p>
              </w:tc>
              <w:tc>
                <w:tcPr>
                  <w:tcW w:w="389" w:type="dxa"/>
                  <w:vAlign w:val="center"/>
                </w:tcPr>
                <w:p w14:paraId="06F35414">
                  <w:pPr>
                    <w:pStyle w:val="60"/>
                    <w:rPr>
                      <w:color w:val="auto"/>
                      <w:sz w:val="18"/>
                      <w:szCs w:val="18"/>
                    </w:rPr>
                  </w:pPr>
                  <w:r>
                    <w:rPr>
                      <w:rFonts w:hint="eastAsia"/>
                      <w:color w:val="auto"/>
                      <w:sz w:val="18"/>
                      <w:szCs w:val="18"/>
                    </w:rPr>
                    <w:t>装载</w:t>
                  </w:r>
                </w:p>
              </w:tc>
              <w:tc>
                <w:tcPr>
                  <w:tcW w:w="3509" w:type="dxa"/>
                  <w:vAlign w:val="center"/>
                </w:tcPr>
                <w:p w14:paraId="3FED2D00">
                  <w:pPr>
                    <w:pStyle w:val="60"/>
                    <w:jc w:val="both"/>
                    <w:rPr>
                      <w:color w:val="auto"/>
                      <w:sz w:val="18"/>
                      <w:szCs w:val="18"/>
                    </w:rPr>
                  </w:pPr>
                  <w:r>
                    <w:rPr>
                      <w:rFonts w:hint="eastAsia"/>
                      <w:color w:val="auto"/>
                      <w:sz w:val="18"/>
                      <w:szCs w:val="18"/>
                    </w:rPr>
                    <w:t>装载物料真实蒸气压≥</w:t>
                  </w:r>
                  <w:r>
                    <w:rPr>
                      <w:color w:val="auto"/>
                      <w:sz w:val="18"/>
                      <w:szCs w:val="18"/>
                    </w:rPr>
                    <w:t>27.6kPa</w:t>
                  </w:r>
                  <w:r>
                    <w:rPr>
                      <w:rFonts w:hint="eastAsia"/>
                      <w:color w:val="auto"/>
                      <w:sz w:val="18"/>
                      <w:szCs w:val="18"/>
                    </w:rPr>
                    <w:t>且单一装载设施的年装载量≥</w:t>
                  </w:r>
                  <w:r>
                    <w:rPr>
                      <w:color w:val="auto"/>
                      <w:sz w:val="18"/>
                      <w:szCs w:val="18"/>
                    </w:rPr>
                    <w:t>500m</w:t>
                  </w:r>
                  <w:r>
                    <w:rPr>
                      <w:color w:val="auto"/>
                      <w:sz w:val="18"/>
                      <w:szCs w:val="18"/>
                      <w:vertAlign w:val="superscript"/>
                    </w:rPr>
                    <w:t>3</w:t>
                  </w:r>
                  <w:r>
                    <w:rPr>
                      <w:rFonts w:hint="eastAsia"/>
                      <w:color w:val="auto"/>
                      <w:sz w:val="18"/>
                      <w:szCs w:val="18"/>
                    </w:rPr>
                    <w:t>，以及装载物料真实蒸气压≥</w:t>
                  </w:r>
                  <w:r>
                    <w:rPr>
                      <w:color w:val="auto"/>
                      <w:sz w:val="18"/>
                      <w:szCs w:val="18"/>
                    </w:rPr>
                    <w:t>5.2kPa</w:t>
                  </w:r>
                  <w:r>
                    <w:rPr>
                      <w:rFonts w:hint="eastAsia"/>
                      <w:color w:val="auto"/>
                      <w:sz w:val="18"/>
                      <w:szCs w:val="18"/>
                    </w:rPr>
                    <w:t>但＜</w:t>
                  </w:r>
                  <w:r>
                    <w:rPr>
                      <w:color w:val="auto"/>
                      <w:sz w:val="18"/>
                      <w:szCs w:val="18"/>
                    </w:rPr>
                    <w:t>27.6kPa</w:t>
                  </w:r>
                  <w:r>
                    <w:rPr>
                      <w:rFonts w:hint="eastAsia"/>
                      <w:color w:val="auto"/>
                      <w:sz w:val="18"/>
                      <w:szCs w:val="18"/>
                    </w:rPr>
                    <w:t>且单一装载设施的年装载量≥</w:t>
                  </w:r>
                  <w:r>
                    <w:rPr>
                      <w:color w:val="auto"/>
                      <w:sz w:val="18"/>
                      <w:szCs w:val="18"/>
                    </w:rPr>
                    <w:t>2500 m</w:t>
                  </w:r>
                  <w:r>
                    <w:rPr>
                      <w:color w:val="auto"/>
                      <w:sz w:val="18"/>
                      <w:szCs w:val="18"/>
                      <w:vertAlign w:val="superscript"/>
                    </w:rPr>
                    <w:t>3</w:t>
                  </w:r>
                  <w:r>
                    <w:rPr>
                      <w:rFonts w:hint="eastAsia"/>
                      <w:color w:val="auto"/>
                      <w:sz w:val="18"/>
                      <w:szCs w:val="18"/>
                    </w:rPr>
                    <w:t>的，装载过程符合下列规定之一：</w:t>
                  </w:r>
                </w:p>
                <w:p w14:paraId="08E43983">
                  <w:pPr>
                    <w:pStyle w:val="60"/>
                    <w:jc w:val="both"/>
                    <w:rPr>
                      <w:color w:val="auto"/>
                      <w:sz w:val="18"/>
                      <w:szCs w:val="18"/>
                    </w:rPr>
                  </w:pPr>
                  <w:r>
                    <w:rPr>
                      <w:color w:val="auto"/>
                      <w:sz w:val="18"/>
                      <w:szCs w:val="18"/>
                    </w:rPr>
                    <w:t>a</w:t>
                  </w:r>
                  <w:r>
                    <w:rPr>
                      <w:rFonts w:hint="eastAsia"/>
                      <w:color w:val="auto"/>
                      <w:sz w:val="18"/>
                      <w:szCs w:val="18"/>
                    </w:rPr>
                    <w:t>）排放的废气收集处理达标排放，或者处理效率不低于</w:t>
                  </w:r>
                  <w:r>
                    <w:rPr>
                      <w:color w:val="auto"/>
                      <w:sz w:val="18"/>
                      <w:szCs w:val="18"/>
                    </w:rPr>
                    <w:t>90%</w:t>
                  </w:r>
                  <w:r>
                    <w:rPr>
                      <w:rFonts w:hint="eastAsia"/>
                      <w:color w:val="auto"/>
                      <w:sz w:val="18"/>
                      <w:szCs w:val="18"/>
                    </w:rPr>
                    <w:t>；</w:t>
                  </w:r>
                </w:p>
                <w:p w14:paraId="367F0845">
                  <w:pPr>
                    <w:pStyle w:val="60"/>
                    <w:jc w:val="both"/>
                    <w:rPr>
                      <w:color w:val="auto"/>
                      <w:sz w:val="18"/>
                      <w:szCs w:val="18"/>
                    </w:rPr>
                  </w:pPr>
                  <w:r>
                    <w:rPr>
                      <w:color w:val="auto"/>
                      <w:sz w:val="18"/>
                      <w:szCs w:val="18"/>
                    </w:rPr>
                    <w:t>b</w:t>
                  </w:r>
                  <w:r>
                    <w:rPr>
                      <w:rFonts w:hint="eastAsia"/>
                      <w:color w:val="auto"/>
                      <w:sz w:val="18"/>
                      <w:szCs w:val="18"/>
                    </w:rPr>
                    <w:t>）排放的废气连接至气相平衡系统。</w:t>
                  </w:r>
                </w:p>
              </w:tc>
              <w:tc>
                <w:tcPr>
                  <w:tcW w:w="779" w:type="dxa"/>
                  <w:vAlign w:val="center"/>
                </w:tcPr>
                <w:p w14:paraId="426D02F4">
                  <w:pPr>
                    <w:pStyle w:val="60"/>
                    <w:rPr>
                      <w:color w:val="auto"/>
                      <w:sz w:val="18"/>
                      <w:szCs w:val="18"/>
                    </w:rPr>
                  </w:pPr>
                  <w:r>
                    <w:rPr>
                      <w:rFonts w:hint="eastAsia"/>
                      <w:color w:val="auto"/>
                      <w:sz w:val="18"/>
                      <w:szCs w:val="18"/>
                    </w:rPr>
                    <w:t>要求</w:t>
                  </w:r>
                </w:p>
              </w:tc>
              <w:tc>
                <w:tcPr>
                  <w:tcW w:w="2469" w:type="dxa"/>
                  <w:vAlign w:val="center"/>
                </w:tcPr>
                <w:p w14:paraId="6B1713D8">
                  <w:pPr>
                    <w:pStyle w:val="60"/>
                    <w:jc w:val="both"/>
                    <w:rPr>
                      <w:color w:val="auto"/>
                      <w:sz w:val="18"/>
                      <w:szCs w:val="18"/>
                    </w:rPr>
                  </w:pPr>
                  <w:r>
                    <w:rPr>
                      <w:rFonts w:hint="eastAsia"/>
                      <w:color w:val="auto"/>
                      <w:sz w:val="18"/>
                      <w:szCs w:val="18"/>
                    </w:rPr>
                    <w:t>项目装载废气经收集，</w:t>
                  </w:r>
                  <w:r>
                    <w:rPr>
                      <w:rFonts w:hint="eastAsia"/>
                      <w:color w:val="auto"/>
                      <w:sz w:val="18"/>
                      <w:szCs w:val="18"/>
                      <w:lang w:val="en-US" w:eastAsia="zh-CN"/>
                    </w:rPr>
                    <w:t>经水洗塔预处理后送尾气炉焚烧处理</w:t>
                  </w:r>
                  <w:r>
                    <w:rPr>
                      <w:rFonts w:hint="eastAsia"/>
                      <w:color w:val="auto"/>
                      <w:sz w:val="18"/>
                      <w:szCs w:val="18"/>
                    </w:rPr>
                    <w:t>，能够达标排放。</w:t>
                  </w:r>
                </w:p>
              </w:tc>
              <w:tc>
                <w:tcPr>
                  <w:tcW w:w="673" w:type="dxa"/>
                  <w:vAlign w:val="center"/>
                </w:tcPr>
                <w:p w14:paraId="6F613110">
                  <w:pPr>
                    <w:pStyle w:val="60"/>
                    <w:rPr>
                      <w:color w:val="auto"/>
                      <w:sz w:val="18"/>
                      <w:szCs w:val="18"/>
                    </w:rPr>
                  </w:pPr>
                  <w:r>
                    <w:rPr>
                      <w:rFonts w:hint="eastAsia"/>
                      <w:color w:val="auto"/>
                      <w:sz w:val="18"/>
                      <w:szCs w:val="18"/>
                    </w:rPr>
                    <w:t>符合</w:t>
                  </w:r>
                </w:p>
              </w:tc>
            </w:tr>
          </w:tbl>
          <w:p w14:paraId="67FFCDDC">
            <w:pPr>
              <w:snapToGrid w:val="0"/>
              <w:spacing w:line="480" w:lineRule="exact"/>
              <w:ind w:firstLine="420" w:firstLineChars="200"/>
              <w:rPr>
                <w:rFonts w:hint="eastAsia" w:ascii="Times New Roman" w:hAnsi="Times New Roman" w:eastAsia="宋体" w:cs="Times New Roman"/>
                <w:bCs/>
                <w:color w:val="auto"/>
                <w:lang w:val="en-US" w:eastAsia="zh-CN"/>
              </w:rPr>
            </w:pPr>
          </w:p>
          <w:p w14:paraId="3C93E29D">
            <w:pPr>
              <w:snapToGrid w:val="0"/>
              <w:spacing w:line="480" w:lineRule="exact"/>
              <w:ind w:firstLine="420" w:firstLineChars="200"/>
              <w:rPr>
                <w:rFonts w:hint="eastAsia" w:ascii="Times New Roman" w:hAnsi="Times New Roman" w:eastAsia="宋体" w:cs="Times New Roman"/>
                <w:bCs/>
                <w:color w:val="auto"/>
                <w:lang w:val="en-US" w:eastAsia="zh-CN"/>
              </w:rPr>
            </w:pPr>
          </w:p>
          <w:p w14:paraId="0B85DF89">
            <w:pPr>
              <w:snapToGrid w:val="0"/>
              <w:spacing w:line="480" w:lineRule="exact"/>
              <w:ind w:firstLine="420" w:firstLineChars="200"/>
              <w:rPr>
                <w:rFonts w:hint="eastAsia" w:ascii="Times New Roman" w:hAnsi="Times New Roman" w:eastAsia="宋体" w:cs="Times New Roman"/>
                <w:bCs/>
                <w:color w:val="auto"/>
                <w:lang w:val="en-US" w:eastAsia="zh-CN"/>
              </w:rPr>
            </w:pPr>
          </w:p>
          <w:p w14:paraId="2AD45FF5">
            <w:pPr>
              <w:snapToGrid w:val="0"/>
              <w:spacing w:line="480" w:lineRule="exact"/>
              <w:ind w:firstLine="420" w:firstLineChars="200"/>
              <w:rPr>
                <w:rFonts w:hint="eastAsia" w:ascii="Times New Roman" w:hAnsi="Times New Roman" w:eastAsia="宋体" w:cs="Times New Roman"/>
                <w:bCs/>
                <w:color w:val="auto"/>
                <w:lang w:val="en-US" w:eastAsia="zh-CN"/>
              </w:rPr>
            </w:pPr>
          </w:p>
          <w:p w14:paraId="4518A7E6">
            <w:pPr>
              <w:snapToGrid w:val="0"/>
              <w:spacing w:line="480" w:lineRule="exact"/>
              <w:ind w:firstLine="420" w:firstLineChars="200"/>
              <w:rPr>
                <w:rFonts w:hint="eastAsia" w:ascii="Times New Roman" w:hAnsi="Times New Roman" w:eastAsia="宋体" w:cs="Times New Roman"/>
                <w:bCs/>
                <w:color w:val="auto"/>
                <w:lang w:val="en-US" w:eastAsia="zh-CN"/>
              </w:rPr>
            </w:pPr>
          </w:p>
          <w:p w14:paraId="7775003F">
            <w:pPr>
              <w:snapToGrid w:val="0"/>
              <w:spacing w:line="480" w:lineRule="exact"/>
              <w:ind w:firstLine="420" w:firstLineChars="200"/>
              <w:rPr>
                <w:rFonts w:hint="eastAsia" w:ascii="Times New Roman" w:hAnsi="Times New Roman" w:eastAsia="宋体" w:cs="Times New Roman"/>
                <w:bCs/>
                <w:color w:val="auto"/>
                <w:lang w:val="en-US" w:eastAsia="zh-CN"/>
              </w:rPr>
            </w:pPr>
          </w:p>
          <w:p w14:paraId="5CC6C2A3">
            <w:pPr>
              <w:snapToGrid w:val="0"/>
              <w:spacing w:line="480" w:lineRule="exact"/>
              <w:ind w:firstLine="420" w:firstLineChars="200"/>
              <w:rPr>
                <w:rFonts w:hint="eastAsia" w:ascii="Times New Roman" w:hAnsi="Times New Roman" w:eastAsia="宋体" w:cs="Times New Roman"/>
                <w:bCs/>
                <w:color w:val="auto"/>
                <w:lang w:val="en-US" w:eastAsia="zh-CN"/>
              </w:rPr>
            </w:pPr>
          </w:p>
        </w:tc>
      </w:tr>
    </w:tbl>
    <w:p w14:paraId="4077A57A">
      <w:pPr>
        <w:spacing w:line="360" w:lineRule="auto"/>
        <w:outlineLvl w:val="0"/>
        <w:rPr>
          <w:rFonts w:eastAsia="黑体"/>
          <w:color w:val="auto"/>
          <w:sz w:val="30"/>
        </w:rPr>
        <w:sectPr>
          <w:footerReference r:id="rId5" w:type="default"/>
          <w:pgSz w:w="11906" w:h="16838"/>
          <w:pgMar w:top="1440" w:right="1080" w:bottom="1440" w:left="1080" w:header="851" w:footer="1077" w:gutter="0"/>
          <w:pgBorders>
            <w:top w:val="none" w:sz="0" w:space="0"/>
            <w:left w:val="none" w:sz="0" w:space="0"/>
            <w:bottom w:val="none" w:sz="0" w:space="0"/>
            <w:right w:val="none" w:sz="0" w:space="0"/>
          </w:pgBorders>
          <w:pgNumType w:start="1"/>
          <w:cols w:space="720" w:num="1"/>
          <w:docGrid w:linePitch="312" w:charSpace="0"/>
        </w:sectPr>
      </w:pPr>
    </w:p>
    <w:p w14:paraId="0D286F1E">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14:paraId="00CF9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0" w:type="dxa"/>
            <w:vAlign w:val="center"/>
          </w:tcPr>
          <w:p w14:paraId="633B79AF">
            <w:pPr>
              <w:pStyle w:val="18"/>
              <w:adjustRightInd w:val="0"/>
              <w:snapToGrid w:val="0"/>
              <w:spacing w:before="0" w:beforeAutospacing="0" w:after="0" w:afterAutospacing="0"/>
              <w:jc w:val="center"/>
              <w:rPr>
                <w:rFonts w:ascii="Times New Roman" w:hAnsi="Times New Roman"/>
                <w:color w:val="auto"/>
                <w:sz w:val="21"/>
                <w:szCs w:val="21"/>
                <w:lang w:val="en-US"/>
              </w:rPr>
            </w:pPr>
            <w:r>
              <w:rPr>
                <w:rFonts w:ascii="Times New Roman" w:hAnsi="Times New Roman"/>
                <w:color w:val="auto"/>
                <w:sz w:val="21"/>
                <w:szCs w:val="21"/>
                <w:lang w:val="en-US"/>
              </w:rPr>
              <w:t>建设内容</w:t>
            </w:r>
          </w:p>
        </w:tc>
        <w:tc>
          <w:tcPr>
            <w:tcW w:w="8640" w:type="dxa"/>
          </w:tcPr>
          <w:p w14:paraId="7BB819B8">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b/>
                <w:bCs/>
                <w:color w:val="auto"/>
                <w:szCs w:val="21"/>
              </w:rPr>
            </w:pPr>
            <w:r>
              <w:rPr>
                <w:b/>
                <w:bCs/>
                <w:color w:val="auto"/>
                <w:szCs w:val="21"/>
              </w:rPr>
              <w:t>1、</w:t>
            </w:r>
            <w:r>
              <w:rPr>
                <w:rFonts w:hint="eastAsia"/>
                <w:b/>
                <w:bCs/>
                <w:color w:val="auto"/>
                <w:szCs w:val="21"/>
              </w:rPr>
              <w:t>项目由来</w:t>
            </w:r>
          </w:p>
          <w:p w14:paraId="60BF9E4E">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bCs/>
                <w:color w:val="auto"/>
                <w:sz w:val="21"/>
                <w:szCs w:val="21"/>
              </w:rPr>
            </w:pPr>
            <w:r>
              <w:rPr>
                <w:rFonts w:hint="eastAsia"/>
                <w:color w:val="auto"/>
                <w:sz w:val="21"/>
                <w:szCs w:val="21"/>
              </w:rPr>
              <w:t>山东诚光工贸有限公司成立于2008年5月，注册资本300万元，位于临淄区朱台镇工业集中区。公司主要经营范围为甲醛、叔丁醇的生产、销售。</w:t>
            </w:r>
          </w:p>
          <w:p w14:paraId="325527B2">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rFonts w:hint="default"/>
                <w:bCs/>
                <w:color w:val="auto"/>
                <w:sz w:val="21"/>
                <w:szCs w:val="21"/>
                <w:lang w:val="en-US" w:eastAsia="zh-CN"/>
              </w:rPr>
            </w:pPr>
            <w:r>
              <w:rPr>
                <w:rFonts w:hint="eastAsia"/>
                <w:bCs/>
                <w:color w:val="auto"/>
                <w:sz w:val="21"/>
                <w:szCs w:val="21"/>
                <w:lang w:val="en-US" w:eastAsia="zh-CN"/>
              </w:rPr>
              <w:t>公司分为东、西厂区及办公区。东厂区现有项目为“5万吨/年甲醛改扩建项目”、“10000吨/年叔丁醇精制生产项目”；西厂区原现有项目为“2万吨/年片碱项目”该项目目前已不再生产，生产装置已全部拆除，仅保留2套尾气炉处理东厂区废气；办公区位于东厂区南侧。</w:t>
            </w:r>
          </w:p>
          <w:p w14:paraId="4FC03B62">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rFonts w:hint="eastAsia"/>
                <w:color w:val="auto"/>
                <w:sz w:val="21"/>
                <w:szCs w:val="21"/>
                <w:lang w:eastAsia="zh-CN"/>
              </w:rPr>
            </w:pPr>
            <w:r>
              <w:rPr>
                <w:rFonts w:hint="eastAsia"/>
                <w:bCs/>
                <w:color w:val="auto"/>
                <w:szCs w:val="21"/>
              </w:rPr>
              <w:t>现有项目已申领排污许可证，</w:t>
            </w:r>
            <w:r>
              <w:rPr>
                <w:rFonts w:hint="eastAsia"/>
                <w:bCs/>
                <w:color w:val="auto"/>
                <w:szCs w:val="21"/>
                <w:lang w:val="en-US" w:eastAsia="zh-CN"/>
              </w:rPr>
              <w:t>许可证编号</w:t>
            </w:r>
            <w:r>
              <w:rPr>
                <w:rFonts w:hint="eastAsia"/>
                <w:bCs/>
                <w:color w:val="auto"/>
                <w:szCs w:val="21"/>
                <w:lang w:eastAsia="zh-CN"/>
              </w:rPr>
              <w:t>：</w:t>
            </w:r>
            <w:r>
              <w:rPr>
                <w:rFonts w:hint="eastAsia"/>
                <w:bCs/>
                <w:color w:val="auto"/>
                <w:szCs w:val="21"/>
              </w:rPr>
              <w:t>91370305675536639E001P。现有项目环保手续齐全，环境保护“三同时”执行情况如下：</w:t>
            </w:r>
          </w:p>
          <w:p w14:paraId="7E402223">
            <w:pPr>
              <w:adjustRightInd w:val="0"/>
              <w:snapToGrid w:val="0"/>
              <w:spacing w:before="120" w:beforeLines="50"/>
              <w:jc w:val="center"/>
              <w:rPr>
                <w:rFonts w:hint="eastAsia"/>
                <w:b/>
                <w:color w:val="auto"/>
                <w:szCs w:val="21"/>
              </w:rPr>
            </w:pPr>
            <w:r>
              <w:rPr>
                <w:rFonts w:hint="eastAsia"/>
                <w:b/>
                <w:color w:val="auto"/>
                <w:szCs w:val="21"/>
              </w:rPr>
              <w:t>表2-</w:t>
            </w:r>
            <w:r>
              <w:rPr>
                <w:rFonts w:hint="eastAsia"/>
                <w:b/>
                <w:color w:val="auto"/>
                <w:szCs w:val="21"/>
                <w:lang w:val="en-US" w:eastAsia="zh-CN"/>
              </w:rPr>
              <w:t>1</w:t>
            </w:r>
            <w:r>
              <w:rPr>
                <w:rFonts w:hint="eastAsia"/>
                <w:b/>
                <w:color w:val="auto"/>
                <w:szCs w:val="21"/>
              </w:rPr>
              <w:t xml:space="preserve">  </w:t>
            </w:r>
            <w:r>
              <w:rPr>
                <w:rFonts w:hint="eastAsia"/>
                <w:b/>
                <w:color w:val="auto"/>
                <w:szCs w:val="21"/>
                <w:lang w:val="en-US" w:eastAsia="zh-CN"/>
              </w:rPr>
              <w:t>山东诚光工贸有限公司</w:t>
            </w:r>
            <w:r>
              <w:rPr>
                <w:rFonts w:hint="eastAsia"/>
                <w:b/>
                <w:color w:val="auto"/>
                <w:szCs w:val="21"/>
              </w:rPr>
              <w:t>现有项目三同时落实情况一览表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5"/>
              <w:gridCol w:w="1425"/>
              <w:gridCol w:w="1155"/>
              <w:gridCol w:w="1245"/>
              <w:gridCol w:w="975"/>
              <w:gridCol w:w="1305"/>
              <w:gridCol w:w="1804"/>
            </w:tblGrid>
            <w:tr w14:paraId="0EE89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5" w:type="dxa"/>
                  <w:tcBorders>
                    <w:tl2br w:val="nil"/>
                    <w:tr2bl w:val="nil"/>
                  </w:tcBorders>
                  <w:noWrap w:val="0"/>
                  <w:vAlign w:val="center"/>
                </w:tcPr>
                <w:p w14:paraId="16239F47">
                  <w:pPr>
                    <w:pStyle w:val="60"/>
                    <w:rPr>
                      <w:rFonts w:hint="eastAsia" w:ascii="Times New Roman" w:hAnsi="Times New Roman" w:eastAsia="宋体" w:cs="Times New Roman"/>
                      <w:color w:val="auto"/>
                      <w:sz w:val="18"/>
                      <w:szCs w:val="18"/>
                    </w:rPr>
                  </w:pPr>
                  <w:bookmarkStart w:id="10" w:name="_Hlk208047834"/>
                  <w:r>
                    <w:rPr>
                      <w:rFonts w:hint="eastAsia" w:ascii="Times New Roman" w:hAnsi="Times New Roman" w:eastAsia="宋体" w:cs="Times New Roman"/>
                      <w:color w:val="auto"/>
                      <w:sz w:val="18"/>
                      <w:szCs w:val="18"/>
                    </w:rPr>
                    <w:t>序号</w:t>
                  </w:r>
                </w:p>
              </w:tc>
              <w:tc>
                <w:tcPr>
                  <w:tcW w:w="1425" w:type="dxa"/>
                  <w:tcBorders>
                    <w:tl2br w:val="nil"/>
                    <w:tr2bl w:val="nil"/>
                  </w:tcBorders>
                  <w:noWrap w:val="0"/>
                  <w:vAlign w:val="center"/>
                </w:tcPr>
                <w:p w14:paraId="7D473C08">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项目名称</w:t>
                  </w:r>
                </w:p>
              </w:tc>
              <w:tc>
                <w:tcPr>
                  <w:tcW w:w="1155" w:type="dxa"/>
                  <w:tcBorders>
                    <w:tl2br w:val="nil"/>
                    <w:tr2bl w:val="nil"/>
                  </w:tcBorders>
                  <w:noWrap w:val="0"/>
                  <w:vAlign w:val="center"/>
                </w:tcPr>
                <w:p w14:paraId="06D6F253">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环评审批部门</w:t>
                  </w:r>
                </w:p>
              </w:tc>
              <w:tc>
                <w:tcPr>
                  <w:tcW w:w="1245" w:type="dxa"/>
                  <w:tcBorders>
                    <w:tl2br w:val="nil"/>
                    <w:tr2bl w:val="nil"/>
                  </w:tcBorders>
                  <w:noWrap w:val="0"/>
                  <w:vAlign w:val="center"/>
                </w:tcPr>
                <w:p w14:paraId="3299BDD9">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审批文号/时间</w:t>
                  </w:r>
                </w:p>
              </w:tc>
              <w:tc>
                <w:tcPr>
                  <w:tcW w:w="975" w:type="dxa"/>
                  <w:tcBorders>
                    <w:tl2br w:val="nil"/>
                    <w:tr2bl w:val="nil"/>
                  </w:tcBorders>
                  <w:noWrap w:val="0"/>
                  <w:vAlign w:val="center"/>
                </w:tcPr>
                <w:p w14:paraId="1823DCDA">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竣工环保验收情况</w:t>
                  </w:r>
                </w:p>
              </w:tc>
              <w:tc>
                <w:tcPr>
                  <w:tcW w:w="1305" w:type="dxa"/>
                  <w:tcBorders>
                    <w:tl2br w:val="nil"/>
                    <w:tr2bl w:val="nil"/>
                  </w:tcBorders>
                  <w:noWrap w:val="0"/>
                  <w:vAlign w:val="center"/>
                </w:tcPr>
                <w:p w14:paraId="04A237B3">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排污许可情况</w:t>
                  </w:r>
                </w:p>
              </w:tc>
              <w:tc>
                <w:tcPr>
                  <w:tcW w:w="1804" w:type="dxa"/>
                  <w:tcBorders>
                    <w:tl2br w:val="nil"/>
                    <w:tr2bl w:val="nil"/>
                  </w:tcBorders>
                  <w:noWrap w:val="0"/>
                  <w:vAlign w:val="center"/>
                </w:tcPr>
                <w:p w14:paraId="41E7174F">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备注</w:t>
                  </w:r>
                </w:p>
              </w:tc>
            </w:tr>
            <w:tr w14:paraId="25C8A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5" w:type="dxa"/>
                  <w:tcBorders>
                    <w:tl2br w:val="nil"/>
                    <w:tr2bl w:val="nil"/>
                  </w:tcBorders>
                  <w:noWrap w:val="0"/>
                  <w:vAlign w:val="center"/>
                </w:tcPr>
                <w:p w14:paraId="27F57FB4">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w:t>
                  </w:r>
                </w:p>
              </w:tc>
              <w:tc>
                <w:tcPr>
                  <w:tcW w:w="1425" w:type="dxa"/>
                  <w:tcBorders>
                    <w:tl2br w:val="nil"/>
                    <w:tr2bl w:val="nil"/>
                  </w:tcBorders>
                  <w:noWrap w:val="0"/>
                  <w:vAlign w:val="center"/>
                </w:tcPr>
                <w:p w14:paraId="673A1332">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山东诚光工贸有限公司20000吨/年片碱装置</w:t>
                  </w:r>
                </w:p>
              </w:tc>
              <w:tc>
                <w:tcPr>
                  <w:tcW w:w="1155" w:type="dxa"/>
                  <w:tcBorders>
                    <w:tl2br w:val="nil"/>
                    <w:tr2bl w:val="nil"/>
                  </w:tcBorders>
                  <w:noWrap w:val="0"/>
                  <w:vAlign w:val="center"/>
                </w:tcPr>
                <w:p w14:paraId="4C10D1C3">
                  <w:pPr>
                    <w:pStyle w:val="60"/>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rPr>
                    <w:t>原淄博市</w:t>
                  </w:r>
                  <w:r>
                    <w:rPr>
                      <w:rFonts w:hint="eastAsia" w:ascii="Times New Roman" w:hAnsi="Times New Roman" w:eastAsia="宋体" w:cs="Times New Roman"/>
                      <w:color w:val="auto"/>
                      <w:sz w:val="18"/>
                      <w:szCs w:val="18"/>
                      <w:lang w:val="en-US" w:eastAsia="zh-CN"/>
                    </w:rPr>
                    <w:t>环境保护局</w:t>
                  </w:r>
                </w:p>
              </w:tc>
              <w:tc>
                <w:tcPr>
                  <w:tcW w:w="1245" w:type="dxa"/>
                  <w:tcBorders>
                    <w:tl2br w:val="nil"/>
                    <w:tr2bl w:val="nil"/>
                  </w:tcBorders>
                  <w:noWrap w:val="0"/>
                  <w:vAlign w:val="center"/>
                </w:tcPr>
                <w:p w14:paraId="2AFC6EFF">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2011.1.13</w:t>
                  </w:r>
                </w:p>
                <w:p w14:paraId="29360443">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淄环报告表[2011]5号</w:t>
                  </w:r>
                </w:p>
              </w:tc>
              <w:tc>
                <w:tcPr>
                  <w:tcW w:w="975" w:type="dxa"/>
                  <w:tcBorders>
                    <w:tl2br w:val="nil"/>
                    <w:tr2bl w:val="nil"/>
                  </w:tcBorders>
                  <w:noWrap w:val="0"/>
                  <w:vAlign w:val="center"/>
                </w:tcPr>
                <w:p w14:paraId="111C6E1F">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淄环验[20121]44</w:t>
                  </w:r>
                  <w:r>
                    <w:rPr>
                      <w:rFonts w:hint="eastAsia" w:cs="Times New Roman"/>
                      <w:color w:val="auto"/>
                      <w:sz w:val="18"/>
                      <w:szCs w:val="18"/>
                      <w:lang w:val="en-US" w:eastAsia="zh-CN"/>
                    </w:rPr>
                    <w:t>号</w:t>
                  </w:r>
                </w:p>
              </w:tc>
              <w:tc>
                <w:tcPr>
                  <w:tcW w:w="1305" w:type="dxa"/>
                  <w:vMerge w:val="restart"/>
                  <w:tcBorders>
                    <w:tl2br w:val="nil"/>
                    <w:tr2bl w:val="nil"/>
                  </w:tcBorders>
                  <w:noWrap w:val="0"/>
                  <w:vAlign w:val="center"/>
                </w:tcPr>
                <w:p w14:paraId="6E914B5A">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山东诚光工贸有限公司2024年12月18日重新申请了排污许可证，许可证编号：91370305675536639E001P</w:t>
                  </w:r>
                </w:p>
              </w:tc>
              <w:tc>
                <w:tcPr>
                  <w:tcW w:w="1804" w:type="dxa"/>
                  <w:tcBorders>
                    <w:tl2br w:val="nil"/>
                    <w:tr2bl w:val="nil"/>
                  </w:tcBorders>
                  <w:noWrap w:val="0"/>
                  <w:vAlign w:val="center"/>
                </w:tcPr>
                <w:p w14:paraId="6CE06857">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生产装置已拆除，仅保留2套尾气炉处理东厂区废气</w:t>
                  </w:r>
                </w:p>
              </w:tc>
            </w:tr>
            <w:tr w14:paraId="0BBC1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5" w:type="dxa"/>
                  <w:tcBorders>
                    <w:tl2br w:val="nil"/>
                    <w:tr2bl w:val="nil"/>
                  </w:tcBorders>
                  <w:noWrap w:val="0"/>
                  <w:vAlign w:val="center"/>
                </w:tcPr>
                <w:p w14:paraId="1BA320DC">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w:t>
                  </w:r>
                </w:p>
              </w:tc>
              <w:tc>
                <w:tcPr>
                  <w:tcW w:w="1425" w:type="dxa"/>
                  <w:tcBorders>
                    <w:tl2br w:val="nil"/>
                    <w:tr2bl w:val="nil"/>
                  </w:tcBorders>
                  <w:noWrap w:val="0"/>
                  <w:vAlign w:val="center"/>
                </w:tcPr>
                <w:p w14:paraId="171DCBD7">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5万吨/年甲醛改扩建项目</w:t>
                  </w:r>
                </w:p>
              </w:tc>
              <w:tc>
                <w:tcPr>
                  <w:tcW w:w="1155" w:type="dxa"/>
                  <w:tcBorders>
                    <w:tl2br w:val="nil"/>
                    <w:tr2bl w:val="nil"/>
                  </w:tcBorders>
                  <w:noWrap w:val="0"/>
                  <w:vAlign w:val="center"/>
                </w:tcPr>
                <w:p w14:paraId="321DD288">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淄博市生态环境局</w:t>
                  </w:r>
                </w:p>
              </w:tc>
              <w:tc>
                <w:tcPr>
                  <w:tcW w:w="1245" w:type="dxa"/>
                  <w:tcBorders>
                    <w:tl2br w:val="nil"/>
                    <w:tr2bl w:val="nil"/>
                  </w:tcBorders>
                  <w:noWrap w:val="0"/>
                  <w:vAlign w:val="center"/>
                </w:tcPr>
                <w:p w14:paraId="1657C632">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2016.12.28</w:t>
                  </w:r>
                </w:p>
                <w:p w14:paraId="7411239E">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淄环许可[2016]156号</w:t>
                  </w:r>
                </w:p>
              </w:tc>
              <w:tc>
                <w:tcPr>
                  <w:tcW w:w="975" w:type="dxa"/>
                  <w:tcBorders>
                    <w:tl2br w:val="nil"/>
                    <w:tr2bl w:val="nil"/>
                  </w:tcBorders>
                  <w:noWrap w:val="0"/>
                  <w:vAlign w:val="center"/>
                </w:tcPr>
                <w:p w14:paraId="23D09DE2">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现状评估</w:t>
                  </w:r>
                </w:p>
              </w:tc>
              <w:tc>
                <w:tcPr>
                  <w:tcW w:w="1305" w:type="dxa"/>
                  <w:vMerge w:val="continue"/>
                  <w:tcBorders>
                    <w:tl2br w:val="nil"/>
                    <w:tr2bl w:val="nil"/>
                  </w:tcBorders>
                  <w:noWrap w:val="0"/>
                  <w:vAlign w:val="center"/>
                </w:tcPr>
                <w:p w14:paraId="2F33D7E1">
                  <w:pPr>
                    <w:pStyle w:val="60"/>
                    <w:rPr>
                      <w:rFonts w:hint="eastAsia" w:ascii="Times New Roman" w:hAnsi="Times New Roman" w:eastAsia="宋体" w:cs="Times New Roman"/>
                      <w:color w:val="auto"/>
                      <w:sz w:val="18"/>
                      <w:szCs w:val="18"/>
                    </w:rPr>
                  </w:pPr>
                </w:p>
              </w:tc>
              <w:tc>
                <w:tcPr>
                  <w:tcW w:w="1804" w:type="dxa"/>
                  <w:tcBorders>
                    <w:tl2br w:val="nil"/>
                    <w:tr2bl w:val="nil"/>
                  </w:tcBorders>
                  <w:noWrap w:val="0"/>
                  <w:vAlign w:val="center"/>
                </w:tcPr>
                <w:p w14:paraId="4A6F32D5">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正常运行</w:t>
                  </w:r>
                </w:p>
              </w:tc>
            </w:tr>
            <w:tr w14:paraId="56650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5" w:type="dxa"/>
                  <w:tcBorders>
                    <w:tl2br w:val="nil"/>
                    <w:tr2bl w:val="nil"/>
                  </w:tcBorders>
                  <w:noWrap w:val="0"/>
                  <w:vAlign w:val="center"/>
                </w:tcPr>
                <w:p w14:paraId="18D345D3">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425" w:type="dxa"/>
                  <w:tcBorders>
                    <w:tl2br w:val="nil"/>
                    <w:tr2bl w:val="nil"/>
                  </w:tcBorders>
                  <w:noWrap w:val="0"/>
                  <w:vAlign w:val="center"/>
                </w:tcPr>
                <w:p w14:paraId="3E796574">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10000吨/年叔丁醇精制生产项目</w:t>
                  </w:r>
                </w:p>
              </w:tc>
              <w:tc>
                <w:tcPr>
                  <w:tcW w:w="1155" w:type="dxa"/>
                  <w:tcBorders>
                    <w:tl2br w:val="nil"/>
                    <w:tr2bl w:val="nil"/>
                  </w:tcBorders>
                  <w:noWrap w:val="0"/>
                  <w:vAlign w:val="center"/>
                </w:tcPr>
                <w:p w14:paraId="27E7CF70">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淄博市生态环境局</w:t>
                  </w:r>
                </w:p>
              </w:tc>
              <w:tc>
                <w:tcPr>
                  <w:tcW w:w="1245" w:type="dxa"/>
                  <w:tcBorders>
                    <w:tl2br w:val="nil"/>
                    <w:tr2bl w:val="nil"/>
                  </w:tcBorders>
                  <w:noWrap w:val="0"/>
                  <w:vAlign w:val="center"/>
                </w:tcPr>
                <w:p w14:paraId="0CC50BA6">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2017.3.21</w:t>
                  </w:r>
                </w:p>
                <w:p w14:paraId="1E003D42">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淄环许可[2017]36号</w:t>
                  </w:r>
                </w:p>
              </w:tc>
              <w:tc>
                <w:tcPr>
                  <w:tcW w:w="975" w:type="dxa"/>
                  <w:tcBorders>
                    <w:tl2br w:val="nil"/>
                    <w:tr2bl w:val="nil"/>
                  </w:tcBorders>
                  <w:noWrap w:val="0"/>
                  <w:vAlign w:val="center"/>
                </w:tcPr>
                <w:p w14:paraId="7871BEC8">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现状评估</w:t>
                  </w:r>
                </w:p>
              </w:tc>
              <w:tc>
                <w:tcPr>
                  <w:tcW w:w="1305" w:type="dxa"/>
                  <w:vMerge w:val="continue"/>
                  <w:tcBorders>
                    <w:tl2br w:val="nil"/>
                    <w:tr2bl w:val="nil"/>
                  </w:tcBorders>
                  <w:noWrap w:val="0"/>
                  <w:vAlign w:val="center"/>
                </w:tcPr>
                <w:p w14:paraId="1447143E">
                  <w:pPr>
                    <w:pStyle w:val="21"/>
                    <w:spacing w:after="0"/>
                    <w:ind w:left="0" w:leftChars="0" w:firstLine="0" w:firstLineChars="0"/>
                    <w:jc w:val="center"/>
                    <w:rPr>
                      <w:rFonts w:ascii="Times New Roman" w:hAnsi="Times New Roman" w:cs="Times New Roman"/>
                      <w:color w:val="auto"/>
                      <w:szCs w:val="21"/>
                    </w:rPr>
                  </w:pPr>
                </w:p>
              </w:tc>
              <w:tc>
                <w:tcPr>
                  <w:tcW w:w="1804" w:type="dxa"/>
                  <w:tcBorders>
                    <w:tl2br w:val="nil"/>
                    <w:tr2bl w:val="nil"/>
                  </w:tcBorders>
                  <w:noWrap w:val="0"/>
                  <w:vAlign w:val="center"/>
                </w:tcPr>
                <w:p w14:paraId="7809E704">
                  <w:pPr>
                    <w:pStyle w:val="21"/>
                    <w:spacing w:after="0"/>
                    <w:ind w:left="0" w:leftChars="0"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18"/>
                      <w:szCs w:val="18"/>
                      <w:lang w:val="en-US" w:eastAsia="zh-CN"/>
                    </w:rPr>
                    <w:t>正常运行</w:t>
                  </w:r>
                </w:p>
              </w:tc>
            </w:tr>
            <w:bookmarkEnd w:id="10"/>
          </w:tbl>
          <w:p w14:paraId="2051384A">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rFonts w:hint="eastAsia"/>
                <w:color w:val="auto"/>
                <w:lang w:val="en-US" w:eastAsia="zh-CN"/>
              </w:rPr>
            </w:pPr>
            <w:r>
              <w:rPr>
                <w:rFonts w:hint="eastAsia"/>
                <w:color w:val="auto"/>
                <w:lang w:val="en-US" w:eastAsia="zh-CN"/>
              </w:rPr>
              <w:t>山东诚光工贸有限公司现有叔丁醇产品经缓冲罐缓存后需人工辅助灌装吨桶后暂存于现有厂区南侧产品堆场。叔丁醇市场波动，会直接影响装置生产负荷，甚至频繁开停车，不仅造成能源浪费，频繁开停车存在极大的安全隐患。另外，桶装产品不能满足大型客户需求。</w:t>
            </w:r>
            <w:r>
              <w:rPr>
                <w:rFonts w:hint="eastAsia" w:ascii="Times New Roman" w:hAnsi="Times New Roman" w:eastAsia="宋体" w:cs="Times New Roman"/>
                <w:color w:val="auto"/>
                <w:lang w:val="en-US" w:eastAsia="zh-CN"/>
              </w:rPr>
              <w:t>因此，企业急需设置叔丁醇产品储存设施来缓解市场波动的对生产的负面影响，同时满足客户的需求。</w:t>
            </w:r>
          </w:p>
          <w:p w14:paraId="39E85551">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rFonts w:hint="default"/>
                <w:color w:val="auto"/>
                <w:lang w:val="en-US" w:eastAsia="zh-CN"/>
              </w:rPr>
            </w:pPr>
            <w:r>
              <w:rPr>
                <w:rFonts w:hint="eastAsia"/>
                <w:color w:val="auto"/>
                <w:lang w:val="en-US" w:eastAsia="zh-CN"/>
              </w:rPr>
              <w:t>甲醇作为一种重要的基础化工原料和清洁能源，整体价格受多重因素影响呈现较大幅度波动，因此公司需做好公司原料储备应对价格波动，降低下游生产受原料影响。</w:t>
            </w:r>
          </w:p>
          <w:p w14:paraId="656C4819">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rFonts w:hint="default" w:eastAsia="宋体"/>
                <w:color w:val="auto"/>
                <w:lang w:val="en-US" w:eastAsia="zh-CN"/>
              </w:rPr>
            </w:pPr>
            <w:r>
              <w:rPr>
                <w:rFonts w:hint="eastAsia"/>
                <w:color w:val="auto"/>
                <w:lang w:val="en-US" w:eastAsia="zh-CN"/>
              </w:rPr>
              <w:t>综上所述，山东诚光工贸有限公司为缓解市场价格波动对生产的负面影响，同时满足客户需求，拟投资1100万元实施</w:t>
            </w:r>
            <w:r>
              <w:rPr>
                <w:rFonts w:hint="eastAsia" w:cs="Times New Roman"/>
                <w:bCs/>
                <w:color w:val="auto"/>
                <w:sz w:val="21"/>
                <w:szCs w:val="21"/>
                <w:lang w:val="en-US" w:eastAsia="zh-CN"/>
              </w:rPr>
              <w:t>“</w:t>
            </w:r>
            <w:r>
              <w:rPr>
                <w:rFonts w:hint="eastAsia"/>
                <w:color w:val="auto"/>
                <w:sz w:val="21"/>
                <w:szCs w:val="21"/>
                <w:lang w:val="en-US" w:eastAsia="zh-CN"/>
              </w:rPr>
              <w:t>原料、产品罐区安全环保提升技术改造项目</w:t>
            </w:r>
            <w:r>
              <w:rPr>
                <w:rFonts w:hint="eastAsia" w:cs="Times New Roman"/>
                <w:bCs/>
                <w:color w:val="auto"/>
                <w:sz w:val="21"/>
                <w:szCs w:val="21"/>
                <w:lang w:val="en-US" w:eastAsia="zh-CN"/>
              </w:rPr>
              <w:t>”，项目主要建设内容如下：</w:t>
            </w:r>
          </w:p>
          <w:p w14:paraId="05E93B55">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ind w:firstLine="420" w:firstLineChars="200"/>
              <w:jc w:val="left"/>
              <w:textAlignment w:val="auto"/>
              <w:rPr>
                <w:rFonts w:hint="eastAsia"/>
                <w:color w:val="auto"/>
                <w:lang w:val="en-US" w:eastAsia="zh-CN"/>
              </w:rPr>
            </w:pPr>
            <w:r>
              <w:rPr>
                <w:rFonts w:hint="eastAsia"/>
                <w:color w:val="auto"/>
                <w:lang w:val="en-US" w:eastAsia="zh-CN"/>
              </w:rPr>
              <w:t>淘汰东厂区叔丁醇产品中间罐区内2台老旧叔丁醇产品暂存罐，在西厂区新建2台1000立方米内浮顶甲醇储罐、1台1000立方米内浮顶叔丁醇储罐；</w:t>
            </w:r>
          </w:p>
          <w:p w14:paraId="2277C9EA">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ind w:firstLine="420" w:firstLineChars="200"/>
              <w:jc w:val="left"/>
              <w:textAlignment w:val="auto"/>
              <w:rPr>
                <w:rFonts w:hint="default"/>
                <w:color w:val="auto"/>
                <w:lang w:val="en-US" w:eastAsia="zh-CN"/>
              </w:rPr>
            </w:pPr>
            <w:r>
              <w:rPr>
                <w:rFonts w:hint="eastAsia"/>
                <w:color w:val="auto"/>
                <w:lang w:val="en-US" w:eastAsia="zh-CN"/>
              </w:rPr>
              <w:t>拆除东厂区老旧的甲醇卸车设施，在西厂区新建甲醇自动化定量卸车系统及叔丁醇自动化定量装车系统；</w:t>
            </w:r>
          </w:p>
          <w:p w14:paraId="4AE11586">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ind w:firstLine="420" w:firstLineChars="200"/>
              <w:jc w:val="left"/>
              <w:textAlignment w:val="auto"/>
              <w:rPr>
                <w:rFonts w:hint="default"/>
                <w:color w:val="auto"/>
                <w:lang w:val="en-US" w:eastAsia="zh-CN"/>
              </w:rPr>
            </w:pPr>
            <w:r>
              <w:rPr>
                <w:rFonts w:hint="eastAsia"/>
                <w:color w:val="auto"/>
                <w:lang w:val="en-US" w:eastAsia="zh-CN"/>
              </w:rPr>
              <w:t>对西厂区总平面布置进行优化调整，拆除西厂区现有办公室、循环水池，对事故水池进行棚盖覆土施工，对废水池进行改造。</w:t>
            </w:r>
          </w:p>
          <w:p w14:paraId="1FF2837C">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b/>
                <w:bCs/>
                <w:color w:val="auto"/>
                <w:szCs w:val="21"/>
                <w:lang w:val="en-US" w:eastAsia="zh-CN"/>
              </w:rPr>
            </w:pPr>
            <w:r>
              <w:rPr>
                <w:rFonts w:hint="eastAsia"/>
                <w:bCs/>
                <w:color w:val="auto"/>
                <w:szCs w:val="21"/>
                <w:lang w:val="en-US" w:eastAsia="zh-CN"/>
              </w:rPr>
              <w:t>本项目为</w:t>
            </w:r>
            <w:r>
              <w:rPr>
                <w:rFonts w:hint="eastAsia"/>
                <w:color w:val="auto"/>
                <w:sz w:val="21"/>
                <w:szCs w:val="21"/>
                <w:lang w:val="en-US" w:eastAsia="zh-CN"/>
              </w:rPr>
              <w:t>原料、产品罐区安全环保提升技术改造项目，项目建成后</w:t>
            </w:r>
            <w:r>
              <w:rPr>
                <w:rFonts w:hint="eastAsia"/>
                <w:bCs/>
                <w:color w:val="auto"/>
                <w:szCs w:val="21"/>
                <w:lang w:val="en-US" w:eastAsia="zh-CN"/>
              </w:rPr>
              <w:t>公司产品方案仍为10万吨/年甲醛和1万吨/年叔丁醇，</w:t>
            </w:r>
            <w:r>
              <w:rPr>
                <w:rFonts w:hint="eastAsia" w:ascii="宋体" w:hAnsi="宋体" w:eastAsia="宋体" w:cs="宋体"/>
                <w:color w:val="auto"/>
                <w:szCs w:val="21"/>
                <w:highlight w:val="none"/>
                <w:lang w:val="en-US" w:eastAsia="zh-CN"/>
              </w:rPr>
              <w:t>厂区</w:t>
            </w:r>
            <w:r>
              <w:rPr>
                <w:rFonts w:hint="eastAsia" w:ascii="宋体" w:hAnsi="宋体"/>
                <w:color w:val="auto"/>
                <w:highlight w:val="none"/>
              </w:rPr>
              <w:t>总的</w:t>
            </w:r>
            <w:r>
              <w:rPr>
                <w:rFonts w:hint="eastAsia" w:ascii="宋体" w:hAnsi="宋体"/>
                <w:color w:val="auto"/>
                <w:highlight w:val="none"/>
                <w:lang w:val="en-US" w:eastAsia="zh-CN"/>
              </w:rPr>
              <w:t>原料消耗及产品产能均保持不变</w:t>
            </w:r>
            <w:r>
              <w:rPr>
                <w:rFonts w:hint="eastAsia" w:ascii="宋体" w:hAnsi="宋体"/>
                <w:color w:val="auto"/>
                <w:highlight w:val="none"/>
              </w:rPr>
              <w:t>，</w:t>
            </w:r>
            <w:r>
              <w:rPr>
                <w:rFonts w:hint="eastAsia" w:ascii="宋体" w:hAnsi="宋体"/>
                <w:color w:val="auto"/>
                <w:highlight w:val="none"/>
                <w:lang w:val="en-US" w:eastAsia="zh-CN"/>
              </w:rPr>
              <w:t>仅储罐总储存能力变大，故</w:t>
            </w:r>
            <w:r>
              <w:rPr>
                <w:rFonts w:hint="eastAsia" w:ascii="宋体" w:hAnsi="宋体"/>
                <w:color w:val="auto"/>
                <w:highlight w:val="none"/>
              </w:rPr>
              <w:t>减少了转运次数</w:t>
            </w:r>
            <w:r>
              <w:rPr>
                <w:rFonts w:hint="eastAsia" w:ascii="宋体" w:hAnsi="宋体"/>
                <w:color w:val="auto"/>
                <w:highlight w:val="none"/>
                <w:lang w:eastAsia="zh-CN"/>
              </w:rPr>
              <w:t>，减少了装卸车</w:t>
            </w:r>
            <w:r>
              <w:rPr>
                <w:rFonts w:hint="eastAsia" w:ascii="宋体" w:hAnsi="宋体"/>
                <w:color w:val="auto"/>
                <w:highlight w:val="none"/>
                <w:lang w:val="en-US" w:eastAsia="zh-CN"/>
              </w:rPr>
              <w:t>和开停车</w:t>
            </w:r>
            <w:r>
              <w:rPr>
                <w:rFonts w:hint="eastAsia" w:ascii="宋体" w:hAnsi="宋体"/>
                <w:color w:val="auto"/>
                <w:highlight w:val="none"/>
                <w:lang w:eastAsia="zh-CN"/>
              </w:rPr>
              <w:t>的次数。</w:t>
            </w:r>
            <w:r>
              <w:rPr>
                <w:rFonts w:hint="eastAsia" w:ascii="宋体" w:hAnsi="宋体"/>
                <w:b/>
                <w:bCs/>
                <w:color w:val="auto"/>
                <w:highlight w:val="none"/>
                <w:lang w:val="en-US" w:eastAsia="zh-CN"/>
              </w:rPr>
              <w:t>因此，本次环评评价范围考虑本次新增</w:t>
            </w:r>
            <w:r>
              <w:rPr>
                <w:rFonts w:hint="default" w:ascii="Times New Roman" w:hAnsi="Times New Roman" w:cs="Times New Roman"/>
                <w:b/>
                <w:bCs/>
                <w:color w:val="auto"/>
                <w:highlight w:val="none"/>
                <w:lang w:val="en-US" w:eastAsia="zh-CN"/>
              </w:rPr>
              <w:t>2座甲醇原料罐、1座叔丁醇产品罐、甲醇自动化定量卸车设施、叔丁醇自动化定量装车设施，以及现有1座甲醇原料罐、1座叔丁醇产品暂存罐和叔丁醇卸车设施</w:t>
            </w:r>
            <w:r>
              <w:rPr>
                <w:rFonts w:hint="eastAsia" w:ascii="Times New Roman" w:hAnsi="Times New Roman" w:cs="Times New Roman"/>
                <w:b/>
                <w:bCs/>
                <w:color w:val="auto"/>
                <w:highlight w:val="none"/>
                <w:lang w:val="en-US" w:eastAsia="zh-CN"/>
              </w:rPr>
              <w:t>。</w:t>
            </w:r>
          </w:p>
          <w:p w14:paraId="68957461">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bCs/>
                <w:color w:val="auto"/>
                <w:szCs w:val="21"/>
              </w:rPr>
            </w:pPr>
            <w:r>
              <w:rPr>
                <w:rFonts w:hint="eastAsia"/>
                <w:bCs/>
                <w:color w:val="auto"/>
                <w:szCs w:val="21"/>
                <w:lang w:val="en-US" w:eastAsia="zh-CN"/>
              </w:rPr>
              <w:t>根据《中华人民共和国环境保护法》、《中华人民共和国环境影响评价法》、《建设项目环境影响评价分类管理名录》（2021年版），本项目属于“五十三、装卸搬运和仓储业 59”类别、第149项“危险品仓储594（不含加油站的油库；不含加气站的气库）”中“其他（含有毒、有害、危险品的仓储；含液化天然气库）”，需要编制环境影响报告表。建设单位委托我单位对该项目进行环境影响评价，我单位接受委托后立即开展了详细的现场踏勘、资料收集工作，按照国家有关环评技术规范要求，结合该项目的特点，编制完成了该项目的环境影响报告表。</w:t>
            </w:r>
          </w:p>
          <w:p w14:paraId="489E935E">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b/>
                <w:bCs/>
                <w:color w:val="auto"/>
                <w:szCs w:val="21"/>
              </w:rPr>
            </w:pPr>
            <w:r>
              <w:rPr>
                <w:rFonts w:hint="eastAsia"/>
                <w:b/>
                <w:bCs/>
                <w:color w:val="auto"/>
                <w:szCs w:val="21"/>
              </w:rPr>
              <w:t>2、项目概况</w:t>
            </w:r>
          </w:p>
          <w:p w14:paraId="068846BB">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bCs/>
                <w:color w:val="auto"/>
                <w:szCs w:val="21"/>
              </w:rPr>
            </w:pPr>
            <w:r>
              <w:rPr>
                <w:rFonts w:hint="eastAsia"/>
                <w:b/>
                <w:color w:val="auto"/>
                <w:szCs w:val="21"/>
              </w:rPr>
              <w:t>项目名称：</w:t>
            </w:r>
            <w:r>
              <w:rPr>
                <w:rFonts w:hint="eastAsia"/>
                <w:color w:val="auto"/>
                <w:sz w:val="21"/>
                <w:szCs w:val="21"/>
                <w:lang w:val="en-US" w:eastAsia="zh-CN"/>
              </w:rPr>
              <w:t>原料、产品罐区安全环保提升技术改造项目</w:t>
            </w:r>
          </w:p>
          <w:p w14:paraId="350E35A6">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bCs/>
                <w:color w:val="auto"/>
                <w:szCs w:val="21"/>
              </w:rPr>
            </w:pPr>
            <w:r>
              <w:rPr>
                <w:rFonts w:hint="eastAsia"/>
                <w:b/>
                <w:color w:val="auto"/>
                <w:szCs w:val="21"/>
              </w:rPr>
              <w:t>建设单位：</w:t>
            </w:r>
            <w:r>
              <w:rPr>
                <w:rFonts w:hint="eastAsia"/>
                <w:bCs/>
                <w:color w:val="auto"/>
                <w:szCs w:val="21"/>
                <w:lang w:val="en-US" w:eastAsia="zh-CN"/>
              </w:rPr>
              <w:t>山东诚光工贸有限公司</w:t>
            </w:r>
          </w:p>
          <w:p w14:paraId="7D2CE03E">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rFonts w:hint="eastAsia" w:eastAsia="宋体"/>
                <w:bCs/>
                <w:color w:val="auto"/>
                <w:szCs w:val="21"/>
                <w:lang w:val="en-US" w:eastAsia="zh-CN"/>
              </w:rPr>
            </w:pPr>
            <w:r>
              <w:rPr>
                <w:rFonts w:hint="eastAsia"/>
                <w:b/>
                <w:color w:val="auto"/>
                <w:szCs w:val="21"/>
              </w:rPr>
              <w:t>建设性质：</w:t>
            </w:r>
            <w:r>
              <w:rPr>
                <w:rFonts w:hint="eastAsia"/>
                <w:b/>
                <w:color w:val="auto"/>
                <w:szCs w:val="21"/>
                <w:lang w:val="en-US" w:eastAsia="zh-CN"/>
              </w:rPr>
              <w:t>技术改造</w:t>
            </w:r>
          </w:p>
          <w:p w14:paraId="3DA39A8B">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color w:val="auto"/>
                <w:szCs w:val="21"/>
              </w:rPr>
            </w:pPr>
            <w:r>
              <w:rPr>
                <w:rFonts w:hint="eastAsia"/>
                <w:b/>
                <w:color w:val="auto"/>
                <w:szCs w:val="21"/>
              </w:rPr>
              <w:t>建设地点：</w:t>
            </w:r>
            <w:r>
              <w:rPr>
                <w:rFonts w:hint="eastAsia"/>
                <w:color w:val="auto"/>
                <w:szCs w:val="21"/>
                <w:lang w:val="en-US" w:eastAsia="zh-CN"/>
              </w:rPr>
              <w:t>淄博市临淄区朱台镇工业集聚区</w:t>
            </w:r>
            <w:r>
              <w:rPr>
                <w:rFonts w:hint="eastAsia"/>
                <w:bCs/>
                <w:color w:val="auto"/>
                <w:szCs w:val="21"/>
                <w:lang w:val="en-US" w:eastAsia="zh-CN"/>
              </w:rPr>
              <w:t>山东诚光工贸有限公司</w:t>
            </w:r>
            <w:r>
              <w:rPr>
                <w:rFonts w:hint="eastAsia"/>
                <w:bCs/>
                <w:color w:val="auto"/>
                <w:szCs w:val="21"/>
              </w:rPr>
              <w:t>现有厂区内</w:t>
            </w:r>
          </w:p>
          <w:p w14:paraId="4BEE6160">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rFonts w:hint="default" w:eastAsia="宋体"/>
                <w:b/>
                <w:bCs/>
                <w:color w:val="auto"/>
                <w:szCs w:val="21"/>
                <w:lang w:val="en-US" w:eastAsia="zh-CN"/>
              </w:rPr>
            </w:pPr>
            <w:r>
              <w:rPr>
                <w:rFonts w:hint="eastAsia"/>
                <w:b/>
                <w:bCs/>
                <w:color w:val="auto"/>
                <w:szCs w:val="21"/>
              </w:rPr>
              <w:t>建设规模及内容：</w:t>
            </w:r>
            <w:r>
              <w:rPr>
                <w:rFonts w:hint="eastAsia"/>
                <w:b w:val="0"/>
                <w:bCs w:val="0"/>
                <w:color w:val="auto"/>
                <w:szCs w:val="21"/>
                <w:lang w:val="en-US" w:eastAsia="zh-CN"/>
              </w:rPr>
              <w:t>项目位于</w:t>
            </w:r>
            <w:r>
              <w:rPr>
                <w:rFonts w:hint="eastAsia"/>
                <w:color w:val="auto"/>
                <w:szCs w:val="21"/>
                <w:lang w:val="en-US" w:eastAsia="zh-CN"/>
              </w:rPr>
              <w:t>淄博市临淄区朱台镇工业集聚区</w:t>
            </w:r>
            <w:r>
              <w:rPr>
                <w:rFonts w:hint="eastAsia"/>
                <w:bCs/>
                <w:color w:val="auto"/>
                <w:szCs w:val="21"/>
                <w:lang w:val="en-US" w:eastAsia="zh-CN"/>
              </w:rPr>
              <w:t>山东诚光工贸有限公司</w:t>
            </w:r>
            <w:r>
              <w:rPr>
                <w:rFonts w:hint="eastAsia"/>
                <w:bCs/>
                <w:color w:val="auto"/>
                <w:szCs w:val="21"/>
              </w:rPr>
              <w:t>现有厂区内</w:t>
            </w:r>
            <w:r>
              <w:rPr>
                <w:rFonts w:hint="eastAsia"/>
                <w:bCs/>
                <w:color w:val="auto"/>
                <w:szCs w:val="21"/>
                <w:lang w:eastAsia="zh-CN"/>
              </w:rPr>
              <w:t>，</w:t>
            </w:r>
            <w:r>
              <w:rPr>
                <w:rFonts w:hint="eastAsia"/>
                <w:bCs/>
                <w:color w:val="auto"/>
                <w:szCs w:val="21"/>
                <w:lang w:val="en-US" w:eastAsia="zh-CN"/>
              </w:rPr>
              <w:t>项目不新征土地，不新建厂房，淘汰东厂区原有部分老旧中间品储罐，在西厂区新建2台1000立方米甲醇储罐和1台1000立方米叔丁醇储罐设施，同时拆除东厂区老旧甲醇卸车设施，在西厂区配套建设甲醇、叔丁醇自动化定量装卸车设施，并配套水、电、气等部分公用设施建设，改造后产能不变。</w:t>
            </w:r>
          </w:p>
          <w:p w14:paraId="07C07267">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bCs/>
                <w:color w:val="auto"/>
                <w:szCs w:val="21"/>
              </w:rPr>
            </w:pPr>
            <w:r>
              <w:rPr>
                <w:rFonts w:hint="eastAsia"/>
                <w:b/>
                <w:bCs w:val="0"/>
                <w:color w:val="auto"/>
                <w:szCs w:val="21"/>
              </w:rPr>
              <w:t>投资情况：</w:t>
            </w:r>
            <w:r>
              <w:rPr>
                <w:rFonts w:hint="eastAsia"/>
                <w:bCs/>
                <w:color w:val="auto"/>
                <w:szCs w:val="21"/>
              </w:rPr>
              <w:t>本项目总投资</w:t>
            </w:r>
            <w:r>
              <w:rPr>
                <w:rFonts w:hint="eastAsia"/>
                <w:bCs/>
                <w:color w:val="auto"/>
                <w:szCs w:val="21"/>
                <w:lang w:val="en-US" w:eastAsia="zh-CN"/>
              </w:rPr>
              <w:t>1100</w:t>
            </w:r>
            <w:r>
              <w:rPr>
                <w:rFonts w:hint="eastAsia"/>
                <w:bCs/>
                <w:color w:val="auto"/>
                <w:szCs w:val="21"/>
              </w:rPr>
              <w:t>万元，</w:t>
            </w:r>
            <w:r>
              <w:rPr>
                <w:rFonts w:hint="eastAsia"/>
                <w:bCs/>
                <w:color w:val="auto"/>
                <w:szCs w:val="21"/>
                <w:highlight w:val="none"/>
              </w:rPr>
              <w:t>其中环保投资</w:t>
            </w:r>
            <w:r>
              <w:rPr>
                <w:rFonts w:hint="eastAsia"/>
                <w:bCs/>
                <w:color w:val="auto"/>
                <w:szCs w:val="21"/>
                <w:highlight w:val="none"/>
                <w:lang w:val="en-US" w:eastAsia="zh-CN"/>
              </w:rPr>
              <w:t>100</w:t>
            </w:r>
            <w:r>
              <w:rPr>
                <w:rFonts w:hint="eastAsia"/>
                <w:bCs/>
                <w:color w:val="auto"/>
                <w:szCs w:val="21"/>
                <w:highlight w:val="none"/>
              </w:rPr>
              <w:t>万元，占总投资的</w:t>
            </w:r>
            <w:r>
              <w:rPr>
                <w:rFonts w:hint="eastAsia"/>
                <w:bCs/>
                <w:color w:val="auto"/>
                <w:szCs w:val="21"/>
                <w:highlight w:val="none"/>
                <w:lang w:val="en-US" w:eastAsia="zh-CN"/>
              </w:rPr>
              <w:t>9</w:t>
            </w:r>
            <w:r>
              <w:rPr>
                <w:rFonts w:hint="eastAsia"/>
                <w:bCs/>
                <w:color w:val="auto"/>
                <w:szCs w:val="21"/>
                <w:highlight w:val="none"/>
              </w:rPr>
              <w:t>%；</w:t>
            </w:r>
          </w:p>
          <w:p w14:paraId="7CF19F53">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bCs/>
                <w:color w:val="auto"/>
                <w:szCs w:val="21"/>
              </w:rPr>
            </w:pPr>
            <w:r>
              <w:rPr>
                <w:rFonts w:hint="eastAsia"/>
                <w:b/>
                <w:bCs w:val="0"/>
                <w:color w:val="auto"/>
                <w:szCs w:val="21"/>
              </w:rPr>
              <w:t>职工人数：</w:t>
            </w:r>
            <w:r>
              <w:rPr>
                <w:rFonts w:hint="eastAsia"/>
                <w:bCs/>
                <w:color w:val="auto"/>
                <w:szCs w:val="21"/>
              </w:rPr>
              <w:t>本项目</w:t>
            </w:r>
            <w:r>
              <w:rPr>
                <w:rFonts w:hint="eastAsia"/>
                <w:bCs/>
                <w:color w:val="auto"/>
                <w:szCs w:val="21"/>
                <w:lang w:val="en-US" w:eastAsia="zh-CN"/>
              </w:rPr>
              <w:t>不新增职工定员</w:t>
            </w:r>
            <w:r>
              <w:rPr>
                <w:rFonts w:hint="eastAsia"/>
                <w:bCs/>
                <w:color w:val="auto"/>
                <w:szCs w:val="21"/>
              </w:rPr>
              <w:t>，全部从现有职工中调配；</w:t>
            </w:r>
          </w:p>
          <w:p w14:paraId="5C7A1F0C">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jc w:val="left"/>
              <w:textAlignment w:val="auto"/>
              <w:rPr>
                <w:bCs/>
                <w:color w:val="auto"/>
                <w:szCs w:val="21"/>
              </w:rPr>
            </w:pPr>
            <w:r>
              <w:rPr>
                <w:rFonts w:hint="eastAsia"/>
                <w:b/>
                <w:bCs w:val="0"/>
                <w:color w:val="auto"/>
                <w:szCs w:val="21"/>
              </w:rPr>
              <w:t>工作制度：</w:t>
            </w:r>
            <w:r>
              <w:rPr>
                <w:rFonts w:hint="eastAsia"/>
                <w:bCs/>
                <w:color w:val="auto"/>
                <w:szCs w:val="21"/>
              </w:rPr>
              <w:t>生产采用四班三倒，每班工作8小时，年工作时间为</w:t>
            </w:r>
            <w:r>
              <w:rPr>
                <w:rFonts w:hint="eastAsia"/>
                <w:bCs/>
                <w:color w:val="auto"/>
                <w:szCs w:val="21"/>
                <w:lang w:val="en-US" w:eastAsia="zh-CN"/>
              </w:rPr>
              <w:t>8760</w:t>
            </w:r>
            <w:r>
              <w:rPr>
                <w:rFonts w:hint="eastAsia"/>
                <w:bCs/>
                <w:color w:val="auto"/>
                <w:szCs w:val="21"/>
              </w:rPr>
              <w:t>小时。</w:t>
            </w:r>
          </w:p>
          <w:p w14:paraId="5405FEC7">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jc w:val="left"/>
              <w:textAlignment w:val="auto"/>
              <w:rPr>
                <w:bCs/>
                <w:color w:val="auto"/>
                <w:szCs w:val="21"/>
              </w:rPr>
            </w:pPr>
            <w:r>
              <w:rPr>
                <w:rFonts w:hint="eastAsia"/>
                <w:bCs/>
                <w:color w:val="auto"/>
                <w:szCs w:val="21"/>
              </w:rPr>
              <w:t>本项目具体建设内容如下：</w:t>
            </w:r>
          </w:p>
          <w:p w14:paraId="050BF5F5">
            <w:pPr>
              <w:adjustRightInd w:val="0"/>
              <w:snapToGrid w:val="0"/>
              <w:spacing w:before="120" w:beforeLines="50"/>
              <w:jc w:val="center"/>
              <w:rPr>
                <w:b/>
                <w:bCs/>
                <w:color w:val="auto"/>
                <w:szCs w:val="21"/>
              </w:rPr>
            </w:pPr>
            <w:r>
              <w:rPr>
                <w:b/>
                <w:bCs/>
                <w:color w:val="auto"/>
                <w:szCs w:val="21"/>
              </w:rPr>
              <w:t>表2-</w:t>
            </w:r>
            <w:r>
              <w:rPr>
                <w:rFonts w:hint="eastAsia"/>
                <w:b/>
                <w:bCs/>
                <w:color w:val="auto"/>
                <w:szCs w:val="21"/>
                <w:lang w:val="en-US" w:eastAsia="zh-CN"/>
              </w:rPr>
              <w:t>2</w:t>
            </w:r>
            <w:r>
              <w:rPr>
                <w:b/>
                <w:bCs/>
                <w:color w:val="auto"/>
                <w:szCs w:val="21"/>
              </w:rPr>
              <w:t xml:space="preserve">  </w:t>
            </w:r>
            <w:r>
              <w:rPr>
                <w:rFonts w:hint="eastAsia"/>
                <w:b/>
                <w:bCs/>
                <w:color w:val="auto"/>
                <w:szCs w:val="21"/>
              </w:rPr>
              <w:t>项目主要建设内容一览表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00"/>
              <w:gridCol w:w="1414"/>
              <w:gridCol w:w="2146"/>
              <w:gridCol w:w="2160"/>
              <w:gridCol w:w="1804"/>
            </w:tblGrid>
            <w:tr w14:paraId="47859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tcBorders>
                    <w:tl2br w:val="nil"/>
                    <w:tr2bl w:val="nil"/>
                  </w:tcBorders>
                  <w:vAlign w:val="center"/>
                </w:tcPr>
                <w:p w14:paraId="675DDBFE">
                  <w:pPr>
                    <w:jc w:val="center"/>
                    <w:rPr>
                      <w:b/>
                      <w:bCs/>
                      <w:color w:val="auto"/>
                      <w:sz w:val="18"/>
                      <w:szCs w:val="18"/>
                    </w:rPr>
                  </w:pPr>
                  <w:r>
                    <w:rPr>
                      <w:b/>
                      <w:bCs/>
                      <w:color w:val="auto"/>
                      <w:sz w:val="18"/>
                      <w:szCs w:val="18"/>
                    </w:rPr>
                    <w:t>工程类别</w:t>
                  </w:r>
                </w:p>
              </w:tc>
              <w:tc>
                <w:tcPr>
                  <w:tcW w:w="839" w:type="pct"/>
                  <w:tcBorders>
                    <w:tl2br w:val="nil"/>
                    <w:tr2bl w:val="nil"/>
                  </w:tcBorders>
                  <w:vAlign w:val="center"/>
                </w:tcPr>
                <w:p w14:paraId="16CD809C">
                  <w:pPr>
                    <w:jc w:val="center"/>
                    <w:rPr>
                      <w:b/>
                      <w:bCs/>
                      <w:color w:val="auto"/>
                      <w:sz w:val="18"/>
                      <w:szCs w:val="18"/>
                    </w:rPr>
                  </w:pPr>
                  <w:r>
                    <w:rPr>
                      <w:b/>
                      <w:bCs/>
                      <w:color w:val="auto"/>
                      <w:sz w:val="18"/>
                      <w:szCs w:val="18"/>
                    </w:rPr>
                    <w:t>工程名称</w:t>
                  </w:r>
                </w:p>
              </w:tc>
              <w:tc>
                <w:tcPr>
                  <w:tcW w:w="1273" w:type="pct"/>
                  <w:tcBorders>
                    <w:tl2br w:val="nil"/>
                    <w:tr2bl w:val="nil"/>
                  </w:tcBorders>
                  <w:vAlign w:val="center"/>
                </w:tcPr>
                <w:p w14:paraId="64CB9246">
                  <w:pPr>
                    <w:jc w:val="center"/>
                    <w:rPr>
                      <w:b/>
                      <w:bCs/>
                      <w:color w:val="auto"/>
                      <w:sz w:val="18"/>
                      <w:szCs w:val="18"/>
                    </w:rPr>
                  </w:pPr>
                  <w:r>
                    <w:rPr>
                      <w:rFonts w:hint="eastAsia"/>
                      <w:b/>
                      <w:bCs/>
                      <w:color w:val="auto"/>
                      <w:sz w:val="18"/>
                      <w:szCs w:val="18"/>
                      <w:lang w:val="en-US" w:eastAsia="zh-CN"/>
                    </w:rPr>
                    <w:t>技改前</w:t>
                  </w:r>
                  <w:r>
                    <w:rPr>
                      <w:rFonts w:hint="eastAsia"/>
                      <w:b/>
                      <w:bCs/>
                      <w:color w:val="auto"/>
                      <w:sz w:val="18"/>
                      <w:szCs w:val="18"/>
                    </w:rPr>
                    <w:t>工程内容</w:t>
                  </w:r>
                </w:p>
              </w:tc>
              <w:tc>
                <w:tcPr>
                  <w:tcW w:w="1282" w:type="pct"/>
                  <w:tcBorders>
                    <w:tl2br w:val="nil"/>
                    <w:tr2bl w:val="nil"/>
                  </w:tcBorders>
                  <w:vAlign w:val="center"/>
                </w:tcPr>
                <w:p w14:paraId="74931CB5">
                  <w:pPr>
                    <w:jc w:val="center"/>
                    <w:rPr>
                      <w:rFonts w:hint="default" w:eastAsia="宋体"/>
                      <w:b/>
                      <w:bCs/>
                      <w:color w:val="auto"/>
                      <w:sz w:val="18"/>
                      <w:szCs w:val="18"/>
                      <w:lang w:val="en-US" w:eastAsia="zh-CN"/>
                    </w:rPr>
                  </w:pPr>
                  <w:r>
                    <w:rPr>
                      <w:rFonts w:hint="eastAsia"/>
                      <w:b/>
                      <w:bCs/>
                      <w:color w:val="auto"/>
                      <w:sz w:val="18"/>
                      <w:szCs w:val="18"/>
                      <w:lang w:val="en-US" w:eastAsia="zh-CN"/>
                    </w:rPr>
                    <w:t>技改后工程内容</w:t>
                  </w:r>
                </w:p>
              </w:tc>
              <w:tc>
                <w:tcPr>
                  <w:tcW w:w="1070" w:type="pct"/>
                  <w:tcBorders>
                    <w:tl2br w:val="nil"/>
                    <w:tr2bl w:val="nil"/>
                  </w:tcBorders>
                  <w:vAlign w:val="center"/>
                </w:tcPr>
                <w:p w14:paraId="70B76AB5">
                  <w:pPr>
                    <w:jc w:val="center"/>
                    <w:rPr>
                      <w:rFonts w:hint="default" w:eastAsia="宋体"/>
                      <w:b/>
                      <w:bCs/>
                      <w:color w:val="auto"/>
                      <w:sz w:val="18"/>
                      <w:szCs w:val="18"/>
                      <w:lang w:val="en-US" w:eastAsia="zh-CN"/>
                    </w:rPr>
                  </w:pPr>
                  <w:r>
                    <w:rPr>
                      <w:rFonts w:hint="eastAsia"/>
                      <w:b/>
                      <w:bCs/>
                      <w:color w:val="auto"/>
                      <w:sz w:val="18"/>
                      <w:szCs w:val="18"/>
                      <w:lang w:val="en-US" w:eastAsia="zh-CN"/>
                    </w:rPr>
                    <w:t>变化情况</w:t>
                  </w:r>
                </w:p>
              </w:tc>
            </w:tr>
            <w:tr w14:paraId="4BEEF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restart"/>
                  <w:tcBorders>
                    <w:tl2br w:val="nil"/>
                    <w:tr2bl w:val="nil"/>
                  </w:tcBorders>
                  <w:vAlign w:val="center"/>
                </w:tcPr>
                <w:p w14:paraId="68EDDB61">
                  <w:pPr>
                    <w:jc w:val="center"/>
                    <w:rPr>
                      <w:color w:val="auto"/>
                      <w:sz w:val="18"/>
                      <w:szCs w:val="18"/>
                    </w:rPr>
                  </w:pPr>
                  <w:r>
                    <w:rPr>
                      <w:color w:val="auto"/>
                      <w:sz w:val="18"/>
                      <w:szCs w:val="18"/>
                    </w:rPr>
                    <w:t>主体工程</w:t>
                  </w:r>
                </w:p>
              </w:tc>
              <w:tc>
                <w:tcPr>
                  <w:tcW w:w="839" w:type="pct"/>
                  <w:tcBorders>
                    <w:tl2br w:val="nil"/>
                    <w:tr2bl w:val="nil"/>
                  </w:tcBorders>
                  <w:vAlign w:val="center"/>
                </w:tcPr>
                <w:p w14:paraId="3DBE25C6">
                  <w:pPr>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东厂区甲醇储罐</w:t>
                  </w:r>
                </w:p>
              </w:tc>
              <w:tc>
                <w:tcPr>
                  <w:tcW w:w="1273" w:type="pct"/>
                  <w:tcBorders>
                    <w:tl2br w:val="nil"/>
                    <w:tr2bl w:val="nil"/>
                  </w:tcBorders>
                  <w:vAlign w:val="center"/>
                </w:tcPr>
                <w:p w14:paraId="7ABFABDE">
                  <w:pPr>
                    <w:jc w:val="center"/>
                    <w:rPr>
                      <w:rFonts w:hint="default"/>
                      <w:b w:val="0"/>
                      <w:bCs w:val="0"/>
                      <w:color w:val="auto"/>
                      <w:sz w:val="18"/>
                      <w:szCs w:val="18"/>
                      <w:lang w:val="en-US" w:eastAsia="zh-CN"/>
                    </w:rPr>
                  </w:pPr>
                  <w:r>
                    <w:rPr>
                      <w:rFonts w:hint="eastAsia"/>
                      <w:b w:val="0"/>
                      <w:bCs w:val="0"/>
                      <w:color w:val="auto"/>
                      <w:sz w:val="18"/>
                      <w:szCs w:val="18"/>
                      <w:lang w:val="en-US" w:eastAsia="zh-CN"/>
                    </w:rPr>
                    <w:t>1台1000m</w:t>
                  </w:r>
                  <w:r>
                    <w:rPr>
                      <w:rFonts w:hint="eastAsia"/>
                      <w:b w:val="0"/>
                      <w:bCs w:val="0"/>
                      <w:color w:val="auto"/>
                      <w:sz w:val="18"/>
                      <w:szCs w:val="18"/>
                      <w:vertAlign w:val="superscript"/>
                      <w:lang w:val="en-US" w:eastAsia="zh-CN"/>
                    </w:rPr>
                    <w:t>3</w:t>
                  </w:r>
                  <w:r>
                    <w:rPr>
                      <w:rFonts w:hint="eastAsia"/>
                      <w:b w:val="0"/>
                      <w:bCs w:val="0"/>
                      <w:color w:val="auto"/>
                      <w:sz w:val="18"/>
                      <w:szCs w:val="18"/>
                      <w:lang w:val="en-US" w:eastAsia="zh-CN"/>
                    </w:rPr>
                    <w:t>固定顶罐，位于东厂区北侧原料罐区内</w:t>
                  </w:r>
                </w:p>
              </w:tc>
              <w:tc>
                <w:tcPr>
                  <w:tcW w:w="1282" w:type="pct"/>
                  <w:tcBorders>
                    <w:tl2br w:val="nil"/>
                    <w:tr2bl w:val="nil"/>
                  </w:tcBorders>
                  <w:vAlign w:val="center"/>
                </w:tcPr>
                <w:p w14:paraId="1D639851">
                  <w:pPr>
                    <w:jc w:val="center"/>
                    <w:rPr>
                      <w:rFonts w:hint="eastAsia"/>
                      <w:b w:val="0"/>
                      <w:bCs w:val="0"/>
                      <w:color w:val="auto"/>
                      <w:sz w:val="18"/>
                      <w:szCs w:val="18"/>
                      <w:lang w:val="en-US" w:eastAsia="zh-CN"/>
                    </w:rPr>
                  </w:pPr>
                  <w:r>
                    <w:rPr>
                      <w:rFonts w:hint="eastAsia"/>
                      <w:b w:val="0"/>
                      <w:bCs w:val="0"/>
                      <w:color w:val="auto"/>
                      <w:sz w:val="18"/>
                      <w:szCs w:val="18"/>
                      <w:lang w:val="en-US" w:eastAsia="zh-CN"/>
                    </w:rPr>
                    <w:t>1台1000m</w:t>
                  </w:r>
                  <w:r>
                    <w:rPr>
                      <w:rFonts w:hint="eastAsia"/>
                      <w:b w:val="0"/>
                      <w:bCs w:val="0"/>
                      <w:color w:val="auto"/>
                      <w:sz w:val="18"/>
                      <w:szCs w:val="18"/>
                      <w:vertAlign w:val="superscript"/>
                      <w:lang w:val="en-US" w:eastAsia="zh-CN"/>
                    </w:rPr>
                    <w:t>3</w:t>
                  </w:r>
                  <w:r>
                    <w:rPr>
                      <w:rFonts w:hint="eastAsia"/>
                      <w:b w:val="0"/>
                      <w:bCs w:val="0"/>
                      <w:color w:val="auto"/>
                      <w:sz w:val="18"/>
                      <w:szCs w:val="18"/>
                      <w:lang w:val="en-US" w:eastAsia="zh-CN"/>
                    </w:rPr>
                    <w:t>固定顶罐，位于东厂区北侧原料罐区内</w:t>
                  </w:r>
                </w:p>
              </w:tc>
              <w:tc>
                <w:tcPr>
                  <w:tcW w:w="1070" w:type="pct"/>
                  <w:tcBorders>
                    <w:tl2br w:val="nil"/>
                    <w:tr2bl w:val="nil"/>
                  </w:tcBorders>
                  <w:vAlign w:val="center"/>
                </w:tcPr>
                <w:p w14:paraId="53271FD1">
                  <w:pPr>
                    <w:jc w:val="center"/>
                    <w:rPr>
                      <w:rFonts w:hint="default"/>
                      <w:b w:val="0"/>
                      <w:bCs w:val="0"/>
                      <w:color w:val="auto"/>
                      <w:sz w:val="18"/>
                      <w:szCs w:val="18"/>
                      <w:lang w:val="en-US" w:eastAsia="zh-CN"/>
                    </w:rPr>
                  </w:pPr>
                  <w:r>
                    <w:rPr>
                      <w:rFonts w:hint="eastAsia"/>
                      <w:b w:val="0"/>
                      <w:bCs w:val="0"/>
                      <w:color w:val="auto"/>
                      <w:sz w:val="18"/>
                      <w:szCs w:val="18"/>
                      <w:lang w:val="en-US" w:eastAsia="zh-CN"/>
                    </w:rPr>
                    <w:t>储罐保持不变，仅周转量及周转次数减少</w:t>
                  </w:r>
                </w:p>
              </w:tc>
            </w:tr>
            <w:tr w14:paraId="51368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552E837F">
                  <w:pPr>
                    <w:jc w:val="center"/>
                    <w:rPr>
                      <w:color w:val="auto"/>
                      <w:sz w:val="18"/>
                      <w:szCs w:val="18"/>
                    </w:rPr>
                  </w:pPr>
                </w:p>
              </w:tc>
              <w:tc>
                <w:tcPr>
                  <w:tcW w:w="839" w:type="pct"/>
                  <w:tcBorders>
                    <w:tl2br w:val="nil"/>
                    <w:tr2bl w:val="nil"/>
                  </w:tcBorders>
                  <w:vAlign w:val="center"/>
                </w:tcPr>
                <w:p w14:paraId="74777B85">
                  <w:pPr>
                    <w:jc w:val="center"/>
                    <w:rPr>
                      <w:rFonts w:hint="default" w:eastAsia="宋体"/>
                      <w:color w:val="auto"/>
                      <w:sz w:val="18"/>
                      <w:szCs w:val="18"/>
                      <w:lang w:val="en-US" w:eastAsia="zh-CN"/>
                    </w:rPr>
                  </w:pPr>
                  <w:r>
                    <w:rPr>
                      <w:rFonts w:hint="eastAsia"/>
                      <w:color w:val="auto"/>
                      <w:sz w:val="18"/>
                      <w:szCs w:val="18"/>
                      <w:lang w:val="en-US" w:eastAsia="zh-CN"/>
                    </w:rPr>
                    <w:t>东厂区叔丁醇产品中间罐区</w:t>
                  </w:r>
                </w:p>
              </w:tc>
              <w:tc>
                <w:tcPr>
                  <w:tcW w:w="1273" w:type="pct"/>
                  <w:tcBorders>
                    <w:tl2br w:val="nil"/>
                    <w:tr2bl w:val="nil"/>
                  </w:tcBorders>
                  <w:vAlign w:val="center"/>
                </w:tcPr>
                <w:p w14:paraId="26CA9C19">
                  <w:pPr>
                    <w:jc w:val="center"/>
                    <w:rPr>
                      <w:rFonts w:hint="default" w:eastAsia="宋体"/>
                      <w:color w:val="auto"/>
                      <w:sz w:val="18"/>
                      <w:szCs w:val="18"/>
                      <w:lang w:val="en-US" w:eastAsia="zh-CN"/>
                    </w:rPr>
                  </w:pPr>
                  <w:r>
                    <w:rPr>
                      <w:rFonts w:hint="eastAsia"/>
                      <w:color w:val="auto"/>
                      <w:sz w:val="18"/>
                      <w:szCs w:val="18"/>
                      <w:lang w:val="en-US" w:eastAsia="zh-CN"/>
                    </w:rPr>
                    <w:t>占地面积180m</w:t>
                  </w:r>
                  <w:r>
                    <w:rPr>
                      <w:rFonts w:hint="eastAsia"/>
                      <w:color w:val="auto"/>
                      <w:sz w:val="18"/>
                      <w:szCs w:val="18"/>
                      <w:vertAlign w:val="superscript"/>
                      <w:lang w:val="en-US" w:eastAsia="zh-CN"/>
                    </w:rPr>
                    <w:t>2</w:t>
                  </w:r>
                  <w:r>
                    <w:rPr>
                      <w:rFonts w:hint="eastAsia"/>
                      <w:color w:val="auto"/>
                      <w:sz w:val="18"/>
                      <w:szCs w:val="18"/>
                      <w:lang w:val="en-US" w:eastAsia="zh-CN"/>
                    </w:rPr>
                    <w:t>，位于东厂区灌装间东侧，内设3台50m</w:t>
                  </w:r>
                  <w:r>
                    <w:rPr>
                      <w:rFonts w:hint="eastAsia"/>
                      <w:color w:val="auto"/>
                      <w:sz w:val="18"/>
                      <w:szCs w:val="18"/>
                      <w:vertAlign w:val="superscript"/>
                      <w:lang w:val="en-US" w:eastAsia="zh-CN"/>
                    </w:rPr>
                    <w:t>3</w:t>
                  </w:r>
                  <w:r>
                    <w:rPr>
                      <w:rFonts w:hint="eastAsia"/>
                      <w:color w:val="auto"/>
                      <w:sz w:val="18"/>
                      <w:szCs w:val="18"/>
                      <w:lang w:val="en-US" w:eastAsia="zh-CN"/>
                    </w:rPr>
                    <w:t>叔丁醇产品卧式储罐</w:t>
                  </w:r>
                </w:p>
              </w:tc>
              <w:tc>
                <w:tcPr>
                  <w:tcW w:w="1282" w:type="pct"/>
                  <w:tcBorders>
                    <w:tl2br w:val="nil"/>
                    <w:tr2bl w:val="nil"/>
                  </w:tcBorders>
                  <w:vAlign w:val="center"/>
                </w:tcPr>
                <w:p w14:paraId="254A43B4">
                  <w:pPr>
                    <w:jc w:val="center"/>
                    <w:rPr>
                      <w:color w:val="auto"/>
                      <w:sz w:val="18"/>
                      <w:szCs w:val="18"/>
                    </w:rPr>
                  </w:pPr>
                  <w:r>
                    <w:rPr>
                      <w:rFonts w:hint="eastAsia"/>
                      <w:color w:val="auto"/>
                      <w:sz w:val="18"/>
                      <w:szCs w:val="18"/>
                      <w:lang w:val="en-US" w:eastAsia="zh-CN"/>
                    </w:rPr>
                    <w:t>占地面积180m</w:t>
                  </w:r>
                  <w:r>
                    <w:rPr>
                      <w:rFonts w:hint="eastAsia"/>
                      <w:color w:val="auto"/>
                      <w:sz w:val="18"/>
                      <w:szCs w:val="18"/>
                      <w:vertAlign w:val="superscript"/>
                      <w:lang w:val="en-US" w:eastAsia="zh-CN"/>
                    </w:rPr>
                    <w:t>2</w:t>
                  </w:r>
                  <w:r>
                    <w:rPr>
                      <w:rFonts w:hint="eastAsia"/>
                      <w:color w:val="auto"/>
                      <w:sz w:val="18"/>
                      <w:szCs w:val="18"/>
                      <w:lang w:val="en-US" w:eastAsia="zh-CN"/>
                    </w:rPr>
                    <w:t>，位于东厂区灌装间东侧，内设1台50m</w:t>
                  </w:r>
                  <w:r>
                    <w:rPr>
                      <w:rFonts w:hint="eastAsia"/>
                      <w:color w:val="auto"/>
                      <w:sz w:val="18"/>
                      <w:szCs w:val="18"/>
                      <w:vertAlign w:val="superscript"/>
                      <w:lang w:val="en-US" w:eastAsia="zh-CN"/>
                    </w:rPr>
                    <w:t>3</w:t>
                  </w:r>
                  <w:r>
                    <w:rPr>
                      <w:rFonts w:hint="eastAsia"/>
                      <w:color w:val="auto"/>
                      <w:sz w:val="18"/>
                      <w:szCs w:val="18"/>
                      <w:lang w:val="en-US" w:eastAsia="zh-CN"/>
                    </w:rPr>
                    <w:t>叔丁醇产品卧式储罐</w:t>
                  </w:r>
                </w:p>
              </w:tc>
              <w:tc>
                <w:tcPr>
                  <w:tcW w:w="1070" w:type="pct"/>
                  <w:tcBorders>
                    <w:tl2br w:val="nil"/>
                    <w:tr2bl w:val="nil"/>
                  </w:tcBorders>
                  <w:vAlign w:val="center"/>
                </w:tcPr>
                <w:p w14:paraId="45D32B72">
                  <w:pPr>
                    <w:jc w:val="center"/>
                    <w:rPr>
                      <w:rFonts w:hint="default" w:eastAsia="宋体"/>
                      <w:color w:val="auto"/>
                      <w:sz w:val="18"/>
                      <w:szCs w:val="18"/>
                      <w:lang w:val="en-US" w:eastAsia="zh-CN"/>
                    </w:rPr>
                  </w:pPr>
                  <w:r>
                    <w:rPr>
                      <w:rFonts w:hint="eastAsia"/>
                      <w:color w:val="auto"/>
                      <w:sz w:val="18"/>
                      <w:szCs w:val="18"/>
                      <w:lang w:val="en-US" w:eastAsia="zh-CN"/>
                    </w:rPr>
                    <w:t>拆除现有2台储罐，仅保留1台</w:t>
                  </w:r>
                </w:p>
              </w:tc>
            </w:tr>
            <w:tr w14:paraId="2FDEB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37E5E66A">
                  <w:pPr>
                    <w:jc w:val="center"/>
                    <w:rPr>
                      <w:color w:val="auto"/>
                      <w:sz w:val="18"/>
                      <w:szCs w:val="18"/>
                    </w:rPr>
                  </w:pPr>
                </w:p>
              </w:tc>
              <w:tc>
                <w:tcPr>
                  <w:tcW w:w="839" w:type="pct"/>
                  <w:tcBorders>
                    <w:tl2br w:val="nil"/>
                    <w:tr2bl w:val="nil"/>
                  </w:tcBorders>
                  <w:vAlign w:val="center"/>
                </w:tcPr>
                <w:p w14:paraId="1BABFA48">
                  <w:pPr>
                    <w:jc w:val="center"/>
                    <w:rPr>
                      <w:rFonts w:hint="default" w:eastAsia="宋体"/>
                      <w:color w:val="auto"/>
                      <w:sz w:val="18"/>
                      <w:szCs w:val="18"/>
                      <w:lang w:val="en-US" w:eastAsia="zh-CN"/>
                    </w:rPr>
                  </w:pPr>
                  <w:r>
                    <w:rPr>
                      <w:rFonts w:hint="eastAsia"/>
                      <w:color w:val="auto"/>
                      <w:sz w:val="18"/>
                      <w:szCs w:val="18"/>
                      <w:lang w:val="en-US" w:eastAsia="zh-CN"/>
                    </w:rPr>
                    <w:t>西厂区储罐区</w:t>
                  </w:r>
                </w:p>
              </w:tc>
              <w:tc>
                <w:tcPr>
                  <w:tcW w:w="1273" w:type="pct"/>
                  <w:tcBorders>
                    <w:tl2br w:val="nil"/>
                    <w:tr2bl w:val="nil"/>
                  </w:tcBorders>
                  <w:vAlign w:val="center"/>
                </w:tcPr>
                <w:p w14:paraId="76C40BF5">
                  <w:pPr>
                    <w:jc w:val="center"/>
                    <w:rPr>
                      <w:rFonts w:hint="default" w:eastAsia="宋体"/>
                      <w:color w:val="auto"/>
                      <w:sz w:val="18"/>
                      <w:szCs w:val="18"/>
                      <w:lang w:val="en-US" w:eastAsia="zh-CN"/>
                    </w:rPr>
                  </w:pPr>
                  <w:r>
                    <w:rPr>
                      <w:rFonts w:hint="eastAsia"/>
                      <w:color w:val="auto"/>
                      <w:sz w:val="18"/>
                      <w:szCs w:val="18"/>
                      <w:lang w:val="en-US" w:eastAsia="zh-CN"/>
                    </w:rPr>
                    <w:t>--</w:t>
                  </w:r>
                </w:p>
              </w:tc>
              <w:tc>
                <w:tcPr>
                  <w:tcW w:w="1282" w:type="pct"/>
                  <w:tcBorders>
                    <w:tl2br w:val="nil"/>
                    <w:tr2bl w:val="nil"/>
                  </w:tcBorders>
                  <w:vAlign w:val="center"/>
                </w:tcPr>
                <w:p w14:paraId="786AF78F">
                  <w:pPr>
                    <w:jc w:val="center"/>
                    <w:rPr>
                      <w:rFonts w:hint="default"/>
                      <w:color w:val="auto"/>
                      <w:sz w:val="18"/>
                      <w:szCs w:val="18"/>
                      <w:lang w:val="en-US" w:eastAsia="zh-CN"/>
                    </w:rPr>
                  </w:pPr>
                  <w:r>
                    <w:rPr>
                      <w:rFonts w:hint="eastAsia"/>
                      <w:color w:val="auto"/>
                      <w:sz w:val="18"/>
                      <w:szCs w:val="18"/>
                      <w:lang w:val="en-US" w:eastAsia="zh-CN"/>
                    </w:rPr>
                    <w:t>占地面积</w:t>
                  </w:r>
                  <w:r>
                    <w:rPr>
                      <w:rFonts w:hint="eastAsia"/>
                      <w:color w:val="auto"/>
                      <w:sz w:val="18"/>
                      <w:szCs w:val="18"/>
                      <w:highlight w:val="none"/>
                      <w:lang w:val="en-US" w:eastAsia="zh-CN"/>
                    </w:rPr>
                    <w:t>1280m</w:t>
                  </w:r>
                  <w:r>
                    <w:rPr>
                      <w:rFonts w:hint="eastAsia"/>
                      <w:color w:val="auto"/>
                      <w:sz w:val="18"/>
                      <w:szCs w:val="18"/>
                      <w:highlight w:val="none"/>
                      <w:vertAlign w:val="superscript"/>
                      <w:lang w:val="en-US" w:eastAsia="zh-CN"/>
                    </w:rPr>
                    <w:t>2</w:t>
                  </w:r>
                  <w:r>
                    <w:rPr>
                      <w:rFonts w:hint="eastAsia"/>
                      <w:color w:val="auto"/>
                      <w:sz w:val="18"/>
                      <w:szCs w:val="18"/>
                      <w:highlight w:val="none"/>
                      <w:lang w:val="en-US" w:eastAsia="zh-CN"/>
                    </w:rPr>
                    <w:t>，围堰尺寸51.2m×25m×1m，</w:t>
                  </w:r>
                  <w:r>
                    <w:rPr>
                      <w:rFonts w:hint="eastAsia"/>
                      <w:color w:val="auto"/>
                      <w:sz w:val="18"/>
                      <w:szCs w:val="18"/>
                      <w:lang w:val="en-US" w:eastAsia="zh-CN"/>
                    </w:rPr>
                    <w:t>位于西厂区，内设2台1000m</w:t>
                  </w:r>
                  <w:r>
                    <w:rPr>
                      <w:rFonts w:hint="eastAsia"/>
                      <w:color w:val="auto"/>
                      <w:sz w:val="18"/>
                      <w:szCs w:val="18"/>
                      <w:vertAlign w:val="superscript"/>
                      <w:lang w:val="en-US" w:eastAsia="zh-CN"/>
                    </w:rPr>
                    <w:t>3</w:t>
                  </w:r>
                  <w:r>
                    <w:rPr>
                      <w:rFonts w:hint="eastAsia"/>
                      <w:color w:val="auto"/>
                      <w:sz w:val="18"/>
                      <w:szCs w:val="18"/>
                      <w:lang w:val="en-US" w:eastAsia="zh-CN"/>
                    </w:rPr>
                    <w:t>甲醇原料罐、1台1000m</w:t>
                  </w:r>
                  <w:r>
                    <w:rPr>
                      <w:rFonts w:hint="eastAsia"/>
                      <w:color w:val="auto"/>
                      <w:sz w:val="18"/>
                      <w:szCs w:val="18"/>
                      <w:vertAlign w:val="superscript"/>
                      <w:lang w:val="en-US" w:eastAsia="zh-CN"/>
                    </w:rPr>
                    <w:t>3</w:t>
                  </w:r>
                  <w:r>
                    <w:rPr>
                      <w:rFonts w:hint="eastAsia"/>
                      <w:color w:val="auto"/>
                      <w:sz w:val="18"/>
                      <w:szCs w:val="18"/>
                      <w:lang w:val="en-US" w:eastAsia="zh-CN"/>
                    </w:rPr>
                    <w:t>叔丁醇产品罐</w:t>
                  </w:r>
                </w:p>
              </w:tc>
              <w:tc>
                <w:tcPr>
                  <w:tcW w:w="1070" w:type="pct"/>
                  <w:tcBorders>
                    <w:tl2br w:val="nil"/>
                    <w:tr2bl w:val="nil"/>
                  </w:tcBorders>
                  <w:vAlign w:val="center"/>
                </w:tcPr>
                <w:p w14:paraId="4488DF30">
                  <w:pPr>
                    <w:jc w:val="center"/>
                    <w:rPr>
                      <w:rFonts w:hint="default" w:eastAsia="宋体"/>
                      <w:color w:val="auto"/>
                      <w:sz w:val="18"/>
                      <w:szCs w:val="18"/>
                      <w:lang w:val="en-US" w:eastAsia="zh-CN"/>
                    </w:rPr>
                  </w:pPr>
                  <w:r>
                    <w:rPr>
                      <w:rFonts w:hint="eastAsia"/>
                      <w:color w:val="auto"/>
                      <w:sz w:val="18"/>
                      <w:szCs w:val="18"/>
                      <w:lang w:val="en-US" w:eastAsia="zh-CN"/>
                    </w:rPr>
                    <w:t>本次新建储罐区</w:t>
                  </w:r>
                </w:p>
              </w:tc>
            </w:tr>
            <w:tr w14:paraId="55D6D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3D381F27">
                  <w:pPr>
                    <w:jc w:val="center"/>
                    <w:rPr>
                      <w:color w:val="auto"/>
                      <w:sz w:val="18"/>
                      <w:szCs w:val="18"/>
                    </w:rPr>
                  </w:pPr>
                </w:p>
              </w:tc>
              <w:tc>
                <w:tcPr>
                  <w:tcW w:w="839" w:type="pct"/>
                  <w:tcBorders>
                    <w:tl2br w:val="nil"/>
                    <w:tr2bl w:val="nil"/>
                  </w:tcBorders>
                  <w:shd w:val="clear" w:color="auto" w:fill="auto"/>
                  <w:vAlign w:val="center"/>
                </w:tcPr>
                <w:p w14:paraId="059680AE">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东厂区装卸车区</w:t>
                  </w:r>
                </w:p>
              </w:tc>
              <w:tc>
                <w:tcPr>
                  <w:tcW w:w="1273" w:type="pct"/>
                  <w:tcBorders>
                    <w:tl2br w:val="nil"/>
                    <w:tr2bl w:val="nil"/>
                  </w:tcBorders>
                  <w:shd w:val="clear" w:color="auto" w:fill="auto"/>
                  <w:vAlign w:val="center"/>
                </w:tcPr>
                <w:p w14:paraId="68296DAA">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占地面积</w:t>
                  </w:r>
                  <w:r>
                    <w:rPr>
                      <w:rFonts w:hint="eastAsia" w:cs="Times New Roman"/>
                      <w:color w:val="auto"/>
                      <w:kern w:val="2"/>
                      <w:sz w:val="18"/>
                      <w:szCs w:val="18"/>
                      <w:highlight w:val="none"/>
                      <w:lang w:val="en-US" w:eastAsia="zh-CN" w:bidi="ar-SA"/>
                    </w:rPr>
                    <w:t>100m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lang w:val="en-US" w:eastAsia="zh-CN" w:bidi="ar-SA"/>
                    </w:rPr>
                    <w:t>，</w:t>
                  </w:r>
                  <w:r>
                    <w:rPr>
                      <w:rFonts w:hint="eastAsia" w:cs="Times New Roman"/>
                      <w:color w:val="auto"/>
                      <w:kern w:val="2"/>
                      <w:sz w:val="18"/>
                      <w:szCs w:val="18"/>
                      <w:lang w:val="en-US" w:eastAsia="zh-CN" w:bidi="ar-SA"/>
                    </w:rPr>
                    <w:t>位于东厂区叔丁醇库棚北侧，内设甲醇及叔丁醇卸车设施</w:t>
                  </w:r>
                </w:p>
              </w:tc>
              <w:tc>
                <w:tcPr>
                  <w:tcW w:w="1282" w:type="pct"/>
                  <w:tcBorders>
                    <w:tl2br w:val="nil"/>
                    <w:tr2bl w:val="nil"/>
                  </w:tcBorders>
                  <w:vAlign w:val="center"/>
                </w:tcPr>
                <w:p w14:paraId="73BBA586">
                  <w:pPr>
                    <w:jc w:val="center"/>
                    <w:rPr>
                      <w:color w:val="auto"/>
                      <w:sz w:val="18"/>
                      <w:szCs w:val="18"/>
                    </w:rPr>
                  </w:pPr>
                  <w:r>
                    <w:rPr>
                      <w:rFonts w:hint="eastAsia" w:cs="Times New Roman"/>
                      <w:color w:val="auto"/>
                      <w:kern w:val="2"/>
                      <w:sz w:val="18"/>
                      <w:szCs w:val="18"/>
                      <w:lang w:val="en-US" w:eastAsia="zh-CN" w:bidi="ar-SA"/>
                    </w:rPr>
                    <w:t>占地面积</w:t>
                  </w:r>
                  <w:r>
                    <w:rPr>
                      <w:rFonts w:hint="eastAsia" w:cs="Times New Roman"/>
                      <w:color w:val="auto"/>
                      <w:kern w:val="2"/>
                      <w:sz w:val="18"/>
                      <w:szCs w:val="18"/>
                      <w:highlight w:val="none"/>
                      <w:lang w:val="en-US" w:eastAsia="zh-CN" w:bidi="ar-SA"/>
                    </w:rPr>
                    <w:t>100m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lang w:val="en-US" w:eastAsia="zh-CN" w:bidi="ar-SA"/>
                    </w:rPr>
                    <w:t>，</w:t>
                  </w:r>
                  <w:r>
                    <w:rPr>
                      <w:rFonts w:hint="eastAsia" w:cs="Times New Roman"/>
                      <w:color w:val="auto"/>
                      <w:kern w:val="2"/>
                      <w:sz w:val="18"/>
                      <w:szCs w:val="18"/>
                      <w:lang w:val="en-US" w:eastAsia="zh-CN" w:bidi="ar-SA"/>
                    </w:rPr>
                    <w:t>位于东厂区叔丁醇库棚北侧，内设叔丁醇卸车设施</w:t>
                  </w:r>
                </w:p>
              </w:tc>
              <w:tc>
                <w:tcPr>
                  <w:tcW w:w="1070" w:type="pct"/>
                  <w:tcBorders>
                    <w:tl2br w:val="nil"/>
                    <w:tr2bl w:val="nil"/>
                  </w:tcBorders>
                  <w:vAlign w:val="center"/>
                </w:tcPr>
                <w:p w14:paraId="4C6BD681">
                  <w:pPr>
                    <w:jc w:val="center"/>
                    <w:rPr>
                      <w:rFonts w:hint="default"/>
                      <w:color w:val="auto"/>
                      <w:sz w:val="18"/>
                      <w:szCs w:val="18"/>
                      <w:lang w:val="en-US" w:eastAsia="zh-CN"/>
                    </w:rPr>
                  </w:pPr>
                  <w:r>
                    <w:rPr>
                      <w:rFonts w:hint="eastAsia"/>
                      <w:color w:val="auto"/>
                      <w:sz w:val="18"/>
                      <w:szCs w:val="18"/>
                      <w:lang w:val="en-US" w:eastAsia="zh-CN"/>
                    </w:rPr>
                    <w:t>拆除现有甲醇卸车设施，叔丁醇卸车设施保持不变</w:t>
                  </w:r>
                </w:p>
              </w:tc>
            </w:tr>
            <w:tr w14:paraId="33896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5F26C3A9">
                  <w:pPr>
                    <w:jc w:val="center"/>
                    <w:rPr>
                      <w:color w:val="auto"/>
                      <w:sz w:val="18"/>
                      <w:szCs w:val="18"/>
                    </w:rPr>
                  </w:pPr>
                </w:p>
              </w:tc>
              <w:tc>
                <w:tcPr>
                  <w:tcW w:w="839" w:type="pct"/>
                  <w:tcBorders>
                    <w:tl2br w:val="nil"/>
                    <w:tr2bl w:val="nil"/>
                  </w:tcBorders>
                  <w:shd w:val="clear" w:color="auto" w:fill="auto"/>
                  <w:vAlign w:val="center"/>
                </w:tcPr>
                <w:p w14:paraId="785E220E">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西厂区装卸车区</w:t>
                  </w:r>
                </w:p>
              </w:tc>
              <w:tc>
                <w:tcPr>
                  <w:tcW w:w="1273" w:type="pct"/>
                  <w:tcBorders>
                    <w:tl2br w:val="nil"/>
                    <w:tr2bl w:val="nil"/>
                  </w:tcBorders>
                  <w:shd w:val="clear" w:color="auto" w:fill="auto"/>
                  <w:vAlign w:val="center"/>
                </w:tcPr>
                <w:p w14:paraId="4C9ECF19">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282" w:type="pct"/>
                  <w:tcBorders>
                    <w:tl2br w:val="nil"/>
                    <w:tr2bl w:val="nil"/>
                  </w:tcBorders>
                  <w:vAlign w:val="center"/>
                </w:tcPr>
                <w:p w14:paraId="075256E7">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占地面积</w:t>
                  </w:r>
                  <w:r>
                    <w:rPr>
                      <w:rFonts w:hint="eastAsia" w:cs="Times New Roman"/>
                      <w:color w:val="auto"/>
                      <w:kern w:val="2"/>
                      <w:sz w:val="18"/>
                      <w:szCs w:val="18"/>
                      <w:highlight w:val="none"/>
                      <w:lang w:val="en-US" w:eastAsia="zh-CN" w:bidi="ar-SA"/>
                    </w:rPr>
                    <w:t>520m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lang w:val="en-US" w:eastAsia="zh-CN" w:bidi="ar-SA"/>
                    </w:rPr>
                    <w:t>，</w:t>
                  </w:r>
                  <w:r>
                    <w:rPr>
                      <w:rFonts w:hint="eastAsia" w:cs="Times New Roman"/>
                      <w:color w:val="auto"/>
                      <w:kern w:val="2"/>
                      <w:sz w:val="18"/>
                      <w:szCs w:val="18"/>
                      <w:lang w:val="en-US" w:eastAsia="zh-CN" w:bidi="ar-SA"/>
                    </w:rPr>
                    <w:t>位于西厂区储罐区南侧，内设甲醇自动化定量卸车设施及叔丁醇自动化定量装车设施</w:t>
                  </w:r>
                </w:p>
              </w:tc>
              <w:tc>
                <w:tcPr>
                  <w:tcW w:w="1070" w:type="pct"/>
                  <w:tcBorders>
                    <w:tl2br w:val="nil"/>
                    <w:tr2bl w:val="nil"/>
                  </w:tcBorders>
                  <w:vAlign w:val="center"/>
                </w:tcPr>
                <w:p w14:paraId="25E4423F">
                  <w:pPr>
                    <w:jc w:val="center"/>
                    <w:rPr>
                      <w:rFonts w:hint="default"/>
                      <w:color w:val="auto"/>
                      <w:sz w:val="18"/>
                      <w:szCs w:val="18"/>
                      <w:lang w:val="en-US" w:eastAsia="zh-CN"/>
                    </w:rPr>
                  </w:pPr>
                  <w:r>
                    <w:rPr>
                      <w:rFonts w:hint="eastAsia"/>
                      <w:color w:val="auto"/>
                      <w:sz w:val="18"/>
                      <w:szCs w:val="18"/>
                      <w:lang w:val="en-US" w:eastAsia="zh-CN"/>
                    </w:rPr>
                    <w:t>本次新建装卸车区</w:t>
                  </w:r>
                </w:p>
              </w:tc>
            </w:tr>
            <w:tr w14:paraId="3259D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restart"/>
                  <w:tcBorders>
                    <w:tl2br w:val="nil"/>
                    <w:tr2bl w:val="nil"/>
                  </w:tcBorders>
                  <w:vAlign w:val="center"/>
                </w:tcPr>
                <w:p w14:paraId="230C3EFD">
                  <w:pPr>
                    <w:jc w:val="center"/>
                    <w:rPr>
                      <w:color w:val="auto"/>
                      <w:sz w:val="18"/>
                      <w:szCs w:val="18"/>
                    </w:rPr>
                  </w:pPr>
                  <w:r>
                    <w:rPr>
                      <w:rFonts w:hint="eastAsia"/>
                      <w:color w:val="auto"/>
                      <w:sz w:val="18"/>
                      <w:szCs w:val="18"/>
                    </w:rPr>
                    <w:t>辅助工程</w:t>
                  </w:r>
                </w:p>
              </w:tc>
              <w:tc>
                <w:tcPr>
                  <w:tcW w:w="839" w:type="pct"/>
                  <w:tcBorders>
                    <w:tl2br w:val="nil"/>
                    <w:tr2bl w:val="nil"/>
                  </w:tcBorders>
                  <w:shd w:val="clear" w:color="auto" w:fill="auto"/>
                  <w:vAlign w:val="center"/>
                </w:tcPr>
                <w:p w14:paraId="27D93B7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西厂区办公室</w:t>
                  </w:r>
                </w:p>
              </w:tc>
              <w:tc>
                <w:tcPr>
                  <w:tcW w:w="1273" w:type="pct"/>
                  <w:tcBorders>
                    <w:tl2br w:val="nil"/>
                    <w:tr2bl w:val="nil"/>
                  </w:tcBorders>
                  <w:shd w:val="clear" w:color="auto" w:fill="auto"/>
                  <w:vAlign w:val="center"/>
                </w:tcPr>
                <w:p w14:paraId="53CA151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占地面积</w:t>
                  </w:r>
                  <w:r>
                    <w:rPr>
                      <w:rFonts w:hint="eastAsia" w:cs="Times New Roman"/>
                      <w:color w:val="auto"/>
                      <w:kern w:val="2"/>
                      <w:sz w:val="18"/>
                      <w:szCs w:val="18"/>
                      <w:highlight w:val="none"/>
                      <w:lang w:val="en-US" w:eastAsia="zh-CN" w:bidi="ar-SA"/>
                    </w:rPr>
                    <w:t>60m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lang w:val="en-US" w:eastAsia="zh-CN" w:bidi="ar-SA"/>
                    </w:rPr>
                    <w:t>，位于西厂区门卫室北侧</w:t>
                  </w:r>
                </w:p>
              </w:tc>
              <w:tc>
                <w:tcPr>
                  <w:tcW w:w="1282" w:type="pct"/>
                  <w:tcBorders>
                    <w:tl2br w:val="nil"/>
                    <w:tr2bl w:val="nil"/>
                  </w:tcBorders>
                  <w:vAlign w:val="center"/>
                </w:tcPr>
                <w:p w14:paraId="3C9C78E7">
                  <w:pPr>
                    <w:jc w:val="center"/>
                    <w:rPr>
                      <w:rFonts w:hint="default" w:eastAsia="宋体"/>
                      <w:color w:val="auto"/>
                      <w:sz w:val="18"/>
                      <w:szCs w:val="18"/>
                      <w:lang w:val="en-US" w:eastAsia="zh-CN"/>
                    </w:rPr>
                  </w:pPr>
                  <w:r>
                    <w:rPr>
                      <w:rFonts w:hint="eastAsia"/>
                      <w:color w:val="auto"/>
                      <w:sz w:val="18"/>
                      <w:szCs w:val="18"/>
                      <w:lang w:val="en-US" w:eastAsia="zh-CN"/>
                    </w:rPr>
                    <w:t>--</w:t>
                  </w:r>
                </w:p>
              </w:tc>
              <w:tc>
                <w:tcPr>
                  <w:tcW w:w="1070" w:type="pct"/>
                  <w:tcBorders>
                    <w:tl2br w:val="nil"/>
                    <w:tr2bl w:val="nil"/>
                  </w:tcBorders>
                  <w:vAlign w:val="center"/>
                </w:tcPr>
                <w:p w14:paraId="0A993383">
                  <w:pPr>
                    <w:jc w:val="center"/>
                    <w:rPr>
                      <w:rFonts w:hint="default" w:eastAsia="宋体"/>
                      <w:color w:val="auto"/>
                      <w:sz w:val="18"/>
                      <w:szCs w:val="18"/>
                      <w:lang w:val="en-US" w:eastAsia="zh-CN"/>
                    </w:rPr>
                  </w:pPr>
                  <w:r>
                    <w:rPr>
                      <w:rFonts w:hint="eastAsia"/>
                      <w:color w:val="auto"/>
                      <w:sz w:val="18"/>
                      <w:szCs w:val="18"/>
                      <w:lang w:val="en-US" w:eastAsia="zh-CN"/>
                    </w:rPr>
                    <w:t>本次技改进行拆除</w:t>
                  </w:r>
                </w:p>
              </w:tc>
            </w:tr>
            <w:tr w14:paraId="2143C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2FE250A0">
                  <w:pPr>
                    <w:jc w:val="center"/>
                    <w:rPr>
                      <w:color w:val="auto"/>
                      <w:sz w:val="18"/>
                      <w:szCs w:val="18"/>
                    </w:rPr>
                  </w:pPr>
                </w:p>
              </w:tc>
              <w:tc>
                <w:tcPr>
                  <w:tcW w:w="839" w:type="pct"/>
                  <w:tcBorders>
                    <w:tl2br w:val="nil"/>
                    <w:tr2bl w:val="nil"/>
                  </w:tcBorders>
                  <w:vAlign w:val="center"/>
                </w:tcPr>
                <w:p w14:paraId="183BDE7F">
                  <w:pPr>
                    <w:jc w:val="center"/>
                    <w:rPr>
                      <w:rFonts w:hint="default" w:eastAsia="宋体"/>
                      <w:color w:val="auto"/>
                      <w:sz w:val="18"/>
                      <w:szCs w:val="18"/>
                      <w:lang w:val="en-US" w:eastAsia="zh-CN"/>
                    </w:rPr>
                  </w:pPr>
                  <w:r>
                    <w:rPr>
                      <w:rFonts w:hint="eastAsia"/>
                      <w:color w:val="auto"/>
                      <w:sz w:val="18"/>
                      <w:szCs w:val="18"/>
                      <w:lang w:val="en-US" w:eastAsia="zh-CN"/>
                    </w:rPr>
                    <w:t>西厂区门卫</w:t>
                  </w:r>
                </w:p>
              </w:tc>
              <w:tc>
                <w:tcPr>
                  <w:tcW w:w="1273" w:type="pct"/>
                  <w:tcBorders>
                    <w:tl2br w:val="nil"/>
                    <w:tr2bl w:val="nil"/>
                  </w:tcBorders>
                  <w:vAlign w:val="center"/>
                </w:tcPr>
                <w:p w14:paraId="4BD375D8">
                  <w:pPr>
                    <w:jc w:val="center"/>
                    <w:rPr>
                      <w:rFonts w:hint="default" w:eastAsia="宋体"/>
                      <w:color w:val="auto"/>
                      <w:sz w:val="18"/>
                      <w:szCs w:val="18"/>
                      <w:vertAlign w:val="baseline"/>
                      <w:lang w:val="en-US" w:eastAsia="zh-CN"/>
                    </w:rPr>
                  </w:pPr>
                  <w:r>
                    <w:rPr>
                      <w:rFonts w:hint="eastAsia"/>
                      <w:color w:val="auto"/>
                      <w:sz w:val="18"/>
                      <w:szCs w:val="18"/>
                      <w:lang w:val="en-US" w:eastAsia="zh-CN"/>
                    </w:rPr>
                    <w:t>占地面积</w:t>
                  </w:r>
                  <w:r>
                    <w:rPr>
                      <w:rFonts w:hint="eastAsia" w:cs="Times New Roman"/>
                      <w:color w:val="auto"/>
                      <w:kern w:val="2"/>
                      <w:sz w:val="18"/>
                      <w:szCs w:val="18"/>
                      <w:highlight w:val="none"/>
                      <w:lang w:val="en-US" w:eastAsia="zh-CN" w:bidi="ar-SA"/>
                    </w:rPr>
                    <w:t>10m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vertAlign w:val="baseline"/>
                      <w:lang w:val="en-US" w:eastAsia="zh-CN" w:bidi="ar-SA"/>
                    </w:rPr>
                    <w:t>，位于西厂区东南角</w:t>
                  </w:r>
                </w:p>
              </w:tc>
              <w:tc>
                <w:tcPr>
                  <w:tcW w:w="1282" w:type="pct"/>
                  <w:tcBorders>
                    <w:tl2br w:val="nil"/>
                    <w:tr2bl w:val="nil"/>
                  </w:tcBorders>
                  <w:vAlign w:val="center"/>
                </w:tcPr>
                <w:p w14:paraId="06D5E286">
                  <w:pPr>
                    <w:jc w:val="center"/>
                    <w:rPr>
                      <w:rFonts w:hint="eastAsia"/>
                      <w:color w:val="auto"/>
                      <w:sz w:val="18"/>
                      <w:szCs w:val="18"/>
                    </w:rPr>
                  </w:pPr>
                  <w:r>
                    <w:rPr>
                      <w:rFonts w:hint="eastAsia"/>
                      <w:color w:val="auto"/>
                      <w:sz w:val="18"/>
                      <w:szCs w:val="18"/>
                      <w:lang w:val="en-US" w:eastAsia="zh-CN"/>
                    </w:rPr>
                    <w:t>占地面积</w:t>
                  </w:r>
                  <w:r>
                    <w:rPr>
                      <w:rFonts w:hint="eastAsia" w:cs="Times New Roman"/>
                      <w:color w:val="auto"/>
                      <w:kern w:val="2"/>
                      <w:sz w:val="18"/>
                      <w:szCs w:val="18"/>
                      <w:highlight w:val="none"/>
                      <w:lang w:val="en-US" w:eastAsia="zh-CN" w:bidi="ar-SA"/>
                    </w:rPr>
                    <w:t>10m</w:t>
                  </w:r>
                  <w:r>
                    <w:rPr>
                      <w:rFonts w:hint="eastAsia" w:cs="Times New Roman"/>
                      <w:color w:val="auto"/>
                      <w:kern w:val="2"/>
                      <w:sz w:val="18"/>
                      <w:szCs w:val="18"/>
                      <w:highlight w:val="none"/>
                      <w:vertAlign w:val="superscript"/>
                      <w:lang w:val="en-US" w:eastAsia="zh-CN" w:bidi="ar-SA"/>
                    </w:rPr>
                    <w:t>2</w:t>
                  </w:r>
                  <w:r>
                    <w:rPr>
                      <w:rFonts w:hint="eastAsia" w:cs="Times New Roman"/>
                      <w:color w:val="auto"/>
                      <w:kern w:val="2"/>
                      <w:sz w:val="18"/>
                      <w:szCs w:val="18"/>
                      <w:highlight w:val="none"/>
                      <w:vertAlign w:val="baseline"/>
                      <w:lang w:val="en-US" w:eastAsia="zh-CN" w:bidi="ar-SA"/>
                    </w:rPr>
                    <w:t>，位于西厂区东南角</w:t>
                  </w:r>
                </w:p>
              </w:tc>
              <w:tc>
                <w:tcPr>
                  <w:tcW w:w="1070" w:type="pct"/>
                  <w:tcBorders>
                    <w:tl2br w:val="nil"/>
                    <w:tr2bl w:val="nil"/>
                  </w:tcBorders>
                  <w:vAlign w:val="center"/>
                </w:tcPr>
                <w:p w14:paraId="0A5CB2CB">
                  <w:pPr>
                    <w:jc w:val="center"/>
                    <w:rPr>
                      <w:rFonts w:hint="default" w:eastAsia="宋体"/>
                      <w:color w:val="auto"/>
                      <w:sz w:val="18"/>
                      <w:szCs w:val="18"/>
                      <w:lang w:val="en-US" w:eastAsia="zh-CN"/>
                    </w:rPr>
                  </w:pPr>
                  <w:r>
                    <w:rPr>
                      <w:rFonts w:hint="eastAsia"/>
                      <w:color w:val="auto"/>
                      <w:sz w:val="18"/>
                      <w:szCs w:val="18"/>
                      <w:lang w:val="en-US" w:eastAsia="zh-CN"/>
                    </w:rPr>
                    <w:t>依托现有，保持不变</w:t>
                  </w:r>
                </w:p>
              </w:tc>
            </w:tr>
            <w:tr w14:paraId="1CE6F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restart"/>
                  <w:tcBorders>
                    <w:tl2br w:val="nil"/>
                    <w:tr2bl w:val="nil"/>
                  </w:tcBorders>
                  <w:vAlign w:val="center"/>
                </w:tcPr>
                <w:p w14:paraId="4BF05081">
                  <w:pPr>
                    <w:jc w:val="center"/>
                    <w:rPr>
                      <w:color w:val="auto"/>
                      <w:sz w:val="18"/>
                      <w:szCs w:val="18"/>
                    </w:rPr>
                  </w:pPr>
                  <w:r>
                    <w:rPr>
                      <w:color w:val="auto"/>
                      <w:sz w:val="18"/>
                      <w:szCs w:val="18"/>
                    </w:rPr>
                    <w:t>公用工程</w:t>
                  </w:r>
                </w:p>
              </w:tc>
              <w:tc>
                <w:tcPr>
                  <w:tcW w:w="839" w:type="pct"/>
                  <w:tcBorders>
                    <w:tl2br w:val="nil"/>
                    <w:tr2bl w:val="nil"/>
                  </w:tcBorders>
                  <w:vAlign w:val="center"/>
                </w:tcPr>
                <w:p w14:paraId="5D4D3017">
                  <w:pPr>
                    <w:jc w:val="center"/>
                    <w:rPr>
                      <w:color w:val="auto"/>
                      <w:sz w:val="18"/>
                      <w:szCs w:val="18"/>
                    </w:rPr>
                  </w:pPr>
                  <w:r>
                    <w:rPr>
                      <w:color w:val="auto"/>
                      <w:sz w:val="18"/>
                      <w:szCs w:val="18"/>
                    </w:rPr>
                    <w:t>供水</w:t>
                  </w:r>
                  <w:r>
                    <w:rPr>
                      <w:rFonts w:hint="eastAsia"/>
                      <w:color w:val="auto"/>
                      <w:sz w:val="18"/>
                      <w:szCs w:val="18"/>
                    </w:rPr>
                    <w:t>系统</w:t>
                  </w:r>
                </w:p>
              </w:tc>
              <w:tc>
                <w:tcPr>
                  <w:tcW w:w="1273" w:type="pct"/>
                  <w:tcBorders>
                    <w:tl2br w:val="nil"/>
                    <w:tr2bl w:val="nil"/>
                  </w:tcBorders>
                  <w:vAlign w:val="center"/>
                </w:tcPr>
                <w:p w14:paraId="753ACA47">
                  <w:pPr>
                    <w:jc w:val="center"/>
                    <w:rPr>
                      <w:color w:val="auto"/>
                      <w:sz w:val="18"/>
                      <w:szCs w:val="18"/>
                    </w:rPr>
                  </w:pPr>
                  <w:r>
                    <w:rPr>
                      <w:rFonts w:hint="eastAsia"/>
                      <w:color w:val="auto"/>
                      <w:sz w:val="18"/>
                      <w:szCs w:val="18"/>
                      <w:lang w:val="en-US" w:eastAsia="zh-CN"/>
                    </w:rPr>
                    <w:t>周边</w:t>
                  </w:r>
                  <w:r>
                    <w:rPr>
                      <w:color w:val="auto"/>
                      <w:sz w:val="18"/>
                      <w:szCs w:val="18"/>
                    </w:rPr>
                    <w:t>自来水供水管网供给</w:t>
                  </w:r>
                </w:p>
              </w:tc>
              <w:tc>
                <w:tcPr>
                  <w:tcW w:w="1282" w:type="pct"/>
                  <w:tcBorders>
                    <w:tl2br w:val="nil"/>
                    <w:tr2bl w:val="nil"/>
                  </w:tcBorders>
                  <w:vAlign w:val="center"/>
                </w:tcPr>
                <w:p w14:paraId="13D3E783">
                  <w:pPr>
                    <w:jc w:val="center"/>
                    <w:rPr>
                      <w:rFonts w:hint="eastAsia"/>
                      <w:color w:val="auto"/>
                      <w:sz w:val="18"/>
                      <w:szCs w:val="18"/>
                    </w:rPr>
                  </w:pPr>
                  <w:r>
                    <w:rPr>
                      <w:rFonts w:hint="eastAsia"/>
                      <w:color w:val="auto"/>
                      <w:sz w:val="18"/>
                      <w:szCs w:val="18"/>
                      <w:lang w:val="en-US" w:eastAsia="zh-CN"/>
                    </w:rPr>
                    <w:t>周边</w:t>
                  </w:r>
                  <w:r>
                    <w:rPr>
                      <w:color w:val="auto"/>
                      <w:sz w:val="18"/>
                      <w:szCs w:val="18"/>
                    </w:rPr>
                    <w:t>自来水供水管网供给</w:t>
                  </w:r>
                </w:p>
              </w:tc>
              <w:tc>
                <w:tcPr>
                  <w:tcW w:w="1070" w:type="pct"/>
                  <w:tcBorders>
                    <w:tl2br w:val="nil"/>
                    <w:tr2bl w:val="nil"/>
                  </w:tcBorders>
                  <w:vAlign w:val="center"/>
                </w:tcPr>
                <w:p w14:paraId="6B6F0385">
                  <w:pPr>
                    <w:jc w:val="center"/>
                    <w:rPr>
                      <w:rFonts w:hint="eastAsia" w:eastAsia="宋体"/>
                      <w:color w:val="auto"/>
                      <w:sz w:val="18"/>
                      <w:szCs w:val="18"/>
                      <w:lang w:val="en-US" w:eastAsia="zh-CN"/>
                    </w:rPr>
                  </w:pPr>
                  <w:r>
                    <w:rPr>
                      <w:rFonts w:hint="eastAsia"/>
                      <w:color w:val="auto"/>
                      <w:sz w:val="18"/>
                      <w:szCs w:val="18"/>
                      <w:lang w:val="en-US" w:eastAsia="zh-CN"/>
                    </w:rPr>
                    <w:t>依托现有，保持不变</w:t>
                  </w:r>
                </w:p>
              </w:tc>
            </w:tr>
            <w:tr w14:paraId="56A7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00EDEE8C">
                  <w:pPr>
                    <w:jc w:val="center"/>
                    <w:rPr>
                      <w:color w:val="auto"/>
                      <w:sz w:val="18"/>
                      <w:szCs w:val="18"/>
                    </w:rPr>
                  </w:pPr>
                </w:p>
              </w:tc>
              <w:tc>
                <w:tcPr>
                  <w:tcW w:w="839" w:type="pct"/>
                  <w:tcBorders>
                    <w:tl2br w:val="nil"/>
                    <w:tr2bl w:val="nil"/>
                  </w:tcBorders>
                  <w:vAlign w:val="center"/>
                </w:tcPr>
                <w:p w14:paraId="42E51400">
                  <w:pPr>
                    <w:jc w:val="center"/>
                    <w:rPr>
                      <w:color w:val="auto"/>
                      <w:sz w:val="18"/>
                      <w:szCs w:val="18"/>
                    </w:rPr>
                  </w:pPr>
                  <w:r>
                    <w:rPr>
                      <w:rFonts w:hint="eastAsia"/>
                      <w:color w:val="auto"/>
                      <w:sz w:val="18"/>
                      <w:szCs w:val="18"/>
                    </w:rPr>
                    <w:t>供电系统</w:t>
                  </w:r>
                </w:p>
              </w:tc>
              <w:tc>
                <w:tcPr>
                  <w:tcW w:w="1273" w:type="pct"/>
                  <w:tcBorders>
                    <w:tl2br w:val="nil"/>
                    <w:tr2bl w:val="nil"/>
                  </w:tcBorders>
                  <w:vAlign w:val="center"/>
                </w:tcPr>
                <w:p w14:paraId="693D251B">
                  <w:pPr>
                    <w:jc w:val="center"/>
                    <w:rPr>
                      <w:rFonts w:hint="default" w:eastAsia="宋体"/>
                      <w:color w:val="auto"/>
                      <w:sz w:val="18"/>
                      <w:szCs w:val="18"/>
                      <w:lang w:val="en-US" w:eastAsia="zh-CN"/>
                    </w:rPr>
                  </w:pPr>
                  <w:r>
                    <w:rPr>
                      <w:rFonts w:hint="eastAsia"/>
                      <w:color w:val="auto"/>
                      <w:sz w:val="18"/>
                      <w:szCs w:val="18"/>
                      <w:lang w:val="en-US" w:eastAsia="zh-CN"/>
                    </w:rPr>
                    <w:t>周边供电管网接入</w:t>
                  </w:r>
                </w:p>
              </w:tc>
              <w:tc>
                <w:tcPr>
                  <w:tcW w:w="1282" w:type="pct"/>
                  <w:tcBorders>
                    <w:tl2br w:val="nil"/>
                    <w:tr2bl w:val="nil"/>
                  </w:tcBorders>
                  <w:vAlign w:val="center"/>
                </w:tcPr>
                <w:p w14:paraId="20A5E844">
                  <w:pPr>
                    <w:jc w:val="center"/>
                    <w:rPr>
                      <w:rFonts w:hint="eastAsia"/>
                      <w:color w:val="auto"/>
                      <w:sz w:val="18"/>
                      <w:szCs w:val="18"/>
                    </w:rPr>
                  </w:pPr>
                  <w:r>
                    <w:rPr>
                      <w:rFonts w:hint="eastAsia"/>
                      <w:color w:val="auto"/>
                      <w:sz w:val="18"/>
                      <w:szCs w:val="18"/>
                      <w:lang w:val="en-US" w:eastAsia="zh-CN"/>
                    </w:rPr>
                    <w:t>周边供电管网接入</w:t>
                  </w:r>
                </w:p>
              </w:tc>
              <w:tc>
                <w:tcPr>
                  <w:tcW w:w="1070" w:type="pct"/>
                  <w:tcBorders>
                    <w:tl2br w:val="nil"/>
                    <w:tr2bl w:val="nil"/>
                  </w:tcBorders>
                  <w:vAlign w:val="center"/>
                </w:tcPr>
                <w:p w14:paraId="69C571B2">
                  <w:pPr>
                    <w:jc w:val="center"/>
                    <w:rPr>
                      <w:rFonts w:hint="eastAsia" w:eastAsia="宋体"/>
                      <w:color w:val="auto"/>
                      <w:sz w:val="18"/>
                      <w:szCs w:val="18"/>
                      <w:lang w:val="en-US" w:eastAsia="zh-CN"/>
                    </w:rPr>
                  </w:pPr>
                  <w:r>
                    <w:rPr>
                      <w:rFonts w:hint="eastAsia"/>
                      <w:color w:val="auto"/>
                      <w:sz w:val="18"/>
                      <w:szCs w:val="18"/>
                      <w:lang w:val="en-US" w:eastAsia="zh-CN"/>
                    </w:rPr>
                    <w:t>依托现有，保持不变</w:t>
                  </w:r>
                </w:p>
              </w:tc>
            </w:tr>
            <w:tr w14:paraId="3FEAE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00317305">
                  <w:pPr>
                    <w:jc w:val="center"/>
                    <w:rPr>
                      <w:color w:val="auto"/>
                      <w:sz w:val="18"/>
                      <w:szCs w:val="18"/>
                    </w:rPr>
                  </w:pPr>
                </w:p>
              </w:tc>
              <w:tc>
                <w:tcPr>
                  <w:tcW w:w="839" w:type="pct"/>
                  <w:tcBorders>
                    <w:tl2br w:val="nil"/>
                    <w:tr2bl w:val="nil"/>
                  </w:tcBorders>
                  <w:vAlign w:val="center"/>
                </w:tcPr>
                <w:p w14:paraId="1974ABA0">
                  <w:pPr>
                    <w:jc w:val="center"/>
                    <w:rPr>
                      <w:rFonts w:hint="eastAsia" w:eastAsia="宋体"/>
                      <w:color w:val="auto"/>
                      <w:sz w:val="18"/>
                      <w:szCs w:val="18"/>
                      <w:lang w:val="en-US" w:eastAsia="zh-CN"/>
                    </w:rPr>
                  </w:pPr>
                  <w:r>
                    <w:rPr>
                      <w:rFonts w:hint="eastAsia"/>
                      <w:color w:val="auto"/>
                      <w:sz w:val="18"/>
                      <w:szCs w:val="18"/>
                      <w:lang w:val="en-US" w:eastAsia="zh-CN"/>
                    </w:rPr>
                    <w:t>制氮系统</w:t>
                  </w:r>
                </w:p>
              </w:tc>
              <w:tc>
                <w:tcPr>
                  <w:tcW w:w="1273" w:type="pct"/>
                  <w:tcBorders>
                    <w:tl2br w:val="nil"/>
                    <w:tr2bl w:val="nil"/>
                  </w:tcBorders>
                  <w:vAlign w:val="center"/>
                </w:tcPr>
                <w:p w14:paraId="22F7C35A">
                  <w:pPr>
                    <w:jc w:val="center"/>
                    <w:rPr>
                      <w:rFonts w:hint="eastAsia" w:eastAsia="宋体"/>
                      <w:color w:val="auto"/>
                      <w:sz w:val="18"/>
                      <w:szCs w:val="18"/>
                      <w:lang w:val="en-US" w:eastAsia="zh-CN"/>
                    </w:rPr>
                  </w:pPr>
                  <w:r>
                    <w:rPr>
                      <w:rFonts w:hint="eastAsia"/>
                      <w:color w:val="auto"/>
                      <w:sz w:val="18"/>
                      <w:szCs w:val="18"/>
                      <w:lang w:val="en-US" w:eastAsia="zh-CN"/>
                    </w:rPr>
                    <w:t>占地面积15m</w:t>
                  </w:r>
                  <w:r>
                    <w:rPr>
                      <w:rFonts w:hint="eastAsia"/>
                      <w:color w:val="auto"/>
                      <w:sz w:val="18"/>
                      <w:szCs w:val="18"/>
                      <w:vertAlign w:val="superscript"/>
                      <w:lang w:val="en-US" w:eastAsia="zh-CN"/>
                    </w:rPr>
                    <w:t>2</w:t>
                  </w:r>
                  <w:r>
                    <w:rPr>
                      <w:rFonts w:hint="eastAsia"/>
                      <w:color w:val="auto"/>
                      <w:sz w:val="18"/>
                      <w:szCs w:val="18"/>
                      <w:lang w:val="en-US" w:eastAsia="zh-CN"/>
                    </w:rPr>
                    <w:t>，位于东厂区叔丁醇库棚内，内设1套制氮系统，供气能力200</w:t>
                  </w:r>
                  <w:r>
                    <w:rPr>
                      <w:color w:val="auto"/>
                      <w:sz w:val="18"/>
                      <w:szCs w:val="18"/>
                    </w:rPr>
                    <w:t>Nm</w:t>
                  </w:r>
                  <w:r>
                    <w:rPr>
                      <w:color w:val="auto"/>
                      <w:sz w:val="18"/>
                      <w:szCs w:val="18"/>
                      <w:vertAlign w:val="superscript"/>
                    </w:rPr>
                    <w:t>3</w:t>
                  </w:r>
                  <w:r>
                    <w:rPr>
                      <w:color w:val="auto"/>
                      <w:sz w:val="18"/>
                      <w:szCs w:val="18"/>
                    </w:rPr>
                    <w:t>/</w:t>
                  </w:r>
                  <w:r>
                    <w:rPr>
                      <w:rFonts w:hint="eastAsia"/>
                      <w:color w:val="auto"/>
                      <w:sz w:val="18"/>
                      <w:szCs w:val="18"/>
                      <w:lang w:val="en-US" w:eastAsia="zh-CN"/>
                    </w:rPr>
                    <w:t>h</w:t>
                  </w:r>
                </w:p>
              </w:tc>
              <w:tc>
                <w:tcPr>
                  <w:tcW w:w="1282" w:type="pct"/>
                  <w:tcBorders>
                    <w:tl2br w:val="nil"/>
                    <w:tr2bl w:val="nil"/>
                  </w:tcBorders>
                  <w:vAlign w:val="center"/>
                </w:tcPr>
                <w:p w14:paraId="56375B22">
                  <w:pPr>
                    <w:jc w:val="center"/>
                    <w:rPr>
                      <w:rFonts w:hint="eastAsia" w:eastAsia="宋体"/>
                      <w:color w:val="auto"/>
                      <w:sz w:val="18"/>
                      <w:szCs w:val="18"/>
                      <w:lang w:eastAsia="zh-CN"/>
                    </w:rPr>
                  </w:pPr>
                  <w:r>
                    <w:rPr>
                      <w:rFonts w:hint="eastAsia"/>
                      <w:color w:val="auto"/>
                      <w:sz w:val="18"/>
                      <w:szCs w:val="18"/>
                      <w:lang w:val="en-US" w:eastAsia="zh-CN"/>
                    </w:rPr>
                    <w:t>占地面积15m</w:t>
                  </w:r>
                  <w:r>
                    <w:rPr>
                      <w:rFonts w:hint="eastAsia"/>
                      <w:color w:val="auto"/>
                      <w:sz w:val="18"/>
                      <w:szCs w:val="18"/>
                      <w:vertAlign w:val="superscript"/>
                      <w:lang w:val="en-US" w:eastAsia="zh-CN"/>
                    </w:rPr>
                    <w:t>2</w:t>
                  </w:r>
                  <w:r>
                    <w:rPr>
                      <w:rFonts w:hint="eastAsia"/>
                      <w:color w:val="auto"/>
                      <w:sz w:val="18"/>
                      <w:szCs w:val="18"/>
                      <w:lang w:val="en-US" w:eastAsia="zh-CN"/>
                    </w:rPr>
                    <w:t>，位于东厂区叔丁醇库棚内，内设1套制氮系统，供气能力2</w:t>
                  </w:r>
                  <w:r>
                    <w:rPr>
                      <w:color w:val="auto"/>
                      <w:sz w:val="18"/>
                      <w:szCs w:val="18"/>
                    </w:rPr>
                    <w:t>0</w:t>
                  </w:r>
                  <w:r>
                    <w:rPr>
                      <w:rFonts w:hint="eastAsia"/>
                      <w:color w:val="auto"/>
                      <w:sz w:val="18"/>
                      <w:szCs w:val="18"/>
                      <w:lang w:val="en-US" w:eastAsia="zh-CN"/>
                    </w:rPr>
                    <w:t>0</w:t>
                  </w:r>
                  <w:r>
                    <w:rPr>
                      <w:color w:val="auto"/>
                      <w:sz w:val="18"/>
                      <w:szCs w:val="18"/>
                    </w:rPr>
                    <w:t>Nm</w:t>
                  </w:r>
                  <w:r>
                    <w:rPr>
                      <w:color w:val="auto"/>
                      <w:sz w:val="18"/>
                      <w:szCs w:val="18"/>
                      <w:vertAlign w:val="superscript"/>
                    </w:rPr>
                    <w:t>3</w:t>
                  </w:r>
                  <w:r>
                    <w:rPr>
                      <w:color w:val="auto"/>
                      <w:sz w:val="18"/>
                      <w:szCs w:val="18"/>
                    </w:rPr>
                    <w:t>/</w:t>
                  </w:r>
                  <w:r>
                    <w:rPr>
                      <w:rFonts w:hint="eastAsia"/>
                      <w:color w:val="auto"/>
                      <w:sz w:val="18"/>
                      <w:szCs w:val="18"/>
                      <w:lang w:val="en-US" w:eastAsia="zh-CN"/>
                    </w:rPr>
                    <w:t>h</w:t>
                  </w:r>
                </w:p>
              </w:tc>
              <w:tc>
                <w:tcPr>
                  <w:tcW w:w="1070" w:type="pct"/>
                  <w:tcBorders>
                    <w:tl2br w:val="nil"/>
                    <w:tr2bl w:val="nil"/>
                  </w:tcBorders>
                  <w:vAlign w:val="center"/>
                </w:tcPr>
                <w:p w14:paraId="76BE9E21">
                  <w:pPr>
                    <w:jc w:val="center"/>
                    <w:rPr>
                      <w:rFonts w:hint="eastAsia" w:eastAsia="宋体"/>
                      <w:color w:val="auto"/>
                      <w:sz w:val="18"/>
                      <w:szCs w:val="18"/>
                      <w:lang w:val="en-US" w:eastAsia="zh-CN"/>
                    </w:rPr>
                  </w:pPr>
                  <w:r>
                    <w:rPr>
                      <w:rFonts w:hint="eastAsia"/>
                      <w:color w:val="auto"/>
                      <w:sz w:val="18"/>
                      <w:szCs w:val="18"/>
                      <w:lang w:val="en-US" w:eastAsia="zh-CN"/>
                    </w:rPr>
                    <w:t>依托现有，保持不变</w:t>
                  </w:r>
                </w:p>
              </w:tc>
            </w:tr>
            <w:tr w14:paraId="75600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restart"/>
                  <w:tcBorders>
                    <w:tl2br w:val="nil"/>
                    <w:tr2bl w:val="nil"/>
                  </w:tcBorders>
                  <w:vAlign w:val="center"/>
                </w:tcPr>
                <w:p w14:paraId="0DD4F5D6">
                  <w:pPr>
                    <w:jc w:val="center"/>
                    <w:rPr>
                      <w:color w:val="auto"/>
                      <w:sz w:val="18"/>
                      <w:szCs w:val="18"/>
                    </w:rPr>
                  </w:pPr>
                  <w:r>
                    <w:rPr>
                      <w:rFonts w:hint="eastAsia"/>
                      <w:color w:val="auto"/>
                      <w:sz w:val="18"/>
                      <w:szCs w:val="18"/>
                    </w:rPr>
                    <w:t>环保工程</w:t>
                  </w:r>
                </w:p>
              </w:tc>
              <w:tc>
                <w:tcPr>
                  <w:tcW w:w="839" w:type="pct"/>
                  <w:tcBorders>
                    <w:tl2br w:val="nil"/>
                    <w:tr2bl w:val="nil"/>
                  </w:tcBorders>
                  <w:vAlign w:val="center"/>
                </w:tcPr>
                <w:p w14:paraId="3DE7C492">
                  <w:pPr>
                    <w:jc w:val="center"/>
                    <w:rPr>
                      <w:color w:val="auto"/>
                      <w:sz w:val="18"/>
                      <w:szCs w:val="18"/>
                    </w:rPr>
                  </w:pPr>
                  <w:r>
                    <w:rPr>
                      <w:rFonts w:hint="eastAsia"/>
                      <w:color w:val="auto"/>
                      <w:sz w:val="18"/>
                      <w:szCs w:val="18"/>
                    </w:rPr>
                    <w:t>废气</w:t>
                  </w:r>
                </w:p>
              </w:tc>
              <w:tc>
                <w:tcPr>
                  <w:tcW w:w="1273" w:type="pct"/>
                  <w:tcBorders>
                    <w:tl2br w:val="nil"/>
                    <w:tr2bl w:val="nil"/>
                  </w:tcBorders>
                  <w:vAlign w:val="center"/>
                </w:tcPr>
                <w:p w14:paraId="7F6CF25C">
                  <w:pPr>
                    <w:jc w:val="center"/>
                    <w:rPr>
                      <w:rFonts w:hint="default" w:eastAsia="宋体"/>
                      <w:color w:val="auto"/>
                      <w:sz w:val="18"/>
                      <w:szCs w:val="18"/>
                      <w:lang w:val="en-US" w:eastAsia="zh-CN"/>
                    </w:rPr>
                  </w:pPr>
                  <w:r>
                    <w:rPr>
                      <w:rFonts w:hint="eastAsia"/>
                      <w:color w:val="auto"/>
                      <w:sz w:val="18"/>
                      <w:szCs w:val="18"/>
                      <w:lang w:val="en-US" w:eastAsia="zh-CN"/>
                    </w:rPr>
                    <w:t>储罐区呼吸废气及叔丁醇产品灌装废气收集后送先送西厂区水洗塔进行预处理，处理后废气送西厂区2台尾气炉进行焚烧处理后通过各自配套排气筒排放</w:t>
                  </w:r>
                </w:p>
              </w:tc>
              <w:tc>
                <w:tcPr>
                  <w:tcW w:w="1282" w:type="pct"/>
                  <w:tcBorders>
                    <w:tl2br w:val="nil"/>
                    <w:tr2bl w:val="nil"/>
                  </w:tcBorders>
                  <w:vAlign w:val="center"/>
                </w:tcPr>
                <w:p w14:paraId="6C4423E5">
                  <w:pPr>
                    <w:jc w:val="center"/>
                    <w:rPr>
                      <w:rFonts w:hint="eastAsia"/>
                      <w:color w:val="auto"/>
                      <w:sz w:val="18"/>
                      <w:szCs w:val="18"/>
                    </w:rPr>
                  </w:pPr>
                  <w:r>
                    <w:rPr>
                      <w:rFonts w:hint="eastAsia"/>
                      <w:color w:val="auto"/>
                      <w:sz w:val="18"/>
                      <w:szCs w:val="18"/>
                      <w:lang w:val="en-US" w:eastAsia="zh-CN"/>
                    </w:rPr>
                    <w:t>储罐区呼吸废气、装卸车废气及叔丁醇产品灌装废气收集后送先送西厂区水洗塔进行预处理，处理后废气送西厂区2台尾气炉进行焚烧处理后通过各自配套排气筒排放</w:t>
                  </w:r>
                </w:p>
              </w:tc>
              <w:tc>
                <w:tcPr>
                  <w:tcW w:w="1070" w:type="pct"/>
                  <w:tcBorders>
                    <w:tl2br w:val="nil"/>
                    <w:tr2bl w:val="nil"/>
                  </w:tcBorders>
                  <w:vAlign w:val="center"/>
                </w:tcPr>
                <w:p w14:paraId="119AA95D">
                  <w:pPr>
                    <w:jc w:val="center"/>
                    <w:rPr>
                      <w:rFonts w:hint="default" w:eastAsia="宋体"/>
                      <w:color w:val="auto"/>
                      <w:sz w:val="18"/>
                      <w:szCs w:val="18"/>
                      <w:lang w:val="en-US" w:eastAsia="zh-CN"/>
                    </w:rPr>
                  </w:pPr>
                  <w:r>
                    <w:rPr>
                      <w:rFonts w:hint="eastAsia"/>
                      <w:color w:val="auto"/>
                      <w:sz w:val="18"/>
                      <w:szCs w:val="18"/>
                      <w:lang w:val="en-US" w:eastAsia="zh-CN"/>
                    </w:rPr>
                    <w:t>水洗塔及尾气炉均依托现有，本项目新建储罐呼吸废气及装卸车废气送入现有处理设施进行处理</w:t>
                  </w:r>
                </w:p>
              </w:tc>
            </w:tr>
            <w:tr w14:paraId="5468F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300C4853">
                  <w:pPr>
                    <w:jc w:val="center"/>
                    <w:rPr>
                      <w:color w:val="auto"/>
                      <w:sz w:val="18"/>
                      <w:szCs w:val="18"/>
                    </w:rPr>
                  </w:pPr>
                </w:p>
              </w:tc>
              <w:tc>
                <w:tcPr>
                  <w:tcW w:w="839" w:type="pct"/>
                  <w:vMerge w:val="restart"/>
                  <w:tcBorders>
                    <w:tl2br w:val="nil"/>
                    <w:tr2bl w:val="nil"/>
                  </w:tcBorders>
                  <w:vAlign w:val="center"/>
                </w:tcPr>
                <w:p w14:paraId="7C7172FD">
                  <w:pPr>
                    <w:jc w:val="center"/>
                    <w:rPr>
                      <w:color w:val="auto"/>
                      <w:sz w:val="18"/>
                      <w:szCs w:val="18"/>
                    </w:rPr>
                  </w:pPr>
                  <w:r>
                    <w:rPr>
                      <w:rFonts w:hint="eastAsia"/>
                      <w:color w:val="auto"/>
                      <w:sz w:val="18"/>
                      <w:szCs w:val="18"/>
                    </w:rPr>
                    <w:t>废水</w:t>
                  </w:r>
                </w:p>
              </w:tc>
              <w:tc>
                <w:tcPr>
                  <w:tcW w:w="1273" w:type="pct"/>
                  <w:tcBorders>
                    <w:tl2br w:val="nil"/>
                    <w:tr2bl w:val="nil"/>
                  </w:tcBorders>
                  <w:vAlign w:val="center"/>
                </w:tcPr>
                <w:p w14:paraId="27555457">
                  <w:pPr>
                    <w:jc w:val="center"/>
                    <w:rPr>
                      <w:rFonts w:hint="default" w:eastAsia="宋体"/>
                      <w:color w:val="auto"/>
                      <w:sz w:val="18"/>
                      <w:szCs w:val="18"/>
                      <w:lang w:val="en-US" w:eastAsia="zh-CN"/>
                    </w:rPr>
                  </w:pPr>
                  <w:r>
                    <w:rPr>
                      <w:rFonts w:hint="default" w:eastAsia="宋体"/>
                      <w:color w:val="auto"/>
                      <w:sz w:val="18"/>
                      <w:szCs w:val="18"/>
                      <w:lang w:val="en-US" w:eastAsia="zh-CN"/>
                    </w:rPr>
                    <w:t>生活污水经化粪池</w:t>
                  </w:r>
                  <w:r>
                    <w:rPr>
                      <w:rFonts w:hint="eastAsia"/>
                      <w:color w:val="auto"/>
                      <w:sz w:val="18"/>
                      <w:szCs w:val="18"/>
                      <w:lang w:val="en-US" w:eastAsia="zh-CN"/>
                    </w:rPr>
                    <w:t>暂存后由环卫部门清运；甲醛装置生产废水、厂区初期雨水</w:t>
                  </w:r>
                  <w:r>
                    <w:rPr>
                      <w:rFonts w:hint="default" w:eastAsia="宋体"/>
                      <w:color w:val="auto"/>
                      <w:sz w:val="18"/>
                      <w:szCs w:val="18"/>
                      <w:lang w:val="en-US" w:eastAsia="zh-CN"/>
                    </w:rPr>
                    <w:t>经厂区污水管网输送至</w:t>
                  </w:r>
                  <w:r>
                    <w:rPr>
                      <w:rFonts w:hint="eastAsia"/>
                      <w:color w:val="auto"/>
                      <w:sz w:val="18"/>
                      <w:szCs w:val="18"/>
                      <w:lang w:val="en-US" w:eastAsia="zh-CN"/>
                    </w:rPr>
                    <w:t>废水处理设施处理后全部回用于甲醛生产装置，不外排</w:t>
                  </w:r>
                </w:p>
              </w:tc>
              <w:tc>
                <w:tcPr>
                  <w:tcW w:w="1282" w:type="pct"/>
                  <w:tcBorders>
                    <w:tl2br w:val="nil"/>
                    <w:tr2bl w:val="nil"/>
                  </w:tcBorders>
                  <w:vAlign w:val="center"/>
                </w:tcPr>
                <w:p w14:paraId="6C70E21C">
                  <w:pPr>
                    <w:jc w:val="center"/>
                    <w:rPr>
                      <w:rFonts w:hint="default" w:eastAsia="宋体"/>
                      <w:color w:val="auto"/>
                      <w:sz w:val="18"/>
                      <w:szCs w:val="18"/>
                      <w:lang w:val="en-US" w:eastAsia="zh-CN"/>
                    </w:rPr>
                  </w:pPr>
                  <w:r>
                    <w:rPr>
                      <w:rFonts w:hint="eastAsia"/>
                      <w:color w:val="auto"/>
                      <w:sz w:val="18"/>
                      <w:szCs w:val="18"/>
                      <w:lang w:val="en-US" w:eastAsia="zh-CN"/>
                    </w:rPr>
                    <w:t>本次技改不新增职工定员，无新增生活污水产生；新建储罐区及装卸车区初期雨水收集后送东厂区现有废水处理设施处理后全部回用于甲醛生产装置，不外排</w:t>
                  </w:r>
                </w:p>
              </w:tc>
              <w:tc>
                <w:tcPr>
                  <w:tcW w:w="1070" w:type="pct"/>
                  <w:tcBorders>
                    <w:tl2br w:val="nil"/>
                    <w:tr2bl w:val="nil"/>
                  </w:tcBorders>
                  <w:vAlign w:val="center"/>
                </w:tcPr>
                <w:p w14:paraId="0F914DF9">
                  <w:pPr>
                    <w:jc w:val="center"/>
                    <w:rPr>
                      <w:rFonts w:hint="default" w:eastAsia="宋体"/>
                      <w:color w:val="auto"/>
                      <w:sz w:val="18"/>
                      <w:szCs w:val="18"/>
                      <w:lang w:val="en-US" w:eastAsia="zh-CN"/>
                    </w:rPr>
                  </w:pPr>
                  <w:r>
                    <w:rPr>
                      <w:rFonts w:hint="eastAsia"/>
                      <w:color w:val="auto"/>
                      <w:sz w:val="18"/>
                      <w:szCs w:val="18"/>
                      <w:lang w:val="en-US" w:eastAsia="zh-CN"/>
                    </w:rPr>
                    <w:t>废水处理设施依托现有</w:t>
                  </w:r>
                </w:p>
              </w:tc>
            </w:tr>
            <w:tr w14:paraId="48A61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3455683A">
                  <w:pPr>
                    <w:jc w:val="center"/>
                    <w:rPr>
                      <w:color w:val="auto"/>
                      <w:sz w:val="18"/>
                      <w:szCs w:val="18"/>
                    </w:rPr>
                  </w:pPr>
                </w:p>
              </w:tc>
              <w:tc>
                <w:tcPr>
                  <w:tcW w:w="839" w:type="pct"/>
                  <w:vMerge w:val="continue"/>
                  <w:tcBorders>
                    <w:tl2br w:val="nil"/>
                    <w:tr2bl w:val="nil"/>
                  </w:tcBorders>
                  <w:vAlign w:val="center"/>
                </w:tcPr>
                <w:p w14:paraId="022DDC5E">
                  <w:pPr>
                    <w:jc w:val="center"/>
                    <w:rPr>
                      <w:rFonts w:hint="eastAsia"/>
                      <w:color w:val="auto"/>
                      <w:sz w:val="18"/>
                      <w:szCs w:val="18"/>
                    </w:rPr>
                  </w:pPr>
                </w:p>
              </w:tc>
              <w:tc>
                <w:tcPr>
                  <w:tcW w:w="1273" w:type="pct"/>
                  <w:tcBorders>
                    <w:tl2br w:val="nil"/>
                    <w:tr2bl w:val="nil"/>
                  </w:tcBorders>
                  <w:vAlign w:val="center"/>
                </w:tcPr>
                <w:p w14:paraId="759C0FC2">
                  <w:pPr>
                    <w:jc w:val="center"/>
                    <w:rPr>
                      <w:rFonts w:hint="default" w:eastAsia="宋体"/>
                      <w:color w:val="auto"/>
                      <w:sz w:val="18"/>
                      <w:szCs w:val="18"/>
                      <w:lang w:val="en-US" w:eastAsia="zh-CN"/>
                    </w:rPr>
                  </w:pPr>
                  <w:r>
                    <w:rPr>
                      <w:rFonts w:hint="eastAsia"/>
                      <w:color w:val="auto"/>
                      <w:sz w:val="18"/>
                      <w:szCs w:val="18"/>
                      <w:lang w:val="en-US" w:eastAsia="zh-CN"/>
                    </w:rPr>
                    <w:t>西厂区布设1座容积100m</w:t>
                  </w:r>
                  <w:r>
                    <w:rPr>
                      <w:rFonts w:hint="eastAsia"/>
                      <w:color w:val="auto"/>
                      <w:sz w:val="18"/>
                      <w:szCs w:val="18"/>
                      <w:vertAlign w:val="superscript"/>
                      <w:lang w:val="en-US" w:eastAsia="zh-CN"/>
                    </w:rPr>
                    <w:t>3</w:t>
                  </w:r>
                  <w:r>
                    <w:rPr>
                      <w:rFonts w:hint="eastAsia"/>
                      <w:color w:val="auto"/>
                      <w:sz w:val="18"/>
                      <w:szCs w:val="18"/>
                      <w:lang w:val="en-US" w:eastAsia="zh-CN"/>
                    </w:rPr>
                    <w:t>的废水池</w:t>
                  </w:r>
                </w:p>
              </w:tc>
              <w:tc>
                <w:tcPr>
                  <w:tcW w:w="1282" w:type="pct"/>
                  <w:tcBorders>
                    <w:tl2br w:val="nil"/>
                    <w:tr2bl w:val="nil"/>
                  </w:tcBorders>
                  <w:vAlign w:val="center"/>
                </w:tcPr>
                <w:p w14:paraId="699D0E3F">
                  <w:pPr>
                    <w:jc w:val="center"/>
                    <w:rPr>
                      <w:rFonts w:hint="default"/>
                      <w:color w:val="auto"/>
                      <w:sz w:val="18"/>
                      <w:szCs w:val="18"/>
                      <w:lang w:val="en-US" w:eastAsia="zh-CN"/>
                    </w:rPr>
                  </w:pPr>
                  <w:r>
                    <w:rPr>
                      <w:rFonts w:hint="eastAsia"/>
                      <w:color w:val="auto"/>
                      <w:sz w:val="18"/>
                      <w:szCs w:val="18"/>
                      <w:lang w:val="en-US" w:eastAsia="zh-CN"/>
                    </w:rPr>
                    <w:t>西厂区布设1座容积50m</w:t>
                  </w:r>
                  <w:r>
                    <w:rPr>
                      <w:rFonts w:hint="eastAsia"/>
                      <w:color w:val="auto"/>
                      <w:sz w:val="18"/>
                      <w:szCs w:val="18"/>
                      <w:vertAlign w:val="superscript"/>
                      <w:lang w:val="en-US" w:eastAsia="zh-CN"/>
                    </w:rPr>
                    <w:t>3</w:t>
                  </w:r>
                  <w:r>
                    <w:rPr>
                      <w:rFonts w:hint="eastAsia"/>
                      <w:color w:val="auto"/>
                      <w:sz w:val="18"/>
                      <w:szCs w:val="18"/>
                      <w:lang w:val="en-US" w:eastAsia="zh-CN"/>
                    </w:rPr>
                    <w:t>的废水池、1座容积50m</w:t>
                  </w:r>
                  <w:r>
                    <w:rPr>
                      <w:rFonts w:hint="eastAsia"/>
                      <w:color w:val="auto"/>
                      <w:sz w:val="18"/>
                      <w:szCs w:val="18"/>
                      <w:vertAlign w:val="superscript"/>
                      <w:lang w:val="en-US" w:eastAsia="zh-CN"/>
                    </w:rPr>
                    <w:t>3</w:t>
                  </w:r>
                  <w:r>
                    <w:rPr>
                      <w:rFonts w:hint="eastAsia"/>
                      <w:color w:val="auto"/>
                      <w:sz w:val="18"/>
                      <w:szCs w:val="18"/>
                      <w:lang w:val="en-US" w:eastAsia="zh-CN"/>
                    </w:rPr>
                    <w:t>的初期雨水池</w:t>
                  </w:r>
                </w:p>
              </w:tc>
              <w:tc>
                <w:tcPr>
                  <w:tcW w:w="1070" w:type="pct"/>
                  <w:tcBorders>
                    <w:tl2br w:val="nil"/>
                    <w:tr2bl w:val="nil"/>
                  </w:tcBorders>
                  <w:vAlign w:val="center"/>
                </w:tcPr>
                <w:p w14:paraId="026427F9">
                  <w:pPr>
                    <w:jc w:val="center"/>
                    <w:rPr>
                      <w:rFonts w:hint="default"/>
                      <w:color w:val="auto"/>
                      <w:sz w:val="18"/>
                      <w:szCs w:val="18"/>
                      <w:lang w:val="en-US" w:eastAsia="zh-CN"/>
                    </w:rPr>
                  </w:pPr>
                  <w:r>
                    <w:rPr>
                      <w:rFonts w:hint="eastAsia"/>
                      <w:color w:val="auto"/>
                      <w:sz w:val="18"/>
                      <w:szCs w:val="18"/>
                      <w:lang w:val="en-US" w:eastAsia="zh-CN"/>
                    </w:rPr>
                    <w:t>对废水池进行改造，一分为二。一半为废水池、一半为初期雨水池</w:t>
                  </w:r>
                </w:p>
              </w:tc>
            </w:tr>
            <w:tr w14:paraId="383E9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722A6AB6">
                  <w:pPr>
                    <w:jc w:val="center"/>
                    <w:rPr>
                      <w:color w:val="auto"/>
                      <w:sz w:val="18"/>
                      <w:szCs w:val="18"/>
                    </w:rPr>
                  </w:pPr>
                </w:p>
              </w:tc>
              <w:tc>
                <w:tcPr>
                  <w:tcW w:w="839" w:type="pct"/>
                  <w:tcBorders>
                    <w:tl2br w:val="nil"/>
                    <w:tr2bl w:val="nil"/>
                  </w:tcBorders>
                  <w:vAlign w:val="center"/>
                </w:tcPr>
                <w:p w14:paraId="604A974F">
                  <w:pPr>
                    <w:jc w:val="center"/>
                    <w:rPr>
                      <w:color w:val="auto"/>
                      <w:sz w:val="18"/>
                      <w:szCs w:val="18"/>
                    </w:rPr>
                  </w:pPr>
                  <w:r>
                    <w:rPr>
                      <w:rFonts w:hint="eastAsia"/>
                      <w:color w:val="auto"/>
                      <w:sz w:val="18"/>
                      <w:szCs w:val="18"/>
                    </w:rPr>
                    <w:t>噪声</w:t>
                  </w:r>
                </w:p>
              </w:tc>
              <w:tc>
                <w:tcPr>
                  <w:tcW w:w="1273" w:type="pct"/>
                  <w:tcBorders>
                    <w:tl2br w:val="nil"/>
                    <w:tr2bl w:val="nil"/>
                  </w:tcBorders>
                  <w:vAlign w:val="center"/>
                </w:tcPr>
                <w:p w14:paraId="289B956E">
                  <w:pPr>
                    <w:jc w:val="center"/>
                    <w:rPr>
                      <w:color w:val="auto"/>
                      <w:sz w:val="18"/>
                      <w:szCs w:val="18"/>
                    </w:rPr>
                  </w:pPr>
                  <w:r>
                    <w:rPr>
                      <w:color w:val="auto"/>
                      <w:sz w:val="18"/>
                      <w:szCs w:val="18"/>
                    </w:rPr>
                    <w:t>采取隔声、减振等措施</w:t>
                  </w:r>
                </w:p>
              </w:tc>
              <w:tc>
                <w:tcPr>
                  <w:tcW w:w="1282" w:type="pct"/>
                  <w:tcBorders>
                    <w:tl2br w:val="nil"/>
                    <w:tr2bl w:val="nil"/>
                  </w:tcBorders>
                  <w:vAlign w:val="center"/>
                </w:tcPr>
                <w:p w14:paraId="577A5515">
                  <w:pPr>
                    <w:jc w:val="center"/>
                    <w:rPr>
                      <w:rFonts w:hint="eastAsia"/>
                      <w:color w:val="auto"/>
                      <w:sz w:val="18"/>
                      <w:szCs w:val="18"/>
                    </w:rPr>
                  </w:pPr>
                  <w:r>
                    <w:rPr>
                      <w:rFonts w:hint="eastAsia"/>
                      <w:color w:val="auto"/>
                      <w:sz w:val="18"/>
                      <w:szCs w:val="18"/>
                    </w:rPr>
                    <w:t>采取隔声、减振等措施</w:t>
                  </w:r>
                </w:p>
              </w:tc>
              <w:tc>
                <w:tcPr>
                  <w:tcW w:w="1070" w:type="pct"/>
                  <w:tcBorders>
                    <w:tl2br w:val="nil"/>
                    <w:tr2bl w:val="nil"/>
                  </w:tcBorders>
                  <w:vAlign w:val="center"/>
                </w:tcPr>
                <w:p w14:paraId="73C06DBB">
                  <w:pPr>
                    <w:jc w:val="center"/>
                    <w:rPr>
                      <w:rFonts w:hint="eastAsia" w:eastAsia="宋体"/>
                      <w:color w:val="auto"/>
                      <w:sz w:val="18"/>
                      <w:szCs w:val="18"/>
                      <w:lang w:val="en-US" w:eastAsia="zh-CN"/>
                    </w:rPr>
                  </w:pPr>
                  <w:r>
                    <w:rPr>
                      <w:rFonts w:hint="eastAsia"/>
                      <w:color w:val="auto"/>
                      <w:sz w:val="18"/>
                      <w:szCs w:val="18"/>
                      <w:lang w:val="en-US" w:eastAsia="zh-CN"/>
                    </w:rPr>
                    <w:t>保持不变</w:t>
                  </w:r>
                </w:p>
              </w:tc>
            </w:tr>
            <w:tr w14:paraId="35272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6DA7ACF0">
                  <w:pPr>
                    <w:jc w:val="center"/>
                    <w:rPr>
                      <w:color w:val="auto"/>
                      <w:sz w:val="18"/>
                      <w:szCs w:val="18"/>
                    </w:rPr>
                  </w:pPr>
                </w:p>
              </w:tc>
              <w:tc>
                <w:tcPr>
                  <w:tcW w:w="839" w:type="pct"/>
                  <w:tcBorders>
                    <w:tl2br w:val="nil"/>
                    <w:tr2bl w:val="nil"/>
                  </w:tcBorders>
                  <w:vAlign w:val="center"/>
                </w:tcPr>
                <w:p w14:paraId="54A2654D">
                  <w:pPr>
                    <w:jc w:val="center"/>
                    <w:rPr>
                      <w:color w:val="auto"/>
                      <w:sz w:val="18"/>
                      <w:szCs w:val="18"/>
                    </w:rPr>
                  </w:pPr>
                  <w:r>
                    <w:rPr>
                      <w:rFonts w:hint="eastAsia"/>
                      <w:color w:val="auto"/>
                      <w:sz w:val="18"/>
                      <w:szCs w:val="18"/>
                    </w:rPr>
                    <w:t>固废</w:t>
                  </w:r>
                </w:p>
              </w:tc>
              <w:tc>
                <w:tcPr>
                  <w:tcW w:w="1273" w:type="pct"/>
                  <w:tcBorders>
                    <w:tl2br w:val="nil"/>
                    <w:tr2bl w:val="nil"/>
                  </w:tcBorders>
                  <w:vAlign w:val="center"/>
                </w:tcPr>
                <w:p w14:paraId="75152D63">
                  <w:pPr>
                    <w:jc w:val="center"/>
                    <w:rPr>
                      <w:rFonts w:hint="default" w:eastAsia="宋体"/>
                      <w:color w:val="auto"/>
                      <w:sz w:val="18"/>
                      <w:szCs w:val="18"/>
                      <w:lang w:val="en-US" w:eastAsia="zh-CN"/>
                    </w:rPr>
                  </w:pPr>
                  <w:r>
                    <w:rPr>
                      <w:rFonts w:hint="eastAsia"/>
                      <w:color w:val="auto"/>
                      <w:kern w:val="0"/>
                      <w:sz w:val="18"/>
                      <w:szCs w:val="18"/>
                      <w:lang w:val="en-US" w:eastAsia="zh-CN"/>
                    </w:rPr>
                    <w:t>危险废物暂存于危废暂存间</w:t>
                  </w:r>
                  <w:r>
                    <w:rPr>
                      <w:rFonts w:hint="eastAsia"/>
                      <w:color w:val="auto"/>
                      <w:kern w:val="0"/>
                      <w:sz w:val="18"/>
                      <w:szCs w:val="18"/>
                    </w:rPr>
                    <w:t>，定期委托处置；</w:t>
                  </w:r>
                  <w:r>
                    <w:rPr>
                      <w:color w:val="auto"/>
                      <w:kern w:val="0"/>
                      <w:sz w:val="18"/>
                      <w:szCs w:val="18"/>
                    </w:rPr>
                    <w:t>生活垃圾由环卫部门定期清运</w:t>
                  </w:r>
                </w:p>
              </w:tc>
              <w:tc>
                <w:tcPr>
                  <w:tcW w:w="1282" w:type="pct"/>
                  <w:tcBorders>
                    <w:tl2br w:val="nil"/>
                    <w:tr2bl w:val="nil"/>
                  </w:tcBorders>
                  <w:vAlign w:val="center"/>
                </w:tcPr>
                <w:p w14:paraId="73E4A058">
                  <w:pPr>
                    <w:jc w:val="center"/>
                    <w:rPr>
                      <w:rFonts w:hint="default" w:eastAsia="宋体"/>
                      <w:color w:val="auto"/>
                      <w:sz w:val="18"/>
                      <w:szCs w:val="18"/>
                      <w:lang w:val="en-US" w:eastAsia="zh-CN"/>
                    </w:rPr>
                  </w:pPr>
                  <w:r>
                    <w:rPr>
                      <w:rFonts w:hint="eastAsia"/>
                      <w:color w:val="auto"/>
                      <w:kern w:val="0"/>
                      <w:sz w:val="18"/>
                      <w:szCs w:val="18"/>
                      <w:lang w:val="en-US" w:eastAsia="zh-CN"/>
                    </w:rPr>
                    <w:t>危险废物暂存于危废暂存间</w:t>
                  </w:r>
                  <w:r>
                    <w:rPr>
                      <w:rFonts w:hint="eastAsia"/>
                      <w:color w:val="auto"/>
                      <w:kern w:val="0"/>
                      <w:sz w:val="18"/>
                      <w:szCs w:val="18"/>
                    </w:rPr>
                    <w:t>，定期委托处置；</w:t>
                  </w:r>
                  <w:r>
                    <w:rPr>
                      <w:color w:val="auto"/>
                      <w:kern w:val="0"/>
                      <w:sz w:val="18"/>
                      <w:szCs w:val="18"/>
                    </w:rPr>
                    <w:t>生活垃圾由环卫部门定期清运</w:t>
                  </w:r>
                </w:p>
              </w:tc>
              <w:tc>
                <w:tcPr>
                  <w:tcW w:w="1070" w:type="pct"/>
                  <w:tcBorders>
                    <w:tl2br w:val="nil"/>
                    <w:tr2bl w:val="nil"/>
                  </w:tcBorders>
                  <w:vAlign w:val="center"/>
                </w:tcPr>
                <w:p w14:paraId="487B16D1">
                  <w:pPr>
                    <w:jc w:val="center"/>
                    <w:rPr>
                      <w:rFonts w:hint="default" w:eastAsia="宋体"/>
                      <w:color w:val="auto"/>
                      <w:sz w:val="18"/>
                      <w:szCs w:val="18"/>
                      <w:lang w:val="en-US" w:eastAsia="zh-CN"/>
                    </w:rPr>
                  </w:pPr>
                  <w:r>
                    <w:rPr>
                      <w:rFonts w:hint="eastAsia"/>
                      <w:color w:val="auto"/>
                      <w:sz w:val="18"/>
                      <w:szCs w:val="18"/>
                      <w:lang w:val="en-US" w:eastAsia="zh-CN"/>
                    </w:rPr>
                    <w:t>危废暂存间依托现有</w:t>
                  </w:r>
                </w:p>
              </w:tc>
            </w:tr>
            <w:tr w14:paraId="1BAF7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tcBorders>
                    <w:tl2br w:val="nil"/>
                    <w:tr2bl w:val="nil"/>
                  </w:tcBorders>
                  <w:vAlign w:val="center"/>
                </w:tcPr>
                <w:p w14:paraId="3510E73B">
                  <w:pPr>
                    <w:jc w:val="center"/>
                    <w:rPr>
                      <w:color w:val="auto"/>
                      <w:sz w:val="18"/>
                      <w:szCs w:val="18"/>
                    </w:rPr>
                  </w:pPr>
                </w:p>
              </w:tc>
              <w:tc>
                <w:tcPr>
                  <w:tcW w:w="839" w:type="pct"/>
                  <w:tcBorders>
                    <w:tl2br w:val="nil"/>
                    <w:tr2bl w:val="nil"/>
                  </w:tcBorders>
                  <w:vAlign w:val="center"/>
                </w:tcPr>
                <w:p w14:paraId="0C1A576E">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风险防控</w:t>
                  </w:r>
                </w:p>
              </w:tc>
              <w:tc>
                <w:tcPr>
                  <w:tcW w:w="1273" w:type="pct"/>
                  <w:tcBorders>
                    <w:tl2br w:val="nil"/>
                    <w:tr2bl w:val="nil"/>
                  </w:tcBorders>
                  <w:vAlign w:val="center"/>
                </w:tcPr>
                <w:p w14:paraId="5F1B06C2">
                  <w:pPr>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西厂区露天布设1座120m</w:t>
                  </w:r>
                  <w:r>
                    <w:rPr>
                      <w:rFonts w:hint="eastAsia"/>
                      <w:color w:val="auto"/>
                      <w:kern w:val="0"/>
                      <w:sz w:val="18"/>
                      <w:szCs w:val="18"/>
                      <w:highlight w:val="none"/>
                      <w:vertAlign w:val="superscript"/>
                      <w:lang w:val="en-US" w:eastAsia="zh-CN"/>
                    </w:rPr>
                    <w:t>3</w:t>
                  </w:r>
                  <w:r>
                    <w:rPr>
                      <w:rFonts w:hint="eastAsia"/>
                      <w:color w:val="auto"/>
                      <w:kern w:val="0"/>
                      <w:sz w:val="18"/>
                      <w:szCs w:val="18"/>
                      <w:highlight w:val="none"/>
                      <w:lang w:val="en-US" w:eastAsia="zh-CN"/>
                    </w:rPr>
                    <w:t>事故应急池</w:t>
                  </w:r>
                </w:p>
              </w:tc>
              <w:tc>
                <w:tcPr>
                  <w:tcW w:w="1282" w:type="pct"/>
                  <w:tcBorders>
                    <w:tl2br w:val="nil"/>
                    <w:tr2bl w:val="nil"/>
                  </w:tcBorders>
                  <w:vAlign w:val="center"/>
                </w:tcPr>
                <w:p w14:paraId="731102DF">
                  <w:pPr>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西厂区布设1座120m</w:t>
                  </w:r>
                  <w:r>
                    <w:rPr>
                      <w:rFonts w:hint="eastAsia"/>
                      <w:color w:val="auto"/>
                      <w:kern w:val="0"/>
                      <w:sz w:val="18"/>
                      <w:szCs w:val="18"/>
                      <w:highlight w:val="none"/>
                      <w:vertAlign w:val="superscript"/>
                      <w:lang w:val="en-US" w:eastAsia="zh-CN"/>
                    </w:rPr>
                    <w:t>3</w:t>
                  </w:r>
                  <w:r>
                    <w:rPr>
                      <w:rFonts w:hint="eastAsia"/>
                      <w:color w:val="auto"/>
                      <w:kern w:val="0"/>
                      <w:sz w:val="18"/>
                      <w:szCs w:val="18"/>
                      <w:highlight w:val="none"/>
                      <w:lang w:val="en-US" w:eastAsia="zh-CN"/>
                    </w:rPr>
                    <w:t>事故应急池，顶部棚盖覆土</w:t>
                  </w:r>
                </w:p>
              </w:tc>
              <w:tc>
                <w:tcPr>
                  <w:tcW w:w="1070" w:type="pct"/>
                  <w:tcBorders>
                    <w:tl2br w:val="nil"/>
                    <w:tr2bl w:val="nil"/>
                  </w:tcBorders>
                  <w:vAlign w:val="center"/>
                </w:tcPr>
                <w:p w14:paraId="55519B4F">
                  <w:pPr>
                    <w:jc w:val="center"/>
                    <w:rPr>
                      <w:rFonts w:hint="default"/>
                      <w:color w:val="auto"/>
                      <w:sz w:val="18"/>
                      <w:szCs w:val="18"/>
                      <w:highlight w:val="none"/>
                      <w:lang w:val="en-US" w:eastAsia="zh-CN"/>
                    </w:rPr>
                  </w:pPr>
                  <w:r>
                    <w:rPr>
                      <w:rFonts w:hint="eastAsia"/>
                      <w:color w:val="auto"/>
                      <w:sz w:val="18"/>
                      <w:szCs w:val="18"/>
                      <w:highlight w:val="none"/>
                      <w:lang w:val="en-US" w:eastAsia="zh-CN"/>
                    </w:rPr>
                    <w:t>对事故应急池进行棚盖覆土施工</w:t>
                  </w:r>
                </w:p>
              </w:tc>
            </w:tr>
          </w:tbl>
          <w:p w14:paraId="69C73AE3">
            <w:pPr>
              <w:adjustRightInd w:val="0"/>
              <w:snapToGrid w:val="0"/>
              <w:spacing w:line="440" w:lineRule="exact"/>
              <w:ind w:firstLine="422" w:firstLineChars="200"/>
              <w:rPr>
                <w:b/>
                <w:bCs/>
                <w:color w:val="auto"/>
                <w:szCs w:val="21"/>
              </w:rPr>
            </w:pPr>
          </w:p>
          <w:p w14:paraId="3915A5EA">
            <w:pPr>
              <w:adjustRightInd w:val="0"/>
              <w:snapToGrid w:val="0"/>
              <w:spacing w:line="440" w:lineRule="exact"/>
              <w:ind w:firstLine="422" w:firstLineChars="200"/>
              <w:rPr>
                <w:rFonts w:hint="default" w:eastAsia="宋体"/>
                <w:b/>
                <w:bCs/>
                <w:color w:val="auto"/>
                <w:szCs w:val="21"/>
                <w:lang w:val="en-US" w:eastAsia="zh-CN"/>
              </w:rPr>
            </w:pPr>
            <w:r>
              <w:rPr>
                <w:b/>
                <w:bCs/>
                <w:color w:val="auto"/>
                <w:szCs w:val="21"/>
              </w:rPr>
              <w:t>3、</w:t>
            </w:r>
            <w:r>
              <w:rPr>
                <w:rFonts w:hint="eastAsia"/>
                <w:b/>
                <w:bCs/>
                <w:color w:val="auto"/>
                <w:szCs w:val="21"/>
                <w:lang w:val="en-US" w:eastAsia="zh-CN"/>
              </w:rPr>
              <w:t>主要产品方案</w:t>
            </w:r>
          </w:p>
          <w:p w14:paraId="0B258857">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本项目为原料、产品罐区安全环保提升技术改造项目，</w:t>
            </w:r>
            <w:r>
              <w:rPr>
                <w:rFonts w:hint="eastAsia"/>
                <w:color w:val="auto"/>
                <w:sz w:val="21"/>
                <w:szCs w:val="21"/>
                <w:lang w:val="en-US" w:eastAsia="zh-CN"/>
              </w:rPr>
              <w:t>项目建成后</w:t>
            </w:r>
            <w:r>
              <w:rPr>
                <w:rFonts w:hint="eastAsia"/>
                <w:bCs/>
                <w:color w:val="auto"/>
                <w:szCs w:val="21"/>
                <w:lang w:val="en-US" w:eastAsia="zh-CN"/>
              </w:rPr>
              <w:t>公司产品方案仍为10万吨/年甲醛和1万吨/年叔丁醇，</w:t>
            </w:r>
            <w:r>
              <w:rPr>
                <w:rFonts w:hint="eastAsia" w:ascii="宋体" w:hAnsi="宋体" w:eastAsia="宋体" w:cs="宋体"/>
                <w:color w:val="auto"/>
                <w:szCs w:val="21"/>
                <w:highlight w:val="none"/>
                <w:lang w:val="en-US" w:eastAsia="zh-CN"/>
              </w:rPr>
              <w:t>厂区</w:t>
            </w:r>
            <w:r>
              <w:rPr>
                <w:rFonts w:hint="eastAsia" w:ascii="宋体" w:hAnsi="宋体"/>
                <w:color w:val="auto"/>
                <w:highlight w:val="none"/>
              </w:rPr>
              <w:t>总的</w:t>
            </w:r>
            <w:r>
              <w:rPr>
                <w:rFonts w:hint="eastAsia" w:ascii="宋体" w:hAnsi="宋体"/>
                <w:color w:val="auto"/>
                <w:highlight w:val="none"/>
                <w:lang w:val="en-US" w:eastAsia="zh-CN"/>
              </w:rPr>
              <w:t>原料消耗及产品产能均保持不变</w:t>
            </w:r>
            <w:r>
              <w:rPr>
                <w:rFonts w:hint="eastAsia" w:ascii="宋体" w:hAnsi="宋体"/>
                <w:color w:val="auto"/>
                <w:highlight w:val="none"/>
              </w:rPr>
              <w:t>，</w:t>
            </w:r>
            <w:r>
              <w:rPr>
                <w:rFonts w:hint="eastAsia" w:ascii="宋体" w:hAnsi="宋体"/>
                <w:color w:val="auto"/>
                <w:highlight w:val="none"/>
                <w:lang w:val="en-US" w:eastAsia="zh-CN"/>
              </w:rPr>
              <w:t>储罐总储存能力变大，故</w:t>
            </w:r>
            <w:r>
              <w:rPr>
                <w:rFonts w:hint="eastAsia" w:ascii="宋体" w:hAnsi="宋体"/>
                <w:color w:val="auto"/>
                <w:highlight w:val="none"/>
              </w:rPr>
              <w:t>减少了转运次数</w:t>
            </w:r>
            <w:r>
              <w:rPr>
                <w:rFonts w:hint="eastAsia" w:ascii="宋体" w:hAnsi="宋体"/>
                <w:color w:val="auto"/>
                <w:highlight w:val="none"/>
                <w:lang w:eastAsia="zh-CN"/>
              </w:rPr>
              <w:t>，减少了装卸车</w:t>
            </w:r>
            <w:r>
              <w:rPr>
                <w:rFonts w:hint="eastAsia" w:ascii="宋体" w:hAnsi="宋体"/>
                <w:color w:val="auto"/>
                <w:highlight w:val="none"/>
                <w:lang w:val="en-US" w:eastAsia="zh-CN"/>
              </w:rPr>
              <w:t>和开停车</w:t>
            </w:r>
            <w:r>
              <w:rPr>
                <w:rFonts w:hint="eastAsia" w:ascii="宋体" w:hAnsi="宋体"/>
                <w:color w:val="auto"/>
                <w:highlight w:val="none"/>
                <w:lang w:eastAsia="zh-CN"/>
              </w:rPr>
              <w:t>的次数。</w:t>
            </w:r>
            <w:r>
              <w:rPr>
                <w:rFonts w:hint="eastAsia" w:ascii="宋体" w:hAnsi="宋体"/>
                <w:color w:val="auto"/>
                <w:highlight w:val="none"/>
                <w:lang w:val="en-US" w:eastAsia="zh-CN"/>
              </w:rPr>
              <w:t>本项目</w:t>
            </w:r>
            <w:r>
              <w:rPr>
                <w:rFonts w:hint="eastAsia"/>
                <w:color w:val="auto"/>
                <w:szCs w:val="21"/>
                <w:lang w:val="en-US" w:eastAsia="zh-CN"/>
              </w:rPr>
              <w:t>储运方案及变化情况具体如下：</w:t>
            </w:r>
          </w:p>
          <w:p w14:paraId="7C95EF46">
            <w:pPr>
              <w:adjustRightInd w:val="0"/>
              <w:snapToGrid w:val="0"/>
              <w:spacing w:before="120" w:beforeLines="50"/>
              <w:jc w:val="center"/>
              <w:rPr>
                <w:b/>
                <w:color w:val="auto"/>
                <w:szCs w:val="21"/>
              </w:rPr>
            </w:pPr>
            <w:r>
              <w:rPr>
                <w:b/>
                <w:color w:val="auto"/>
                <w:szCs w:val="21"/>
              </w:rPr>
              <w:t>表2-</w:t>
            </w:r>
            <w:r>
              <w:rPr>
                <w:rFonts w:hint="eastAsia"/>
                <w:b/>
                <w:color w:val="auto"/>
                <w:szCs w:val="21"/>
                <w:lang w:val="en-US" w:eastAsia="zh-CN"/>
              </w:rPr>
              <w:t>3</w:t>
            </w:r>
            <w:r>
              <w:rPr>
                <w:b/>
                <w:color w:val="auto"/>
                <w:szCs w:val="21"/>
              </w:rPr>
              <w:t xml:space="preserve">  </w:t>
            </w:r>
            <w:r>
              <w:rPr>
                <w:rFonts w:hint="eastAsia"/>
                <w:b/>
                <w:color w:val="auto"/>
                <w:szCs w:val="21"/>
                <w:lang w:val="en-US" w:eastAsia="zh-CN"/>
              </w:rPr>
              <w:t>本项目储运方案及变化情况</w:t>
            </w:r>
            <w:r>
              <w:rPr>
                <w:b/>
                <w:color w:val="auto"/>
                <w:szCs w:val="21"/>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585"/>
              <w:gridCol w:w="795"/>
              <w:gridCol w:w="675"/>
              <w:gridCol w:w="840"/>
              <w:gridCol w:w="720"/>
              <w:gridCol w:w="637"/>
              <w:gridCol w:w="1913"/>
              <w:gridCol w:w="1864"/>
            </w:tblGrid>
            <w:tr w14:paraId="61029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 w:type="pct"/>
                  <w:shd w:val="clear" w:color="auto" w:fill="auto"/>
                  <w:vAlign w:val="center"/>
                </w:tcPr>
                <w:p w14:paraId="3328A5DD">
                  <w:pPr>
                    <w:pStyle w:val="60"/>
                    <w:rPr>
                      <w:color w:val="auto"/>
                      <w:sz w:val="18"/>
                      <w:szCs w:val="18"/>
                    </w:rPr>
                  </w:pPr>
                  <w:r>
                    <w:rPr>
                      <w:color w:val="auto"/>
                      <w:sz w:val="18"/>
                      <w:szCs w:val="18"/>
                    </w:rPr>
                    <w:t>序号</w:t>
                  </w:r>
                </w:p>
              </w:tc>
              <w:tc>
                <w:tcPr>
                  <w:tcW w:w="819" w:type="pct"/>
                  <w:gridSpan w:val="2"/>
                  <w:shd w:val="clear" w:color="auto" w:fill="auto"/>
                  <w:vAlign w:val="center"/>
                </w:tcPr>
                <w:p w14:paraId="7B004FF5">
                  <w:pPr>
                    <w:pStyle w:val="60"/>
                    <w:rPr>
                      <w:color w:val="auto"/>
                      <w:sz w:val="18"/>
                      <w:szCs w:val="18"/>
                    </w:rPr>
                  </w:pPr>
                  <w:r>
                    <w:rPr>
                      <w:color w:val="auto"/>
                      <w:sz w:val="18"/>
                      <w:szCs w:val="18"/>
                    </w:rPr>
                    <w:t>名称</w:t>
                  </w:r>
                </w:p>
              </w:tc>
              <w:tc>
                <w:tcPr>
                  <w:tcW w:w="400" w:type="pct"/>
                  <w:shd w:val="clear" w:color="auto" w:fill="auto"/>
                  <w:vAlign w:val="center"/>
                </w:tcPr>
                <w:p w14:paraId="3713F3EE">
                  <w:pPr>
                    <w:pStyle w:val="60"/>
                    <w:rPr>
                      <w:color w:val="auto"/>
                      <w:sz w:val="18"/>
                      <w:szCs w:val="18"/>
                    </w:rPr>
                  </w:pPr>
                  <w:r>
                    <w:rPr>
                      <w:color w:val="auto"/>
                      <w:sz w:val="18"/>
                      <w:szCs w:val="18"/>
                    </w:rPr>
                    <w:t>周转量t/a</w:t>
                  </w:r>
                </w:p>
              </w:tc>
              <w:tc>
                <w:tcPr>
                  <w:tcW w:w="498" w:type="pct"/>
                  <w:shd w:val="clear" w:color="auto" w:fill="auto"/>
                  <w:vAlign w:val="center"/>
                </w:tcPr>
                <w:p w14:paraId="0F98D405">
                  <w:pPr>
                    <w:pStyle w:val="60"/>
                    <w:rPr>
                      <w:rFonts w:hint="default" w:eastAsia="宋体"/>
                      <w:color w:val="auto"/>
                      <w:sz w:val="18"/>
                      <w:szCs w:val="18"/>
                      <w:lang w:val="en-US" w:eastAsia="zh-CN"/>
                    </w:rPr>
                  </w:pPr>
                  <w:r>
                    <w:rPr>
                      <w:rFonts w:hint="eastAsia"/>
                      <w:color w:val="auto"/>
                      <w:sz w:val="18"/>
                      <w:szCs w:val="18"/>
                      <w:lang w:val="en-US" w:eastAsia="zh-CN"/>
                    </w:rPr>
                    <w:t>最大储存量t</w:t>
                  </w:r>
                </w:p>
              </w:tc>
              <w:tc>
                <w:tcPr>
                  <w:tcW w:w="427" w:type="pct"/>
                  <w:shd w:val="clear" w:color="auto" w:fill="auto"/>
                  <w:vAlign w:val="center"/>
                </w:tcPr>
                <w:p w14:paraId="18DEA33F">
                  <w:pPr>
                    <w:pStyle w:val="60"/>
                    <w:rPr>
                      <w:rFonts w:hint="default" w:eastAsia="宋体"/>
                      <w:color w:val="auto"/>
                      <w:sz w:val="18"/>
                      <w:szCs w:val="18"/>
                      <w:lang w:val="en-US" w:eastAsia="zh-CN"/>
                    </w:rPr>
                  </w:pPr>
                  <w:r>
                    <w:rPr>
                      <w:color w:val="auto"/>
                      <w:sz w:val="18"/>
                      <w:szCs w:val="18"/>
                    </w:rPr>
                    <w:t>储存天数</w:t>
                  </w:r>
                  <w:r>
                    <w:rPr>
                      <w:rFonts w:hint="eastAsia"/>
                      <w:color w:val="auto"/>
                      <w:sz w:val="18"/>
                      <w:szCs w:val="18"/>
                      <w:lang w:val="en-US" w:eastAsia="zh-CN"/>
                    </w:rPr>
                    <w:t>/d</w:t>
                  </w:r>
                </w:p>
              </w:tc>
              <w:tc>
                <w:tcPr>
                  <w:tcW w:w="378" w:type="pct"/>
                  <w:shd w:val="clear" w:color="auto" w:fill="auto"/>
                  <w:vAlign w:val="center"/>
                </w:tcPr>
                <w:p w14:paraId="00445CEB">
                  <w:pPr>
                    <w:pStyle w:val="60"/>
                    <w:rPr>
                      <w:color w:val="auto"/>
                      <w:sz w:val="18"/>
                      <w:szCs w:val="18"/>
                    </w:rPr>
                  </w:pPr>
                  <w:r>
                    <w:rPr>
                      <w:color w:val="auto"/>
                      <w:sz w:val="18"/>
                      <w:szCs w:val="18"/>
                    </w:rPr>
                    <w:t>周转次数</w:t>
                  </w:r>
                </w:p>
              </w:tc>
              <w:tc>
                <w:tcPr>
                  <w:tcW w:w="1135" w:type="pct"/>
                  <w:shd w:val="clear" w:color="auto" w:fill="auto"/>
                  <w:vAlign w:val="center"/>
                </w:tcPr>
                <w:p w14:paraId="05F25466">
                  <w:pPr>
                    <w:pStyle w:val="60"/>
                    <w:rPr>
                      <w:color w:val="auto"/>
                      <w:sz w:val="18"/>
                      <w:szCs w:val="18"/>
                    </w:rPr>
                  </w:pPr>
                  <w:r>
                    <w:rPr>
                      <w:color w:val="auto"/>
                      <w:sz w:val="18"/>
                      <w:szCs w:val="18"/>
                    </w:rPr>
                    <w:t>物料来源</w:t>
                  </w:r>
                </w:p>
              </w:tc>
              <w:tc>
                <w:tcPr>
                  <w:tcW w:w="1106" w:type="pct"/>
                  <w:shd w:val="clear" w:color="auto" w:fill="auto"/>
                  <w:vAlign w:val="center"/>
                </w:tcPr>
                <w:p w14:paraId="62C2DDDC">
                  <w:pPr>
                    <w:pStyle w:val="60"/>
                    <w:rPr>
                      <w:rFonts w:hint="default" w:eastAsia="宋体"/>
                      <w:color w:val="auto"/>
                      <w:sz w:val="18"/>
                      <w:szCs w:val="18"/>
                      <w:lang w:val="en-US" w:eastAsia="zh-CN"/>
                    </w:rPr>
                  </w:pPr>
                  <w:r>
                    <w:rPr>
                      <w:color w:val="auto"/>
                      <w:sz w:val="18"/>
                      <w:szCs w:val="18"/>
                    </w:rPr>
                    <w:t>物料去向</w:t>
                  </w:r>
                </w:p>
              </w:tc>
            </w:tr>
            <w:tr w14:paraId="0DA91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 w:type="pct"/>
                  <w:vMerge w:val="restart"/>
                  <w:shd w:val="clear" w:color="auto" w:fill="auto"/>
                  <w:vAlign w:val="center"/>
                </w:tcPr>
                <w:p w14:paraId="3DC36FA4">
                  <w:pPr>
                    <w:pStyle w:val="60"/>
                    <w:rPr>
                      <w:color w:val="auto"/>
                      <w:sz w:val="18"/>
                      <w:szCs w:val="18"/>
                    </w:rPr>
                  </w:pPr>
                  <w:r>
                    <w:rPr>
                      <w:color w:val="auto"/>
                      <w:sz w:val="18"/>
                      <w:szCs w:val="18"/>
                    </w:rPr>
                    <w:t>1</w:t>
                  </w:r>
                </w:p>
              </w:tc>
              <w:tc>
                <w:tcPr>
                  <w:tcW w:w="347" w:type="pct"/>
                  <w:vMerge w:val="restart"/>
                  <w:shd w:val="clear" w:color="auto" w:fill="auto"/>
                  <w:vAlign w:val="center"/>
                </w:tcPr>
                <w:p w14:paraId="740345EA">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471" w:type="pct"/>
                  <w:shd w:val="clear" w:color="auto" w:fill="auto"/>
                  <w:vAlign w:val="center"/>
                </w:tcPr>
                <w:p w14:paraId="49161C25">
                  <w:pPr>
                    <w:pStyle w:val="60"/>
                    <w:rPr>
                      <w:rFonts w:hint="default"/>
                      <w:color w:val="auto"/>
                      <w:sz w:val="18"/>
                      <w:szCs w:val="18"/>
                      <w:lang w:val="en-US" w:eastAsia="zh-CN"/>
                    </w:rPr>
                  </w:pPr>
                  <w:r>
                    <w:rPr>
                      <w:rFonts w:hint="eastAsia"/>
                      <w:color w:val="auto"/>
                      <w:sz w:val="18"/>
                      <w:szCs w:val="18"/>
                      <w:lang w:val="en-US" w:eastAsia="zh-CN"/>
                    </w:rPr>
                    <w:t>技改前</w:t>
                  </w:r>
                </w:p>
              </w:tc>
              <w:tc>
                <w:tcPr>
                  <w:tcW w:w="400" w:type="pct"/>
                  <w:shd w:val="clear" w:color="auto" w:fill="auto"/>
                  <w:vAlign w:val="center"/>
                </w:tcPr>
                <w:p w14:paraId="419C1356">
                  <w:pPr>
                    <w:pStyle w:val="60"/>
                    <w:rPr>
                      <w:rFonts w:hint="default"/>
                      <w:color w:val="auto"/>
                      <w:sz w:val="18"/>
                      <w:szCs w:val="18"/>
                      <w:lang w:val="en-US" w:eastAsia="zh-CN"/>
                    </w:rPr>
                  </w:pPr>
                  <w:r>
                    <w:rPr>
                      <w:rFonts w:hint="eastAsia"/>
                      <w:color w:val="auto"/>
                      <w:sz w:val="18"/>
                      <w:szCs w:val="18"/>
                      <w:lang w:val="en-US" w:eastAsia="zh-CN"/>
                    </w:rPr>
                    <w:t>48000</w:t>
                  </w:r>
                </w:p>
              </w:tc>
              <w:tc>
                <w:tcPr>
                  <w:tcW w:w="498" w:type="pct"/>
                  <w:shd w:val="clear" w:color="auto" w:fill="auto"/>
                  <w:vAlign w:val="center"/>
                </w:tcPr>
                <w:p w14:paraId="2F0B6AFC">
                  <w:pPr>
                    <w:pStyle w:val="60"/>
                    <w:rPr>
                      <w:rFonts w:hint="default" w:eastAsia="宋体"/>
                      <w:color w:val="auto"/>
                      <w:sz w:val="18"/>
                      <w:szCs w:val="18"/>
                      <w:lang w:val="en-US" w:eastAsia="zh-CN"/>
                    </w:rPr>
                  </w:pPr>
                  <w:r>
                    <w:rPr>
                      <w:rFonts w:hint="eastAsia"/>
                      <w:color w:val="auto"/>
                      <w:sz w:val="18"/>
                      <w:szCs w:val="18"/>
                      <w:lang w:val="en-US" w:eastAsia="zh-CN"/>
                    </w:rPr>
                    <w:t>632</w:t>
                  </w:r>
                </w:p>
              </w:tc>
              <w:tc>
                <w:tcPr>
                  <w:tcW w:w="427" w:type="pct"/>
                  <w:shd w:val="clear" w:color="auto" w:fill="auto"/>
                  <w:vAlign w:val="center"/>
                </w:tcPr>
                <w:p w14:paraId="4CEA036A">
                  <w:pPr>
                    <w:pStyle w:val="60"/>
                    <w:rPr>
                      <w:rFonts w:hint="default" w:eastAsia="宋体"/>
                      <w:color w:val="auto"/>
                      <w:sz w:val="18"/>
                      <w:szCs w:val="18"/>
                      <w:lang w:val="en-US" w:eastAsia="zh-CN"/>
                    </w:rPr>
                  </w:pPr>
                  <w:r>
                    <w:rPr>
                      <w:rFonts w:hint="eastAsia"/>
                      <w:color w:val="auto"/>
                      <w:sz w:val="18"/>
                      <w:szCs w:val="18"/>
                      <w:lang w:val="en-US" w:eastAsia="zh-CN"/>
                    </w:rPr>
                    <w:t>4.8</w:t>
                  </w:r>
                </w:p>
              </w:tc>
              <w:tc>
                <w:tcPr>
                  <w:tcW w:w="378" w:type="pct"/>
                  <w:shd w:val="clear" w:color="auto" w:fill="auto"/>
                  <w:vAlign w:val="center"/>
                </w:tcPr>
                <w:p w14:paraId="061BE286">
                  <w:pPr>
                    <w:pStyle w:val="60"/>
                    <w:rPr>
                      <w:rFonts w:hint="default" w:eastAsia="宋体"/>
                      <w:color w:val="auto"/>
                      <w:sz w:val="18"/>
                      <w:szCs w:val="18"/>
                      <w:lang w:val="en-US" w:eastAsia="zh-CN"/>
                    </w:rPr>
                  </w:pPr>
                  <w:r>
                    <w:rPr>
                      <w:rFonts w:hint="eastAsia"/>
                      <w:color w:val="auto"/>
                      <w:sz w:val="18"/>
                      <w:szCs w:val="18"/>
                      <w:lang w:val="en-US" w:eastAsia="zh-CN"/>
                    </w:rPr>
                    <w:t>76</w:t>
                  </w:r>
                </w:p>
              </w:tc>
              <w:tc>
                <w:tcPr>
                  <w:tcW w:w="1135" w:type="pct"/>
                  <w:shd w:val="clear" w:color="auto" w:fill="auto"/>
                  <w:vAlign w:val="center"/>
                </w:tcPr>
                <w:p w14:paraId="72A3D10B">
                  <w:pPr>
                    <w:pStyle w:val="60"/>
                    <w:rPr>
                      <w:rFonts w:hint="eastAsia" w:eastAsia="宋体"/>
                      <w:color w:val="auto"/>
                      <w:sz w:val="18"/>
                      <w:szCs w:val="18"/>
                      <w:lang w:val="en-US" w:eastAsia="zh-CN"/>
                    </w:rPr>
                  </w:pPr>
                  <w:r>
                    <w:rPr>
                      <w:rFonts w:hint="eastAsia"/>
                      <w:color w:val="auto"/>
                      <w:sz w:val="18"/>
                      <w:szCs w:val="18"/>
                      <w:lang w:val="en-US" w:eastAsia="zh-CN"/>
                    </w:rPr>
                    <w:t>外购</w:t>
                  </w:r>
                </w:p>
              </w:tc>
              <w:tc>
                <w:tcPr>
                  <w:tcW w:w="1106" w:type="pct"/>
                  <w:shd w:val="clear" w:color="auto" w:fill="auto"/>
                  <w:vAlign w:val="center"/>
                </w:tcPr>
                <w:p w14:paraId="0DAC77CF">
                  <w:pPr>
                    <w:pStyle w:val="60"/>
                    <w:rPr>
                      <w:rFonts w:hint="default" w:eastAsia="宋体"/>
                      <w:bCs/>
                      <w:color w:val="auto"/>
                      <w:kern w:val="0"/>
                      <w:sz w:val="18"/>
                      <w:szCs w:val="18"/>
                      <w:lang w:val="en-US" w:eastAsia="zh-CN"/>
                    </w:rPr>
                  </w:pPr>
                  <w:r>
                    <w:rPr>
                      <w:rFonts w:hint="eastAsia"/>
                      <w:color w:val="auto"/>
                      <w:sz w:val="18"/>
                      <w:szCs w:val="18"/>
                      <w:lang w:val="en-US" w:eastAsia="zh-CN"/>
                    </w:rPr>
                    <w:t>进入甲醛生产装置</w:t>
                  </w:r>
                </w:p>
              </w:tc>
            </w:tr>
            <w:tr w14:paraId="664C6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 w:type="pct"/>
                  <w:vMerge w:val="continue"/>
                  <w:shd w:val="clear" w:color="auto" w:fill="auto"/>
                  <w:vAlign w:val="center"/>
                </w:tcPr>
                <w:p w14:paraId="567221A3">
                  <w:pPr>
                    <w:pStyle w:val="60"/>
                    <w:rPr>
                      <w:color w:val="auto"/>
                      <w:sz w:val="18"/>
                      <w:szCs w:val="18"/>
                    </w:rPr>
                  </w:pPr>
                </w:p>
              </w:tc>
              <w:tc>
                <w:tcPr>
                  <w:tcW w:w="347" w:type="pct"/>
                  <w:vMerge w:val="continue"/>
                  <w:shd w:val="clear" w:color="auto" w:fill="auto"/>
                  <w:vAlign w:val="center"/>
                </w:tcPr>
                <w:p w14:paraId="1E52630D">
                  <w:pPr>
                    <w:pStyle w:val="60"/>
                    <w:rPr>
                      <w:rFonts w:hint="eastAsia"/>
                      <w:color w:val="auto"/>
                      <w:sz w:val="18"/>
                      <w:szCs w:val="18"/>
                      <w:lang w:val="en-US" w:eastAsia="zh-CN"/>
                    </w:rPr>
                  </w:pPr>
                </w:p>
              </w:tc>
              <w:tc>
                <w:tcPr>
                  <w:tcW w:w="471" w:type="pct"/>
                  <w:shd w:val="clear" w:color="auto" w:fill="auto"/>
                  <w:vAlign w:val="center"/>
                </w:tcPr>
                <w:p w14:paraId="3139FB50">
                  <w:pPr>
                    <w:pStyle w:val="60"/>
                    <w:rPr>
                      <w:rFonts w:hint="default"/>
                      <w:color w:val="auto"/>
                      <w:sz w:val="18"/>
                      <w:szCs w:val="18"/>
                      <w:lang w:val="en-US" w:eastAsia="zh-CN"/>
                    </w:rPr>
                  </w:pPr>
                  <w:r>
                    <w:rPr>
                      <w:rFonts w:hint="eastAsia"/>
                      <w:color w:val="auto"/>
                      <w:sz w:val="18"/>
                      <w:szCs w:val="18"/>
                      <w:lang w:val="en-US" w:eastAsia="zh-CN"/>
                    </w:rPr>
                    <w:t>技改后</w:t>
                  </w:r>
                </w:p>
              </w:tc>
              <w:tc>
                <w:tcPr>
                  <w:tcW w:w="400" w:type="pct"/>
                  <w:shd w:val="clear" w:color="auto" w:fill="auto"/>
                  <w:vAlign w:val="center"/>
                </w:tcPr>
                <w:p w14:paraId="3D6D77C4">
                  <w:pPr>
                    <w:pStyle w:val="60"/>
                    <w:rPr>
                      <w:rFonts w:hint="default"/>
                      <w:color w:val="auto"/>
                      <w:sz w:val="18"/>
                      <w:szCs w:val="18"/>
                      <w:lang w:val="en-US" w:eastAsia="zh-CN"/>
                    </w:rPr>
                  </w:pPr>
                  <w:r>
                    <w:rPr>
                      <w:rFonts w:hint="eastAsia"/>
                      <w:color w:val="auto"/>
                      <w:sz w:val="18"/>
                      <w:szCs w:val="18"/>
                      <w:lang w:val="en-US" w:eastAsia="zh-CN"/>
                    </w:rPr>
                    <w:t>48000</w:t>
                  </w:r>
                </w:p>
              </w:tc>
              <w:tc>
                <w:tcPr>
                  <w:tcW w:w="498" w:type="pct"/>
                  <w:shd w:val="clear" w:color="auto" w:fill="auto"/>
                  <w:vAlign w:val="center"/>
                </w:tcPr>
                <w:p w14:paraId="189D7FD8">
                  <w:pPr>
                    <w:pStyle w:val="60"/>
                    <w:rPr>
                      <w:rFonts w:hint="default"/>
                      <w:color w:val="auto"/>
                      <w:sz w:val="18"/>
                      <w:szCs w:val="18"/>
                      <w:lang w:val="en-US" w:eastAsia="zh-CN"/>
                    </w:rPr>
                  </w:pPr>
                  <w:r>
                    <w:rPr>
                      <w:rFonts w:hint="eastAsia"/>
                      <w:color w:val="auto"/>
                      <w:sz w:val="18"/>
                      <w:szCs w:val="18"/>
                      <w:lang w:val="en-US" w:eastAsia="zh-CN"/>
                    </w:rPr>
                    <w:t>1896</w:t>
                  </w:r>
                </w:p>
              </w:tc>
              <w:tc>
                <w:tcPr>
                  <w:tcW w:w="427" w:type="pct"/>
                  <w:shd w:val="clear" w:color="auto" w:fill="auto"/>
                  <w:vAlign w:val="center"/>
                </w:tcPr>
                <w:p w14:paraId="1B4D4160">
                  <w:pPr>
                    <w:pStyle w:val="60"/>
                    <w:rPr>
                      <w:rFonts w:hint="default" w:eastAsia="宋体"/>
                      <w:color w:val="auto"/>
                      <w:sz w:val="18"/>
                      <w:szCs w:val="18"/>
                      <w:lang w:val="en-US" w:eastAsia="zh-CN"/>
                    </w:rPr>
                  </w:pPr>
                  <w:r>
                    <w:rPr>
                      <w:rFonts w:hint="eastAsia"/>
                      <w:color w:val="auto"/>
                      <w:sz w:val="18"/>
                      <w:szCs w:val="18"/>
                      <w:lang w:val="en-US" w:eastAsia="zh-CN"/>
                    </w:rPr>
                    <w:t>14.6</w:t>
                  </w:r>
                </w:p>
              </w:tc>
              <w:tc>
                <w:tcPr>
                  <w:tcW w:w="378" w:type="pct"/>
                  <w:shd w:val="clear" w:color="auto" w:fill="auto"/>
                  <w:vAlign w:val="center"/>
                </w:tcPr>
                <w:p w14:paraId="5A8550D1">
                  <w:pPr>
                    <w:pStyle w:val="60"/>
                    <w:rPr>
                      <w:rFonts w:hint="default" w:eastAsia="宋体"/>
                      <w:color w:val="auto"/>
                      <w:sz w:val="18"/>
                      <w:szCs w:val="18"/>
                      <w:lang w:val="en-US" w:eastAsia="zh-CN"/>
                    </w:rPr>
                  </w:pPr>
                  <w:r>
                    <w:rPr>
                      <w:rFonts w:hint="eastAsia"/>
                      <w:color w:val="auto"/>
                      <w:sz w:val="18"/>
                      <w:szCs w:val="18"/>
                      <w:lang w:val="en-US" w:eastAsia="zh-CN"/>
                    </w:rPr>
                    <w:t>25</w:t>
                  </w:r>
                </w:p>
              </w:tc>
              <w:tc>
                <w:tcPr>
                  <w:tcW w:w="1135" w:type="pct"/>
                  <w:shd w:val="clear" w:color="auto" w:fill="auto"/>
                  <w:vAlign w:val="center"/>
                </w:tcPr>
                <w:p w14:paraId="7CEBAF6B">
                  <w:pPr>
                    <w:pStyle w:val="60"/>
                    <w:rPr>
                      <w:rFonts w:hint="default"/>
                      <w:color w:val="auto"/>
                      <w:sz w:val="18"/>
                      <w:szCs w:val="18"/>
                      <w:lang w:val="en-US" w:eastAsia="zh-CN"/>
                    </w:rPr>
                  </w:pPr>
                  <w:r>
                    <w:rPr>
                      <w:rFonts w:hint="eastAsia"/>
                      <w:color w:val="auto"/>
                      <w:sz w:val="18"/>
                      <w:szCs w:val="18"/>
                      <w:lang w:val="en-US" w:eastAsia="zh-CN"/>
                    </w:rPr>
                    <w:t>外购</w:t>
                  </w:r>
                </w:p>
              </w:tc>
              <w:tc>
                <w:tcPr>
                  <w:tcW w:w="1106" w:type="pct"/>
                  <w:shd w:val="clear" w:color="auto" w:fill="auto"/>
                  <w:vAlign w:val="center"/>
                </w:tcPr>
                <w:p w14:paraId="69267AB2">
                  <w:pPr>
                    <w:pStyle w:val="60"/>
                    <w:rPr>
                      <w:rFonts w:hint="eastAsia"/>
                      <w:color w:val="auto"/>
                      <w:sz w:val="18"/>
                      <w:szCs w:val="18"/>
                      <w:lang w:val="en-US" w:eastAsia="zh-CN"/>
                    </w:rPr>
                  </w:pPr>
                  <w:r>
                    <w:rPr>
                      <w:rFonts w:hint="eastAsia"/>
                      <w:color w:val="auto"/>
                      <w:sz w:val="18"/>
                      <w:szCs w:val="18"/>
                      <w:lang w:val="en-US" w:eastAsia="zh-CN"/>
                    </w:rPr>
                    <w:t>进入甲醛生产装置</w:t>
                  </w:r>
                </w:p>
              </w:tc>
            </w:tr>
            <w:tr w14:paraId="5B9AE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 w:type="pct"/>
                  <w:vMerge w:val="restart"/>
                  <w:shd w:val="clear" w:color="auto" w:fill="auto"/>
                  <w:vAlign w:val="center"/>
                </w:tcPr>
                <w:p w14:paraId="2D1AC9ED">
                  <w:pPr>
                    <w:pStyle w:val="60"/>
                    <w:rPr>
                      <w:color w:val="auto"/>
                      <w:sz w:val="18"/>
                      <w:szCs w:val="18"/>
                    </w:rPr>
                  </w:pPr>
                  <w:r>
                    <w:rPr>
                      <w:color w:val="auto"/>
                      <w:sz w:val="18"/>
                      <w:szCs w:val="18"/>
                    </w:rPr>
                    <w:t>2</w:t>
                  </w:r>
                </w:p>
              </w:tc>
              <w:tc>
                <w:tcPr>
                  <w:tcW w:w="347" w:type="pct"/>
                  <w:vMerge w:val="restart"/>
                  <w:shd w:val="clear" w:color="auto" w:fill="auto"/>
                  <w:vAlign w:val="center"/>
                </w:tcPr>
                <w:p w14:paraId="7FAF1B68">
                  <w:pPr>
                    <w:pStyle w:val="60"/>
                    <w:rPr>
                      <w:rFonts w:hint="eastAsia" w:eastAsia="宋体"/>
                      <w:color w:val="auto"/>
                      <w:sz w:val="18"/>
                      <w:szCs w:val="18"/>
                      <w:lang w:val="en-US" w:eastAsia="zh-CN"/>
                    </w:rPr>
                  </w:pPr>
                  <w:r>
                    <w:rPr>
                      <w:rFonts w:hint="eastAsia"/>
                      <w:color w:val="auto"/>
                      <w:sz w:val="18"/>
                      <w:szCs w:val="18"/>
                      <w:lang w:val="en-US" w:eastAsia="zh-CN"/>
                    </w:rPr>
                    <w:t>叔丁醇</w:t>
                  </w:r>
                </w:p>
              </w:tc>
              <w:tc>
                <w:tcPr>
                  <w:tcW w:w="471" w:type="pct"/>
                  <w:shd w:val="clear" w:color="auto" w:fill="auto"/>
                  <w:vAlign w:val="center"/>
                </w:tcPr>
                <w:p w14:paraId="7AD8345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技改前</w:t>
                  </w:r>
                </w:p>
              </w:tc>
              <w:tc>
                <w:tcPr>
                  <w:tcW w:w="400" w:type="pct"/>
                  <w:shd w:val="clear" w:color="auto" w:fill="auto"/>
                  <w:vAlign w:val="center"/>
                </w:tcPr>
                <w:p w14:paraId="34423652">
                  <w:pPr>
                    <w:pStyle w:val="60"/>
                    <w:rPr>
                      <w:rFonts w:hint="default" w:eastAsia="宋体"/>
                      <w:color w:val="auto"/>
                      <w:sz w:val="18"/>
                      <w:szCs w:val="18"/>
                      <w:lang w:val="en-US" w:eastAsia="zh-CN"/>
                    </w:rPr>
                  </w:pPr>
                  <w:r>
                    <w:rPr>
                      <w:rFonts w:hint="eastAsia" w:eastAsia="宋体"/>
                      <w:color w:val="auto"/>
                      <w:sz w:val="18"/>
                      <w:szCs w:val="18"/>
                      <w:lang w:val="en-US" w:eastAsia="zh-CN"/>
                    </w:rPr>
                    <w:t>10000</w:t>
                  </w:r>
                </w:p>
              </w:tc>
              <w:tc>
                <w:tcPr>
                  <w:tcW w:w="498" w:type="pct"/>
                  <w:shd w:val="clear" w:color="auto" w:fill="auto"/>
                  <w:vAlign w:val="center"/>
                </w:tcPr>
                <w:p w14:paraId="6892E75E">
                  <w:pPr>
                    <w:pStyle w:val="60"/>
                    <w:rPr>
                      <w:rFonts w:hint="default" w:eastAsia="宋体"/>
                      <w:color w:val="auto"/>
                      <w:sz w:val="18"/>
                      <w:szCs w:val="18"/>
                      <w:lang w:val="en-US" w:eastAsia="zh-CN"/>
                    </w:rPr>
                  </w:pPr>
                  <w:r>
                    <w:rPr>
                      <w:rFonts w:hint="eastAsia"/>
                      <w:color w:val="auto"/>
                      <w:sz w:val="18"/>
                      <w:szCs w:val="18"/>
                      <w:lang w:val="en-US" w:eastAsia="zh-CN"/>
                    </w:rPr>
                    <w:t>93.6</w:t>
                  </w:r>
                </w:p>
              </w:tc>
              <w:tc>
                <w:tcPr>
                  <w:tcW w:w="427" w:type="pct"/>
                  <w:shd w:val="clear" w:color="auto" w:fill="auto"/>
                  <w:vAlign w:val="center"/>
                </w:tcPr>
                <w:p w14:paraId="370008CD">
                  <w:pPr>
                    <w:pStyle w:val="60"/>
                    <w:rPr>
                      <w:rFonts w:hint="default" w:eastAsia="宋体"/>
                      <w:color w:val="auto"/>
                      <w:sz w:val="18"/>
                      <w:szCs w:val="18"/>
                      <w:lang w:val="en-US" w:eastAsia="zh-CN"/>
                    </w:rPr>
                  </w:pPr>
                  <w:r>
                    <w:rPr>
                      <w:rFonts w:hint="eastAsia"/>
                      <w:color w:val="auto"/>
                      <w:sz w:val="18"/>
                      <w:szCs w:val="18"/>
                      <w:lang w:val="en-US" w:eastAsia="zh-CN"/>
                    </w:rPr>
                    <w:t>3.4</w:t>
                  </w:r>
                </w:p>
              </w:tc>
              <w:tc>
                <w:tcPr>
                  <w:tcW w:w="378" w:type="pct"/>
                  <w:shd w:val="clear" w:color="auto" w:fill="auto"/>
                  <w:vAlign w:val="center"/>
                </w:tcPr>
                <w:p w14:paraId="221C9B75">
                  <w:pPr>
                    <w:pStyle w:val="60"/>
                    <w:rPr>
                      <w:rFonts w:hint="default" w:eastAsia="宋体"/>
                      <w:color w:val="auto"/>
                      <w:sz w:val="18"/>
                      <w:szCs w:val="18"/>
                      <w:lang w:val="en-US" w:eastAsia="zh-CN"/>
                    </w:rPr>
                  </w:pPr>
                  <w:r>
                    <w:rPr>
                      <w:rFonts w:hint="eastAsia"/>
                      <w:color w:val="auto"/>
                      <w:sz w:val="18"/>
                      <w:szCs w:val="18"/>
                      <w:lang w:val="en-US" w:eastAsia="zh-CN"/>
                    </w:rPr>
                    <w:t>107</w:t>
                  </w:r>
                </w:p>
              </w:tc>
              <w:tc>
                <w:tcPr>
                  <w:tcW w:w="1135" w:type="pct"/>
                  <w:shd w:val="clear" w:color="auto" w:fill="auto"/>
                  <w:vAlign w:val="center"/>
                </w:tcPr>
                <w:p w14:paraId="3F4F7F1B">
                  <w:pPr>
                    <w:pStyle w:val="60"/>
                    <w:rPr>
                      <w:rFonts w:hint="default" w:eastAsia="宋体"/>
                      <w:color w:val="auto"/>
                      <w:sz w:val="18"/>
                      <w:szCs w:val="18"/>
                      <w:lang w:val="en-US" w:eastAsia="zh-CN"/>
                    </w:rPr>
                  </w:pPr>
                  <w:r>
                    <w:rPr>
                      <w:rFonts w:hint="eastAsia"/>
                      <w:color w:val="auto"/>
                      <w:sz w:val="18"/>
                      <w:szCs w:val="18"/>
                      <w:lang w:val="en-US" w:eastAsia="zh-CN"/>
                    </w:rPr>
                    <w:t>来自叔丁醇生产装置</w:t>
                  </w:r>
                </w:p>
              </w:tc>
              <w:tc>
                <w:tcPr>
                  <w:tcW w:w="1106" w:type="pct"/>
                  <w:shd w:val="clear" w:color="auto" w:fill="auto"/>
                  <w:vAlign w:val="center"/>
                </w:tcPr>
                <w:p w14:paraId="32DB6492">
                  <w:pPr>
                    <w:pStyle w:val="60"/>
                    <w:rPr>
                      <w:rFonts w:hint="default" w:ascii="Times New Roman" w:hAnsi="Times New Roman" w:eastAsia="宋体" w:cs="Times New Roman"/>
                      <w:bCs/>
                      <w:color w:val="auto"/>
                      <w:kern w:val="0"/>
                      <w:sz w:val="18"/>
                      <w:szCs w:val="18"/>
                      <w:lang w:val="en-US" w:eastAsia="zh-CN" w:bidi="ar-SA"/>
                    </w:rPr>
                  </w:pPr>
                  <w:r>
                    <w:rPr>
                      <w:rFonts w:hint="eastAsia" w:cs="Times New Roman"/>
                      <w:bCs/>
                      <w:color w:val="auto"/>
                      <w:kern w:val="0"/>
                      <w:sz w:val="18"/>
                      <w:szCs w:val="18"/>
                      <w:lang w:val="en-US" w:eastAsia="zh-CN" w:bidi="ar-SA"/>
                    </w:rPr>
                    <w:t>送中间罐暂存后灌装</w:t>
                  </w:r>
                </w:p>
              </w:tc>
            </w:tr>
            <w:tr w14:paraId="5574E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 w:type="pct"/>
                  <w:vMerge w:val="continue"/>
                  <w:shd w:val="clear" w:color="auto" w:fill="auto"/>
                  <w:vAlign w:val="center"/>
                </w:tcPr>
                <w:p w14:paraId="15A3625D">
                  <w:pPr>
                    <w:pStyle w:val="60"/>
                    <w:rPr>
                      <w:color w:val="auto"/>
                      <w:sz w:val="18"/>
                      <w:szCs w:val="18"/>
                    </w:rPr>
                  </w:pPr>
                </w:p>
              </w:tc>
              <w:tc>
                <w:tcPr>
                  <w:tcW w:w="347" w:type="pct"/>
                  <w:vMerge w:val="continue"/>
                  <w:shd w:val="clear" w:color="auto" w:fill="auto"/>
                  <w:vAlign w:val="center"/>
                </w:tcPr>
                <w:p w14:paraId="19B11D25">
                  <w:pPr>
                    <w:pStyle w:val="60"/>
                    <w:rPr>
                      <w:rFonts w:hint="eastAsia"/>
                      <w:color w:val="auto"/>
                      <w:sz w:val="18"/>
                      <w:szCs w:val="18"/>
                      <w:lang w:val="en-US" w:eastAsia="zh-CN"/>
                    </w:rPr>
                  </w:pPr>
                </w:p>
              </w:tc>
              <w:tc>
                <w:tcPr>
                  <w:tcW w:w="471" w:type="pct"/>
                  <w:shd w:val="clear" w:color="auto" w:fill="auto"/>
                  <w:vAlign w:val="center"/>
                </w:tcPr>
                <w:p w14:paraId="540C74E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技改后</w:t>
                  </w:r>
                </w:p>
              </w:tc>
              <w:tc>
                <w:tcPr>
                  <w:tcW w:w="400" w:type="pct"/>
                  <w:shd w:val="clear" w:color="auto" w:fill="auto"/>
                  <w:vAlign w:val="center"/>
                </w:tcPr>
                <w:p w14:paraId="3E8B6101">
                  <w:pPr>
                    <w:pStyle w:val="60"/>
                    <w:rPr>
                      <w:rFonts w:hint="default"/>
                      <w:color w:val="auto"/>
                      <w:sz w:val="18"/>
                      <w:szCs w:val="18"/>
                      <w:lang w:val="en-US" w:eastAsia="zh-CN"/>
                    </w:rPr>
                  </w:pPr>
                  <w:r>
                    <w:rPr>
                      <w:rFonts w:hint="eastAsia"/>
                      <w:color w:val="auto"/>
                      <w:sz w:val="18"/>
                      <w:szCs w:val="18"/>
                      <w:lang w:val="en-US" w:eastAsia="zh-CN"/>
                    </w:rPr>
                    <w:t>10000</w:t>
                  </w:r>
                </w:p>
              </w:tc>
              <w:tc>
                <w:tcPr>
                  <w:tcW w:w="498" w:type="pct"/>
                  <w:shd w:val="clear" w:color="auto" w:fill="auto"/>
                  <w:vAlign w:val="center"/>
                </w:tcPr>
                <w:p w14:paraId="525D825A">
                  <w:pPr>
                    <w:pStyle w:val="60"/>
                    <w:rPr>
                      <w:rFonts w:hint="default"/>
                      <w:color w:val="auto"/>
                      <w:sz w:val="18"/>
                      <w:szCs w:val="18"/>
                      <w:lang w:val="en-US" w:eastAsia="zh-CN"/>
                    </w:rPr>
                  </w:pPr>
                  <w:r>
                    <w:rPr>
                      <w:rFonts w:hint="eastAsia"/>
                      <w:color w:val="auto"/>
                      <w:sz w:val="18"/>
                      <w:szCs w:val="18"/>
                      <w:lang w:val="en-US" w:eastAsia="zh-CN"/>
                    </w:rPr>
                    <w:t>655.2</w:t>
                  </w:r>
                </w:p>
              </w:tc>
              <w:tc>
                <w:tcPr>
                  <w:tcW w:w="427" w:type="pct"/>
                  <w:shd w:val="clear" w:color="auto" w:fill="auto"/>
                  <w:vAlign w:val="center"/>
                </w:tcPr>
                <w:p w14:paraId="581EE6C7">
                  <w:pPr>
                    <w:pStyle w:val="60"/>
                    <w:rPr>
                      <w:rFonts w:hint="default" w:eastAsia="宋体"/>
                      <w:color w:val="auto"/>
                      <w:sz w:val="18"/>
                      <w:szCs w:val="18"/>
                      <w:lang w:val="en-US" w:eastAsia="zh-CN"/>
                    </w:rPr>
                  </w:pPr>
                  <w:r>
                    <w:rPr>
                      <w:rFonts w:hint="eastAsia"/>
                      <w:color w:val="auto"/>
                      <w:sz w:val="18"/>
                      <w:szCs w:val="18"/>
                      <w:lang w:val="en-US" w:eastAsia="zh-CN"/>
                    </w:rPr>
                    <w:t>24.3</w:t>
                  </w:r>
                </w:p>
              </w:tc>
              <w:tc>
                <w:tcPr>
                  <w:tcW w:w="378" w:type="pct"/>
                  <w:shd w:val="clear" w:color="auto" w:fill="auto"/>
                  <w:vAlign w:val="center"/>
                </w:tcPr>
                <w:p w14:paraId="440974CE">
                  <w:pPr>
                    <w:pStyle w:val="60"/>
                    <w:rPr>
                      <w:rFonts w:hint="default" w:eastAsia="宋体"/>
                      <w:color w:val="auto"/>
                      <w:sz w:val="18"/>
                      <w:szCs w:val="18"/>
                      <w:lang w:val="en-US" w:eastAsia="zh-CN"/>
                    </w:rPr>
                  </w:pPr>
                  <w:r>
                    <w:rPr>
                      <w:rFonts w:hint="eastAsia"/>
                      <w:color w:val="auto"/>
                      <w:sz w:val="18"/>
                      <w:szCs w:val="18"/>
                      <w:lang w:val="en-US" w:eastAsia="zh-CN"/>
                    </w:rPr>
                    <w:t>15</w:t>
                  </w:r>
                </w:p>
              </w:tc>
              <w:tc>
                <w:tcPr>
                  <w:tcW w:w="1135" w:type="pct"/>
                  <w:shd w:val="clear" w:color="auto" w:fill="auto"/>
                  <w:vAlign w:val="center"/>
                </w:tcPr>
                <w:p w14:paraId="56BD795B">
                  <w:pPr>
                    <w:pStyle w:val="60"/>
                    <w:rPr>
                      <w:rFonts w:hint="eastAsia"/>
                      <w:color w:val="auto"/>
                      <w:sz w:val="18"/>
                      <w:szCs w:val="18"/>
                      <w:lang w:val="en-US" w:eastAsia="zh-CN"/>
                    </w:rPr>
                  </w:pPr>
                  <w:r>
                    <w:rPr>
                      <w:rFonts w:hint="eastAsia"/>
                      <w:color w:val="auto"/>
                      <w:sz w:val="18"/>
                      <w:szCs w:val="18"/>
                      <w:lang w:val="en-US" w:eastAsia="zh-CN"/>
                    </w:rPr>
                    <w:t>来自叔丁醇生产装置</w:t>
                  </w:r>
                </w:p>
              </w:tc>
              <w:tc>
                <w:tcPr>
                  <w:tcW w:w="1106" w:type="pct"/>
                  <w:shd w:val="clear" w:color="auto" w:fill="auto"/>
                  <w:vAlign w:val="center"/>
                </w:tcPr>
                <w:p w14:paraId="1544CE49">
                  <w:pPr>
                    <w:pStyle w:val="60"/>
                    <w:rPr>
                      <w:rFonts w:hint="default" w:cs="Times New Roman"/>
                      <w:bCs/>
                      <w:color w:val="auto"/>
                      <w:kern w:val="0"/>
                      <w:sz w:val="18"/>
                      <w:szCs w:val="18"/>
                      <w:highlight w:val="yellow"/>
                      <w:lang w:val="en-US" w:eastAsia="zh-CN" w:bidi="ar-SA"/>
                    </w:rPr>
                  </w:pPr>
                  <w:r>
                    <w:rPr>
                      <w:rFonts w:hint="eastAsia" w:cs="Times New Roman"/>
                      <w:bCs/>
                      <w:color w:val="auto"/>
                      <w:kern w:val="0"/>
                      <w:sz w:val="18"/>
                      <w:szCs w:val="18"/>
                      <w:highlight w:val="none"/>
                      <w:lang w:val="en-US" w:eastAsia="zh-CN" w:bidi="ar-SA"/>
                    </w:rPr>
                    <w:t>5000吨进入中间罐暂存后灌装，5000吨送产品罐储存</w:t>
                  </w:r>
                </w:p>
              </w:tc>
            </w:tr>
          </w:tbl>
          <w:p w14:paraId="001B7D2B">
            <w:pPr>
              <w:adjustRightInd w:val="0"/>
              <w:snapToGrid w:val="0"/>
              <w:spacing w:line="440" w:lineRule="exact"/>
              <w:ind w:firstLine="420" w:firstLineChars="200"/>
              <w:rPr>
                <w:rFonts w:hint="default" w:eastAsia="宋体"/>
                <w:b w:val="0"/>
                <w:bCs w:val="0"/>
                <w:color w:val="auto"/>
                <w:szCs w:val="21"/>
                <w:lang w:val="en-US" w:eastAsia="zh-CN"/>
              </w:rPr>
            </w:pPr>
            <w:r>
              <w:rPr>
                <w:rFonts w:hint="eastAsia"/>
                <w:b w:val="0"/>
                <w:bCs w:val="0"/>
                <w:color w:val="auto"/>
                <w:szCs w:val="21"/>
                <w:lang w:val="en-US" w:eastAsia="zh-CN"/>
              </w:rPr>
              <w:t>本项目涉及到的物料理化性质如下：</w:t>
            </w:r>
          </w:p>
          <w:p w14:paraId="6DC72840">
            <w:pPr>
              <w:adjustRightInd w:val="0"/>
              <w:snapToGrid w:val="0"/>
              <w:spacing w:before="120" w:beforeLines="50"/>
              <w:jc w:val="center"/>
              <w:rPr>
                <w:b/>
                <w:color w:val="auto"/>
                <w:szCs w:val="21"/>
              </w:rPr>
            </w:pPr>
            <w:r>
              <w:rPr>
                <w:b/>
                <w:color w:val="auto"/>
                <w:szCs w:val="21"/>
              </w:rPr>
              <w:t>表2-</w:t>
            </w:r>
            <w:r>
              <w:rPr>
                <w:rFonts w:hint="eastAsia"/>
                <w:b/>
                <w:color w:val="auto"/>
                <w:szCs w:val="21"/>
                <w:lang w:val="en-US" w:eastAsia="zh-CN"/>
              </w:rPr>
              <w:t>4</w:t>
            </w:r>
            <w:r>
              <w:rPr>
                <w:b/>
                <w:color w:val="auto"/>
                <w:szCs w:val="21"/>
              </w:rPr>
              <w:t xml:space="preserve">  </w:t>
            </w:r>
            <w:r>
              <w:rPr>
                <w:rFonts w:hint="eastAsia"/>
                <w:b/>
                <w:color w:val="auto"/>
                <w:szCs w:val="21"/>
                <w:lang w:val="en-US" w:eastAsia="zh-CN"/>
              </w:rPr>
              <w:t>项目储存物料理化性质</w:t>
            </w:r>
            <w:r>
              <w:rPr>
                <w:b/>
                <w:color w:val="auto"/>
                <w:szCs w:val="21"/>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75"/>
              <w:gridCol w:w="6859"/>
            </w:tblGrid>
            <w:tr w14:paraId="4E8E9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14:paraId="41BA00B4">
                  <w:pPr>
                    <w:pStyle w:val="60"/>
                    <w:rPr>
                      <w:color w:val="auto"/>
                      <w:sz w:val="18"/>
                      <w:szCs w:val="18"/>
                    </w:rPr>
                  </w:pPr>
                  <w:r>
                    <w:rPr>
                      <w:color w:val="auto"/>
                      <w:sz w:val="18"/>
                      <w:szCs w:val="18"/>
                    </w:rPr>
                    <w:t>序号</w:t>
                  </w:r>
                </w:p>
              </w:tc>
              <w:tc>
                <w:tcPr>
                  <w:tcW w:w="578" w:type="pct"/>
                  <w:shd w:val="clear" w:color="auto" w:fill="auto"/>
                  <w:vAlign w:val="center"/>
                </w:tcPr>
                <w:p w14:paraId="09C89FDC">
                  <w:pPr>
                    <w:pStyle w:val="60"/>
                    <w:rPr>
                      <w:rFonts w:hint="eastAsia" w:eastAsia="宋体"/>
                      <w:color w:val="auto"/>
                      <w:sz w:val="18"/>
                      <w:szCs w:val="18"/>
                      <w:lang w:val="en-US" w:eastAsia="zh-CN"/>
                    </w:rPr>
                  </w:pPr>
                  <w:r>
                    <w:rPr>
                      <w:rFonts w:hint="eastAsia"/>
                      <w:color w:val="auto"/>
                      <w:sz w:val="18"/>
                      <w:szCs w:val="18"/>
                      <w:lang w:val="en-US" w:eastAsia="zh-CN"/>
                    </w:rPr>
                    <w:t>物料名称</w:t>
                  </w:r>
                </w:p>
              </w:tc>
              <w:tc>
                <w:tcPr>
                  <w:tcW w:w="4071" w:type="pct"/>
                  <w:shd w:val="clear" w:color="auto" w:fill="auto"/>
                  <w:vAlign w:val="center"/>
                </w:tcPr>
                <w:p w14:paraId="0B998989">
                  <w:pPr>
                    <w:pStyle w:val="60"/>
                    <w:rPr>
                      <w:rFonts w:hint="default" w:eastAsia="宋体"/>
                      <w:color w:val="auto"/>
                      <w:sz w:val="18"/>
                      <w:szCs w:val="18"/>
                      <w:lang w:val="en-US" w:eastAsia="zh-CN"/>
                    </w:rPr>
                  </w:pPr>
                  <w:r>
                    <w:rPr>
                      <w:rFonts w:hint="eastAsia"/>
                      <w:color w:val="auto"/>
                      <w:sz w:val="18"/>
                      <w:szCs w:val="18"/>
                      <w:lang w:val="en-US" w:eastAsia="zh-CN"/>
                    </w:rPr>
                    <w:t>理化性质</w:t>
                  </w:r>
                </w:p>
              </w:tc>
            </w:tr>
            <w:tr w14:paraId="70FA6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14:paraId="4C78F729">
                  <w:pPr>
                    <w:pStyle w:val="60"/>
                    <w:rPr>
                      <w:rFonts w:hint="eastAsia" w:eastAsia="宋体"/>
                      <w:color w:val="auto"/>
                      <w:sz w:val="18"/>
                      <w:szCs w:val="18"/>
                      <w:lang w:val="en-US" w:eastAsia="zh-CN"/>
                    </w:rPr>
                  </w:pPr>
                  <w:r>
                    <w:rPr>
                      <w:rFonts w:hint="eastAsia"/>
                      <w:color w:val="auto"/>
                      <w:sz w:val="18"/>
                      <w:szCs w:val="18"/>
                      <w:lang w:val="en-US" w:eastAsia="zh-CN"/>
                    </w:rPr>
                    <w:t>1</w:t>
                  </w:r>
                </w:p>
              </w:tc>
              <w:tc>
                <w:tcPr>
                  <w:tcW w:w="578" w:type="pct"/>
                  <w:shd w:val="clear" w:color="auto" w:fill="auto"/>
                  <w:vAlign w:val="center"/>
                </w:tcPr>
                <w:p w14:paraId="4F57F6C0">
                  <w:pPr>
                    <w:pStyle w:val="60"/>
                    <w:rPr>
                      <w:rFonts w:hint="default"/>
                      <w:color w:val="auto"/>
                      <w:sz w:val="18"/>
                      <w:szCs w:val="18"/>
                      <w:lang w:val="en-US" w:eastAsia="zh-CN"/>
                    </w:rPr>
                  </w:pPr>
                  <w:r>
                    <w:rPr>
                      <w:rFonts w:hint="eastAsia"/>
                      <w:color w:val="auto"/>
                      <w:sz w:val="18"/>
                      <w:szCs w:val="18"/>
                      <w:lang w:val="en-US" w:eastAsia="zh-CN"/>
                    </w:rPr>
                    <w:t>甲醇</w:t>
                  </w:r>
                </w:p>
              </w:tc>
              <w:tc>
                <w:tcPr>
                  <w:tcW w:w="4071" w:type="pct"/>
                  <w:shd w:val="clear" w:color="auto" w:fill="auto"/>
                  <w:vAlign w:val="center"/>
                </w:tcPr>
                <w:p w14:paraId="220A4BBF">
                  <w:pPr>
                    <w:pStyle w:val="60"/>
                    <w:rPr>
                      <w:rFonts w:hint="eastAsia" w:eastAsia="宋体"/>
                      <w:color w:val="auto"/>
                      <w:sz w:val="18"/>
                      <w:szCs w:val="18"/>
                      <w:lang w:val="en-US" w:eastAsia="zh-CN"/>
                    </w:rPr>
                  </w:pPr>
                  <w:r>
                    <w:rPr>
                      <w:rFonts w:ascii="Times New Roman" w:hAnsi="Times New Roman"/>
                      <w:color w:val="auto"/>
                      <w:sz w:val="18"/>
                      <w:szCs w:val="18"/>
                    </w:rPr>
                    <w:t>无色透明液体，沸点64.7℃，熔点-97.6℃，密度0.791g/cm³，易挥发，具有类似乙醇的微弱气味。其极性高，能与水、乙醇、乙醚等溶剂完全混溶。化学性质上，甲醇可燃性强（闪点11℃），燃烧产物为CO₂和H₂O；具有弱酸性（pKa≈15.5），可与活泼金属（如钠）反应生成甲醇钠（CH₃ONa）；在氧化剂（如KMnO₄）作用下可被氧化为甲醛或甲酸；与浓硫酸共热可脱水生成二甲醚。毒性极强，误服5–10 mL可致视神经损伤甚至失明，30 mL以上可能致死，蒸气对呼吸道和黏膜有强烈刺激性</w:t>
                  </w:r>
                  <w:r>
                    <w:rPr>
                      <w:rFonts w:hint="eastAsia" w:ascii="Times New Roman" w:hAnsi="Times New Roman"/>
                      <w:color w:val="auto"/>
                      <w:sz w:val="18"/>
                      <w:szCs w:val="18"/>
                      <w:lang w:eastAsia="zh-CN"/>
                    </w:rPr>
                    <w:t>。</w:t>
                  </w:r>
                </w:p>
              </w:tc>
            </w:tr>
            <w:tr w14:paraId="0F07D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shd w:val="clear" w:color="auto" w:fill="auto"/>
                  <w:vAlign w:val="center"/>
                </w:tcPr>
                <w:p w14:paraId="77351AD2">
                  <w:pPr>
                    <w:pStyle w:val="60"/>
                    <w:rPr>
                      <w:rFonts w:hint="eastAsia" w:eastAsia="宋体"/>
                      <w:color w:val="auto"/>
                      <w:sz w:val="18"/>
                      <w:szCs w:val="18"/>
                      <w:lang w:val="en-US" w:eastAsia="zh-CN"/>
                    </w:rPr>
                  </w:pPr>
                  <w:r>
                    <w:rPr>
                      <w:rFonts w:hint="eastAsia"/>
                      <w:color w:val="auto"/>
                      <w:sz w:val="18"/>
                      <w:szCs w:val="18"/>
                      <w:lang w:val="en-US" w:eastAsia="zh-CN"/>
                    </w:rPr>
                    <w:t>2</w:t>
                  </w:r>
                </w:p>
              </w:tc>
              <w:tc>
                <w:tcPr>
                  <w:tcW w:w="578" w:type="pct"/>
                  <w:shd w:val="clear" w:color="auto" w:fill="auto"/>
                  <w:vAlign w:val="center"/>
                </w:tcPr>
                <w:p w14:paraId="32716C23">
                  <w:pPr>
                    <w:pStyle w:val="60"/>
                    <w:rPr>
                      <w:rFonts w:hint="default"/>
                      <w:color w:val="auto"/>
                      <w:sz w:val="18"/>
                      <w:szCs w:val="18"/>
                      <w:lang w:val="en-US" w:eastAsia="zh-CN"/>
                    </w:rPr>
                  </w:pPr>
                  <w:r>
                    <w:rPr>
                      <w:rFonts w:hint="eastAsia"/>
                      <w:color w:val="auto"/>
                      <w:sz w:val="18"/>
                      <w:szCs w:val="18"/>
                      <w:lang w:val="en-US" w:eastAsia="zh-CN"/>
                    </w:rPr>
                    <w:t>叔丁醇</w:t>
                  </w:r>
                </w:p>
              </w:tc>
              <w:tc>
                <w:tcPr>
                  <w:tcW w:w="4071" w:type="pct"/>
                  <w:shd w:val="clear" w:color="auto" w:fill="auto"/>
                  <w:vAlign w:val="center"/>
                </w:tcPr>
                <w:p w14:paraId="5BAD1E42">
                  <w:pPr>
                    <w:pStyle w:val="60"/>
                    <w:rPr>
                      <w:rFonts w:hint="eastAsia" w:eastAsia="宋体"/>
                      <w:color w:val="auto"/>
                      <w:sz w:val="18"/>
                      <w:szCs w:val="18"/>
                      <w:lang w:val="en-US" w:eastAsia="zh-CN"/>
                    </w:rPr>
                  </w:pPr>
                  <w:r>
                    <w:rPr>
                      <w:rFonts w:ascii="Times New Roman" w:hAnsi="Times New Roman"/>
                      <w:color w:val="auto"/>
                      <w:sz w:val="18"/>
                      <w:szCs w:val="18"/>
                    </w:rPr>
                    <w:t>常温下为无色晶体（熔点25.5℃）或液体（沸点82.4℃），密度0.781g/cm³，易溶于水、乙醇、乙醚，具有类似樟脑的气味。其化学性质因叔碳结构高度稳定，难被氧化（需强氧化剂如K₂Cr₂O₇）；与浓硫酸共热可脱水生成异丁烯；在酸性条件下易发生SN1取代反应生成叔丁基卤化物；弱酸性（pKa≈19），可与强碱成盐。可燃（闪点11℃），蒸气对眼睛和呼吸道有刺激性，但毒性低于甲醇</w:t>
                  </w:r>
                  <w:r>
                    <w:rPr>
                      <w:rFonts w:hint="eastAsia" w:ascii="Times New Roman" w:hAnsi="Times New Roman"/>
                      <w:color w:val="auto"/>
                      <w:sz w:val="18"/>
                      <w:szCs w:val="18"/>
                    </w:rPr>
                    <w:t>。</w:t>
                  </w:r>
                </w:p>
              </w:tc>
            </w:tr>
          </w:tbl>
          <w:p w14:paraId="798BDB69">
            <w:pPr>
              <w:adjustRightInd w:val="0"/>
              <w:snapToGrid w:val="0"/>
              <w:spacing w:line="440" w:lineRule="exact"/>
              <w:ind w:firstLine="422" w:firstLineChars="200"/>
              <w:rPr>
                <w:b/>
                <w:bCs/>
                <w:color w:val="auto"/>
                <w:szCs w:val="21"/>
              </w:rPr>
            </w:pPr>
            <w:r>
              <w:rPr>
                <w:b/>
                <w:bCs/>
                <w:color w:val="auto"/>
                <w:szCs w:val="21"/>
              </w:rPr>
              <w:t>4、主要</w:t>
            </w:r>
            <w:r>
              <w:rPr>
                <w:rFonts w:hint="eastAsia"/>
                <w:b/>
                <w:bCs/>
                <w:color w:val="auto"/>
                <w:szCs w:val="21"/>
              </w:rPr>
              <w:t>设备</w:t>
            </w:r>
          </w:p>
          <w:p w14:paraId="4C77077E">
            <w:pPr>
              <w:adjustRightInd w:val="0"/>
              <w:snapToGrid w:val="0"/>
              <w:spacing w:line="440" w:lineRule="exact"/>
              <w:ind w:firstLine="422" w:firstLineChars="200"/>
              <w:rPr>
                <w:rFonts w:hint="default" w:eastAsia="宋体"/>
                <w:b/>
                <w:bCs w:val="0"/>
                <w:color w:val="auto"/>
                <w:szCs w:val="21"/>
                <w:lang w:val="en-US" w:eastAsia="zh-CN"/>
              </w:rPr>
            </w:pPr>
            <w:r>
              <w:rPr>
                <w:rFonts w:hint="eastAsia"/>
                <w:b/>
                <w:bCs w:val="0"/>
                <w:color w:val="auto"/>
                <w:szCs w:val="21"/>
                <w:lang w:val="en-US" w:eastAsia="zh-CN"/>
              </w:rPr>
              <w:t>1</w:t>
            </w:r>
            <w:r>
              <w:rPr>
                <w:rFonts w:hint="eastAsia"/>
                <w:b/>
                <w:bCs w:val="0"/>
                <w:color w:val="auto"/>
                <w:szCs w:val="21"/>
                <w:lang w:eastAsia="zh-CN"/>
              </w:rPr>
              <w:t>）</w:t>
            </w:r>
            <w:r>
              <w:rPr>
                <w:rFonts w:hint="eastAsia"/>
                <w:b/>
                <w:bCs w:val="0"/>
                <w:color w:val="auto"/>
                <w:szCs w:val="21"/>
                <w:lang w:val="en-US" w:eastAsia="zh-CN"/>
              </w:rPr>
              <w:t>储罐</w:t>
            </w:r>
          </w:p>
          <w:p w14:paraId="056D4C40">
            <w:pPr>
              <w:adjustRightInd w:val="0"/>
              <w:snapToGrid w:val="0"/>
              <w:spacing w:line="440" w:lineRule="exact"/>
              <w:ind w:firstLine="420" w:firstLineChars="200"/>
              <w:rPr>
                <w:color w:val="auto"/>
                <w:szCs w:val="21"/>
              </w:rPr>
            </w:pPr>
            <w:r>
              <w:rPr>
                <w:rFonts w:hint="eastAsia"/>
                <w:bCs/>
                <w:color w:val="auto"/>
                <w:szCs w:val="21"/>
              </w:rPr>
              <w:t>本</w:t>
            </w:r>
            <w:r>
              <w:rPr>
                <w:bCs/>
                <w:color w:val="auto"/>
                <w:szCs w:val="21"/>
              </w:rPr>
              <w:t>项目</w:t>
            </w:r>
            <w:r>
              <w:rPr>
                <w:rFonts w:hint="eastAsia"/>
                <w:bCs/>
                <w:color w:val="auto"/>
                <w:szCs w:val="21"/>
                <w:lang w:val="en-US" w:eastAsia="zh-CN"/>
              </w:rPr>
              <w:t>主要储罐设置情况如下</w:t>
            </w:r>
            <w:r>
              <w:rPr>
                <w:rFonts w:hint="eastAsia"/>
                <w:color w:val="auto"/>
                <w:szCs w:val="21"/>
              </w:rPr>
              <w:t>：</w:t>
            </w:r>
          </w:p>
          <w:p w14:paraId="68FC414F">
            <w:pPr>
              <w:adjustRightInd w:val="0"/>
              <w:snapToGrid w:val="0"/>
              <w:spacing w:before="120" w:beforeLines="50"/>
              <w:jc w:val="center"/>
              <w:rPr>
                <w:b/>
                <w:color w:val="auto"/>
                <w:szCs w:val="21"/>
              </w:rPr>
            </w:pPr>
            <w:r>
              <w:rPr>
                <w:b/>
                <w:color w:val="auto"/>
                <w:szCs w:val="21"/>
              </w:rPr>
              <w:t>表2-</w:t>
            </w:r>
            <w:r>
              <w:rPr>
                <w:rFonts w:hint="eastAsia"/>
                <w:b/>
                <w:color w:val="auto"/>
                <w:szCs w:val="21"/>
                <w:lang w:val="en-US" w:eastAsia="zh-CN"/>
              </w:rPr>
              <w:t>5</w:t>
            </w:r>
            <w:r>
              <w:rPr>
                <w:b/>
                <w:color w:val="auto"/>
                <w:szCs w:val="21"/>
              </w:rPr>
              <w:t xml:space="preserve">  项目主要</w:t>
            </w:r>
            <w:r>
              <w:rPr>
                <w:rFonts w:hint="eastAsia"/>
                <w:b/>
                <w:color w:val="auto"/>
                <w:szCs w:val="21"/>
                <w:lang w:val="en-US" w:eastAsia="zh-CN"/>
              </w:rPr>
              <w:t>储罐设置情况</w:t>
            </w:r>
            <w:r>
              <w:rPr>
                <w:b/>
                <w:color w:val="auto"/>
                <w:szCs w:val="21"/>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5"/>
              <w:gridCol w:w="832"/>
              <w:gridCol w:w="600"/>
              <w:gridCol w:w="1125"/>
              <w:gridCol w:w="375"/>
              <w:gridCol w:w="863"/>
              <w:gridCol w:w="735"/>
              <w:gridCol w:w="780"/>
              <w:gridCol w:w="540"/>
              <w:gridCol w:w="1129"/>
            </w:tblGrid>
            <w:tr w14:paraId="36680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7" w:type="pct"/>
                  <w:noWrap/>
                  <w:vAlign w:val="center"/>
                </w:tcPr>
                <w:p w14:paraId="2101B9D1">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储罐名称</w:t>
                  </w:r>
                </w:p>
              </w:tc>
              <w:tc>
                <w:tcPr>
                  <w:tcW w:w="493" w:type="pct"/>
                  <w:vAlign w:val="center"/>
                </w:tcPr>
                <w:p w14:paraId="5A425D64">
                  <w:pPr>
                    <w:jc w:val="center"/>
                    <w:rPr>
                      <w:rFonts w:ascii="Times New Roman" w:hAnsi="Times New Roman"/>
                      <w:color w:val="auto"/>
                      <w:sz w:val="18"/>
                      <w:szCs w:val="18"/>
                    </w:rPr>
                  </w:pPr>
                  <w:r>
                    <w:rPr>
                      <w:rFonts w:ascii="Times New Roman" w:hAnsi="Times New Roman"/>
                      <w:color w:val="auto"/>
                      <w:sz w:val="18"/>
                      <w:szCs w:val="18"/>
                    </w:rPr>
                    <w:t>储罐型式</w:t>
                  </w:r>
                </w:p>
              </w:tc>
              <w:tc>
                <w:tcPr>
                  <w:tcW w:w="356" w:type="pct"/>
                  <w:vAlign w:val="center"/>
                </w:tcPr>
                <w:p w14:paraId="3F05B6B2">
                  <w:pPr>
                    <w:jc w:val="center"/>
                    <w:rPr>
                      <w:rFonts w:ascii="Times New Roman" w:hAnsi="Times New Roman"/>
                      <w:color w:val="auto"/>
                      <w:sz w:val="18"/>
                      <w:szCs w:val="18"/>
                    </w:rPr>
                  </w:pPr>
                  <w:r>
                    <w:rPr>
                      <w:rFonts w:ascii="Times New Roman" w:hAnsi="Times New Roman"/>
                      <w:color w:val="auto"/>
                      <w:sz w:val="18"/>
                      <w:szCs w:val="18"/>
                    </w:rPr>
                    <w:t>储罐容积m</w:t>
                  </w:r>
                  <w:r>
                    <w:rPr>
                      <w:rFonts w:ascii="Times New Roman" w:hAnsi="Times New Roman"/>
                      <w:color w:val="auto"/>
                      <w:sz w:val="18"/>
                      <w:szCs w:val="18"/>
                      <w:vertAlign w:val="superscript"/>
                    </w:rPr>
                    <w:t>3</w:t>
                  </w:r>
                </w:p>
              </w:tc>
              <w:tc>
                <w:tcPr>
                  <w:tcW w:w="667" w:type="pct"/>
                  <w:noWrap/>
                  <w:vAlign w:val="center"/>
                </w:tcPr>
                <w:p w14:paraId="7FED8F01">
                  <w:pPr>
                    <w:jc w:val="center"/>
                    <w:rPr>
                      <w:rFonts w:ascii="Times New Roman" w:hAnsi="Times New Roman"/>
                      <w:color w:val="auto"/>
                      <w:sz w:val="18"/>
                      <w:szCs w:val="18"/>
                    </w:rPr>
                  </w:pPr>
                  <w:r>
                    <w:rPr>
                      <w:rFonts w:ascii="Times New Roman" w:hAnsi="Times New Roman"/>
                      <w:color w:val="auto"/>
                      <w:sz w:val="18"/>
                      <w:szCs w:val="18"/>
                    </w:rPr>
                    <w:t>规格（m）</w:t>
                  </w:r>
                </w:p>
                <w:p w14:paraId="593E9DAF">
                  <w:pPr>
                    <w:jc w:val="center"/>
                    <w:rPr>
                      <w:rFonts w:ascii="Times New Roman" w:hAnsi="Times New Roman"/>
                      <w:color w:val="auto"/>
                      <w:sz w:val="18"/>
                      <w:szCs w:val="18"/>
                    </w:rPr>
                  </w:pPr>
                  <w:r>
                    <w:rPr>
                      <w:rFonts w:ascii="Times New Roman" w:hAnsi="Times New Roman"/>
                      <w:color w:val="auto"/>
                      <w:sz w:val="18"/>
                      <w:szCs w:val="18"/>
                    </w:rPr>
                    <w:t>（内径×壁高）</w:t>
                  </w:r>
                </w:p>
              </w:tc>
              <w:tc>
                <w:tcPr>
                  <w:tcW w:w="222" w:type="pct"/>
                  <w:vAlign w:val="center"/>
                </w:tcPr>
                <w:p w14:paraId="659D58E7">
                  <w:pPr>
                    <w:jc w:val="center"/>
                    <w:rPr>
                      <w:rFonts w:ascii="Times New Roman" w:hAnsi="Times New Roman"/>
                      <w:color w:val="auto"/>
                      <w:sz w:val="18"/>
                      <w:szCs w:val="18"/>
                    </w:rPr>
                  </w:pPr>
                  <w:r>
                    <w:rPr>
                      <w:rFonts w:ascii="Times New Roman" w:hAnsi="Times New Roman"/>
                      <w:color w:val="auto"/>
                      <w:sz w:val="18"/>
                      <w:szCs w:val="18"/>
                    </w:rPr>
                    <w:t>储罐</w:t>
                  </w:r>
                </w:p>
                <w:p w14:paraId="5234264E">
                  <w:pPr>
                    <w:jc w:val="center"/>
                    <w:rPr>
                      <w:rFonts w:ascii="Times New Roman" w:hAnsi="Times New Roman"/>
                      <w:color w:val="auto"/>
                      <w:sz w:val="18"/>
                      <w:szCs w:val="18"/>
                    </w:rPr>
                  </w:pPr>
                  <w:r>
                    <w:rPr>
                      <w:rFonts w:ascii="Times New Roman" w:hAnsi="Times New Roman"/>
                      <w:color w:val="auto"/>
                      <w:sz w:val="18"/>
                      <w:szCs w:val="18"/>
                    </w:rPr>
                    <w:t>个数</w:t>
                  </w:r>
                </w:p>
              </w:tc>
              <w:tc>
                <w:tcPr>
                  <w:tcW w:w="512" w:type="pct"/>
                  <w:noWrap/>
                  <w:vAlign w:val="center"/>
                </w:tcPr>
                <w:p w14:paraId="26262284">
                  <w:pPr>
                    <w:jc w:val="center"/>
                    <w:rPr>
                      <w:rFonts w:ascii="Times New Roman" w:hAnsi="Times New Roman"/>
                      <w:color w:val="auto"/>
                      <w:sz w:val="18"/>
                      <w:szCs w:val="18"/>
                    </w:rPr>
                  </w:pPr>
                  <w:r>
                    <w:rPr>
                      <w:rFonts w:ascii="Times New Roman" w:hAnsi="Times New Roman"/>
                      <w:color w:val="auto"/>
                      <w:sz w:val="18"/>
                      <w:szCs w:val="18"/>
                    </w:rPr>
                    <w:t>工作温度</w:t>
                  </w:r>
                </w:p>
                <w:p w14:paraId="35AE4F1C">
                  <w:pPr>
                    <w:jc w:val="center"/>
                    <w:rPr>
                      <w:rFonts w:ascii="Times New Roman" w:hAnsi="Times New Roman"/>
                      <w:color w:val="auto"/>
                      <w:sz w:val="18"/>
                      <w:szCs w:val="18"/>
                    </w:rPr>
                  </w:pPr>
                  <w:r>
                    <w:rPr>
                      <w:rFonts w:ascii="Times New Roman" w:hAnsi="Times New Roman"/>
                      <w:color w:val="auto"/>
                      <w:sz w:val="18"/>
                      <w:szCs w:val="18"/>
                    </w:rPr>
                    <w:t>（℃）</w:t>
                  </w:r>
                </w:p>
              </w:tc>
              <w:tc>
                <w:tcPr>
                  <w:tcW w:w="436" w:type="pct"/>
                  <w:vAlign w:val="center"/>
                </w:tcPr>
                <w:p w14:paraId="42C07CEA">
                  <w:pPr>
                    <w:jc w:val="center"/>
                    <w:rPr>
                      <w:rFonts w:ascii="Times New Roman" w:hAnsi="Times New Roman"/>
                      <w:color w:val="auto"/>
                      <w:sz w:val="18"/>
                      <w:szCs w:val="18"/>
                    </w:rPr>
                  </w:pPr>
                  <w:r>
                    <w:rPr>
                      <w:rFonts w:ascii="Times New Roman" w:hAnsi="Times New Roman"/>
                      <w:color w:val="auto"/>
                      <w:sz w:val="18"/>
                      <w:szCs w:val="18"/>
                    </w:rPr>
                    <w:t>工作压力</w:t>
                  </w:r>
                </w:p>
                <w:p w14:paraId="7B1DB7AA">
                  <w:pPr>
                    <w:jc w:val="center"/>
                    <w:rPr>
                      <w:rFonts w:ascii="Times New Roman" w:hAnsi="Times New Roman"/>
                      <w:color w:val="auto"/>
                      <w:sz w:val="18"/>
                      <w:szCs w:val="18"/>
                    </w:rPr>
                  </w:pPr>
                  <w:r>
                    <w:rPr>
                      <w:rFonts w:ascii="Times New Roman" w:hAnsi="Times New Roman"/>
                      <w:snapToGrid w:val="0"/>
                      <w:color w:val="auto"/>
                      <w:kern w:val="0"/>
                      <w:sz w:val="18"/>
                      <w:szCs w:val="18"/>
                    </w:rPr>
                    <w:t>(MPa)</w:t>
                  </w:r>
                </w:p>
              </w:tc>
              <w:tc>
                <w:tcPr>
                  <w:tcW w:w="462" w:type="pct"/>
                  <w:vAlign w:val="center"/>
                </w:tcPr>
                <w:p w14:paraId="228E4288">
                  <w:pPr>
                    <w:jc w:val="center"/>
                    <w:rPr>
                      <w:rFonts w:ascii="Times New Roman" w:hAnsi="Times New Roman"/>
                      <w:color w:val="auto"/>
                      <w:sz w:val="18"/>
                      <w:szCs w:val="18"/>
                    </w:rPr>
                  </w:pPr>
                  <w:r>
                    <w:rPr>
                      <w:rFonts w:ascii="Times New Roman" w:hAnsi="Times New Roman"/>
                      <w:color w:val="auto"/>
                      <w:sz w:val="18"/>
                      <w:szCs w:val="18"/>
                    </w:rPr>
                    <w:t>介质密度</w:t>
                  </w:r>
                </w:p>
                <w:p w14:paraId="3E1BF470">
                  <w:pPr>
                    <w:jc w:val="center"/>
                    <w:rPr>
                      <w:rFonts w:ascii="Times New Roman" w:hAnsi="Times New Roman"/>
                      <w:color w:val="auto"/>
                      <w:sz w:val="18"/>
                      <w:szCs w:val="18"/>
                    </w:rPr>
                  </w:pPr>
                  <w:r>
                    <w:rPr>
                      <w:rFonts w:ascii="Times New Roman" w:hAnsi="Times New Roman"/>
                      <w:color w:val="auto"/>
                      <w:sz w:val="18"/>
                      <w:szCs w:val="18"/>
                    </w:rPr>
                    <w:t>kg/m</w:t>
                  </w:r>
                  <w:r>
                    <w:rPr>
                      <w:rFonts w:ascii="Times New Roman" w:hAnsi="Times New Roman"/>
                      <w:color w:val="auto"/>
                      <w:sz w:val="18"/>
                      <w:szCs w:val="18"/>
                      <w:vertAlign w:val="superscript"/>
                    </w:rPr>
                    <w:t>3</w:t>
                  </w:r>
                </w:p>
              </w:tc>
              <w:tc>
                <w:tcPr>
                  <w:tcW w:w="320" w:type="pct"/>
                  <w:vAlign w:val="center"/>
                </w:tcPr>
                <w:p w14:paraId="45ED01E5">
                  <w:pPr>
                    <w:jc w:val="center"/>
                    <w:rPr>
                      <w:rFonts w:ascii="Times New Roman" w:hAnsi="Times New Roman"/>
                      <w:color w:val="auto"/>
                      <w:sz w:val="18"/>
                      <w:szCs w:val="18"/>
                    </w:rPr>
                  </w:pPr>
                  <w:r>
                    <w:rPr>
                      <w:rFonts w:ascii="Times New Roman" w:hAnsi="Times New Roman"/>
                      <w:color w:val="auto"/>
                      <w:sz w:val="18"/>
                      <w:szCs w:val="18"/>
                    </w:rPr>
                    <w:t>装填</w:t>
                  </w:r>
                </w:p>
                <w:p w14:paraId="517D33F2">
                  <w:pPr>
                    <w:jc w:val="center"/>
                    <w:rPr>
                      <w:rFonts w:ascii="Times New Roman" w:hAnsi="Times New Roman"/>
                      <w:color w:val="auto"/>
                      <w:sz w:val="18"/>
                      <w:szCs w:val="18"/>
                    </w:rPr>
                  </w:pPr>
                  <w:r>
                    <w:rPr>
                      <w:rFonts w:ascii="Times New Roman" w:hAnsi="Times New Roman"/>
                      <w:color w:val="auto"/>
                      <w:sz w:val="18"/>
                      <w:szCs w:val="18"/>
                    </w:rPr>
                    <w:t>系数</w:t>
                  </w:r>
                </w:p>
              </w:tc>
              <w:tc>
                <w:tcPr>
                  <w:tcW w:w="670" w:type="pct"/>
                  <w:vAlign w:val="center"/>
                </w:tcPr>
                <w:p w14:paraId="08CE1B08">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变化情况</w:t>
                  </w:r>
                </w:p>
              </w:tc>
            </w:tr>
            <w:tr w14:paraId="42E51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7" w:type="pct"/>
                  <w:vMerge w:val="restart"/>
                  <w:noWrap/>
                  <w:vAlign w:val="center"/>
                </w:tcPr>
                <w:p w14:paraId="05CDEC65">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甲醇原料罐</w:t>
                  </w:r>
                </w:p>
              </w:tc>
              <w:tc>
                <w:tcPr>
                  <w:tcW w:w="493" w:type="pct"/>
                  <w:vAlign w:val="center"/>
                </w:tcPr>
                <w:p w14:paraId="47F2A50D">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固定顶</w:t>
                  </w:r>
                </w:p>
              </w:tc>
              <w:tc>
                <w:tcPr>
                  <w:tcW w:w="356" w:type="pct"/>
                  <w:vAlign w:val="center"/>
                </w:tcPr>
                <w:p w14:paraId="42B2ACB4">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1000</w:t>
                  </w:r>
                </w:p>
              </w:tc>
              <w:tc>
                <w:tcPr>
                  <w:tcW w:w="667" w:type="pct"/>
                  <w:shd w:val="clear" w:color="auto" w:fill="auto"/>
                  <w:noWrap/>
                  <w:vAlign w:val="center"/>
                </w:tcPr>
                <w:p w14:paraId="5B984C15">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sz w:val="18"/>
                      <w:szCs w:val="18"/>
                      <w:highlight w:val="none"/>
                    </w:rPr>
                    <w:t>Φ</w:t>
                  </w:r>
                  <w:r>
                    <w:rPr>
                      <w:rFonts w:hint="eastAsia"/>
                      <w:color w:val="auto"/>
                      <w:sz w:val="18"/>
                      <w:szCs w:val="18"/>
                      <w:highlight w:val="none"/>
                      <w:lang w:val="en-US" w:eastAsia="zh-CN"/>
                    </w:rPr>
                    <w:t>11</w:t>
                  </w:r>
                  <w:r>
                    <w:rPr>
                      <w:rFonts w:ascii="Times New Roman" w:hAnsi="Times New Roman"/>
                      <w:color w:val="auto"/>
                      <w:sz w:val="18"/>
                      <w:szCs w:val="18"/>
                      <w:highlight w:val="none"/>
                    </w:rPr>
                    <w:t>m×</w:t>
                  </w:r>
                  <w:r>
                    <w:rPr>
                      <w:rFonts w:hint="eastAsia"/>
                      <w:color w:val="auto"/>
                      <w:sz w:val="18"/>
                      <w:szCs w:val="18"/>
                      <w:highlight w:val="none"/>
                      <w:lang w:val="en-US" w:eastAsia="zh-CN"/>
                    </w:rPr>
                    <w:t>11</w:t>
                  </w:r>
                  <w:r>
                    <w:rPr>
                      <w:rFonts w:ascii="Times New Roman" w:hAnsi="Times New Roman"/>
                      <w:color w:val="auto"/>
                      <w:sz w:val="18"/>
                      <w:szCs w:val="18"/>
                      <w:highlight w:val="none"/>
                    </w:rPr>
                    <w:t>m</w:t>
                  </w:r>
                </w:p>
              </w:tc>
              <w:tc>
                <w:tcPr>
                  <w:tcW w:w="222" w:type="pct"/>
                  <w:shd w:val="clear" w:color="auto" w:fill="auto"/>
                  <w:vAlign w:val="center"/>
                </w:tcPr>
                <w:p w14:paraId="7CABA18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12" w:type="pct"/>
                  <w:shd w:val="clear" w:color="auto" w:fill="auto"/>
                  <w:noWrap/>
                  <w:vAlign w:val="center"/>
                </w:tcPr>
                <w:p w14:paraId="2528B75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436" w:type="pct"/>
                  <w:shd w:val="clear" w:color="auto" w:fill="auto"/>
                  <w:vAlign w:val="center"/>
                </w:tcPr>
                <w:p w14:paraId="260D453E">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常压</w:t>
                  </w:r>
                </w:p>
              </w:tc>
              <w:tc>
                <w:tcPr>
                  <w:tcW w:w="462" w:type="pct"/>
                  <w:shd w:val="clear" w:color="auto" w:fill="auto"/>
                  <w:vAlign w:val="center"/>
                </w:tcPr>
                <w:p w14:paraId="6626127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790</w:t>
                  </w:r>
                </w:p>
              </w:tc>
              <w:tc>
                <w:tcPr>
                  <w:tcW w:w="320" w:type="pct"/>
                  <w:shd w:val="clear" w:color="auto" w:fill="auto"/>
                  <w:vAlign w:val="center"/>
                </w:tcPr>
                <w:p w14:paraId="5D9E7EB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0.8</w:t>
                  </w:r>
                </w:p>
              </w:tc>
              <w:tc>
                <w:tcPr>
                  <w:tcW w:w="670" w:type="pct"/>
                  <w:shd w:val="clear" w:color="auto" w:fill="auto"/>
                  <w:vAlign w:val="center"/>
                </w:tcPr>
                <w:p w14:paraId="7E54AD98">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保持不变</w:t>
                  </w:r>
                </w:p>
              </w:tc>
            </w:tr>
            <w:tr w14:paraId="2743A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7" w:type="pct"/>
                  <w:vMerge w:val="continue"/>
                  <w:noWrap/>
                  <w:vAlign w:val="center"/>
                </w:tcPr>
                <w:p w14:paraId="637C0556">
                  <w:pPr>
                    <w:jc w:val="center"/>
                    <w:rPr>
                      <w:rFonts w:hint="eastAsia"/>
                      <w:color w:val="auto"/>
                      <w:sz w:val="18"/>
                      <w:szCs w:val="18"/>
                      <w:lang w:val="en-US" w:eastAsia="zh-CN"/>
                    </w:rPr>
                  </w:pPr>
                </w:p>
              </w:tc>
              <w:tc>
                <w:tcPr>
                  <w:tcW w:w="493" w:type="pct"/>
                  <w:shd w:val="clear" w:color="auto" w:fill="auto"/>
                  <w:vAlign w:val="center"/>
                </w:tcPr>
                <w:p w14:paraId="3992735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内浮顶</w:t>
                  </w:r>
                </w:p>
              </w:tc>
              <w:tc>
                <w:tcPr>
                  <w:tcW w:w="356" w:type="pct"/>
                  <w:shd w:val="clear" w:color="auto" w:fill="auto"/>
                  <w:vAlign w:val="center"/>
                </w:tcPr>
                <w:p w14:paraId="01FA9EDD">
                  <w:pPr>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1000</w:t>
                  </w:r>
                </w:p>
              </w:tc>
              <w:tc>
                <w:tcPr>
                  <w:tcW w:w="667" w:type="pct"/>
                  <w:shd w:val="clear" w:color="auto" w:fill="auto"/>
                  <w:noWrap/>
                  <w:vAlign w:val="center"/>
                </w:tcPr>
                <w:p w14:paraId="05E9DBC6">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sz w:val="18"/>
                      <w:szCs w:val="18"/>
                      <w:highlight w:val="none"/>
                    </w:rPr>
                    <w:t>Φ</w:t>
                  </w:r>
                  <w:r>
                    <w:rPr>
                      <w:rFonts w:hint="eastAsia"/>
                      <w:color w:val="auto"/>
                      <w:sz w:val="18"/>
                      <w:szCs w:val="18"/>
                      <w:highlight w:val="none"/>
                      <w:lang w:val="en-US" w:eastAsia="zh-CN"/>
                    </w:rPr>
                    <w:t>11</w:t>
                  </w:r>
                  <w:r>
                    <w:rPr>
                      <w:rFonts w:ascii="Times New Roman" w:hAnsi="Times New Roman"/>
                      <w:color w:val="auto"/>
                      <w:sz w:val="18"/>
                      <w:szCs w:val="18"/>
                      <w:highlight w:val="none"/>
                    </w:rPr>
                    <w:t>m×</w:t>
                  </w:r>
                  <w:r>
                    <w:rPr>
                      <w:rFonts w:hint="eastAsia"/>
                      <w:color w:val="auto"/>
                      <w:sz w:val="18"/>
                      <w:szCs w:val="18"/>
                      <w:highlight w:val="none"/>
                      <w:lang w:val="en-US" w:eastAsia="zh-CN"/>
                    </w:rPr>
                    <w:t>11</w:t>
                  </w:r>
                  <w:r>
                    <w:rPr>
                      <w:rFonts w:ascii="Times New Roman" w:hAnsi="Times New Roman"/>
                      <w:color w:val="auto"/>
                      <w:sz w:val="18"/>
                      <w:szCs w:val="18"/>
                      <w:highlight w:val="none"/>
                    </w:rPr>
                    <w:t>m</w:t>
                  </w:r>
                </w:p>
              </w:tc>
              <w:tc>
                <w:tcPr>
                  <w:tcW w:w="222" w:type="pct"/>
                  <w:shd w:val="clear" w:color="auto" w:fill="auto"/>
                  <w:vAlign w:val="center"/>
                </w:tcPr>
                <w:p w14:paraId="4BBFBBA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512" w:type="pct"/>
                  <w:shd w:val="clear" w:color="auto" w:fill="auto"/>
                  <w:noWrap/>
                  <w:vAlign w:val="center"/>
                </w:tcPr>
                <w:p w14:paraId="2CAB95D3">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436" w:type="pct"/>
                  <w:shd w:val="clear" w:color="auto" w:fill="auto"/>
                  <w:vAlign w:val="center"/>
                </w:tcPr>
                <w:p w14:paraId="6A2E3715">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常压</w:t>
                  </w:r>
                </w:p>
              </w:tc>
              <w:tc>
                <w:tcPr>
                  <w:tcW w:w="462" w:type="pct"/>
                  <w:shd w:val="clear" w:color="auto" w:fill="auto"/>
                  <w:vAlign w:val="center"/>
                </w:tcPr>
                <w:p w14:paraId="3D20046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790</w:t>
                  </w:r>
                </w:p>
              </w:tc>
              <w:tc>
                <w:tcPr>
                  <w:tcW w:w="320" w:type="pct"/>
                  <w:shd w:val="clear" w:color="auto" w:fill="auto"/>
                  <w:vAlign w:val="center"/>
                </w:tcPr>
                <w:p w14:paraId="44956B79">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w:t>
                  </w:r>
                </w:p>
              </w:tc>
              <w:tc>
                <w:tcPr>
                  <w:tcW w:w="670" w:type="pct"/>
                  <w:shd w:val="clear" w:color="auto" w:fill="auto"/>
                  <w:vAlign w:val="center"/>
                </w:tcPr>
                <w:p w14:paraId="1C5BDECD">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本次新增</w:t>
                  </w:r>
                </w:p>
              </w:tc>
            </w:tr>
            <w:tr w14:paraId="433CB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7" w:type="pct"/>
                  <w:noWrap/>
                  <w:vAlign w:val="center"/>
                </w:tcPr>
                <w:p w14:paraId="665640AB">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叔丁醇产品暂存罐</w:t>
                  </w:r>
                </w:p>
              </w:tc>
              <w:tc>
                <w:tcPr>
                  <w:tcW w:w="493" w:type="pct"/>
                  <w:vAlign w:val="center"/>
                </w:tcPr>
                <w:p w14:paraId="15FBDDB4">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卧式</w:t>
                  </w:r>
                </w:p>
              </w:tc>
              <w:tc>
                <w:tcPr>
                  <w:tcW w:w="356" w:type="pct"/>
                  <w:vAlign w:val="center"/>
                </w:tcPr>
                <w:p w14:paraId="7A750659">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50</w:t>
                  </w:r>
                </w:p>
              </w:tc>
              <w:tc>
                <w:tcPr>
                  <w:tcW w:w="667" w:type="pct"/>
                  <w:shd w:val="clear" w:color="auto" w:fill="auto"/>
                  <w:noWrap/>
                  <w:vAlign w:val="center"/>
                </w:tcPr>
                <w:p w14:paraId="76817ADE">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sz w:val="18"/>
                      <w:szCs w:val="18"/>
                      <w:highlight w:val="none"/>
                    </w:rPr>
                    <w:t>Φ2</w:t>
                  </w:r>
                  <w:r>
                    <w:rPr>
                      <w:rFonts w:hint="eastAsia"/>
                      <w:color w:val="auto"/>
                      <w:sz w:val="18"/>
                      <w:szCs w:val="18"/>
                      <w:highlight w:val="none"/>
                      <w:lang w:val="en-US" w:eastAsia="zh-CN"/>
                    </w:rPr>
                    <w:t>.</w:t>
                  </w:r>
                  <w:r>
                    <w:rPr>
                      <w:rFonts w:ascii="Times New Roman" w:hAnsi="Times New Roman"/>
                      <w:color w:val="auto"/>
                      <w:sz w:val="18"/>
                      <w:szCs w:val="18"/>
                      <w:highlight w:val="none"/>
                    </w:rPr>
                    <w:t>8m×9m</w:t>
                  </w:r>
                </w:p>
              </w:tc>
              <w:tc>
                <w:tcPr>
                  <w:tcW w:w="222" w:type="pct"/>
                  <w:shd w:val="clear" w:color="auto" w:fill="auto"/>
                  <w:vAlign w:val="center"/>
                </w:tcPr>
                <w:p w14:paraId="60537E4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12" w:type="pct"/>
                  <w:shd w:val="clear" w:color="auto" w:fill="auto"/>
                  <w:noWrap/>
                  <w:vAlign w:val="center"/>
                </w:tcPr>
                <w:p w14:paraId="324623C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436" w:type="pct"/>
                  <w:shd w:val="clear" w:color="auto" w:fill="auto"/>
                  <w:vAlign w:val="center"/>
                </w:tcPr>
                <w:p w14:paraId="47D7256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常压</w:t>
                  </w:r>
                </w:p>
              </w:tc>
              <w:tc>
                <w:tcPr>
                  <w:tcW w:w="462" w:type="pct"/>
                  <w:shd w:val="clear" w:color="auto" w:fill="auto"/>
                  <w:vAlign w:val="center"/>
                </w:tcPr>
                <w:p w14:paraId="23C24B97">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7</w:t>
                  </w:r>
                  <w:r>
                    <w:rPr>
                      <w:rFonts w:hint="eastAsia"/>
                      <w:color w:val="auto"/>
                      <w:sz w:val="18"/>
                      <w:szCs w:val="18"/>
                      <w:lang w:val="en-US" w:eastAsia="zh-CN"/>
                    </w:rPr>
                    <w:t>80</w:t>
                  </w:r>
                </w:p>
              </w:tc>
              <w:tc>
                <w:tcPr>
                  <w:tcW w:w="320" w:type="pct"/>
                  <w:shd w:val="clear" w:color="auto" w:fill="auto"/>
                  <w:vAlign w:val="center"/>
                </w:tcPr>
                <w:p w14:paraId="6FDAA6A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0.8</w:t>
                  </w:r>
                </w:p>
              </w:tc>
              <w:tc>
                <w:tcPr>
                  <w:tcW w:w="670" w:type="pct"/>
                  <w:shd w:val="clear" w:color="auto" w:fill="auto"/>
                  <w:vAlign w:val="center"/>
                </w:tcPr>
                <w:p w14:paraId="3AC30B8E">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数量减少2个</w:t>
                  </w:r>
                </w:p>
              </w:tc>
            </w:tr>
            <w:tr w14:paraId="529C7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57" w:type="pct"/>
                  <w:shd w:val="clear" w:color="auto" w:fill="auto"/>
                  <w:noWrap/>
                  <w:vAlign w:val="center"/>
                </w:tcPr>
                <w:p w14:paraId="3EB37C5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叔丁醇产品罐</w:t>
                  </w:r>
                </w:p>
              </w:tc>
              <w:tc>
                <w:tcPr>
                  <w:tcW w:w="493" w:type="pct"/>
                  <w:shd w:val="clear" w:color="auto" w:fill="auto"/>
                  <w:vAlign w:val="center"/>
                </w:tcPr>
                <w:p w14:paraId="373E8B9B">
                  <w:pPr>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内浮顶</w:t>
                  </w:r>
                </w:p>
              </w:tc>
              <w:tc>
                <w:tcPr>
                  <w:tcW w:w="356" w:type="pct"/>
                  <w:shd w:val="clear" w:color="auto" w:fill="auto"/>
                  <w:vAlign w:val="center"/>
                </w:tcPr>
                <w:p w14:paraId="293FF069">
                  <w:pPr>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1000</w:t>
                  </w:r>
                </w:p>
              </w:tc>
              <w:tc>
                <w:tcPr>
                  <w:tcW w:w="667" w:type="pct"/>
                  <w:shd w:val="clear" w:color="auto" w:fill="auto"/>
                  <w:noWrap/>
                  <w:vAlign w:val="center"/>
                </w:tcPr>
                <w:p w14:paraId="401F783D">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color w:val="auto"/>
                      <w:sz w:val="18"/>
                      <w:szCs w:val="18"/>
                      <w:highlight w:val="none"/>
                    </w:rPr>
                    <w:t>Φ</w:t>
                  </w:r>
                  <w:r>
                    <w:rPr>
                      <w:rFonts w:hint="eastAsia"/>
                      <w:color w:val="auto"/>
                      <w:sz w:val="18"/>
                      <w:szCs w:val="18"/>
                      <w:highlight w:val="none"/>
                      <w:lang w:val="en-US" w:eastAsia="zh-CN"/>
                    </w:rPr>
                    <w:t>11</w:t>
                  </w:r>
                  <w:r>
                    <w:rPr>
                      <w:rFonts w:ascii="Times New Roman" w:hAnsi="Times New Roman"/>
                      <w:color w:val="auto"/>
                      <w:sz w:val="18"/>
                      <w:szCs w:val="18"/>
                      <w:highlight w:val="none"/>
                    </w:rPr>
                    <w:t>m×1</w:t>
                  </w:r>
                  <w:r>
                    <w:rPr>
                      <w:rFonts w:hint="eastAsia"/>
                      <w:color w:val="auto"/>
                      <w:sz w:val="18"/>
                      <w:szCs w:val="18"/>
                      <w:highlight w:val="none"/>
                      <w:lang w:val="en-US" w:eastAsia="zh-CN"/>
                    </w:rPr>
                    <w:t>1</w:t>
                  </w:r>
                  <w:r>
                    <w:rPr>
                      <w:rFonts w:ascii="Times New Roman" w:hAnsi="Times New Roman"/>
                      <w:color w:val="auto"/>
                      <w:sz w:val="18"/>
                      <w:szCs w:val="18"/>
                      <w:highlight w:val="none"/>
                    </w:rPr>
                    <w:t>m</w:t>
                  </w:r>
                </w:p>
              </w:tc>
              <w:tc>
                <w:tcPr>
                  <w:tcW w:w="222" w:type="pct"/>
                  <w:shd w:val="clear" w:color="auto" w:fill="auto"/>
                  <w:vAlign w:val="center"/>
                </w:tcPr>
                <w:p w14:paraId="362511D1">
                  <w:pPr>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1</w:t>
                  </w:r>
                </w:p>
              </w:tc>
              <w:tc>
                <w:tcPr>
                  <w:tcW w:w="512" w:type="pct"/>
                  <w:shd w:val="clear" w:color="auto" w:fill="auto"/>
                  <w:noWrap/>
                  <w:vAlign w:val="center"/>
                </w:tcPr>
                <w:p w14:paraId="46989AC3">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436" w:type="pct"/>
                  <w:shd w:val="clear" w:color="auto" w:fill="auto"/>
                  <w:vAlign w:val="center"/>
                </w:tcPr>
                <w:p w14:paraId="1097BA2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常压</w:t>
                  </w:r>
                </w:p>
              </w:tc>
              <w:tc>
                <w:tcPr>
                  <w:tcW w:w="462" w:type="pct"/>
                  <w:shd w:val="clear" w:color="auto" w:fill="auto"/>
                  <w:vAlign w:val="center"/>
                </w:tcPr>
                <w:p w14:paraId="3005A393">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7</w:t>
                  </w:r>
                  <w:r>
                    <w:rPr>
                      <w:rFonts w:hint="eastAsia"/>
                      <w:color w:val="auto"/>
                      <w:sz w:val="18"/>
                      <w:szCs w:val="18"/>
                      <w:lang w:val="en-US" w:eastAsia="zh-CN"/>
                    </w:rPr>
                    <w:t>80</w:t>
                  </w:r>
                </w:p>
              </w:tc>
              <w:tc>
                <w:tcPr>
                  <w:tcW w:w="320" w:type="pct"/>
                  <w:shd w:val="clear" w:color="auto" w:fill="auto"/>
                  <w:vAlign w:val="center"/>
                </w:tcPr>
                <w:p w14:paraId="3ABA7CC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0.8</w:t>
                  </w:r>
                </w:p>
              </w:tc>
              <w:tc>
                <w:tcPr>
                  <w:tcW w:w="670" w:type="pct"/>
                  <w:shd w:val="clear" w:color="auto" w:fill="auto"/>
                  <w:vAlign w:val="center"/>
                </w:tcPr>
                <w:p w14:paraId="126AAC06">
                  <w:pPr>
                    <w:jc w:val="center"/>
                    <w:rPr>
                      <w:rFonts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本次新增</w:t>
                  </w:r>
                </w:p>
              </w:tc>
            </w:tr>
          </w:tbl>
          <w:p w14:paraId="3F6D9175">
            <w:pPr>
              <w:adjustRightInd w:val="0"/>
              <w:snapToGrid w:val="0"/>
              <w:spacing w:line="440" w:lineRule="exact"/>
              <w:ind w:firstLine="422" w:firstLineChars="200"/>
              <w:rPr>
                <w:rFonts w:hint="default" w:eastAsia="宋体"/>
                <w:b/>
                <w:bCs/>
                <w:color w:val="auto"/>
                <w:szCs w:val="21"/>
                <w:lang w:val="en-US" w:eastAsia="zh-CN"/>
              </w:rPr>
            </w:pPr>
            <w:r>
              <w:rPr>
                <w:rFonts w:hint="eastAsia"/>
                <w:b/>
                <w:bCs/>
                <w:color w:val="auto"/>
                <w:szCs w:val="21"/>
                <w:lang w:val="en-US" w:eastAsia="zh-CN"/>
              </w:rPr>
              <w:t>2</w:t>
            </w:r>
            <w:r>
              <w:rPr>
                <w:rFonts w:hint="eastAsia"/>
                <w:b/>
                <w:bCs/>
                <w:color w:val="auto"/>
                <w:szCs w:val="21"/>
                <w:lang w:eastAsia="zh-CN"/>
              </w:rPr>
              <w:t>）</w:t>
            </w:r>
            <w:r>
              <w:rPr>
                <w:rFonts w:hint="eastAsia"/>
                <w:b/>
                <w:bCs/>
                <w:color w:val="auto"/>
                <w:szCs w:val="21"/>
                <w:lang w:val="en-US" w:eastAsia="zh-CN"/>
              </w:rPr>
              <w:t>机泵</w:t>
            </w:r>
          </w:p>
          <w:p w14:paraId="64B3A474">
            <w:pPr>
              <w:adjustRightInd w:val="0"/>
              <w:snapToGrid w:val="0"/>
              <w:spacing w:line="440" w:lineRule="exact"/>
              <w:ind w:firstLine="420" w:firstLineChars="200"/>
              <w:rPr>
                <w:rFonts w:hint="default" w:eastAsia="宋体"/>
                <w:b w:val="0"/>
                <w:bCs w:val="0"/>
                <w:color w:val="auto"/>
                <w:szCs w:val="21"/>
                <w:lang w:val="en-US" w:eastAsia="zh-CN"/>
              </w:rPr>
            </w:pPr>
            <w:r>
              <w:rPr>
                <w:rFonts w:hint="eastAsia"/>
                <w:b w:val="0"/>
                <w:bCs w:val="0"/>
                <w:color w:val="auto"/>
                <w:szCs w:val="21"/>
                <w:lang w:val="en-US" w:eastAsia="zh-CN"/>
              </w:rPr>
              <w:t>本项目主要机泵设置情况如下：</w:t>
            </w:r>
          </w:p>
          <w:p w14:paraId="038D1288">
            <w:pPr>
              <w:adjustRightInd w:val="0"/>
              <w:snapToGrid w:val="0"/>
              <w:spacing w:before="120" w:beforeLines="50"/>
              <w:jc w:val="center"/>
              <w:rPr>
                <w:b/>
                <w:color w:val="auto"/>
                <w:szCs w:val="21"/>
              </w:rPr>
            </w:pPr>
          </w:p>
          <w:p w14:paraId="3BA681AE">
            <w:pPr>
              <w:adjustRightInd w:val="0"/>
              <w:snapToGrid w:val="0"/>
              <w:spacing w:before="120" w:beforeLines="50"/>
              <w:jc w:val="center"/>
              <w:rPr>
                <w:b/>
                <w:color w:val="auto"/>
                <w:szCs w:val="21"/>
              </w:rPr>
            </w:pPr>
          </w:p>
          <w:p w14:paraId="134C1BAA">
            <w:pPr>
              <w:adjustRightInd w:val="0"/>
              <w:snapToGrid w:val="0"/>
              <w:spacing w:before="120" w:beforeLines="50"/>
              <w:jc w:val="center"/>
              <w:rPr>
                <w:b/>
                <w:color w:val="auto"/>
                <w:szCs w:val="21"/>
              </w:rPr>
            </w:pPr>
            <w:r>
              <w:rPr>
                <w:b/>
                <w:color w:val="auto"/>
                <w:szCs w:val="21"/>
              </w:rPr>
              <w:t>表</w:t>
            </w:r>
            <w:r>
              <w:rPr>
                <w:rFonts w:hint="eastAsia"/>
                <w:b/>
                <w:color w:val="auto"/>
                <w:szCs w:val="21"/>
              </w:rPr>
              <w:t>2</w:t>
            </w:r>
            <w:r>
              <w:rPr>
                <w:rFonts w:hint="eastAsia"/>
                <w:b/>
                <w:color w:val="auto"/>
                <w:szCs w:val="21"/>
                <w:lang w:val="en-US" w:eastAsia="zh-CN"/>
              </w:rPr>
              <w:t>-6</w:t>
            </w:r>
            <w:r>
              <w:rPr>
                <w:b/>
                <w:color w:val="auto"/>
                <w:szCs w:val="21"/>
              </w:rPr>
              <w:t xml:space="preserve">  </w:t>
            </w:r>
            <w:r>
              <w:rPr>
                <w:rFonts w:hint="eastAsia"/>
                <w:b/>
                <w:color w:val="auto"/>
                <w:szCs w:val="21"/>
                <w:lang w:val="en-US" w:eastAsia="zh-CN"/>
              </w:rPr>
              <w:t>本</w:t>
            </w:r>
            <w:r>
              <w:rPr>
                <w:rFonts w:hint="eastAsia"/>
                <w:b/>
                <w:color w:val="auto"/>
                <w:szCs w:val="21"/>
              </w:rPr>
              <w:t>项目主要机泵设置情况一览</w:t>
            </w:r>
            <w:r>
              <w:rPr>
                <w:b/>
                <w:color w:val="auto"/>
                <w:szCs w:val="21"/>
              </w:rPr>
              <w:t>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0"/>
              <w:gridCol w:w="1155"/>
              <w:gridCol w:w="660"/>
              <w:gridCol w:w="765"/>
              <w:gridCol w:w="990"/>
              <w:gridCol w:w="675"/>
              <w:gridCol w:w="1314"/>
              <w:gridCol w:w="1315"/>
            </w:tblGrid>
            <w:tr w14:paraId="519FF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19" w:type="pct"/>
                  <w:vAlign w:val="center"/>
                </w:tcPr>
                <w:p w14:paraId="54138EFE">
                  <w:pPr>
                    <w:pStyle w:val="60"/>
                    <w:rPr>
                      <w:color w:val="auto"/>
                      <w:sz w:val="18"/>
                      <w:szCs w:val="18"/>
                    </w:rPr>
                  </w:pPr>
                  <w:r>
                    <w:rPr>
                      <w:color w:val="auto"/>
                      <w:sz w:val="18"/>
                      <w:szCs w:val="18"/>
                    </w:rPr>
                    <w:t>名称</w:t>
                  </w:r>
                </w:p>
              </w:tc>
              <w:tc>
                <w:tcPr>
                  <w:tcW w:w="685" w:type="pct"/>
                  <w:vAlign w:val="center"/>
                </w:tcPr>
                <w:p w14:paraId="0D6197CB">
                  <w:pPr>
                    <w:pStyle w:val="60"/>
                    <w:rPr>
                      <w:color w:val="auto"/>
                      <w:sz w:val="18"/>
                      <w:szCs w:val="18"/>
                    </w:rPr>
                  </w:pPr>
                  <w:r>
                    <w:rPr>
                      <w:color w:val="auto"/>
                      <w:sz w:val="18"/>
                      <w:szCs w:val="18"/>
                    </w:rPr>
                    <w:t>型式</w:t>
                  </w:r>
                </w:p>
              </w:tc>
              <w:tc>
                <w:tcPr>
                  <w:tcW w:w="391" w:type="pct"/>
                  <w:noWrap/>
                  <w:vAlign w:val="center"/>
                </w:tcPr>
                <w:p w14:paraId="74090156">
                  <w:pPr>
                    <w:pStyle w:val="60"/>
                    <w:rPr>
                      <w:color w:val="auto"/>
                      <w:sz w:val="18"/>
                      <w:szCs w:val="18"/>
                    </w:rPr>
                  </w:pPr>
                  <w:r>
                    <w:rPr>
                      <w:color w:val="auto"/>
                      <w:sz w:val="18"/>
                      <w:szCs w:val="18"/>
                    </w:rPr>
                    <w:t>数量</w:t>
                  </w:r>
                </w:p>
              </w:tc>
              <w:tc>
                <w:tcPr>
                  <w:tcW w:w="454" w:type="pct"/>
                  <w:vAlign w:val="center"/>
                </w:tcPr>
                <w:p w14:paraId="18854218">
                  <w:pPr>
                    <w:pStyle w:val="60"/>
                    <w:rPr>
                      <w:color w:val="auto"/>
                      <w:sz w:val="18"/>
                      <w:szCs w:val="18"/>
                    </w:rPr>
                  </w:pPr>
                  <w:r>
                    <w:rPr>
                      <w:color w:val="auto"/>
                      <w:sz w:val="18"/>
                      <w:szCs w:val="18"/>
                    </w:rPr>
                    <w:t>材质</w:t>
                  </w:r>
                </w:p>
              </w:tc>
              <w:tc>
                <w:tcPr>
                  <w:tcW w:w="587" w:type="pct"/>
                  <w:noWrap/>
                  <w:vAlign w:val="center"/>
                </w:tcPr>
                <w:p w14:paraId="4B456451">
                  <w:pPr>
                    <w:pStyle w:val="60"/>
                    <w:rPr>
                      <w:color w:val="auto"/>
                      <w:sz w:val="18"/>
                      <w:szCs w:val="18"/>
                    </w:rPr>
                  </w:pPr>
                  <w:r>
                    <w:rPr>
                      <w:color w:val="auto"/>
                      <w:sz w:val="18"/>
                      <w:szCs w:val="18"/>
                    </w:rPr>
                    <w:t>流量(m</w:t>
                  </w:r>
                  <w:r>
                    <w:rPr>
                      <w:color w:val="auto"/>
                      <w:sz w:val="18"/>
                      <w:szCs w:val="18"/>
                      <w:vertAlign w:val="superscript"/>
                    </w:rPr>
                    <w:t>3</w:t>
                  </w:r>
                  <w:r>
                    <w:rPr>
                      <w:color w:val="auto"/>
                      <w:sz w:val="18"/>
                      <w:szCs w:val="18"/>
                    </w:rPr>
                    <w:t>/h)</w:t>
                  </w:r>
                </w:p>
              </w:tc>
              <w:tc>
                <w:tcPr>
                  <w:tcW w:w="400" w:type="pct"/>
                  <w:noWrap/>
                  <w:vAlign w:val="center"/>
                </w:tcPr>
                <w:p w14:paraId="402649D9">
                  <w:pPr>
                    <w:pStyle w:val="60"/>
                    <w:rPr>
                      <w:color w:val="auto"/>
                      <w:sz w:val="18"/>
                      <w:szCs w:val="18"/>
                    </w:rPr>
                  </w:pPr>
                  <w:r>
                    <w:rPr>
                      <w:rFonts w:hint="eastAsia"/>
                      <w:color w:val="auto"/>
                      <w:sz w:val="18"/>
                      <w:szCs w:val="18"/>
                      <w:lang w:val="en-US" w:eastAsia="zh-CN"/>
                    </w:rPr>
                    <w:t>扬程</w:t>
                  </w:r>
                  <w:r>
                    <w:rPr>
                      <w:color w:val="auto"/>
                      <w:sz w:val="18"/>
                      <w:szCs w:val="18"/>
                    </w:rPr>
                    <w:t>(m)</w:t>
                  </w:r>
                </w:p>
              </w:tc>
              <w:tc>
                <w:tcPr>
                  <w:tcW w:w="779" w:type="pct"/>
                  <w:noWrap/>
                  <w:vAlign w:val="center"/>
                </w:tcPr>
                <w:p w14:paraId="5FDE6447">
                  <w:pPr>
                    <w:pStyle w:val="60"/>
                    <w:rPr>
                      <w:rFonts w:hint="default" w:eastAsia="宋体"/>
                      <w:color w:val="auto"/>
                      <w:sz w:val="18"/>
                      <w:szCs w:val="18"/>
                      <w:lang w:val="en-US" w:eastAsia="zh-CN"/>
                    </w:rPr>
                  </w:pPr>
                  <w:r>
                    <w:rPr>
                      <w:rFonts w:hint="eastAsia"/>
                      <w:color w:val="auto"/>
                      <w:sz w:val="18"/>
                      <w:szCs w:val="18"/>
                      <w:lang w:val="en-US" w:eastAsia="zh-CN"/>
                    </w:rPr>
                    <w:t>变化情况</w:t>
                  </w:r>
                </w:p>
              </w:tc>
              <w:tc>
                <w:tcPr>
                  <w:tcW w:w="780" w:type="pct"/>
                  <w:noWrap/>
                  <w:vAlign w:val="center"/>
                </w:tcPr>
                <w:p w14:paraId="0BDD80F4">
                  <w:pPr>
                    <w:pStyle w:val="60"/>
                    <w:rPr>
                      <w:rFonts w:hint="default"/>
                      <w:color w:val="auto"/>
                      <w:sz w:val="18"/>
                      <w:szCs w:val="18"/>
                      <w:lang w:val="en-US" w:eastAsia="zh-CN"/>
                    </w:rPr>
                  </w:pPr>
                  <w:r>
                    <w:rPr>
                      <w:rFonts w:hint="eastAsia"/>
                      <w:color w:val="auto"/>
                      <w:sz w:val="18"/>
                      <w:szCs w:val="18"/>
                      <w:lang w:val="en-US" w:eastAsia="zh-CN"/>
                    </w:rPr>
                    <w:t>备注</w:t>
                  </w:r>
                </w:p>
              </w:tc>
            </w:tr>
            <w:tr w14:paraId="72097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19" w:type="pct"/>
                  <w:vAlign w:val="center"/>
                </w:tcPr>
                <w:p w14:paraId="4E6A9C17">
                  <w:pPr>
                    <w:pStyle w:val="60"/>
                    <w:rPr>
                      <w:rFonts w:hint="default" w:eastAsia="宋体"/>
                      <w:color w:val="auto"/>
                      <w:sz w:val="18"/>
                      <w:szCs w:val="18"/>
                      <w:lang w:val="en-US" w:eastAsia="zh-CN"/>
                    </w:rPr>
                  </w:pPr>
                  <w:r>
                    <w:rPr>
                      <w:rFonts w:hint="eastAsia"/>
                      <w:color w:val="auto"/>
                      <w:sz w:val="18"/>
                      <w:szCs w:val="18"/>
                      <w:lang w:val="en-US" w:eastAsia="zh-CN"/>
                    </w:rPr>
                    <w:t>甲醇卸车泵</w:t>
                  </w:r>
                </w:p>
              </w:tc>
              <w:tc>
                <w:tcPr>
                  <w:tcW w:w="685" w:type="pct"/>
                  <w:vAlign w:val="center"/>
                </w:tcPr>
                <w:p w14:paraId="6AF2EDDA">
                  <w:pPr>
                    <w:pStyle w:val="60"/>
                    <w:rPr>
                      <w:color w:val="auto"/>
                      <w:sz w:val="18"/>
                      <w:szCs w:val="18"/>
                    </w:rPr>
                  </w:pPr>
                  <w:r>
                    <w:rPr>
                      <w:color w:val="auto"/>
                      <w:sz w:val="18"/>
                      <w:szCs w:val="18"/>
                    </w:rPr>
                    <w:t>离心泵</w:t>
                  </w:r>
                </w:p>
              </w:tc>
              <w:tc>
                <w:tcPr>
                  <w:tcW w:w="391" w:type="pct"/>
                  <w:noWrap/>
                  <w:vAlign w:val="center"/>
                </w:tcPr>
                <w:p w14:paraId="049BB9B0">
                  <w:pPr>
                    <w:pStyle w:val="60"/>
                    <w:rPr>
                      <w:rFonts w:hint="eastAsia" w:eastAsia="宋体"/>
                      <w:color w:val="auto"/>
                      <w:sz w:val="18"/>
                      <w:szCs w:val="18"/>
                      <w:lang w:eastAsia="zh-CN"/>
                    </w:rPr>
                  </w:pPr>
                  <w:r>
                    <w:rPr>
                      <w:rFonts w:hint="eastAsia"/>
                      <w:color w:val="auto"/>
                      <w:sz w:val="18"/>
                      <w:szCs w:val="18"/>
                      <w:lang w:val="en-US" w:eastAsia="zh-CN"/>
                    </w:rPr>
                    <w:t>2</w:t>
                  </w:r>
                </w:p>
              </w:tc>
              <w:tc>
                <w:tcPr>
                  <w:tcW w:w="454" w:type="pct"/>
                  <w:vAlign w:val="center"/>
                </w:tcPr>
                <w:p w14:paraId="652F4138">
                  <w:pPr>
                    <w:pStyle w:val="60"/>
                    <w:rPr>
                      <w:color w:val="auto"/>
                      <w:sz w:val="18"/>
                      <w:szCs w:val="18"/>
                    </w:rPr>
                  </w:pPr>
                  <w:r>
                    <w:rPr>
                      <w:color w:val="auto"/>
                      <w:sz w:val="18"/>
                      <w:szCs w:val="18"/>
                    </w:rPr>
                    <w:t>碳钢</w:t>
                  </w:r>
                </w:p>
              </w:tc>
              <w:tc>
                <w:tcPr>
                  <w:tcW w:w="587" w:type="pct"/>
                  <w:noWrap/>
                  <w:vAlign w:val="center"/>
                </w:tcPr>
                <w:p w14:paraId="60E5E898">
                  <w:pPr>
                    <w:pStyle w:val="60"/>
                    <w:rPr>
                      <w:rFonts w:hint="default" w:eastAsia="宋体"/>
                      <w:color w:val="auto"/>
                      <w:sz w:val="18"/>
                      <w:szCs w:val="18"/>
                      <w:lang w:val="en-US" w:eastAsia="zh-CN"/>
                    </w:rPr>
                  </w:pPr>
                  <w:r>
                    <w:rPr>
                      <w:rFonts w:hint="eastAsia"/>
                      <w:color w:val="auto"/>
                      <w:sz w:val="18"/>
                      <w:szCs w:val="18"/>
                      <w:lang w:val="en-US" w:eastAsia="zh-CN"/>
                    </w:rPr>
                    <w:t>120</w:t>
                  </w:r>
                </w:p>
              </w:tc>
              <w:tc>
                <w:tcPr>
                  <w:tcW w:w="400" w:type="pct"/>
                  <w:noWrap/>
                  <w:vAlign w:val="center"/>
                </w:tcPr>
                <w:p w14:paraId="6F18F498">
                  <w:pPr>
                    <w:pStyle w:val="60"/>
                    <w:rPr>
                      <w:color w:val="auto"/>
                      <w:sz w:val="18"/>
                      <w:szCs w:val="18"/>
                    </w:rPr>
                  </w:pPr>
                  <w:r>
                    <w:rPr>
                      <w:color w:val="auto"/>
                      <w:sz w:val="18"/>
                      <w:szCs w:val="18"/>
                    </w:rPr>
                    <w:t>80</w:t>
                  </w:r>
                </w:p>
              </w:tc>
              <w:tc>
                <w:tcPr>
                  <w:tcW w:w="779" w:type="pct"/>
                  <w:noWrap/>
                  <w:vAlign w:val="center"/>
                </w:tcPr>
                <w:p w14:paraId="289DF605">
                  <w:pPr>
                    <w:pStyle w:val="60"/>
                    <w:rPr>
                      <w:rFonts w:hint="default" w:eastAsia="宋体"/>
                      <w:color w:val="auto"/>
                      <w:sz w:val="18"/>
                      <w:szCs w:val="18"/>
                      <w:lang w:val="en-US" w:eastAsia="zh-CN"/>
                    </w:rPr>
                  </w:pPr>
                  <w:r>
                    <w:rPr>
                      <w:rFonts w:hint="eastAsia"/>
                      <w:color w:val="auto"/>
                      <w:sz w:val="18"/>
                      <w:szCs w:val="18"/>
                      <w:lang w:val="en-US" w:eastAsia="zh-CN"/>
                    </w:rPr>
                    <w:t>+2</w:t>
                  </w:r>
                </w:p>
              </w:tc>
              <w:tc>
                <w:tcPr>
                  <w:tcW w:w="780" w:type="pct"/>
                  <w:noWrap/>
                  <w:vAlign w:val="center"/>
                </w:tcPr>
                <w:p w14:paraId="2C9A05CA">
                  <w:pPr>
                    <w:pStyle w:val="60"/>
                    <w:rPr>
                      <w:rFonts w:hint="default" w:eastAsia="宋体"/>
                      <w:color w:val="auto"/>
                      <w:sz w:val="18"/>
                      <w:szCs w:val="18"/>
                      <w:lang w:val="en-US" w:eastAsia="zh-CN"/>
                    </w:rPr>
                  </w:pPr>
                  <w:r>
                    <w:rPr>
                      <w:rFonts w:hint="eastAsia"/>
                      <w:color w:val="auto"/>
                      <w:sz w:val="18"/>
                      <w:szCs w:val="18"/>
                      <w:lang w:val="en-US" w:eastAsia="zh-CN"/>
                    </w:rPr>
                    <w:t>一用一备</w:t>
                  </w:r>
                </w:p>
              </w:tc>
            </w:tr>
            <w:tr w14:paraId="12078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19" w:type="pct"/>
                  <w:vAlign w:val="center"/>
                </w:tcPr>
                <w:p w14:paraId="6486CD59">
                  <w:pPr>
                    <w:pStyle w:val="60"/>
                    <w:rPr>
                      <w:rFonts w:hint="default"/>
                      <w:color w:val="auto"/>
                      <w:sz w:val="18"/>
                      <w:szCs w:val="18"/>
                      <w:lang w:val="en-US" w:eastAsia="zh-CN"/>
                    </w:rPr>
                  </w:pPr>
                  <w:r>
                    <w:rPr>
                      <w:rFonts w:hint="eastAsia"/>
                      <w:color w:val="auto"/>
                      <w:sz w:val="18"/>
                      <w:szCs w:val="18"/>
                      <w:lang w:val="en-US" w:eastAsia="zh-CN"/>
                    </w:rPr>
                    <w:t>叔丁醇卸车泵</w:t>
                  </w:r>
                </w:p>
              </w:tc>
              <w:tc>
                <w:tcPr>
                  <w:tcW w:w="685" w:type="pct"/>
                  <w:vAlign w:val="center"/>
                </w:tcPr>
                <w:p w14:paraId="10CDB253">
                  <w:pPr>
                    <w:pStyle w:val="60"/>
                    <w:rPr>
                      <w:rFonts w:hint="default" w:eastAsia="宋体"/>
                      <w:color w:val="auto"/>
                      <w:sz w:val="18"/>
                      <w:szCs w:val="18"/>
                      <w:lang w:val="en-US" w:eastAsia="zh-CN"/>
                    </w:rPr>
                  </w:pPr>
                  <w:r>
                    <w:rPr>
                      <w:rFonts w:hint="eastAsia"/>
                      <w:color w:val="auto"/>
                      <w:sz w:val="18"/>
                      <w:szCs w:val="18"/>
                      <w:lang w:val="en-US" w:eastAsia="zh-CN"/>
                    </w:rPr>
                    <w:t>淋洗泵</w:t>
                  </w:r>
                </w:p>
              </w:tc>
              <w:tc>
                <w:tcPr>
                  <w:tcW w:w="391" w:type="pct"/>
                  <w:noWrap/>
                  <w:vAlign w:val="center"/>
                </w:tcPr>
                <w:p w14:paraId="5002293C">
                  <w:pPr>
                    <w:pStyle w:val="60"/>
                    <w:rPr>
                      <w:rFonts w:hint="default"/>
                      <w:color w:val="auto"/>
                      <w:sz w:val="18"/>
                      <w:szCs w:val="18"/>
                      <w:lang w:val="en-US" w:eastAsia="zh-CN"/>
                    </w:rPr>
                  </w:pPr>
                  <w:r>
                    <w:rPr>
                      <w:rFonts w:hint="eastAsia"/>
                      <w:color w:val="auto"/>
                      <w:sz w:val="18"/>
                      <w:szCs w:val="18"/>
                      <w:lang w:val="en-US" w:eastAsia="zh-CN"/>
                    </w:rPr>
                    <w:t>2</w:t>
                  </w:r>
                </w:p>
              </w:tc>
              <w:tc>
                <w:tcPr>
                  <w:tcW w:w="454" w:type="pct"/>
                  <w:shd w:val="clear" w:color="auto" w:fill="auto"/>
                  <w:vAlign w:val="center"/>
                </w:tcPr>
                <w:p w14:paraId="1E4044FF">
                  <w:pPr>
                    <w:pStyle w:val="60"/>
                    <w:rPr>
                      <w:rFonts w:ascii="Times New Roman" w:hAnsi="Times New Roman" w:eastAsia="宋体" w:cs="Times New Roman"/>
                      <w:color w:val="auto"/>
                      <w:kern w:val="2"/>
                      <w:sz w:val="18"/>
                      <w:szCs w:val="18"/>
                      <w:lang w:val="zh-CN" w:eastAsia="zh-CN" w:bidi="ar-SA"/>
                    </w:rPr>
                  </w:pPr>
                  <w:r>
                    <w:rPr>
                      <w:color w:val="auto"/>
                      <w:sz w:val="18"/>
                      <w:szCs w:val="18"/>
                    </w:rPr>
                    <w:t>碳钢</w:t>
                  </w:r>
                </w:p>
              </w:tc>
              <w:tc>
                <w:tcPr>
                  <w:tcW w:w="587" w:type="pct"/>
                  <w:shd w:val="clear" w:color="auto" w:fill="auto"/>
                  <w:noWrap/>
                  <w:vAlign w:val="center"/>
                </w:tcPr>
                <w:p w14:paraId="17BB182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120</w:t>
                  </w:r>
                </w:p>
              </w:tc>
              <w:tc>
                <w:tcPr>
                  <w:tcW w:w="400" w:type="pct"/>
                  <w:shd w:val="clear" w:color="auto" w:fill="auto"/>
                  <w:noWrap/>
                  <w:vAlign w:val="center"/>
                </w:tcPr>
                <w:p w14:paraId="64213740">
                  <w:pPr>
                    <w:pStyle w:val="60"/>
                    <w:rPr>
                      <w:rFonts w:ascii="Times New Roman" w:hAnsi="Times New Roman" w:eastAsia="宋体" w:cs="Times New Roman"/>
                      <w:color w:val="auto"/>
                      <w:kern w:val="2"/>
                      <w:sz w:val="18"/>
                      <w:szCs w:val="18"/>
                      <w:lang w:val="zh-CN" w:eastAsia="zh-CN" w:bidi="ar-SA"/>
                    </w:rPr>
                  </w:pPr>
                  <w:r>
                    <w:rPr>
                      <w:color w:val="auto"/>
                      <w:sz w:val="18"/>
                      <w:szCs w:val="18"/>
                    </w:rPr>
                    <w:t>80</w:t>
                  </w:r>
                </w:p>
              </w:tc>
              <w:tc>
                <w:tcPr>
                  <w:tcW w:w="779" w:type="pct"/>
                  <w:shd w:val="clear" w:color="auto" w:fill="auto"/>
                  <w:noWrap/>
                  <w:vAlign w:val="center"/>
                </w:tcPr>
                <w:p w14:paraId="7CC99D4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保持不变</w:t>
                  </w:r>
                </w:p>
              </w:tc>
              <w:tc>
                <w:tcPr>
                  <w:tcW w:w="780" w:type="pct"/>
                  <w:shd w:val="clear" w:color="auto" w:fill="auto"/>
                  <w:noWrap/>
                  <w:vAlign w:val="center"/>
                </w:tcPr>
                <w:p w14:paraId="3C8487E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一用一备</w:t>
                  </w:r>
                </w:p>
              </w:tc>
            </w:tr>
            <w:tr w14:paraId="7C0FA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19" w:type="pct"/>
                  <w:vAlign w:val="center"/>
                </w:tcPr>
                <w:p w14:paraId="78004FCF">
                  <w:pPr>
                    <w:pStyle w:val="60"/>
                    <w:rPr>
                      <w:rFonts w:hint="default" w:eastAsia="宋体"/>
                      <w:color w:val="auto"/>
                      <w:sz w:val="18"/>
                      <w:szCs w:val="18"/>
                      <w:lang w:val="en-US" w:eastAsia="zh-CN"/>
                    </w:rPr>
                  </w:pPr>
                  <w:r>
                    <w:rPr>
                      <w:rFonts w:hint="eastAsia"/>
                      <w:color w:val="auto"/>
                      <w:sz w:val="18"/>
                      <w:szCs w:val="18"/>
                      <w:lang w:val="en-US" w:eastAsia="zh-CN"/>
                    </w:rPr>
                    <w:t>叔丁醇装车泵</w:t>
                  </w:r>
                </w:p>
              </w:tc>
              <w:tc>
                <w:tcPr>
                  <w:tcW w:w="685" w:type="pct"/>
                  <w:vAlign w:val="center"/>
                </w:tcPr>
                <w:p w14:paraId="3F02C01F">
                  <w:pPr>
                    <w:pStyle w:val="60"/>
                    <w:rPr>
                      <w:color w:val="auto"/>
                      <w:sz w:val="18"/>
                      <w:szCs w:val="18"/>
                    </w:rPr>
                  </w:pPr>
                  <w:r>
                    <w:rPr>
                      <w:color w:val="auto"/>
                      <w:sz w:val="18"/>
                      <w:szCs w:val="18"/>
                    </w:rPr>
                    <w:t>离心泵</w:t>
                  </w:r>
                </w:p>
              </w:tc>
              <w:tc>
                <w:tcPr>
                  <w:tcW w:w="391" w:type="pct"/>
                  <w:noWrap/>
                  <w:vAlign w:val="center"/>
                </w:tcPr>
                <w:p w14:paraId="67912BEB">
                  <w:pPr>
                    <w:pStyle w:val="60"/>
                    <w:rPr>
                      <w:color w:val="auto"/>
                      <w:sz w:val="18"/>
                      <w:szCs w:val="18"/>
                    </w:rPr>
                  </w:pPr>
                  <w:r>
                    <w:rPr>
                      <w:color w:val="auto"/>
                      <w:sz w:val="18"/>
                      <w:szCs w:val="18"/>
                    </w:rPr>
                    <w:t>2</w:t>
                  </w:r>
                </w:p>
              </w:tc>
              <w:tc>
                <w:tcPr>
                  <w:tcW w:w="454" w:type="pct"/>
                  <w:vAlign w:val="center"/>
                </w:tcPr>
                <w:p w14:paraId="474EBB39">
                  <w:pPr>
                    <w:pStyle w:val="60"/>
                    <w:rPr>
                      <w:color w:val="auto"/>
                      <w:sz w:val="18"/>
                      <w:szCs w:val="18"/>
                    </w:rPr>
                  </w:pPr>
                  <w:r>
                    <w:rPr>
                      <w:color w:val="auto"/>
                      <w:sz w:val="18"/>
                      <w:szCs w:val="18"/>
                    </w:rPr>
                    <w:t>碳钢</w:t>
                  </w:r>
                </w:p>
              </w:tc>
              <w:tc>
                <w:tcPr>
                  <w:tcW w:w="587" w:type="pct"/>
                  <w:noWrap/>
                  <w:vAlign w:val="center"/>
                </w:tcPr>
                <w:p w14:paraId="32716647">
                  <w:pPr>
                    <w:pStyle w:val="60"/>
                    <w:rPr>
                      <w:color w:val="auto"/>
                      <w:sz w:val="18"/>
                      <w:szCs w:val="18"/>
                    </w:rPr>
                  </w:pPr>
                  <w:r>
                    <w:rPr>
                      <w:color w:val="auto"/>
                      <w:sz w:val="18"/>
                      <w:szCs w:val="18"/>
                    </w:rPr>
                    <w:t>120</w:t>
                  </w:r>
                </w:p>
              </w:tc>
              <w:tc>
                <w:tcPr>
                  <w:tcW w:w="400" w:type="pct"/>
                  <w:noWrap/>
                  <w:vAlign w:val="center"/>
                </w:tcPr>
                <w:p w14:paraId="436D9333">
                  <w:pPr>
                    <w:pStyle w:val="60"/>
                    <w:rPr>
                      <w:color w:val="auto"/>
                      <w:sz w:val="18"/>
                      <w:szCs w:val="18"/>
                    </w:rPr>
                  </w:pPr>
                  <w:r>
                    <w:rPr>
                      <w:color w:val="auto"/>
                      <w:sz w:val="18"/>
                      <w:szCs w:val="18"/>
                    </w:rPr>
                    <w:t>80</w:t>
                  </w:r>
                </w:p>
              </w:tc>
              <w:tc>
                <w:tcPr>
                  <w:tcW w:w="779" w:type="pct"/>
                  <w:noWrap/>
                  <w:vAlign w:val="center"/>
                </w:tcPr>
                <w:p w14:paraId="2C8BB531">
                  <w:pPr>
                    <w:pStyle w:val="60"/>
                    <w:rPr>
                      <w:rFonts w:hint="default" w:eastAsia="宋体"/>
                      <w:color w:val="auto"/>
                      <w:sz w:val="18"/>
                      <w:szCs w:val="18"/>
                      <w:lang w:val="en-US" w:eastAsia="zh-CN"/>
                    </w:rPr>
                  </w:pPr>
                  <w:r>
                    <w:rPr>
                      <w:rFonts w:hint="eastAsia"/>
                      <w:color w:val="auto"/>
                      <w:sz w:val="18"/>
                      <w:szCs w:val="18"/>
                      <w:lang w:val="en-US" w:eastAsia="zh-CN"/>
                    </w:rPr>
                    <w:t>+2</w:t>
                  </w:r>
                </w:p>
              </w:tc>
              <w:tc>
                <w:tcPr>
                  <w:tcW w:w="780" w:type="pct"/>
                  <w:noWrap/>
                  <w:vAlign w:val="center"/>
                </w:tcPr>
                <w:p w14:paraId="19794707">
                  <w:pPr>
                    <w:pStyle w:val="60"/>
                    <w:rPr>
                      <w:color w:val="auto"/>
                      <w:sz w:val="18"/>
                      <w:szCs w:val="18"/>
                    </w:rPr>
                  </w:pPr>
                  <w:r>
                    <w:rPr>
                      <w:rFonts w:hint="eastAsia"/>
                      <w:color w:val="auto"/>
                      <w:sz w:val="18"/>
                      <w:szCs w:val="18"/>
                      <w:lang w:val="en-US" w:eastAsia="zh-CN"/>
                    </w:rPr>
                    <w:t>一用一备</w:t>
                  </w:r>
                </w:p>
              </w:tc>
            </w:tr>
          </w:tbl>
          <w:p w14:paraId="0FBD8D42">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b/>
                <w:bCs/>
                <w:color w:val="auto"/>
                <w:szCs w:val="21"/>
              </w:rPr>
            </w:pPr>
            <w:r>
              <w:rPr>
                <w:rFonts w:hint="eastAsia"/>
                <w:b/>
                <w:bCs/>
                <w:color w:val="auto"/>
                <w:szCs w:val="21"/>
                <w:lang w:val="en-US" w:eastAsia="zh-CN"/>
              </w:rPr>
              <w:t>5</w:t>
            </w:r>
            <w:r>
              <w:rPr>
                <w:b/>
                <w:bCs/>
                <w:color w:val="auto"/>
                <w:szCs w:val="21"/>
              </w:rPr>
              <w:t>、水平衡分析</w:t>
            </w:r>
          </w:p>
          <w:p w14:paraId="0273C837">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color w:val="auto"/>
                <w:szCs w:val="21"/>
                <w:lang w:val="en-US" w:eastAsia="zh-CN"/>
              </w:rPr>
            </w:pPr>
            <w:r>
              <w:rPr>
                <w:rFonts w:hint="eastAsia"/>
                <w:color w:val="auto"/>
                <w:szCs w:val="21"/>
                <w:lang w:val="en-US" w:eastAsia="zh-CN"/>
              </w:rPr>
              <w:t>1</w:t>
            </w:r>
            <w:r>
              <w:rPr>
                <w:rFonts w:hint="eastAsia"/>
                <w:color w:val="auto"/>
                <w:szCs w:val="21"/>
                <w:lang w:eastAsia="zh-CN"/>
              </w:rPr>
              <w:t>）</w:t>
            </w:r>
            <w:r>
              <w:rPr>
                <w:rFonts w:hint="eastAsia"/>
                <w:color w:val="auto"/>
                <w:szCs w:val="21"/>
                <w:lang w:val="en-US" w:eastAsia="zh-CN"/>
              </w:rPr>
              <w:t>给水</w:t>
            </w:r>
          </w:p>
          <w:p w14:paraId="4CB2636D">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color w:val="auto"/>
                <w:szCs w:val="21"/>
              </w:rPr>
            </w:pPr>
            <w:r>
              <w:rPr>
                <w:rFonts w:hint="eastAsia"/>
                <w:color w:val="auto"/>
                <w:szCs w:val="21"/>
              </w:rPr>
              <w:t>本项目不新增职工定员，全部从现有职工中调配</w:t>
            </w:r>
            <w:r>
              <w:rPr>
                <w:rFonts w:hint="eastAsia"/>
                <w:color w:val="auto"/>
                <w:szCs w:val="21"/>
                <w:lang w:eastAsia="zh-CN"/>
              </w:rPr>
              <w:t>。</w:t>
            </w:r>
            <w:r>
              <w:rPr>
                <w:rFonts w:hint="eastAsia"/>
                <w:color w:val="auto"/>
                <w:szCs w:val="21"/>
                <w:lang w:val="en-US" w:eastAsia="zh-CN"/>
              </w:rPr>
              <w:t>项目罐区运营过程中无用水环节</w:t>
            </w:r>
            <w:r>
              <w:rPr>
                <w:color w:val="auto"/>
                <w:szCs w:val="21"/>
              </w:rPr>
              <w:t>。</w:t>
            </w:r>
          </w:p>
          <w:p w14:paraId="1F6E56E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color w:val="auto"/>
                <w:szCs w:val="21"/>
                <w:lang w:val="en-US" w:eastAsia="zh-CN"/>
              </w:rPr>
            </w:pPr>
            <w:r>
              <w:rPr>
                <w:rFonts w:hint="eastAsia"/>
                <w:color w:val="auto"/>
                <w:szCs w:val="21"/>
                <w:lang w:val="en-US" w:eastAsia="zh-CN"/>
              </w:rPr>
              <w:t>2</w:t>
            </w:r>
            <w:r>
              <w:rPr>
                <w:rFonts w:hint="eastAsia"/>
                <w:color w:val="auto"/>
                <w:szCs w:val="21"/>
                <w:lang w:eastAsia="zh-CN"/>
              </w:rPr>
              <w:t>）</w:t>
            </w:r>
            <w:r>
              <w:rPr>
                <w:rFonts w:hint="eastAsia"/>
                <w:color w:val="auto"/>
                <w:szCs w:val="21"/>
                <w:lang w:val="en-US" w:eastAsia="zh-CN"/>
              </w:rPr>
              <w:t>排水</w:t>
            </w:r>
          </w:p>
          <w:p w14:paraId="7BB8176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color w:val="auto"/>
                <w:lang w:val="en-US" w:eastAsia="zh-CN"/>
              </w:rPr>
            </w:pPr>
            <w:r>
              <w:rPr>
                <w:color w:val="auto"/>
              </w:rPr>
              <w:t>厂区排水系统按“清污分流”、“雨污分流”的原则进行建设</w:t>
            </w:r>
            <w:r>
              <w:rPr>
                <w:rFonts w:hint="eastAsia"/>
                <w:color w:val="auto"/>
                <w:lang w:eastAsia="zh-CN"/>
              </w:rPr>
              <w:t>。</w:t>
            </w:r>
            <w:r>
              <w:rPr>
                <w:rFonts w:hint="eastAsia"/>
                <w:color w:val="auto"/>
                <w:lang w:val="en-US" w:eastAsia="zh-CN"/>
              </w:rPr>
              <w:t>本项目水洗塔依托现有，水洗塔废水定期排出后回用于甲醛生产装置，无新增水洗废水产生。项目运营期废水主要为露天储罐区产生的初期雨水。</w:t>
            </w:r>
          </w:p>
          <w:p w14:paraId="24366530">
            <w:pPr>
              <w:pStyle w:val="79"/>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hint="eastAsia" w:hAnsi="宋体"/>
                <w:color w:val="auto"/>
                <w:sz w:val="21"/>
                <w:szCs w:val="21"/>
              </w:rPr>
            </w:pPr>
            <w:bookmarkStart w:id="11" w:name="_Hlk192663356"/>
            <w:r>
              <w:rPr>
                <w:rFonts w:hint="eastAsia" w:hAnsi="宋体"/>
                <w:color w:val="auto"/>
                <w:sz w:val="21"/>
                <w:szCs w:val="21"/>
              </w:rPr>
              <w:t>本</w:t>
            </w:r>
            <w:r>
              <w:rPr>
                <w:rFonts w:hAnsi="宋体"/>
                <w:color w:val="auto"/>
                <w:sz w:val="21"/>
                <w:szCs w:val="21"/>
              </w:rPr>
              <w:t>项目采用</w:t>
            </w:r>
            <w:r>
              <w:rPr>
                <w:rFonts w:ascii="宋体" w:hAnsi="宋体"/>
                <w:color w:val="auto"/>
                <w:sz w:val="21"/>
                <w:szCs w:val="21"/>
              </w:rPr>
              <w:t>“雨污分流”</w:t>
            </w:r>
            <w:r>
              <w:rPr>
                <w:rFonts w:hAnsi="宋体"/>
                <w:color w:val="auto"/>
                <w:sz w:val="21"/>
                <w:szCs w:val="21"/>
              </w:rPr>
              <w:t>方式，将</w:t>
            </w:r>
            <w:r>
              <w:rPr>
                <w:rFonts w:hint="eastAsia" w:hAnsi="宋体"/>
                <w:color w:val="auto"/>
                <w:sz w:val="21"/>
                <w:szCs w:val="21"/>
              </w:rPr>
              <w:t>露天储罐区</w:t>
            </w:r>
            <w:r>
              <w:rPr>
                <w:rFonts w:hAnsi="宋体"/>
                <w:color w:val="auto"/>
                <w:sz w:val="21"/>
                <w:szCs w:val="21"/>
              </w:rPr>
              <w:t>雨水收集系统单独设计，初期雨水与后期清净雨水采用</w:t>
            </w:r>
            <w:r>
              <w:rPr>
                <w:rFonts w:hint="eastAsia" w:hAnsi="宋体"/>
                <w:color w:val="auto"/>
                <w:sz w:val="21"/>
                <w:szCs w:val="21"/>
              </w:rPr>
              <w:t>阀门切换</w:t>
            </w:r>
            <w:r>
              <w:rPr>
                <w:rFonts w:hAnsi="宋体"/>
                <w:color w:val="auto"/>
                <w:sz w:val="21"/>
                <w:szCs w:val="21"/>
              </w:rPr>
              <w:t>，将初期雨水</w:t>
            </w:r>
            <w:r>
              <w:rPr>
                <w:rFonts w:cs="Times New Roman"/>
                <w:color w:val="auto"/>
                <w:sz w:val="21"/>
                <w:szCs w:val="21"/>
              </w:rPr>
              <w:t>（前15min）</w:t>
            </w:r>
            <w:r>
              <w:rPr>
                <w:rFonts w:hAnsi="宋体"/>
                <w:color w:val="auto"/>
                <w:sz w:val="21"/>
                <w:szCs w:val="21"/>
              </w:rPr>
              <w:t>收集起来汇入初期雨水池，并送至</w:t>
            </w:r>
            <w:r>
              <w:rPr>
                <w:rFonts w:hint="eastAsia" w:hAnsi="宋体"/>
                <w:color w:val="auto"/>
                <w:sz w:val="21"/>
                <w:szCs w:val="21"/>
                <w:lang w:val="en-US" w:eastAsia="zh-CN"/>
              </w:rPr>
              <w:t>东厂区废水处理设施处理后回用，不外排</w:t>
            </w:r>
            <w:r>
              <w:rPr>
                <w:rFonts w:hint="eastAsia" w:hAnsi="宋体"/>
                <w:color w:val="auto"/>
                <w:sz w:val="21"/>
                <w:szCs w:val="21"/>
              </w:rPr>
              <w:t>。</w:t>
            </w:r>
          </w:p>
          <w:p w14:paraId="0D43EC49">
            <w:pPr>
              <w:pStyle w:val="79"/>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cs="Times New Roman" w:eastAsiaTheme="minorEastAsia"/>
                <w:color w:val="auto"/>
                <w:sz w:val="21"/>
                <w:szCs w:val="21"/>
              </w:rPr>
            </w:pPr>
            <w:r>
              <w:rPr>
                <w:rFonts w:cs="Times New Roman" w:eastAsiaTheme="minorEastAsia"/>
                <w:color w:val="auto"/>
                <w:sz w:val="21"/>
                <w:szCs w:val="21"/>
              </w:rPr>
              <w:t>初期雨水（前15min，P=2）水量计算采用淄博市暴雨强度公式：</w:t>
            </w:r>
          </w:p>
          <w:p w14:paraId="3C2CD783">
            <w:pPr>
              <w:pStyle w:val="79"/>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auto"/>
              <w:rPr>
                <w:rFonts w:eastAsia="仿宋" w:cs="Times New Roman"/>
                <w:color w:val="auto"/>
                <w:sz w:val="21"/>
                <w:szCs w:val="21"/>
              </w:rPr>
            </w:pPr>
            <w:r>
              <w:rPr>
                <w:rFonts w:eastAsia="仿宋" w:cs="Times New Roman"/>
                <w:color w:val="auto"/>
                <w:sz w:val="21"/>
                <w:szCs w:val="21"/>
              </w:rPr>
              <w:t>q=2186.085(1+0.997lgP)/(t+10.328)</w:t>
            </w:r>
            <w:r>
              <w:rPr>
                <w:rFonts w:eastAsia="仿宋" w:cs="Times New Roman"/>
                <w:color w:val="auto"/>
                <w:sz w:val="21"/>
                <w:szCs w:val="21"/>
                <w:vertAlign w:val="superscript"/>
              </w:rPr>
              <w:t>0.791</w:t>
            </w:r>
          </w:p>
          <w:p w14:paraId="1F547E3B">
            <w:pPr>
              <w:pStyle w:val="79"/>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cs="Times New Roman" w:eastAsiaTheme="minorEastAsia"/>
                <w:color w:val="auto"/>
                <w:sz w:val="21"/>
                <w:szCs w:val="21"/>
              </w:rPr>
            </w:pPr>
            <w:r>
              <w:rPr>
                <w:rFonts w:cs="Times New Roman" w:eastAsiaTheme="minorEastAsia"/>
                <w:color w:val="auto"/>
                <w:sz w:val="21"/>
                <w:szCs w:val="21"/>
              </w:rPr>
              <w:t>式中：q—暴雨强度，</w:t>
            </w:r>
            <w:r>
              <w:rPr>
                <w:rFonts w:cs="Times New Roman" w:eastAsiaTheme="minorEastAsia"/>
                <w:color w:val="auto"/>
                <w:spacing w:val="10"/>
                <w:sz w:val="21"/>
                <w:szCs w:val="21"/>
              </w:rPr>
              <w:t>L/</w:t>
            </w:r>
            <w:r>
              <w:rPr>
                <w:rFonts w:cs="Times New Roman" w:eastAsiaTheme="minorEastAsia"/>
                <w:color w:val="auto"/>
                <w:sz w:val="21"/>
                <w:szCs w:val="21"/>
              </w:rPr>
              <w:t>（</w:t>
            </w:r>
            <w:r>
              <w:rPr>
                <w:rFonts w:cs="Times New Roman" w:eastAsiaTheme="minorEastAsia"/>
                <w:color w:val="auto"/>
                <w:spacing w:val="10"/>
                <w:sz w:val="21"/>
                <w:szCs w:val="21"/>
              </w:rPr>
              <w:t>s·ha</w:t>
            </w:r>
            <w:r>
              <w:rPr>
                <w:rFonts w:cs="Times New Roman" w:eastAsiaTheme="minorEastAsia"/>
                <w:color w:val="auto"/>
                <w:sz w:val="21"/>
                <w:szCs w:val="21"/>
              </w:rPr>
              <w:t>）；</w:t>
            </w:r>
          </w:p>
          <w:p w14:paraId="077B5569">
            <w:pPr>
              <w:pStyle w:val="79"/>
              <w:keepNext w:val="0"/>
              <w:keepLines w:val="0"/>
              <w:pageBreakBefore w:val="0"/>
              <w:widowControl w:val="0"/>
              <w:kinsoku/>
              <w:wordWrap/>
              <w:overflowPunct/>
              <w:topLinePunct w:val="0"/>
              <w:autoSpaceDE/>
              <w:autoSpaceDN/>
              <w:bidi w:val="0"/>
              <w:adjustRightInd/>
              <w:snapToGrid w:val="0"/>
              <w:spacing w:line="420" w:lineRule="exact"/>
              <w:ind w:firstLine="1050" w:firstLineChars="500"/>
              <w:textAlignment w:val="auto"/>
              <w:rPr>
                <w:rFonts w:cs="Times New Roman" w:eastAsiaTheme="minorEastAsia"/>
                <w:color w:val="auto"/>
                <w:sz w:val="21"/>
                <w:szCs w:val="21"/>
              </w:rPr>
            </w:pPr>
            <w:r>
              <w:rPr>
                <w:rFonts w:cs="Times New Roman" w:eastAsiaTheme="minorEastAsia"/>
                <w:color w:val="auto"/>
                <w:sz w:val="21"/>
                <w:szCs w:val="21"/>
              </w:rPr>
              <w:t>P—设计重现期（取2年）；</w:t>
            </w:r>
          </w:p>
          <w:p w14:paraId="2188448F">
            <w:pPr>
              <w:pStyle w:val="79"/>
              <w:keepNext w:val="0"/>
              <w:keepLines w:val="0"/>
              <w:pageBreakBefore w:val="0"/>
              <w:widowControl w:val="0"/>
              <w:kinsoku/>
              <w:wordWrap/>
              <w:overflowPunct/>
              <w:topLinePunct w:val="0"/>
              <w:autoSpaceDE/>
              <w:autoSpaceDN/>
              <w:bidi w:val="0"/>
              <w:adjustRightInd/>
              <w:snapToGrid w:val="0"/>
              <w:spacing w:line="420" w:lineRule="exact"/>
              <w:ind w:firstLine="1050" w:firstLineChars="500"/>
              <w:textAlignment w:val="auto"/>
              <w:rPr>
                <w:rFonts w:cs="Times New Roman" w:eastAsiaTheme="minorEastAsia"/>
                <w:color w:val="auto"/>
                <w:sz w:val="21"/>
                <w:szCs w:val="21"/>
              </w:rPr>
            </w:pPr>
            <w:r>
              <w:rPr>
                <w:rFonts w:cs="Times New Roman" w:eastAsiaTheme="minorEastAsia"/>
                <w:color w:val="auto"/>
                <w:sz w:val="21"/>
                <w:szCs w:val="21"/>
              </w:rPr>
              <w:t>t—设计降雨历时（分钟）。</w:t>
            </w:r>
          </w:p>
          <w:p w14:paraId="03BAEA42">
            <w:pPr>
              <w:pStyle w:val="79"/>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auto"/>
              <w:rPr>
                <w:rFonts w:cs="Times New Roman" w:eastAsiaTheme="minorEastAsia"/>
                <w:color w:val="auto"/>
                <w:sz w:val="21"/>
                <w:szCs w:val="21"/>
              </w:rPr>
            </w:pPr>
            <w:r>
              <w:rPr>
                <w:rFonts w:cs="Times New Roman" w:eastAsiaTheme="minorEastAsia"/>
                <w:color w:val="auto"/>
                <w:sz w:val="21"/>
                <w:szCs w:val="21"/>
              </w:rPr>
              <w:t>Q＝</w:t>
            </w:r>
            <w:r>
              <w:rPr>
                <w:rFonts w:cs="Times New Roman" w:eastAsiaTheme="minorEastAsia"/>
                <w:bCs/>
                <w:color w:val="auto"/>
                <w:sz w:val="21"/>
                <w:szCs w:val="21"/>
              </w:rPr>
              <w:t>q×Ψ</w:t>
            </w:r>
            <w:r>
              <w:rPr>
                <w:rFonts w:cs="Times New Roman" w:eastAsiaTheme="minorEastAsia"/>
                <w:bCs/>
                <w:color w:val="auto"/>
                <w:sz w:val="21"/>
                <w:szCs w:val="21"/>
                <w:vertAlign w:val="subscript"/>
              </w:rPr>
              <w:t>c</w:t>
            </w:r>
            <w:r>
              <w:rPr>
                <w:rFonts w:cs="Times New Roman" w:eastAsiaTheme="minorEastAsia"/>
                <w:bCs/>
                <w:color w:val="auto"/>
                <w:sz w:val="21"/>
                <w:szCs w:val="21"/>
              </w:rPr>
              <w:t>×F×t</w:t>
            </w:r>
          </w:p>
          <w:p w14:paraId="34B9A451">
            <w:pPr>
              <w:pStyle w:val="79"/>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rFonts w:cs="Times New Roman" w:eastAsiaTheme="minorEastAsia"/>
                <w:color w:val="auto"/>
                <w:sz w:val="21"/>
                <w:szCs w:val="21"/>
              </w:rPr>
            </w:pPr>
            <w:r>
              <w:rPr>
                <w:rFonts w:cs="Times New Roman" w:eastAsiaTheme="minorEastAsia"/>
                <w:color w:val="auto"/>
                <w:sz w:val="21"/>
                <w:szCs w:val="21"/>
              </w:rPr>
              <w:t>式中：Q—降雨量；</w:t>
            </w:r>
          </w:p>
          <w:p w14:paraId="50E1960F">
            <w:pPr>
              <w:pStyle w:val="79"/>
              <w:keepNext w:val="0"/>
              <w:keepLines w:val="0"/>
              <w:pageBreakBefore w:val="0"/>
              <w:widowControl w:val="0"/>
              <w:kinsoku/>
              <w:wordWrap/>
              <w:overflowPunct/>
              <w:topLinePunct w:val="0"/>
              <w:autoSpaceDE/>
              <w:autoSpaceDN/>
              <w:bidi w:val="0"/>
              <w:adjustRightInd/>
              <w:snapToGrid w:val="0"/>
              <w:spacing w:line="420" w:lineRule="exact"/>
              <w:ind w:firstLine="1050" w:firstLineChars="500"/>
              <w:textAlignment w:val="auto"/>
              <w:rPr>
                <w:rFonts w:cs="Times New Roman" w:eastAsiaTheme="minorEastAsia"/>
                <w:color w:val="auto"/>
                <w:sz w:val="21"/>
                <w:szCs w:val="21"/>
              </w:rPr>
            </w:pPr>
            <w:r>
              <w:rPr>
                <w:rFonts w:cs="Times New Roman" w:eastAsiaTheme="minorEastAsia"/>
                <w:bCs/>
                <w:color w:val="auto"/>
                <w:sz w:val="21"/>
                <w:szCs w:val="21"/>
              </w:rPr>
              <w:t>Ψ</w:t>
            </w:r>
            <w:r>
              <w:rPr>
                <w:rFonts w:cs="Times New Roman" w:eastAsiaTheme="minorEastAsia"/>
                <w:bCs/>
                <w:color w:val="auto"/>
                <w:sz w:val="21"/>
                <w:szCs w:val="21"/>
                <w:vertAlign w:val="subscript"/>
              </w:rPr>
              <w:t>c</w:t>
            </w:r>
            <w:r>
              <w:rPr>
                <w:rFonts w:cs="Times New Roman" w:eastAsiaTheme="minorEastAsia"/>
                <w:color w:val="auto"/>
                <w:sz w:val="21"/>
                <w:szCs w:val="21"/>
              </w:rPr>
              <w:t>—径流系数，取0.9；</w:t>
            </w:r>
          </w:p>
          <w:p w14:paraId="7946A718">
            <w:pPr>
              <w:pStyle w:val="79"/>
              <w:keepNext w:val="0"/>
              <w:keepLines w:val="0"/>
              <w:pageBreakBefore w:val="0"/>
              <w:widowControl w:val="0"/>
              <w:kinsoku/>
              <w:wordWrap/>
              <w:overflowPunct/>
              <w:topLinePunct w:val="0"/>
              <w:autoSpaceDE/>
              <w:autoSpaceDN/>
              <w:bidi w:val="0"/>
              <w:adjustRightInd/>
              <w:snapToGrid w:val="0"/>
              <w:spacing w:line="420" w:lineRule="exact"/>
              <w:ind w:firstLine="1050" w:firstLineChars="500"/>
              <w:textAlignment w:val="auto"/>
              <w:rPr>
                <w:rFonts w:cs="Times New Roman" w:eastAsiaTheme="minorEastAsia"/>
                <w:color w:val="auto"/>
                <w:sz w:val="21"/>
                <w:szCs w:val="21"/>
              </w:rPr>
            </w:pPr>
            <w:r>
              <w:rPr>
                <w:rFonts w:cs="Times New Roman" w:eastAsiaTheme="minorEastAsia"/>
                <w:color w:val="auto"/>
                <w:sz w:val="21"/>
                <w:szCs w:val="21"/>
              </w:rPr>
              <w:t>F—汇水面积。</w:t>
            </w:r>
          </w:p>
          <w:p w14:paraId="7226284A">
            <w:pPr>
              <w:pStyle w:val="79"/>
              <w:keepNext w:val="0"/>
              <w:keepLines w:val="0"/>
              <w:pageBreakBefore w:val="0"/>
              <w:widowControl w:val="0"/>
              <w:kinsoku/>
              <w:wordWrap/>
              <w:overflowPunct/>
              <w:topLinePunct w:val="0"/>
              <w:autoSpaceDE/>
              <w:autoSpaceDN/>
              <w:bidi w:val="0"/>
              <w:adjustRightInd/>
              <w:snapToGrid w:val="0"/>
              <w:spacing w:line="420" w:lineRule="exact"/>
              <w:ind w:firstLine="480"/>
              <w:textAlignment w:val="auto"/>
              <w:rPr>
                <w:color w:val="auto"/>
                <w:sz w:val="21"/>
                <w:szCs w:val="21"/>
              </w:rPr>
            </w:pPr>
            <w:r>
              <w:rPr>
                <w:rFonts w:hint="eastAsia" w:ascii="Times New Roman" w:hAnsi="Times New Roman" w:cs="Times New Roman"/>
                <w:color w:val="auto"/>
                <w:sz w:val="21"/>
                <w:szCs w:val="21"/>
              </w:rPr>
              <w:t>根据现场踏勘，本</w:t>
            </w:r>
            <w:r>
              <w:rPr>
                <w:rFonts w:ascii="Times New Roman" w:hAnsi="Times New Roman" w:cs="Times New Roman"/>
                <w:color w:val="auto"/>
                <w:sz w:val="21"/>
                <w:szCs w:val="21"/>
              </w:rPr>
              <w:t>项目露天汇水面积</w:t>
            </w:r>
            <w:r>
              <w:rPr>
                <w:rFonts w:ascii="Times New Roman" w:hAnsi="Times New Roman" w:cs="Times New Roman"/>
                <w:color w:val="auto"/>
                <w:sz w:val="21"/>
                <w:szCs w:val="21"/>
                <w:highlight w:val="none"/>
              </w:rPr>
              <w:t>约</w:t>
            </w:r>
            <w:r>
              <w:rPr>
                <w:rFonts w:hint="eastAsia" w:ascii="Times New Roman" w:hAnsi="Times New Roman" w:cs="Times New Roman"/>
                <w:color w:val="auto"/>
                <w:sz w:val="21"/>
                <w:szCs w:val="21"/>
                <w:highlight w:val="none"/>
                <w:lang w:val="en-US" w:eastAsia="zh-CN"/>
              </w:rPr>
              <w:t>0.16</w:t>
            </w:r>
            <w:r>
              <w:rPr>
                <w:rFonts w:hint="eastAsia" w:ascii="Times New Roman" w:hAnsi="Times New Roman" w:cs="Times New Roman"/>
                <w:color w:val="auto"/>
                <w:sz w:val="21"/>
                <w:szCs w:val="21"/>
                <w:highlight w:val="none"/>
              </w:rPr>
              <w:t>ha</w:t>
            </w:r>
            <w:r>
              <w:rPr>
                <w:rFonts w:ascii="Times New Roman" w:hAnsi="Times New Roman" w:cs="Times New Roman"/>
                <w:color w:val="auto"/>
                <w:sz w:val="21"/>
                <w:szCs w:val="21"/>
                <w:highlight w:val="none"/>
              </w:rPr>
              <w:t>，</w:t>
            </w:r>
            <w:r>
              <w:rPr>
                <w:rFonts w:ascii="Times New Roman" w:hAnsi="Times New Roman" w:cs="Times New Roman"/>
                <w:color w:val="auto"/>
                <w:sz w:val="21"/>
                <w:szCs w:val="21"/>
              </w:rPr>
              <w:t>径流系数取0.9。经计算，项目一次初期雨水量为</w:t>
            </w:r>
            <w:r>
              <w:rPr>
                <w:rFonts w:hint="eastAsia" w:ascii="Times New Roman" w:hAnsi="Times New Roman" w:cs="Times New Roman"/>
                <w:color w:val="auto"/>
                <w:sz w:val="21"/>
                <w:szCs w:val="21"/>
                <w:lang w:val="en-US" w:eastAsia="zh-CN"/>
              </w:rPr>
              <w:t>28.57</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。一年降水次数按1</w:t>
            </w:r>
            <w:r>
              <w:rPr>
                <w:rFonts w:hint="eastAsia" w:ascii="Times New Roman" w:hAnsi="Times New Roman" w:cs="Times New Roman"/>
                <w:color w:val="auto"/>
                <w:sz w:val="21"/>
                <w:szCs w:val="21"/>
              </w:rPr>
              <w:t>0</w:t>
            </w:r>
            <w:r>
              <w:rPr>
                <w:rFonts w:ascii="Times New Roman" w:hAnsi="Times New Roman" w:cs="Times New Roman"/>
                <w:color w:val="auto"/>
                <w:sz w:val="21"/>
                <w:szCs w:val="21"/>
              </w:rPr>
              <w:t>次计算，则</w:t>
            </w:r>
            <w:r>
              <w:rPr>
                <w:rFonts w:hint="eastAsia" w:ascii="Times New Roman" w:hAnsi="Times New Roman" w:cs="Times New Roman"/>
                <w:color w:val="auto"/>
                <w:sz w:val="21"/>
                <w:szCs w:val="21"/>
              </w:rPr>
              <w:t>本</w:t>
            </w:r>
            <w:r>
              <w:rPr>
                <w:rFonts w:ascii="Times New Roman" w:hAnsi="Times New Roman" w:cs="Times New Roman"/>
                <w:color w:val="auto"/>
                <w:sz w:val="21"/>
                <w:szCs w:val="21"/>
              </w:rPr>
              <w:t>项目初期雨水量为</w:t>
            </w:r>
            <w:r>
              <w:rPr>
                <w:rFonts w:hint="eastAsia" w:ascii="Times New Roman" w:hAnsi="Times New Roman" w:cs="Times New Roman"/>
                <w:color w:val="auto"/>
                <w:sz w:val="21"/>
                <w:szCs w:val="21"/>
                <w:lang w:val="en-US" w:eastAsia="zh-CN"/>
              </w:rPr>
              <w:t>285.7</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bookmarkEnd w:id="11"/>
          </w:p>
          <w:p w14:paraId="570EB7D2">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0" w:firstLineChars="0"/>
              <w:textAlignment w:val="auto"/>
              <w:rPr>
                <w:rFonts w:hint="eastAsia"/>
                <w:color w:val="auto"/>
                <w:lang w:val="en-US" w:eastAsia="zh-CN"/>
              </w:rPr>
            </w:pPr>
            <w:r>
              <w:rPr>
                <w:rFonts w:hint="eastAsia"/>
                <w:color w:val="auto"/>
                <w:lang w:val="en-US" w:eastAsia="zh-CN"/>
              </w:rPr>
              <w:t>本项目西厂区拟改造1座50m</w:t>
            </w:r>
            <w:r>
              <w:rPr>
                <w:rFonts w:hint="eastAsia"/>
                <w:color w:val="auto"/>
                <w:vertAlign w:val="superscript"/>
                <w:lang w:val="en-US" w:eastAsia="zh-CN"/>
              </w:rPr>
              <w:t>3</w:t>
            </w:r>
            <w:r>
              <w:rPr>
                <w:rFonts w:hint="eastAsia"/>
                <w:color w:val="auto"/>
                <w:lang w:val="en-US" w:eastAsia="zh-CN"/>
              </w:rPr>
              <w:t>的初期雨水池，可以容纳本项目一次降雨全部初期雨水。</w:t>
            </w:r>
          </w:p>
          <w:p w14:paraId="3108315E">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0" w:firstLineChars="0"/>
              <w:textAlignment w:val="auto"/>
              <w:rPr>
                <w:rFonts w:hint="eastAsia"/>
                <w:color w:val="auto"/>
                <w:lang w:val="en-US" w:eastAsia="zh-CN"/>
              </w:rPr>
            </w:pPr>
            <w:r>
              <w:rPr>
                <w:rFonts w:hint="eastAsia"/>
                <w:color w:val="auto"/>
                <w:lang w:val="en-US" w:eastAsia="zh-CN"/>
              </w:rPr>
              <w:t>本项目水平衡图如下：</w:t>
            </w:r>
          </w:p>
          <w:p w14:paraId="40DCC2CD">
            <w:pPr>
              <w:pStyle w:val="8"/>
              <w:jc w:val="center"/>
              <w:rPr>
                <w:rFonts w:hint="eastAsia"/>
                <w:color w:val="auto"/>
                <w:lang w:val="en-US" w:eastAsia="zh-CN"/>
              </w:rPr>
            </w:pPr>
            <w:r>
              <w:rPr>
                <w:color w:val="auto"/>
              </w:rPr>
              <w:object>
                <v:shape id="_x0000_i1025" o:spt="75" type="#_x0000_t75" style="height:76.95pt;width:375.95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24CD869B">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eastAsia="宋体"/>
                <w:b/>
                <w:bCs/>
                <w:color w:val="auto"/>
                <w:lang w:val="en-US" w:eastAsia="zh-CN"/>
              </w:rPr>
            </w:pPr>
            <w:r>
              <w:rPr>
                <w:rFonts w:hint="eastAsia"/>
                <w:b/>
                <w:bCs/>
                <w:color w:val="auto"/>
                <w:lang w:val="en-US" w:eastAsia="zh-CN"/>
              </w:rPr>
              <w:t>图2-1  本项目水平衡图</w:t>
            </w:r>
          </w:p>
          <w:p w14:paraId="334BD324">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0" w:firstLineChars="0"/>
              <w:textAlignment w:val="auto"/>
              <w:rPr>
                <w:rFonts w:hint="eastAsia"/>
                <w:color w:val="auto"/>
                <w:lang w:val="en-US" w:eastAsia="zh-CN"/>
              </w:rPr>
            </w:pPr>
            <w:r>
              <w:rPr>
                <w:rFonts w:hint="eastAsia"/>
                <w:color w:val="auto"/>
                <w:lang w:val="en-US" w:eastAsia="zh-CN"/>
              </w:rPr>
              <w:t>本项目建成后全厂水平衡图如下：</w:t>
            </w:r>
          </w:p>
          <w:p w14:paraId="2134A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object>
                <v:shape id="_x0000_i1026" o:spt="75" type="#_x0000_t75" style="height:488.15pt;width:408.1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14:paraId="73673794">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b/>
                <w:bCs/>
                <w:color w:val="auto"/>
                <w:lang w:val="en-US" w:eastAsia="zh-CN"/>
              </w:rPr>
            </w:pPr>
            <w:r>
              <w:rPr>
                <w:rFonts w:hint="eastAsia"/>
                <w:b/>
                <w:bCs/>
                <w:color w:val="auto"/>
                <w:lang w:val="en-US" w:eastAsia="zh-CN"/>
              </w:rPr>
              <w:t>图2-1  本项目建成后全厂水平衡图</w:t>
            </w:r>
          </w:p>
          <w:p w14:paraId="15E0B013">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b/>
                <w:bCs/>
                <w:color w:val="auto"/>
                <w:szCs w:val="21"/>
              </w:rPr>
            </w:pPr>
            <w:r>
              <w:rPr>
                <w:rFonts w:hint="eastAsia"/>
                <w:b/>
                <w:bCs/>
                <w:color w:val="auto"/>
                <w:szCs w:val="21"/>
                <w:lang w:val="en-US" w:eastAsia="zh-CN"/>
              </w:rPr>
              <w:t>6</w:t>
            </w:r>
            <w:r>
              <w:rPr>
                <w:b/>
                <w:bCs/>
                <w:color w:val="auto"/>
                <w:szCs w:val="21"/>
              </w:rPr>
              <w:t>、劳动定员</w:t>
            </w:r>
            <w:r>
              <w:rPr>
                <w:rFonts w:hint="eastAsia"/>
                <w:b/>
                <w:bCs/>
                <w:color w:val="auto"/>
                <w:szCs w:val="21"/>
              </w:rPr>
              <w:t>与工作制度</w:t>
            </w:r>
          </w:p>
          <w:p w14:paraId="67CF85F8">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bCs/>
                <w:color w:val="auto"/>
                <w:szCs w:val="21"/>
              </w:rPr>
            </w:pPr>
            <w:r>
              <w:rPr>
                <w:rFonts w:hint="eastAsia"/>
                <w:bCs/>
                <w:color w:val="auto"/>
                <w:szCs w:val="21"/>
                <w:lang w:val="en-US" w:eastAsia="zh-CN"/>
              </w:rPr>
              <w:t>本次技改不新增职工定员</w:t>
            </w:r>
            <w:r>
              <w:rPr>
                <w:bCs/>
                <w:color w:val="auto"/>
                <w:szCs w:val="21"/>
              </w:rPr>
              <w:t>，</w:t>
            </w:r>
            <w:r>
              <w:rPr>
                <w:rFonts w:hint="eastAsia"/>
                <w:bCs/>
                <w:color w:val="auto"/>
                <w:szCs w:val="21"/>
              </w:rPr>
              <w:t>全部从现有职工中调配。</w:t>
            </w:r>
            <w:r>
              <w:rPr>
                <w:bCs/>
                <w:color w:val="auto"/>
                <w:szCs w:val="21"/>
              </w:rPr>
              <w:t>实行</w:t>
            </w:r>
            <w:r>
              <w:rPr>
                <w:rFonts w:hint="eastAsia"/>
                <w:bCs/>
                <w:color w:val="auto"/>
                <w:szCs w:val="21"/>
              </w:rPr>
              <w:t>四班三运转</w:t>
            </w:r>
            <w:r>
              <w:rPr>
                <w:bCs/>
                <w:color w:val="auto"/>
                <w:szCs w:val="21"/>
              </w:rPr>
              <w:t>制，年工作时间为</w:t>
            </w:r>
            <w:r>
              <w:rPr>
                <w:rFonts w:hint="eastAsia"/>
                <w:bCs/>
                <w:color w:val="auto"/>
                <w:szCs w:val="21"/>
                <w:lang w:val="en-US" w:eastAsia="zh-CN"/>
              </w:rPr>
              <w:t>8760</w:t>
            </w:r>
            <w:r>
              <w:rPr>
                <w:rFonts w:hint="eastAsia"/>
                <w:bCs/>
                <w:color w:val="auto"/>
                <w:szCs w:val="21"/>
              </w:rPr>
              <w:t>h</w:t>
            </w:r>
            <w:r>
              <w:rPr>
                <w:bCs/>
                <w:color w:val="auto"/>
                <w:szCs w:val="21"/>
              </w:rPr>
              <w:t>。</w:t>
            </w:r>
          </w:p>
          <w:p w14:paraId="1F53565C">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b/>
                <w:bCs/>
                <w:color w:val="auto"/>
                <w:szCs w:val="21"/>
              </w:rPr>
            </w:pPr>
            <w:r>
              <w:rPr>
                <w:rFonts w:hint="eastAsia"/>
                <w:b/>
                <w:bCs/>
                <w:color w:val="auto"/>
                <w:szCs w:val="21"/>
                <w:lang w:val="en-US" w:eastAsia="zh-CN"/>
              </w:rPr>
              <w:t>7</w:t>
            </w:r>
            <w:r>
              <w:rPr>
                <w:b/>
                <w:bCs/>
                <w:color w:val="auto"/>
                <w:szCs w:val="21"/>
              </w:rPr>
              <w:t>、厂区平面布置</w:t>
            </w:r>
          </w:p>
          <w:p w14:paraId="2C013949">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bCs/>
                <w:color w:val="auto"/>
                <w:szCs w:val="21"/>
                <w:lang w:val="en-US" w:eastAsia="zh-CN"/>
              </w:rPr>
            </w:pPr>
            <w:r>
              <w:rPr>
                <w:rFonts w:hint="eastAsia"/>
                <w:bCs/>
                <w:color w:val="auto"/>
                <w:szCs w:val="21"/>
                <w:lang w:val="en-US" w:eastAsia="zh-CN"/>
              </w:rPr>
              <w:t>本次技改新建储罐区及装卸车区均位于西厂区，自南向北依次为门卫室、装卸车区、储罐区、初期雨水池。</w:t>
            </w:r>
          </w:p>
          <w:p w14:paraId="20564F9D">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eastAsia="宋体"/>
                <w:bCs/>
                <w:color w:val="auto"/>
                <w:szCs w:val="21"/>
                <w:lang w:val="en-US" w:eastAsia="zh-CN"/>
              </w:rPr>
            </w:pPr>
            <w:r>
              <w:rPr>
                <w:rFonts w:hint="eastAsia"/>
                <w:bCs/>
                <w:color w:val="auto"/>
                <w:szCs w:val="21"/>
              </w:rPr>
              <w:t>储罐区内共设置</w:t>
            </w:r>
            <w:r>
              <w:rPr>
                <w:rFonts w:hint="eastAsia"/>
                <w:bCs/>
                <w:color w:val="auto"/>
                <w:szCs w:val="21"/>
                <w:lang w:val="en-US" w:eastAsia="zh-CN"/>
              </w:rPr>
              <w:t>3</w:t>
            </w:r>
            <w:r>
              <w:rPr>
                <w:rFonts w:hint="eastAsia"/>
                <w:bCs/>
                <w:color w:val="auto"/>
                <w:szCs w:val="21"/>
              </w:rPr>
              <w:t>个</w:t>
            </w:r>
            <w:r>
              <w:rPr>
                <w:rFonts w:hint="eastAsia"/>
                <w:bCs/>
                <w:color w:val="auto"/>
                <w:szCs w:val="21"/>
                <w:lang w:val="en-US" w:eastAsia="zh-CN"/>
              </w:rPr>
              <w:t>储罐</w:t>
            </w:r>
            <w:r>
              <w:rPr>
                <w:rFonts w:hint="eastAsia"/>
                <w:bCs/>
                <w:color w:val="auto"/>
                <w:szCs w:val="21"/>
              </w:rPr>
              <w:t>，</w:t>
            </w:r>
            <w:r>
              <w:rPr>
                <w:rFonts w:hint="eastAsia"/>
                <w:bCs/>
                <w:color w:val="auto"/>
                <w:szCs w:val="21"/>
                <w:lang w:val="en-US" w:eastAsia="zh-CN"/>
              </w:rPr>
              <w:t>自南向北分别为1个叔丁醇产品罐、2个甲醇原料罐</w:t>
            </w:r>
            <w:r>
              <w:rPr>
                <w:rFonts w:hint="eastAsia"/>
                <w:bCs/>
                <w:color w:val="auto"/>
                <w:szCs w:val="21"/>
              </w:rPr>
              <w:t>。</w:t>
            </w:r>
          </w:p>
          <w:p w14:paraId="3180E978">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bCs/>
                <w:color w:val="auto"/>
                <w:szCs w:val="21"/>
                <w:highlight w:val="none"/>
                <w:lang w:val="en-US" w:eastAsia="zh-CN"/>
              </w:rPr>
            </w:pPr>
            <w:r>
              <w:rPr>
                <w:rFonts w:hint="eastAsia"/>
                <w:bCs/>
                <w:color w:val="auto"/>
                <w:szCs w:val="21"/>
                <w:highlight w:val="none"/>
                <w:lang w:val="en-US" w:eastAsia="zh-CN"/>
              </w:rPr>
              <w:t>项目技改前全厂平面布置图详见附图5，技改完成后全厂平面布置图详见附图6。</w:t>
            </w:r>
          </w:p>
          <w:p w14:paraId="4B2B223C">
            <w:pPr>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rFonts w:hint="eastAsia" w:eastAsia="宋体"/>
                <w:b/>
                <w:bCs/>
                <w:color w:val="auto"/>
                <w:szCs w:val="21"/>
                <w:lang w:val="en-US" w:eastAsia="zh-CN"/>
              </w:rPr>
            </w:pPr>
            <w:r>
              <w:rPr>
                <w:rFonts w:hint="eastAsia" w:eastAsia="宋体"/>
                <w:b/>
                <w:bCs/>
                <w:color w:val="auto"/>
                <w:szCs w:val="21"/>
                <w:lang w:val="en-US" w:eastAsia="zh-CN"/>
              </w:rPr>
              <w:t>8、环保投资</w:t>
            </w:r>
          </w:p>
          <w:p w14:paraId="4AB922C7">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eastAsia="宋体"/>
                <w:bCs/>
                <w:color w:val="auto"/>
                <w:szCs w:val="21"/>
                <w:lang w:val="en-US" w:eastAsia="zh-CN"/>
              </w:rPr>
            </w:pPr>
            <w:r>
              <w:rPr>
                <w:rFonts w:hint="eastAsia" w:eastAsia="宋体"/>
                <w:bCs/>
                <w:color w:val="auto"/>
                <w:szCs w:val="21"/>
                <w:lang w:val="en-US" w:eastAsia="zh-CN"/>
              </w:rPr>
              <w:t>本项目总投资1100万元，其中环保投资</w:t>
            </w:r>
            <w:r>
              <w:rPr>
                <w:rFonts w:hint="eastAsia"/>
                <w:bCs/>
                <w:color w:val="auto"/>
                <w:szCs w:val="21"/>
                <w:lang w:val="en-US" w:eastAsia="zh-CN"/>
              </w:rPr>
              <w:t>100</w:t>
            </w:r>
            <w:r>
              <w:rPr>
                <w:rFonts w:hint="eastAsia" w:eastAsia="宋体"/>
                <w:bCs/>
                <w:color w:val="auto"/>
                <w:szCs w:val="21"/>
                <w:lang w:val="en-US" w:eastAsia="zh-CN"/>
              </w:rPr>
              <w:t>万元，占总投资的</w:t>
            </w:r>
            <w:r>
              <w:rPr>
                <w:rFonts w:hint="eastAsia"/>
                <w:bCs/>
                <w:color w:val="auto"/>
                <w:szCs w:val="21"/>
                <w:lang w:val="en-US" w:eastAsia="zh-CN"/>
              </w:rPr>
              <w:t>9</w:t>
            </w:r>
            <w:r>
              <w:rPr>
                <w:rFonts w:hint="eastAsia" w:eastAsia="宋体"/>
                <w:bCs/>
                <w:color w:val="auto"/>
                <w:szCs w:val="21"/>
                <w:lang w:val="en-US" w:eastAsia="zh-CN"/>
              </w:rPr>
              <w:t>%，主要用于废气治理、噪声治理、废水处理、固体废物处理等。项目环保投资情况见下表：</w:t>
            </w:r>
          </w:p>
          <w:p w14:paraId="32A4B1A6">
            <w:pPr>
              <w:adjustRightInd w:val="0"/>
              <w:snapToGrid w:val="0"/>
              <w:spacing w:before="120" w:beforeLines="50"/>
              <w:jc w:val="center"/>
              <w:rPr>
                <w:rFonts w:eastAsia="宋体"/>
                <w:b/>
                <w:color w:val="auto"/>
                <w:szCs w:val="21"/>
              </w:rPr>
            </w:pPr>
            <w:r>
              <w:rPr>
                <w:rFonts w:eastAsia="宋体"/>
                <w:b/>
                <w:color w:val="auto"/>
                <w:szCs w:val="21"/>
              </w:rPr>
              <w:t>表2-</w:t>
            </w:r>
            <w:r>
              <w:rPr>
                <w:rFonts w:hint="eastAsia" w:eastAsia="宋体"/>
                <w:b/>
                <w:color w:val="auto"/>
                <w:szCs w:val="21"/>
                <w:lang w:val="en-US" w:eastAsia="zh-CN"/>
              </w:rPr>
              <w:t>7</w:t>
            </w:r>
            <w:r>
              <w:rPr>
                <w:rFonts w:eastAsia="宋体"/>
                <w:b/>
                <w:color w:val="auto"/>
                <w:szCs w:val="21"/>
              </w:rPr>
              <w:t xml:space="preserve">  </w:t>
            </w:r>
            <w:r>
              <w:rPr>
                <w:rFonts w:hint="eastAsia" w:eastAsia="宋体"/>
                <w:b/>
                <w:color w:val="auto"/>
                <w:szCs w:val="21"/>
              </w:rPr>
              <w:t>环保投资</w:t>
            </w:r>
            <w:r>
              <w:rPr>
                <w:rFonts w:eastAsia="宋体"/>
                <w:b/>
                <w:color w:val="auto"/>
                <w:szCs w:val="21"/>
              </w:rPr>
              <w:t>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4170"/>
              <w:gridCol w:w="2539"/>
            </w:tblGrid>
            <w:tr w14:paraId="404EE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noWrap w:val="0"/>
                  <w:vAlign w:val="center"/>
                </w:tcPr>
                <w:p w14:paraId="55A74D21">
                  <w:pPr>
                    <w:pStyle w:val="60"/>
                    <w:rPr>
                      <w:color w:val="auto"/>
                      <w:kern w:val="2"/>
                      <w:sz w:val="18"/>
                      <w:szCs w:val="18"/>
                    </w:rPr>
                  </w:pPr>
                  <w:r>
                    <w:rPr>
                      <w:rFonts w:hint="eastAsia"/>
                      <w:color w:val="auto"/>
                      <w:kern w:val="2"/>
                      <w:sz w:val="18"/>
                      <w:szCs w:val="18"/>
                    </w:rPr>
                    <w:t>项目</w:t>
                  </w:r>
                </w:p>
              </w:tc>
              <w:tc>
                <w:tcPr>
                  <w:tcW w:w="2475" w:type="pct"/>
                  <w:noWrap w:val="0"/>
                  <w:vAlign w:val="center"/>
                </w:tcPr>
                <w:p w14:paraId="405FFB0D">
                  <w:pPr>
                    <w:pStyle w:val="60"/>
                    <w:rPr>
                      <w:color w:val="auto"/>
                      <w:kern w:val="2"/>
                      <w:sz w:val="18"/>
                      <w:szCs w:val="18"/>
                    </w:rPr>
                  </w:pPr>
                  <w:r>
                    <w:rPr>
                      <w:rFonts w:hint="eastAsia"/>
                      <w:color w:val="auto"/>
                      <w:kern w:val="2"/>
                      <w:sz w:val="18"/>
                      <w:szCs w:val="18"/>
                    </w:rPr>
                    <w:t>内容</w:t>
                  </w:r>
                </w:p>
              </w:tc>
              <w:tc>
                <w:tcPr>
                  <w:tcW w:w="1507" w:type="pct"/>
                  <w:noWrap w:val="0"/>
                  <w:vAlign w:val="center"/>
                </w:tcPr>
                <w:p w14:paraId="29C99385">
                  <w:pPr>
                    <w:pStyle w:val="60"/>
                    <w:rPr>
                      <w:color w:val="auto"/>
                      <w:kern w:val="2"/>
                      <w:sz w:val="18"/>
                      <w:szCs w:val="18"/>
                    </w:rPr>
                  </w:pPr>
                  <w:r>
                    <w:rPr>
                      <w:rFonts w:hint="eastAsia"/>
                      <w:color w:val="auto"/>
                      <w:kern w:val="2"/>
                      <w:sz w:val="18"/>
                      <w:szCs w:val="18"/>
                      <w:lang w:val="en-US" w:eastAsia="zh-CN"/>
                    </w:rPr>
                    <w:t>新增环保</w:t>
                  </w:r>
                  <w:r>
                    <w:rPr>
                      <w:rFonts w:hint="eastAsia"/>
                      <w:color w:val="auto"/>
                      <w:kern w:val="2"/>
                      <w:sz w:val="18"/>
                      <w:szCs w:val="18"/>
                    </w:rPr>
                    <w:t>投资（万元）</w:t>
                  </w:r>
                </w:p>
              </w:tc>
            </w:tr>
            <w:tr w14:paraId="1F6D2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noWrap w:val="0"/>
                  <w:vAlign w:val="center"/>
                </w:tcPr>
                <w:p w14:paraId="54529E75">
                  <w:pPr>
                    <w:pStyle w:val="60"/>
                    <w:rPr>
                      <w:color w:val="auto"/>
                      <w:kern w:val="2"/>
                      <w:sz w:val="18"/>
                      <w:szCs w:val="18"/>
                    </w:rPr>
                  </w:pPr>
                  <w:r>
                    <w:rPr>
                      <w:rFonts w:hint="eastAsia"/>
                      <w:color w:val="auto"/>
                      <w:kern w:val="2"/>
                      <w:sz w:val="18"/>
                      <w:szCs w:val="18"/>
                    </w:rPr>
                    <w:t>废气治理</w:t>
                  </w:r>
                </w:p>
              </w:tc>
              <w:tc>
                <w:tcPr>
                  <w:tcW w:w="2475" w:type="pct"/>
                  <w:noWrap w:val="0"/>
                  <w:vAlign w:val="center"/>
                </w:tcPr>
                <w:p w14:paraId="38B772CE">
                  <w:pPr>
                    <w:pStyle w:val="60"/>
                    <w:rPr>
                      <w:color w:val="auto"/>
                      <w:kern w:val="2"/>
                      <w:sz w:val="18"/>
                      <w:szCs w:val="18"/>
                    </w:rPr>
                  </w:pPr>
                  <w:r>
                    <w:rPr>
                      <w:rFonts w:hint="eastAsia"/>
                      <w:color w:val="auto"/>
                      <w:kern w:val="2"/>
                      <w:sz w:val="18"/>
                      <w:szCs w:val="18"/>
                      <w:lang w:val="en-US" w:eastAsia="zh-CN"/>
                    </w:rPr>
                    <w:t>废气收集</w:t>
                  </w:r>
                  <w:r>
                    <w:rPr>
                      <w:rFonts w:hint="eastAsia"/>
                      <w:color w:val="auto"/>
                      <w:kern w:val="2"/>
                      <w:sz w:val="18"/>
                      <w:szCs w:val="18"/>
                    </w:rPr>
                    <w:t>管线</w:t>
                  </w:r>
                </w:p>
              </w:tc>
              <w:tc>
                <w:tcPr>
                  <w:tcW w:w="1507" w:type="pct"/>
                  <w:noWrap w:val="0"/>
                  <w:vAlign w:val="center"/>
                </w:tcPr>
                <w:p w14:paraId="1E2539B9">
                  <w:pPr>
                    <w:pStyle w:val="60"/>
                    <w:rPr>
                      <w:rFonts w:hint="eastAsia" w:eastAsia="宋体"/>
                      <w:color w:val="auto"/>
                      <w:kern w:val="2"/>
                      <w:sz w:val="18"/>
                      <w:szCs w:val="18"/>
                      <w:lang w:eastAsia="zh-CN"/>
                    </w:rPr>
                  </w:pPr>
                  <w:r>
                    <w:rPr>
                      <w:rFonts w:hint="eastAsia"/>
                      <w:color w:val="auto"/>
                      <w:kern w:val="2"/>
                      <w:sz w:val="18"/>
                      <w:szCs w:val="18"/>
                      <w:lang w:val="en-US" w:eastAsia="zh-CN"/>
                    </w:rPr>
                    <w:t>5</w:t>
                  </w:r>
                </w:p>
              </w:tc>
            </w:tr>
            <w:tr w14:paraId="2592C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noWrap w:val="0"/>
                  <w:vAlign w:val="center"/>
                </w:tcPr>
                <w:p w14:paraId="7B08C42A">
                  <w:pPr>
                    <w:pStyle w:val="60"/>
                    <w:rPr>
                      <w:rFonts w:hint="eastAsia"/>
                      <w:color w:val="auto"/>
                      <w:kern w:val="2"/>
                      <w:sz w:val="18"/>
                      <w:szCs w:val="18"/>
                    </w:rPr>
                  </w:pPr>
                  <w:r>
                    <w:rPr>
                      <w:rFonts w:hint="eastAsia"/>
                      <w:color w:val="auto"/>
                      <w:kern w:val="2"/>
                      <w:sz w:val="18"/>
                      <w:szCs w:val="18"/>
                    </w:rPr>
                    <w:t>废水治理</w:t>
                  </w:r>
                </w:p>
              </w:tc>
              <w:tc>
                <w:tcPr>
                  <w:tcW w:w="2475" w:type="pct"/>
                  <w:noWrap w:val="0"/>
                  <w:vAlign w:val="center"/>
                </w:tcPr>
                <w:p w14:paraId="3C96B4D0">
                  <w:pPr>
                    <w:pStyle w:val="60"/>
                    <w:rPr>
                      <w:rFonts w:hint="default" w:eastAsia="宋体"/>
                      <w:color w:val="auto"/>
                      <w:kern w:val="2"/>
                      <w:sz w:val="18"/>
                      <w:szCs w:val="18"/>
                      <w:lang w:val="en-US" w:eastAsia="zh-CN"/>
                    </w:rPr>
                  </w:pPr>
                  <w:r>
                    <w:rPr>
                      <w:rFonts w:hint="eastAsia" w:eastAsia="宋体"/>
                      <w:color w:val="auto"/>
                      <w:kern w:val="2"/>
                      <w:sz w:val="18"/>
                      <w:szCs w:val="18"/>
                      <w:lang w:val="en-US" w:eastAsia="zh-CN"/>
                    </w:rPr>
                    <w:t>新建废水收集管线、改造事故水池及初期雨水池</w:t>
                  </w:r>
                </w:p>
              </w:tc>
              <w:tc>
                <w:tcPr>
                  <w:tcW w:w="1507" w:type="pct"/>
                  <w:noWrap w:val="0"/>
                  <w:vAlign w:val="center"/>
                </w:tcPr>
                <w:p w14:paraId="37CF2DEA">
                  <w:pPr>
                    <w:pStyle w:val="60"/>
                    <w:rPr>
                      <w:rFonts w:hint="default" w:eastAsia="宋体"/>
                      <w:color w:val="auto"/>
                      <w:kern w:val="2"/>
                      <w:sz w:val="18"/>
                      <w:szCs w:val="18"/>
                      <w:lang w:val="en-US" w:eastAsia="zh-CN"/>
                    </w:rPr>
                  </w:pPr>
                  <w:r>
                    <w:rPr>
                      <w:rFonts w:hint="eastAsia"/>
                      <w:color w:val="auto"/>
                      <w:kern w:val="2"/>
                      <w:sz w:val="18"/>
                      <w:szCs w:val="18"/>
                      <w:lang w:val="en-US" w:eastAsia="zh-CN"/>
                    </w:rPr>
                    <w:t>40</w:t>
                  </w:r>
                </w:p>
              </w:tc>
            </w:tr>
            <w:tr w14:paraId="70DD4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noWrap w:val="0"/>
                  <w:vAlign w:val="center"/>
                </w:tcPr>
                <w:p w14:paraId="4601D24E">
                  <w:pPr>
                    <w:pStyle w:val="60"/>
                    <w:rPr>
                      <w:rFonts w:hint="eastAsia"/>
                      <w:color w:val="auto"/>
                      <w:kern w:val="2"/>
                      <w:sz w:val="18"/>
                      <w:szCs w:val="18"/>
                    </w:rPr>
                  </w:pPr>
                  <w:r>
                    <w:rPr>
                      <w:rFonts w:hint="eastAsia"/>
                      <w:color w:val="auto"/>
                      <w:kern w:val="2"/>
                      <w:sz w:val="18"/>
                      <w:szCs w:val="18"/>
                    </w:rPr>
                    <w:t>噪声治理</w:t>
                  </w:r>
                </w:p>
              </w:tc>
              <w:tc>
                <w:tcPr>
                  <w:tcW w:w="2475" w:type="pct"/>
                  <w:noWrap w:val="0"/>
                  <w:vAlign w:val="center"/>
                </w:tcPr>
                <w:p w14:paraId="0F231D84">
                  <w:pPr>
                    <w:pStyle w:val="60"/>
                    <w:rPr>
                      <w:color w:val="auto"/>
                      <w:kern w:val="2"/>
                      <w:sz w:val="18"/>
                      <w:szCs w:val="18"/>
                    </w:rPr>
                  </w:pPr>
                  <w:r>
                    <w:rPr>
                      <w:rFonts w:hint="eastAsia"/>
                      <w:color w:val="auto"/>
                      <w:kern w:val="2"/>
                      <w:sz w:val="18"/>
                      <w:szCs w:val="18"/>
                    </w:rPr>
                    <w:t>隔声、减震</w:t>
                  </w:r>
                </w:p>
              </w:tc>
              <w:tc>
                <w:tcPr>
                  <w:tcW w:w="1507" w:type="pct"/>
                  <w:noWrap w:val="0"/>
                  <w:vAlign w:val="center"/>
                </w:tcPr>
                <w:p w14:paraId="666199E5">
                  <w:pPr>
                    <w:pStyle w:val="60"/>
                    <w:rPr>
                      <w:rFonts w:hint="eastAsia" w:eastAsia="宋体"/>
                      <w:color w:val="auto"/>
                      <w:kern w:val="2"/>
                      <w:sz w:val="18"/>
                      <w:szCs w:val="18"/>
                      <w:lang w:eastAsia="zh-CN"/>
                    </w:rPr>
                  </w:pPr>
                  <w:r>
                    <w:rPr>
                      <w:rFonts w:hint="eastAsia"/>
                      <w:color w:val="auto"/>
                      <w:kern w:val="2"/>
                      <w:sz w:val="18"/>
                      <w:szCs w:val="18"/>
                      <w:lang w:val="en-US" w:eastAsia="zh-CN"/>
                    </w:rPr>
                    <w:t>2</w:t>
                  </w:r>
                </w:p>
              </w:tc>
            </w:tr>
            <w:tr w14:paraId="2EC1F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vMerge w:val="restart"/>
                  <w:noWrap w:val="0"/>
                  <w:vAlign w:val="center"/>
                </w:tcPr>
                <w:p w14:paraId="000B5453">
                  <w:pPr>
                    <w:pStyle w:val="60"/>
                    <w:rPr>
                      <w:rFonts w:hint="eastAsia"/>
                      <w:color w:val="auto"/>
                      <w:kern w:val="2"/>
                      <w:sz w:val="18"/>
                      <w:szCs w:val="18"/>
                    </w:rPr>
                  </w:pPr>
                  <w:r>
                    <w:rPr>
                      <w:rFonts w:hint="eastAsia"/>
                      <w:color w:val="auto"/>
                      <w:kern w:val="2"/>
                      <w:sz w:val="18"/>
                      <w:szCs w:val="18"/>
                    </w:rPr>
                    <w:t>环境</w:t>
                  </w:r>
                  <w:r>
                    <w:rPr>
                      <w:rFonts w:hint="eastAsia"/>
                      <w:color w:val="auto"/>
                      <w:kern w:val="2"/>
                      <w:sz w:val="18"/>
                      <w:szCs w:val="18"/>
                      <w:lang w:val="en-US" w:eastAsia="zh-CN"/>
                    </w:rPr>
                    <w:t>风险</w:t>
                  </w:r>
                  <w:r>
                    <w:rPr>
                      <w:rFonts w:hint="eastAsia"/>
                      <w:color w:val="auto"/>
                      <w:kern w:val="2"/>
                      <w:sz w:val="18"/>
                      <w:szCs w:val="18"/>
                    </w:rPr>
                    <w:t>措施</w:t>
                  </w:r>
                </w:p>
              </w:tc>
              <w:tc>
                <w:tcPr>
                  <w:tcW w:w="2475" w:type="pct"/>
                  <w:noWrap w:val="0"/>
                  <w:vAlign w:val="center"/>
                </w:tcPr>
                <w:p w14:paraId="1EDE7F60">
                  <w:pPr>
                    <w:pStyle w:val="60"/>
                    <w:rPr>
                      <w:color w:val="auto"/>
                      <w:kern w:val="2"/>
                      <w:sz w:val="18"/>
                      <w:szCs w:val="18"/>
                    </w:rPr>
                  </w:pPr>
                  <w:r>
                    <w:rPr>
                      <w:rFonts w:hint="eastAsia"/>
                      <w:color w:val="auto"/>
                      <w:kern w:val="2"/>
                      <w:sz w:val="18"/>
                      <w:szCs w:val="18"/>
                    </w:rPr>
                    <w:t>应急物资</w:t>
                  </w:r>
                </w:p>
              </w:tc>
              <w:tc>
                <w:tcPr>
                  <w:tcW w:w="1507" w:type="pct"/>
                  <w:noWrap w:val="0"/>
                  <w:vAlign w:val="center"/>
                </w:tcPr>
                <w:p w14:paraId="37A60EDD">
                  <w:pPr>
                    <w:pStyle w:val="60"/>
                    <w:rPr>
                      <w:rFonts w:hint="eastAsia" w:eastAsia="宋体"/>
                      <w:color w:val="auto"/>
                      <w:kern w:val="2"/>
                      <w:sz w:val="18"/>
                      <w:szCs w:val="18"/>
                      <w:lang w:val="en-US" w:eastAsia="zh-CN"/>
                    </w:rPr>
                  </w:pPr>
                  <w:r>
                    <w:rPr>
                      <w:rFonts w:hint="eastAsia"/>
                      <w:color w:val="auto"/>
                      <w:kern w:val="2"/>
                      <w:sz w:val="18"/>
                      <w:szCs w:val="18"/>
                      <w:lang w:val="en-US" w:eastAsia="zh-CN"/>
                    </w:rPr>
                    <w:t>3</w:t>
                  </w:r>
                </w:p>
              </w:tc>
            </w:tr>
            <w:tr w14:paraId="518B3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7" w:type="pct"/>
                  <w:vMerge w:val="continue"/>
                  <w:noWrap w:val="0"/>
                  <w:vAlign w:val="center"/>
                </w:tcPr>
                <w:p w14:paraId="055F1330">
                  <w:pPr>
                    <w:pStyle w:val="60"/>
                    <w:rPr>
                      <w:rFonts w:hint="eastAsia"/>
                      <w:color w:val="auto"/>
                      <w:kern w:val="2"/>
                      <w:sz w:val="18"/>
                      <w:szCs w:val="18"/>
                    </w:rPr>
                  </w:pPr>
                </w:p>
              </w:tc>
              <w:tc>
                <w:tcPr>
                  <w:tcW w:w="2475" w:type="pct"/>
                  <w:noWrap w:val="0"/>
                  <w:vAlign w:val="center"/>
                </w:tcPr>
                <w:p w14:paraId="43AA1390">
                  <w:pPr>
                    <w:pStyle w:val="60"/>
                    <w:rPr>
                      <w:rFonts w:hint="eastAsia"/>
                      <w:color w:val="auto"/>
                      <w:kern w:val="2"/>
                      <w:sz w:val="18"/>
                      <w:szCs w:val="18"/>
                    </w:rPr>
                  </w:pPr>
                  <w:r>
                    <w:rPr>
                      <w:rFonts w:hint="eastAsia"/>
                      <w:color w:val="auto"/>
                      <w:kern w:val="2"/>
                      <w:sz w:val="18"/>
                      <w:szCs w:val="18"/>
                      <w:lang w:val="en-US" w:eastAsia="zh-CN"/>
                    </w:rPr>
                    <w:t>项目区防渗施工</w:t>
                  </w:r>
                </w:p>
              </w:tc>
              <w:tc>
                <w:tcPr>
                  <w:tcW w:w="1507" w:type="pct"/>
                  <w:noWrap w:val="0"/>
                  <w:vAlign w:val="center"/>
                </w:tcPr>
                <w:p w14:paraId="7D603218">
                  <w:pPr>
                    <w:pStyle w:val="60"/>
                    <w:rPr>
                      <w:rFonts w:hint="eastAsia"/>
                      <w:color w:val="auto"/>
                      <w:kern w:val="2"/>
                      <w:sz w:val="18"/>
                      <w:szCs w:val="18"/>
                    </w:rPr>
                  </w:pPr>
                  <w:r>
                    <w:rPr>
                      <w:rFonts w:hint="eastAsia"/>
                      <w:color w:val="auto"/>
                      <w:kern w:val="2"/>
                      <w:sz w:val="18"/>
                      <w:szCs w:val="18"/>
                      <w:lang w:val="en-US" w:eastAsia="zh-CN"/>
                    </w:rPr>
                    <w:t>50</w:t>
                  </w:r>
                </w:p>
              </w:tc>
            </w:tr>
            <w:tr w14:paraId="2E5CA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2" w:type="pct"/>
                  <w:gridSpan w:val="2"/>
                  <w:noWrap w:val="0"/>
                  <w:vAlign w:val="center"/>
                </w:tcPr>
                <w:p w14:paraId="0352D7A9">
                  <w:pPr>
                    <w:pStyle w:val="60"/>
                    <w:rPr>
                      <w:rFonts w:hint="eastAsia"/>
                      <w:color w:val="auto"/>
                      <w:kern w:val="2"/>
                      <w:sz w:val="18"/>
                      <w:szCs w:val="18"/>
                    </w:rPr>
                  </w:pPr>
                  <w:r>
                    <w:rPr>
                      <w:rFonts w:hint="eastAsia"/>
                      <w:color w:val="auto"/>
                      <w:kern w:val="2"/>
                      <w:sz w:val="18"/>
                      <w:szCs w:val="18"/>
                    </w:rPr>
                    <w:t>合计</w:t>
                  </w:r>
                </w:p>
              </w:tc>
              <w:tc>
                <w:tcPr>
                  <w:tcW w:w="1507" w:type="pct"/>
                  <w:noWrap w:val="0"/>
                  <w:vAlign w:val="center"/>
                </w:tcPr>
                <w:p w14:paraId="024D5203">
                  <w:pPr>
                    <w:pStyle w:val="60"/>
                    <w:rPr>
                      <w:rFonts w:hint="default" w:eastAsia="宋体"/>
                      <w:color w:val="auto"/>
                      <w:kern w:val="2"/>
                      <w:sz w:val="18"/>
                      <w:szCs w:val="18"/>
                      <w:lang w:val="en-US" w:eastAsia="zh-CN"/>
                    </w:rPr>
                  </w:pPr>
                  <w:r>
                    <w:rPr>
                      <w:rFonts w:hint="eastAsia"/>
                      <w:color w:val="auto"/>
                      <w:kern w:val="2"/>
                      <w:sz w:val="18"/>
                      <w:szCs w:val="18"/>
                      <w:lang w:val="en-US" w:eastAsia="zh-CN"/>
                    </w:rPr>
                    <w:t>100</w:t>
                  </w:r>
                </w:p>
              </w:tc>
            </w:tr>
          </w:tbl>
          <w:p w14:paraId="2564DFDD">
            <w:pPr>
              <w:pStyle w:val="10"/>
              <w:rPr>
                <w:color w:val="auto"/>
              </w:rPr>
            </w:pPr>
          </w:p>
        </w:tc>
      </w:tr>
      <w:tr w14:paraId="27AE8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0" w:type="dxa"/>
            <w:vAlign w:val="center"/>
          </w:tcPr>
          <w:p w14:paraId="35D8CAD5">
            <w:pPr>
              <w:pStyle w:val="18"/>
              <w:adjustRightInd w:val="0"/>
              <w:snapToGrid w:val="0"/>
              <w:spacing w:before="0" w:beforeAutospacing="0" w:after="0" w:afterAutospacing="0"/>
              <w:jc w:val="center"/>
              <w:rPr>
                <w:rFonts w:ascii="Times New Roman" w:hAnsi="Times New Roman"/>
                <w:color w:val="auto"/>
                <w:sz w:val="21"/>
                <w:szCs w:val="21"/>
                <w:lang w:val="en-US"/>
              </w:rPr>
            </w:pPr>
            <w:r>
              <w:rPr>
                <w:rFonts w:ascii="Times New Roman" w:hAnsi="Times New Roman"/>
                <w:color w:val="auto"/>
                <w:sz w:val="21"/>
                <w:szCs w:val="21"/>
                <w:lang w:val="en-US"/>
              </w:rPr>
              <w:t>工艺流程和产排污环节</w:t>
            </w:r>
          </w:p>
        </w:tc>
        <w:tc>
          <w:tcPr>
            <w:tcW w:w="8640" w:type="dxa"/>
          </w:tcPr>
          <w:p w14:paraId="1E5ACDB6">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宋体" w:hAnsi="宋体"/>
                <w:b/>
                <w:color w:val="auto"/>
                <w:szCs w:val="21"/>
                <w:highlight w:val="none"/>
              </w:rPr>
              <w:t>一、</w:t>
            </w:r>
            <w:r>
              <w:rPr>
                <w:rFonts w:hint="eastAsia" w:ascii="宋体" w:hAnsi="宋体"/>
                <w:b/>
                <w:color w:val="auto"/>
                <w:szCs w:val="21"/>
                <w:highlight w:val="none"/>
                <w:lang w:val="en-US" w:eastAsia="zh-CN"/>
              </w:rPr>
              <w:t>施工</w:t>
            </w:r>
            <w:r>
              <w:rPr>
                <w:rFonts w:hint="eastAsia" w:asciiTheme="minorEastAsia" w:hAnsiTheme="minorEastAsia" w:eastAsiaTheme="minorEastAsia" w:cstheme="minorEastAsia"/>
                <w:b/>
                <w:bCs/>
                <w:color w:val="auto"/>
                <w:szCs w:val="21"/>
                <w:highlight w:val="none"/>
                <w:lang w:val="en-US" w:eastAsia="zh-CN"/>
              </w:rPr>
              <w:t>期</w:t>
            </w:r>
            <w:r>
              <w:rPr>
                <w:rFonts w:hint="eastAsia" w:asciiTheme="minorEastAsia" w:hAnsiTheme="minorEastAsia" w:eastAsiaTheme="minorEastAsia" w:cstheme="minorEastAsia"/>
                <w:b/>
                <w:bCs/>
                <w:color w:val="auto"/>
                <w:szCs w:val="21"/>
                <w:highlight w:val="none"/>
              </w:rPr>
              <w:t>生产工艺流程及产排污环节分析</w:t>
            </w:r>
          </w:p>
          <w:p w14:paraId="40F989E2">
            <w:pPr>
              <w:keepNext w:val="0"/>
              <w:keepLines w:val="0"/>
              <w:pageBreakBefore w:val="0"/>
              <w:kinsoku/>
              <w:wordWrap/>
              <w:overflowPunct/>
              <w:topLinePunct w:val="0"/>
              <w:autoSpaceDE/>
              <w:autoSpaceDN/>
              <w:bidi w:val="0"/>
              <w:spacing w:line="420" w:lineRule="exact"/>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本项目为原料、产品罐区安全环保提升技术改造项目，</w:t>
            </w:r>
            <w:r>
              <w:rPr>
                <w:rFonts w:hint="default" w:ascii="Times New Roman" w:hAnsi="Times New Roman" w:cs="Times New Roman"/>
                <w:color w:val="auto"/>
                <w:szCs w:val="21"/>
                <w:highlight w:val="none"/>
              </w:rPr>
              <w:t>施工期主要</w:t>
            </w:r>
            <w:r>
              <w:rPr>
                <w:rFonts w:hint="eastAsia" w:ascii="Times New Roman" w:hAnsi="Times New Roman" w:cs="Times New Roman"/>
                <w:color w:val="auto"/>
                <w:szCs w:val="21"/>
                <w:highlight w:val="none"/>
                <w:lang w:val="en-US" w:eastAsia="zh-CN"/>
              </w:rPr>
              <w:t>工作</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lang w:val="en-US" w:eastAsia="zh-CN"/>
              </w:rPr>
              <w:t>拆除</w:t>
            </w:r>
            <w:r>
              <w:rPr>
                <w:rFonts w:hint="eastAsia" w:ascii="Times New Roman" w:hAnsi="Times New Roman" w:cs="Times New Roman"/>
                <w:color w:val="auto"/>
                <w:szCs w:val="21"/>
                <w:highlight w:val="none"/>
                <w:lang w:val="en-US" w:eastAsia="zh-CN"/>
              </w:rPr>
              <w:t>西</w:t>
            </w:r>
            <w:r>
              <w:rPr>
                <w:rFonts w:hint="default" w:ascii="Times New Roman" w:hAnsi="Times New Roman" w:cs="Times New Roman"/>
                <w:color w:val="auto"/>
                <w:szCs w:val="21"/>
                <w:highlight w:val="none"/>
                <w:lang w:val="en-US" w:eastAsia="zh-CN"/>
              </w:rPr>
              <w:t>厂区内现有</w:t>
            </w:r>
            <w:r>
              <w:rPr>
                <w:rFonts w:hint="default" w:ascii="Times New Roman" w:hAnsi="Times New Roman" w:eastAsia="宋体" w:cs="Times New Roman"/>
                <w:color w:val="auto"/>
                <w:szCs w:val="21"/>
                <w:highlight w:val="none"/>
                <w:lang w:val="en-US" w:eastAsia="zh-CN"/>
              </w:rPr>
              <w:t>办公</w:t>
            </w:r>
            <w:r>
              <w:rPr>
                <w:rFonts w:hint="eastAsia" w:ascii="Times New Roman" w:hAnsi="Times New Roman" w:eastAsia="宋体" w:cs="Times New Roman"/>
                <w:color w:val="auto"/>
                <w:szCs w:val="21"/>
                <w:highlight w:val="none"/>
                <w:lang w:val="en-US" w:eastAsia="zh-CN"/>
              </w:rPr>
              <w:t>室及循环水池</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东厂区内叔丁醇产品暂存罐</w:t>
            </w:r>
            <w:r>
              <w:rPr>
                <w:rFonts w:hint="eastAsia" w:cs="Times New Roman"/>
                <w:color w:val="auto"/>
                <w:szCs w:val="21"/>
                <w:highlight w:val="none"/>
                <w:lang w:val="en-US" w:eastAsia="zh-CN"/>
              </w:rPr>
              <w:t>及</w:t>
            </w:r>
            <w:r>
              <w:rPr>
                <w:rFonts w:hint="eastAsia" w:ascii="Times New Roman" w:hAnsi="Times New Roman" w:eastAsia="宋体" w:cs="Times New Roman"/>
                <w:color w:val="auto"/>
                <w:szCs w:val="21"/>
                <w:highlight w:val="none"/>
                <w:lang w:val="en-US" w:eastAsia="zh-CN"/>
              </w:rPr>
              <w:t>甲醇卸车设施</w:t>
            </w:r>
            <w:r>
              <w:rPr>
                <w:rFonts w:hint="default" w:ascii="Times New Roman" w:hAnsi="Times New Roman" w:eastAsia="宋体" w:cs="Times New Roman"/>
                <w:color w:val="auto"/>
                <w:szCs w:val="21"/>
                <w:highlight w:val="none"/>
                <w:lang w:val="en-US" w:eastAsia="zh-CN"/>
              </w:rPr>
              <w:t>，并</w:t>
            </w:r>
            <w:r>
              <w:rPr>
                <w:rFonts w:hint="eastAsia" w:ascii="Times New Roman" w:hAnsi="Times New Roman" w:eastAsia="宋体" w:cs="Times New Roman"/>
                <w:color w:val="auto"/>
                <w:szCs w:val="21"/>
                <w:highlight w:val="none"/>
                <w:lang w:val="en-US" w:eastAsia="zh-CN"/>
              </w:rPr>
              <w:t>在西厂区新建储罐区、装卸车区，同时对现有事故应急池进行棚盖并覆土施工，改造现有废水池。</w:t>
            </w:r>
          </w:p>
          <w:p w14:paraId="2E808277">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技改项目建设周期约为12个月，施工建设过程中原有</w:t>
            </w:r>
            <w:r>
              <w:rPr>
                <w:rFonts w:hint="eastAsia" w:ascii="Times New Roman" w:hAnsi="Times New Roman" w:eastAsia="宋体" w:cs="Times New Roman"/>
                <w:color w:val="auto"/>
                <w:kern w:val="2"/>
                <w:sz w:val="21"/>
                <w:szCs w:val="21"/>
                <w:highlight w:val="none"/>
                <w:lang w:val="en-US" w:eastAsia="zh-CN" w:bidi="ar-SA"/>
              </w:rPr>
              <w:t>建构筑物</w:t>
            </w:r>
            <w:r>
              <w:rPr>
                <w:rFonts w:hint="default" w:ascii="Times New Roman" w:hAnsi="Times New Roman" w:eastAsia="宋体" w:cs="Times New Roman"/>
                <w:color w:val="auto"/>
                <w:kern w:val="2"/>
                <w:sz w:val="21"/>
                <w:szCs w:val="21"/>
                <w:highlight w:val="none"/>
                <w:lang w:val="en-US" w:eastAsia="zh-CN" w:bidi="ar-SA"/>
              </w:rPr>
              <w:t>及</w:t>
            </w:r>
            <w:r>
              <w:rPr>
                <w:rFonts w:hint="eastAsia" w:ascii="Times New Roman" w:hAnsi="Times New Roman" w:eastAsia="宋体" w:cs="Times New Roman"/>
                <w:color w:val="auto"/>
                <w:kern w:val="2"/>
                <w:sz w:val="21"/>
                <w:szCs w:val="21"/>
                <w:highlight w:val="none"/>
                <w:lang w:val="en-US" w:eastAsia="zh-CN" w:bidi="ar-SA"/>
              </w:rPr>
              <w:t>储罐</w:t>
            </w:r>
            <w:r>
              <w:rPr>
                <w:rFonts w:hint="default" w:ascii="Times New Roman" w:hAnsi="Times New Roman" w:eastAsia="宋体" w:cs="Times New Roman"/>
                <w:color w:val="auto"/>
                <w:kern w:val="2"/>
                <w:sz w:val="21"/>
                <w:szCs w:val="21"/>
                <w:highlight w:val="none"/>
                <w:lang w:val="en-US" w:eastAsia="zh-CN" w:bidi="ar-SA"/>
              </w:rPr>
              <w:t>拆除、场地清理、土石方挖掘、物料堆存及运输、设备运输及安装等环节会产生废气、噪声、废水和固废等污染物。</w:t>
            </w:r>
          </w:p>
          <w:p w14:paraId="51560453">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项目施工期产污环节具体如下：</w:t>
            </w:r>
          </w:p>
          <w:p w14:paraId="28D4E183">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①废气：施工期产生的废气主要为</w:t>
            </w:r>
            <w:r>
              <w:rPr>
                <w:rFonts w:hint="eastAsia" w:ascii="Times New Roman" w:hAnsi="Times New Roman" w:eastAsia="宋体" w:cs="Times New Roman"/>
                <w:color w:val="auto"/>
                <w:kern w:val="2"/>
                <w:sz w:val="21"/>
                <w:szCs w:val="21"/>
                <w:highlight w:val="none"/>
                <w:lang w:val="en-US" w:eastAsia="zh-CN" w:bidi="ar-SA"/>
              </w:rPr>
              <w:t>构筑物及储罐等</w:t>
            </w:r>
            <w:r>
              <w:rPr>
                <w:rFonts w:hint="default" w:ascii="Times New Roman" w:hAnsi="Times New Roman" w:eastAsia="宋体" w:cs="Times New Roman"/>
                <w:color w:val="auto"/>
                <w:kern w:val="2"/>
                <w:sz w:val="21"/>
                <w:szCs w:val="21"/>
                <w:highlight w:val="none"/>
                <w:lang w:val="en-US" w:eastAsia="zh-CN" w:bidi="ar-SA"/>
              </w:rPr>
              <w:t>拆除扬尘、施工扬尘、施工机械废气、储罐防腐防水工程涂装废气、储罐及管道焊接烟尘等。</w:t>
            </w:r>
          </w:p>
          <w:p w14:paraId="38008C1F">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w:t>
            </w:r>
            <w:r>
              <w:rPr>
                <w:rFonts w:hint="default" w:ascii="Times New Roman" w:hAnsi="Times New Roman" w:eastAsia="宋体" w:cs="Times New Roman"/>
                <w:color w:val="auto"/>
                <w:kern w:val="2"/>
                <w:sz w:val="21"/>
                <w:szCs w:val="21"/>
                <w:highlight w:val="none"/>
                <w:lang w:val="en-US" w:eastAsia="zh-CN" w:bidi="ar-SA"/>
              </w:rPr>
              <w:t>废水：施工期间废水主要是施工机械“跑、冒、滴、漏”产生的油污及露天机械被雨水冲刷后产生少量的含油废水以及施工人员生活污水。</w:t>
            </w:r>
          </w:p>
          <w:p w14:paraId="1648893B">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③</w:t>
            </w:r>
            <w:r>
              <w:rPr>
                <w:rFonts w:hint="default" w:ascii="Times New Roman" w:hAnsi="Times New Roman" w:eastAsia="宋体" w:cs="Times New Roman"/>
                <w:color w:val="auto"/>
                <w:kern w:val="2"/>
                <w:sz w:val="21"/>
                <w:szCs w:val="21"/>
                <w:highlight w:val="none"/>
                <w:lang w:val="en-US" w:eastAsia="zh-CN" w:bidi="ar-SA"/>
              </w:rPr>
              <w:t>噪声：施工噪声主要来自施工机械、交通运输等。主要高噪声源有：挖掘机、推土机、混凝土搅拌机、振捣棒、载重汽车等。根据国内使用各施工设备的资料类比，其噪声源声级一般在85～95dB(A)之间。</w:t>
            </w:r>
          </w:p>
          <w:p w14:paraId="29625629">
            <w:pPr>
              <w:pStyle w:val="62"/>
              <w:keepNext w:val="0"/>
              <w:keepLines w:val="0"/>
              <w:pageBreakBefore w:val="0"/>
              <w:numPr>
                <w:ilvl w:val="0"/>
                <w:numId w:val="0"/>
              </w:numPr>
              <w:kinsoku/>
              <w:wordWrap/>
              <w:overflowPunct/>
              <w:topLinePunct w:val="0"/>
              <w:autoSpaceDE/>
              <w:autoSpaceDN/>
              <w:bidi w:val="0"/>
              <w:spacing w:line="420" w:lineRule="exact"/>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④固体废物：施工期产生的固废主要为废弃土石方、建筑垃圾、机加工下脚料、废油漆涂料、焊渣、生活垃圾</w:t>
            </w:r>
            <w:r>
              <w:rPr>
                <w:rFonts w:hint="eastAsia" w:ascii="Times New Roman" w:hAnsi="Times New Roman" w:eastAsia="宋体" w:cs="Times New Roman"/>
                <w:color w:val="auto"/>
                <w:kern w:val="2"/>
                <w:sz w:val="21"/>
                <w:szCs w:val="21"/>
                <w:highlight w:val="none"/>
                <w:lang w:val="en-US" w:eastAsia="zh-CN" w:bidi="ar-SA"/>
              </w:rPr>
              <w:t>及拆除的废旧储罐</w:t>
            </w:r>
            <w:r>
              <w:rPr>
                <w:rFonts w:hint="eastAsia" w:eastAsia="宋体" w:cs="Times New Roman"/>
                <w:color w:val="auto"/>
                <w:kern w:val="2"/>
                <w:sz w:val="21"/>
                <w:szCs w:val="21"/>
                <w:highlight w:val="none"/>
                <w:lang w:val="en-US" w:eastAsia="zh-CN" w:bidi="ar-SA"/>
              </w:rPr>
              <w:t>、设备、管线</w:t>
            </w:r>
            <w:r>
              <w:rPr>
                <w:rFonts w:hint="default" w:ascii="Times New Roman" w:hAnsi="Times New Roman" w:eastAsia="宋体" w:cs="Times New Roman"/>
                <w:color w:val="auto"/>
                <w:kern w:val="2"/>
                <w:sz w:val="21"/>
                <w:szCs w:val="21"/>
                <w:highlight w:val="none"/>
                <w:lang w:val="en-US" w:eastAsia="zh-CN" w:bidi="ar-SA"/>
              </w:rPr>
              <w:t>等。土石方主要来自场地平整和各单元建筑地基开挖，在自身利用完成后会产生部分弃方；建筑垃圾包括废弃的沙土石、水泥、木屑、碎木块、弃砖、水泥袋等；机加工下脚料主要是安装工程的金属废料；生活垃圾主要是施工人员的日常生活废弃物；防腐防水工程涂装作业产生的废油漆涂料，焊接工程产生的焊渣</w:t>
            </w:r>
            <w:r>
              <w:rPr>
                <w:rFonts w:hint="eastAsia" w:ascii="Times New Roman" w:hAnsi="Times New Roman" w:eastAsia="宋体" w:cs="Times New Roman"/>
                <w:color w:val="auto"/>
                <w:kern w:val="2"/>
                <w:sz w:val="21"/>
                <w:szCs w:val="21"/>
                <w:highlight w:val="none"/>
                <w:lang w:val="en-US" w:eastAsia="zh-CN" w:bidi="ar-SA"/>
              </w:rPr>
              <w:t>等。</w:t>
            </w:r>
          </w:p>
          <w:p w14:paraId="1DF3C380">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rFonts w:hint="default" w:ascii="Times New Roman" w:hAnsi="Times New Roman" w:cs="Times New Roman" w:eastAsiaTheme="minorEastAsia"/>
                <w:b/>
                <w:bCs/>
                <w:color w:val="auto"/>
                <w:szCs w:val="21"/>
                <w:highlight w:val="none"/>
              </w:rPr>
            </w:pPr>
            <w:r>
              <w:rPr>
                <w:rFonts w:hint="default" w:ascii="Times New Roman" w:hAnsi="Times New Roman" w:cs="Times New Roman"/>
                <w:b/>
                <w:color w:val="auto"/>
                <w:szCs w:val="21"/>
                <w:highlight w:val="none"/>
                <w:lang w:val="en-US" w:eastAsia="zh-CN"/>
              </w:rPr>
              <w:t>二</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营运期</w:t>
            </w:r>
            <w:r>
              <w:rPr>
                <w:rFonts w:hint="default" w:ascii="Times New Roman" w:hAnsi="Times New Roman" w:cs="Times New Roman" w:eastAsiaTheme="minorEastAsia"/>
                <w:b/>
                <w:bCs/>
                <w:color w:val="auto"/>
                <w:szCs w:val="21"/>
                <w:highlight w:val="none"/>
              </w:rPr>
              <w:t>生产工艺流程及产排污环节分析</w:t>
            </w:r>
          </w:p>
          <w:p w14:paraId="1CA5E45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bCs/>
                <w:color w:val="auto"/>
                <w:szCs w:val="21"/>
                <w:lang w:val="en-US" w:eastAsia="zh-CN"/>
              </w:rPr>
            </w:pPr>
            <w:r>
              <w:rPr>
                <w:rFonts w:hint="eastAsia"/>
                <w:bCs/>
                <w:color w:val="auto"/>
                <w:szCs w:val="21"/>
                <w:lang w:val="en-US" w:eastAsia="zh-CN"/>
              </w:rPr>
              <w:t>本项目营运期主要涉及物料储存及装卸车，具体工艺流程如下：</w:t>
            </w:r>
          </w:p>
          <w:p w14:paraId="304E929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lang w:val="zh-CN"/>
              </w:rPr>
            </w:pPr>
            <w:r>
              <w:rPr>
                <w:rFonts w:hint="eastAsia"/>
                <w:bCs/>
                <w:color w:val="auto"/>
                <w:szCs w:val="21"/>
                <w:lang w:val="zh-CN"/>
              </w:rPr>
              <w:t>原料</w:t>
            </w:r>
            <w:r>
              <w:rPr>
                <w:rFonts w:hint="eastAsia"/>
                <w:bCs/>
                <w:color w:val="auto"/>
                <w:szCs w:val="21"/>
                <w:lang w:val="en-US" w:eastAsia="zh-CN"/>
              </w:rPr>
              <w:t>甲醇</w:t>
            </w:r>
            <w:r>
              <w:rPr>
                <w:rFonts w:hint="eastAsia"/>
                <w:bCs/>
                <w:color w:val="auto"/>
                <w:szCs w:val="21"/>
                <w:lang w:val="zh-CN"/>
              </w:rPr>
              <w:t>由汽车槽车运入罐区卸车区，经鹤管由卸车泵输送至原料罐中（将鹤管的垂管插入罐车罐口，接近罐内底部液面以下部位进行液下装车作业）进行储存，然后经转料泵输送至生产装置区使用。</w:t>
            </w:r>
            <w:r>
              <w:rPr>
                <w:rFonts w:hint="eastAsia"/>
                <w:bCs/>
                <w:color w:val="auto"/>
                <w:szCs w:val="21"/>
                <w:lang w:val="en-US" w:eastAsia="zh-CN"/>
              </w:rPr>
              <w:t>叔丁醇</w:t>
            </w:r>
            <w:r>
              <w:rPr>
                <w:rFonts w:hint="eastAsia"/>
                <w:bCs/>
                <w:color w:val="auto"/>
                <w:szCs w:val="21"/>
                <w:lang w:val="zh-CN"/>
              </w:rPr>
              <w:t>产品自生产装置</w:t>
            </w:r>
            <w:r>
              <w:rPr>
                <w:rFonts w:hint="eastAsia"/>
                <w:bCs/>
                <w:color w:val="auto"/>
                <w:szCs w:val="21"/>
                <w:lang w:val="en-US" w:eastAsia="zh-CN"/>
              </w:rPr>
              <w:t>产出后部分经泵打入产品罐后</w:t>
            </w:r>
            <w:r>
              <w:rPr>
                <w:rFonts w:hint="eastAsia"/>
                <w:bCs/>
                <w:color w:val="auto"/>
                <w:szCs w:val="21"/>
                <w:lang w:val="zh-CN"/>
              </w:rPr>
              <w:t>由装车泵打入运输车中出厂外售</w:t>
            </w:r>
            <w:r>
              <w:rPr>
                <w:rFonts w:hint="eastAsia"/>
                <w:bCs/>
                <w:color w:val="auto"/>
                <w:szCs w:val="21"/>
                <w:lang w:val="en-US" w:eastAsia="zh-CN"/>
              </w:rPr>
              <w:t>，部分打入叔丁醇产品暂存罐后根据需求进行灌装</w:t>
            </w:r>
            <w:r>
              <w:rPr>
                <w:rFonts w:hint="eastAsia"/>
                <w:bCs/>
                <w:color w:val="auto"/>
                <w:szCs w:val="21"/>
                <w:lang w:val="zh-CN"/>
              </w:rPr>
              <w:t>。</w:t>
            </w:r>
          </w:p>
          <w:p w14:paraId="377AA18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lang w:val="zh-CN"/>
              </w:rPr>
            </w:pPr>
            <w:r>
              <w:rPr>
                <w:rFonts w:hint="eastAsia"/>
                <w:bCs/>
                <w:color w:val="auto"/>
                <w:szCs w:val="21"/>
                <w:lang w:val="zh-CN"/>
              </w:rPr>
              <w:t>装卸车及储存过程中产生的废气由管道收集后经</w:t>
            </w:r>
            <w:r>
              <w:rPr>
                <w:rFonts w:hint="eastAsia"/>
                <w:bCs/>
                <w:color w:val="auto"/>
                <w:szCs w:val="21"/>
                <w:lang w:val="en-US" w:eastAsia="zh-CN"/>
              </w:rPr>
              <w:t>水洗塔预处理后送尾气炉焚烧处理后通过配套排气筒</w:t>
            </w:r>
            <w:r>
              <w:rPr>
                <w:rFonts w:hint="eastAsia"/>
                <w:bCs/>
                <w:color w:val="auto"/>
                <w:szCs w:val="21"/>
                <w:lang w:val="zh-CN"/>
              </w:rPr>
              <w:t>排放。</w:t>
            </w:r>
          </w:p>
          <w:p w14:paraId="2C6FD1A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lang w:val="zh-CN"/>
              </w:rPr>
            </w:pPr>
            <w:r>
              <w:rPr>
                <w:rFonts w:hint="eastAsia"/>
                <w:bCs/>
                <w:color w:val="auto"/>
                <w:szCs w:val="21"/>
                <w:lang w:val="zh-CN"/>
              </w:rPr>
              <w:t>本次</w:t>
            </w:r>
            <w:r>
              <w:rPr>
                <w:rFonts w:hint="eastAsia"/>
                <w:bCs/>
                <w:color w:val="auto"/>
                <w:szCs w:val="21"/>
                <w:lang w:val="en-US" w:eastAsia="zh-CN"/>
              </w:rPr>
              <w:t>新建的3个储罐</w:t>
            </w:r>
            <w:r>
              <w:rPr>
                <w:rFonts w:hint="eastAsia"/>
                <w:bCs/>
                <w:color w:val="auto"/>
                <w:szCs w:val="21"/>
                <w:lang w:val="zh-CN"/>
              </w:rPr>
              <w:t>均采用内浮顶储罐加装氮封工艺，氮封装置主要用于保持容器顶部保护气的压力恒定，以避免容器内物料与空气直接接触，减少物料挥发。氮封工艺能够有效降低储罐自身小呼吸造成的损失。</w:t>
            </w:r>
          </w:p>
          <w:p w14:paraId="0D73B34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bCs/>
                <w:color w:val="auto"/>
                <w:szCs w:val="21"/>
                <w:lang w:val="en-US" w:eastAsia="zh-CN"/>
              </w:rPr>
            </w:pPr>
            <w:r>
              <w:rPr>
                <w:rFonts w:hint="eastAsia"/>
                <w:bCs/>
                <w:color w:val="auto"/>
                <w:szCs w:val="21"/>
                <w:lang w:val="en-US" w:eastAsia="zh-CN"/>
              </w:rPr>
              <w:t>本项目运营期生产工艺及产污环节如下：</w:t>
            </w:r>
          </w:p>
          <w:p w14:paraId="23071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Cs w:val="21"/>
                <w:lang w:val="zh-CN"/>
              </w:rPr>
            </w:pPr>
            <w:r>
              <w:rPr>
                <w:rFonts w:cs="Times New Roman"/>
                <w:b/>
                <w:color w:val="auto"/>
              </w:rPr>
              <w:object>
                <v:shape id="_x0000_i1027" o:spt="75" type="#_x0000_t75" style="height:257.35pt;width:323.2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57F10E18">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bCs/>
                <w:color w:val="auto"/>
                <w:szCs w:val="21"/>
                <w:lang w:val="zh-CN"/>
              </w:rPr>
            </w:pPr>
            <w:r>
              <w:rPr>
                <w:rFonts w:eastAsia="黑体" w:cs="Times New Roman"/>
                <w:color w:val="auto"/>
                <w:kern w:val="0"/>
                <w:sz w:val="21"/>
                <w:szCs w:val="21"/>
              </w:rPr>
              <w:t>图</w:t>
            </w:r>
            <w:r>
              <w:rPr>
                <w:rFonts w:hint="eastAsia" w:eastAsia="黑体" w:cs="Times New Roman"/>
                <w:color w:val="auto"/>
                <w:kern w:val="0"/>
                <w:sz w:val="21"/>
                <w:szCs w:val="21"/>
                <w:lang w:val="en-US" w:eastAsia="zh-CN"/>
              </w:rPr>
              <w:t>2-2</w:t>
            </w:r>
            <w:r>
              <w:rPr>
                <w:rFonts w:eastAsia="黑体" w:cs="Times New Roman"/>
                <w:color w:val="auto"/>
                <w:kern w:val="0"/>
                <w:sz w:val="21"/>
                <w:szCs w:val="21"/>
              </w:rPr>
              <w:t xml:space="preserve">  </w:t>
            </w:r>
            <w:r>
              <w:rPr>
                <w:rFonts w:hint="eastAsia" w:eastAsia="黑体" w:cs="Times New Roman"/>
                <w:color w:val="auto"/>
                <w:kern w:val="0"/>
                <w:sz w:val="21"/>
                <w:szCs w:val="21"/>
                <w:lang w:val="en-US" w:eastAsia="zh-CN"/>
              </w:rPr>
              <w:t>本项目运营期</w:t>
            </w:r>
            <w:r>
              <w:rPr>
                <w:rFonts w:eastAsia="黑体" w:cs="Times New Roman"/>
                <w:color w:val="auto"/>
                <w:kern w:val="0"/>
                <w:sz w:val="21"/>
                <w:szCs w:val="21"/>
              </w:rPr>
              <w:t>工艺流程及产污环节图</w:t>
            </w:r>
          </w:p>
          <w:p w14:paraId="3CE5DF58">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textAlignment w:val="auto"/>
              <w:rPr>
                <w:b/>
                <w:bCs/>
                <w:color w:val="auto"/>
                <w:szCs w:val="21"/>
              </w:rPr>
            </w:pPr>
            <w:r>
              <w:rPr>
                <w:rFonts w:hint="eastAsia"/>
                <w:b/>
                <w:bCs/>
                <w:color w:val="auto"/>
                <w:szCs w:val="21"/>
              </w:rPr>
              <w:t>2</w:t>
            </w:r>
            <w:r>
              <w:rPr>
                <w:b/>
                <w:bCs/>
                <w:color w:val="auto"/>
                <w:szCs w:val="21"/>
              </w:rPr>
              <w:t>、产污环节</w:t>
            </w:r>
          </w:p>
          <w:p w14:paraId="59B61247">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bCs/>
                <w:color w:val="auto"/>
              </w:rPr>
            </w:pPr>
            <w:r>
              <w:rPr>
                <w:rFonts w:hint="eastAsia"/>
                <w:bCs/>
                <w:color w:val="auto"/>
              </w:rPr>
              <w:t>本</w:t>
            </w:r>
            <w:r>
              <w:rPr>
                <w:bCs/>
                <w:color w:val="auto"/>
              </w:rPr>
              <w:t>项目主要污染物产生环节如下</w:t>
            </w:r>
            <w:r>
              <w:rPr>
                <w:rFonts w:hint="eastAsia"/>
                <w:bCs/>
                <w:color w:val="auto"/>
              </w:rPr>
              <w:t>：</w:t>
            </w:r>
          </w:p>
          <w:p w14:paraId="30B7C14B">
            <w:pPr>
              <w:spacing w:before="120" w:beforeLines="50"/>
              <w:jc w:val="center"/>
              <w:rPr>
                <w:rFonts w:hint="eastAsia"/>
                <w:b/>
                <w:bCs/>
                <w:color w:val="auto"/>
              </w:rPr>
            </w:pPr>
            <w:r>
              <w:rPr>
                <w:b/>
                <w:bCs/>
                <w:color w:val="auto"/>
              </w:rPr>
              <w:t>表2-</w:t>
            </w:r>
            <w:r>
              <w:rPr>
                <w:rFonts w:hint="eastAsia"/>
                <w:b/>
                <w:bCs/>
                <w:color w:val="auto"/>
                <w:lang w:val="en-US" w:eastAsia="zh-CN"/>
              </w:rPr>
              <w:t>8</w:t>
            </w:r>
            <w:r>
              <w:rPr>
                <w:b/>
                <w:bCs/>
                <w:color w:val="auto"/>
              </w:rPr>
              <w:t xml:space="preserve">  </w:t>
            </w:r>
            <w:r>
              <w:rPr>
                <w:rFonts w:hint="eastAsia"/>
                <w:b/>
                <w:bCs/>
                <w:color w:val="auto"/>
                <w:lang w:val="en-US" w:eastAsia="zh-CN"/>
              </w:rPr>
              <w:t>本</w:t>
            </w:r>
            <w:r>
              <w:rPr>
                <w:b/>
                <w:bCs/>
                <w:color w:val="auto"/>
              </w:rPr>
              <w:t>项目污染物产生环节</w:t>
            </w:r>
            <w:r>
              <w:rPr>
                <w:rFonts w:hint="eastAsia"/>
                <w:b/>
                <w:bCs/>
                <w:color w:val="auto"/>
              </w:rPr>
              <w:t>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717"/>
              <w:gridCol w:w="1928"/>
              <w:gridCol w:w="2715"/>
              <w:gridCol w:w="1471"/>
            </w:tblGrid>
            <w:tr w14:paraId="6308F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tcMar>
                    <w:top w:w="0" w:type="dxa"/>
                    <w:left w:w="28" w:type="dxa"/>
                    <w:bottom w:w="0" w:type="dxa"/>
                    <w:right w:w="28" w:type="dxa"/>
                  </w:tcMar>
                  <w:vAlign w:val="center"/>
                </w:tcPr>
                <w:p w14:paraId="407CBAD9">
                  <w:pPr>
                    <w:jc w:val="center"/>
                    <w:rPr>
                      <w:rFonts w:ascii="Times New Roman" w:hAnsi="Times New Roman"/>
                      <w:color w:val="auto"/>
                      <w:sz w:val="18"/>
                      <w:szCs w:val="18"/>
                    </w:rPr>
                  </w:pPr>
                  <w:r>
                    <w:rPr>
                      <w:rFonts w:hint="eastAsia" w:ascii="Times New Roman" w:hAnsi="Times New Roman"/>
                      <w:color w:val="auto"/>
                      <w:sz w:val="18"/>
                      <w:szCs w:val="18"/>
                    </w:rPr>
                    <w:t>类别</w:t>
                  </w:r>
                </w:p>
              </w:tc>
              <w:tc>
                <w:tcPr>
                  <w:tcW w:w="1019" w:type="pct"/>
                  <w:vAlign w:val="center"/>
                </w:tcPr>
                <w:p w14:paraId="6AD30446">
                  <w:pPr>
                    <w:jc w:val="center"/>
                    <w:rPr>
                      <w:rFonts w:ascii="Times New Roman" w:hAnsi="Times New Roman"/>
                      <w:color w:val="auto"/>
                      <w:sz w:val="18"/>
                      <w:szCs w:val="18"/>
                    </w:rPr>
                  </w:pPr>
                  <w:r>
                    <w:rPr>
                      <w:rFonts w:ascii="Times New Roman" w:hAnsi="Times New Roman"/>
                      <w:color w:val="auto"/>
                      <w:sz w:val="18"/>
                      <w:szCs w:val="18"/>
                    </w:rPr>
                    <w:t>污染源</w:t>
                  </w:r>
                </w:p>
              </w:tc>
              <w:tc>
                <w:tcPr>
                  <w:tcW w:w="1145" w:type="pct"/>
                  <w:tcMar>
                    <w:top w:w="0" w:type="dxa"/>
                    <w:left w:w="28" w:type="dxa"/>
                    <w:bottom w:w="0" w:type="dxa"/>
                    <w:right w:w="28" w:type="dxa"/>
                  </w:tcMar>
                  <w:vAlign w:val="center"/>
                </w:tcPr>
                <w:p w14:paraId="21E8E66B">
                  <w:pPr>
                    <w:jc w:val="center"/>
                    <w:rPr>
                      <w:rFonts w:ascii="Times New Roman" w:hAnsi="Times New Roman"/>
                      <w:color w:val="auto"/>
                      <w:sz w:val="18"/>
                      <w:szCs w:val="18"/>
                    </w:rPr>
                  </w:pPr>
                  <w:r>
                    <w:rPr>
                      <w:rFonts w:ascii="Times New Roman" w:hAnsi="Times New Roman"/>
                      <w:color w:val="auto"/>
                      <w:sz w:val="18"/>
                      <w:szCs w:val="18"/>
                    </w:rPr>
                    <w:t>主要污染物</w:t>
                  </w:r>
                </w:p>
              </w:tc>
              <w:tc>
                <w:tcPr>
                  <w:tcW w:w="1612" w:type="pct"/>
                  <w:tcMar>
                    <w:top w:w="0" w:type="dxa"/>
                    <w:left w:w="28" w:type="dxa"/>
                    <w:bottom w:w="0" w:type="dxa"/>
                    <w:right w:w="28" w:type="dxa"/>
                  </w:tcMar>
                  <w:vAlign w:val="center"/>
                </w:tcPr>
                <w:p w14:paraId="00367D64">
                  <w:pPr>
                    <w:jc w:val="center"/>
                    <w:rPr>
                      <w:rFonts w:ascii="Times New Roman" w:hAnsi="Times New Roman"/>
                      <w:color w:val="auto"/>
                      <w:sz w:val="18"/>
                      <w:szCs w:val="18"/>
                    </w:rPr>
                  </w:pPr>
                  <w:r>
                    <w:rPr>
                      <w:rFonts w:ascii="Times New Roman" w:hAnsi="Times New Roman"/>
                      <w:color w:val="auto"/>
                      <w:sz w:val="18"/>
                      <w:szCs w:val="18"/>
                    </w:rPr>
                    <w:t>治理措施</w:t>
                  </w:r>
                </w:p>
              </w:tc>
              <w:tc>
                <w:tcPr>
                  <w:tcW w:w="873" w:type="pct"/>
                  <w:tcMar>
                    <w:top w:w="0" w:type="dxa"/>
                    <w:left w:w="28" w:type="dxa"/>
                    <w:bottom w:w="0" w:type="dxa"/>
                    <w:right w:w="28" w:type="dxa"/>
                  </w:tcMar>
                  <w:vAlign w:val="center"/>
                </w:tcPr>
                <w:p w14:paraId="3787B096">
                  <w:pPr>
                    <w:jc w:val="center"/>
                    <w:rPr>
                      <w:rFonts w:ascii="Times New Roman" w:hAnsi="Times New Roman"/>
                      <w:color w:val="auto"/>
                      <w:sz w:val="18"/>
                      <w:szCs w:val="18"/>
                    </w:rPr>
                  </w:pPr>
                  <w:r>
                    <w:rPr>
                      <w:rFonts w:ascii="Times New Roman" w:hAnsi="Times New Roman"/>
                      <w:color w:val="auto"/>
                      <w:sz w:val="18"/>
                      <w:szCs w:val="18"/>
                    </w:rPr>
                    <w:t>排放</w:t>
                  </w:r>
                  <w:r>
                    <w:rPr>
                      <w:rFonts w:hint="eastAsia" w:ascii="Times New Roman" w:hAnsi="Times New Roman"/>
                      <w:color w:val="auto"/>
                      <w:sz w:val="18"/>
                      <w:szCs w:val="18"/>
                    </w:rPr>
                    <w:t>去向</w:t>
                  </w:r>
                </w:p>
              </w:tc>
            </w:tr>
            <w:tr w14:paraId="7F9E0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restart"/>
                  <w:tcMar>
                    <w:top w:w="0" w:type="dxa"/>
                    <w:left w:w="28" w:type="dxa"/>
                    <w:bottom w:w="0" w:type="dxa"/>
                    <w:right w:w="28" w:type="dxa"/>
                  </w:tcMar>
                  <w:vAlign w:val="center"/>
                </w:tcPr>
                <w:p w14:paraId="6A227F83">
                  <w:pPr>
                    <w:jc w:val="center"/>
                    <w:rPr>
                      <w:rFonts w:ascii="Times New Roman" w:hAnsi="Times New Roman"/>
                      <w:color w:val="auto"/>
                      <w:sz w:val="18"/>
                      <w:szCs w:val="18"/>
                    </w:rPr>
                  </w:pPr>
                  <w:r>
                    <w:rPr>
                      <w:rFonts w:hint="eastAsia" w:ascii="Times New Roman" w:hAnsi="Times New Roman"/>
                      <w:color w:val="auto"/>
                      <w:sz w:val="18"/>
                      <w:szCs w:val="18"/>
                    </w:rPr>
                    <w:t>废气</w:t>
                  </w:r>
                </w:p>
              </w:tc>
              <w:tc>
                <w:tcPr>
                  <w:tcW w:w="1019" w:type="pct"/>
                  <w:vAlign w:val="center"/>
                </w:tcPr>
                <w:p w14:paraId="2D172724">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储罐呼吸废气</w:t>
                  </w:r>
                </w:p>
              </w:tc>
              <w:tc>
                <w:tcPr>
                  <w:tcW w:w="1145" w:type="pct"/>
                  <w:tcMar>
                    <w:top w:w="0" w:type="dxa"/>
                    <w:left w:w="28" w:type="dxa"/>
                    <w:bottom w:w="0" w:type="dxa"/>
                    <w:right w:w="28" w:type="dxa"/>
                  </w:tcMar>
                  <w:vAlign w:val="center"/>
                </w:tcPr>
                <w:p w14:paraId="21A2B0B7">
                  <w:pPr>
                    <w:jc w:val="center"/>
                    <w:rPr>
                      <w:rFonts w:hint="default" w:ascii="Times New Roman" w:hAnsi="Times New Roman" w:eastAsia="宋体"/>
                      <w:color w:val="auto"/>
                      <w:sz w:val="18"/>
                      <w:szCs w:val="18"/>
                      <w:lang w:val="en-US" w:eastAsia="zh-CN"/>
                    </w:rPr>
                  </w:pPr>
                  <w:r>
                    <w:rPr>
                      <w:rFonts w:ascii="Times New Roman" w:hAnsi="Times New Roman"/>
                      <w:color w:val="auto"/>
                      <w:sz w:val="18"/>
                      <w:szCs w:val="18"/>
                    </w:rPr>
                    <w:t>VOCs</w:t>
                  </w:r>
                  <w:r>
                    <w:rPr>
                      <w:rFonts w:hint="eastAsia"/>
                      <w:color w:val="auto"/>
                      <w:sz w:val="18"/>
                      <w:szCs w:val="18"/>
                      <w:lang w:eastAsia="zh-CN"/>
                    </w:rPr>
                    <w:t>、</w:t>
                  </w:r>
                  <w:r>
                    <w:rPr>
                      <w:rFonts w:hint="eastAsia"/>
                      <w:color w:val="auto"/>
                      <w:sz w:val="18"/>
                      <w:szCs w:val="18"/>
                      <w:lang w:val="en-US" w:eastAsia="zh-CN"/>
                    </w:rPr>
                    <w:t>甲醇</w:t>
                  </w:r>
                </w:p>
              </w:tc>
              <w:tc>
                <w:tcPr>
                  <w:tcW w:w="1612" w:type="pct"/>
                  <w:vMerge w:val="restart"/>
                  <w:tcMar>
                    <w:top w:w="0" w:type="dxa"/>
                    <w:left w:w="28" w:type="dxa"/>
                    <w:bottom w:w="0" w:type="dxa"/>
                    <w:right w:w="28" w:type="dxa"/>
                  </w:tcMar>
                  <w:vAlign w:val="center"/>
                </w:tcPr>
                <w:p w14:paraId="7DA09895">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收集后经水洗塔预处理后送尾气炉焚烧处理</w:t>
                  </w:r>
                </w:p>
              </w:tc>
              <w:tc>
                <w:tcPr>
                  <w:tcW w:w="873" w:type="pct"/>
                  <w:vMerge w:val="restart"/>
                  <w:tcMar>
                    <w:top w:w="0" w:type="dxa"/>
                    <w:left w:w="28" w:type="dxa"/>
                    <w:bottom w:w="0" w:type="dxa"/>
                    <w:right w:w="28" w:type="dxa"/>
                  </w:tcMar>
                  <w:vAlign w:val="center"/>
                </w:tcPr>
                <w:p w14:paraId="0FC61C69">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经DA001/DA002排放</w:t>
                  </w:r>
                </w:p>
              </w:tc>
            </w:tr>
            <w:tr w14:paraId="02E50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continue"/>
                  <w:tcMar>
                    <w:top w:w="0" w:type="dxa"/>
                    <w:left w:w="28" w:type="dxa"/>
                    <w:bottom w:w="0" w:type="dxa"/>
                    <w:right w:w="28" w:type="dxa"/>
                  </w:tcMar>
                  <w:vAlign w:val="center"/>
                </w:tcPr>
                <w:p w14:paraId="1B4C265C">
                  <w:pPr>
                    <w:jc w:val="center"/>
                    <w:rPr>
                      <w:rFonts w:ascii="Times New Roman" w:hAnsi="Times New Roman"/>
                      <w:color w:val="auto"/>
                      <w:sz w:val="18"/>
                      <w:szCs w:val="18"/>
                    </w:rPr>
                  </w:pPr>
                </w:p>
              </w:tc>
              <w:tc>
                <w:tcPr>
                  <w:tcW w:w="1019" w:type="pct"/>
                  <w:vAlign w:val="center"/>
                </w:tcPr>
                <w:p w14:paraId="6F32FB37">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装车废气</w:t>
                  </w:r>
                </w:p>
              </w:tc>
              <w:tc>
                <w:tcPr>
                  <w:tcW w:w="1145" w:type="pct"/>
                  <w:tcMar>
                    <w:top w:w="0" w:type="dxa"/>
                    <w:left w:w="28" w:type="dxa"/>
                    <w:bottom w:w="0" w:type="dxa"/>
                    <w:right w:w="28" w:type="dxa"/>
                  </w:tcMar>
                  <w:vAlign w:val="center"/>
                </w:tcPr>
                <w:p w14:paraId="43CD06DF">
                  <w:pPr>
                    <w:jc w:val="center"/>
                    <w:rPr>
                      <w:rFonts w:ascii="Times New Roman" w:hAnsi="Times New Roman"/>
                      <w:color w:val="auto"/>
                      <w:sz w:val="18"/>
                      <w:szCs w:val="18"/>
                    </w:rPr>
                  </w:pPr>
                  <w:r>
                    <w:rPr>
                      <w:rFonts w:ascii="Times New Roman" w:hAnsi="Times New Roman"/>
                      <w:color w:val="auto"/>
                      <w:sz w:val="18"/>
                      <w:szCs w:val="18"/>
                    </w:rPr>
                    <w:t>VOCs</w:t>
                  </w:r>
                </w:p>
              </w:tc>
              <w:tc>
                <w:tcPr>
                  <w:tcW w:w="1612" w:type="pct"/>
                  <w:vMerge w:val="continue"/>
                  <w:tcMar>
                    <w:top w:w="0" w:type="dxa"/>
                    <w:left w:w="28" w:type="dxa"/>
                    <w:bottom w:w="0" w:type="dxa"/>
                    <w:right w:w="28" w:type="dxa"/>
                  </w:tcMar>
                  <w:vAlign w:val="center"/>
                </w:tcPr>
                <w:p w14:paraId="3683C07D">
                  <w:pPr>
                    <w:jc w:val="center"/>
                    <w:rPr>
                      <w:rFonts w:ascii="Times New Roman" w:hAnsi="Times New Roman"/>
                      <w:color w:val="auto"/>
                      <w:sz w:val="18"/>
                      <w:szCs w:val="18"/>
                    </w:rPr>
                  </w:pPr>
                </w:p>
              </w:tc>
              <w:tc>
                <w:tcPr>
                  <w:tcW w:w="873" w:type="pct"/>
                  <w:vMerge w:val="continue"/>
                  <w:tcMar>
                    <w:top w:w="0" w:type="dxa"/>
                    <w:left w:w="28" w:type="dxa"/>
                    <w:bottom w:w="0" w:type="dxa"/>
                    <w:right w:w="28" w:type="dxa"/>
                  </w:tcMar>
                  <w:vAlign w:val="center"/>
                </w:tcPr>
                <w:p w14:paraId="42F4DF32">
                  <w:pPr>
                    <w:jc w:val="center"/>
                    <w:rPr>
                      <w:rFonts w:ascii="Times New Roman" w:hAnsi="Times New Roman"/>
                      <w:color w:val="auto"/>
                      <w:sz w:val="18"/>
                      <w:szCs w:val="18"/>
                    </w:rPr>
                  </w:pPr>
                </w:p>
              </w:tc>
            </w:tr>
            <w:tr w14:paraId="377A3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continue"/>
                  <w:tcMar>
                    <w:top w:w="0" w:type="dxa"/>
                    <w:left w:w="28" w:type="dxa"/>
                    <w:bottom w:w="0" w:type="dxa"/>
                    <w:right w:w="28" w:type="dxa"/>
                  </w:tcMar>
                  <w:vAlign w:val="center"/>
                </w:tcPr>
                <w:p w14:paraId="17653533">
                  <w:pPr>
                    <w:jc w:val="center"/>
                    <w:rPr>
                      <w:rFonts w:ascii="Times New Roman" w:hAnsi="Times New Roman"/>
                      <w:color w:val="auto"/>
                      <w:sz w:val="18"/>
                      <w:szCs w:val="18"/>
                    </w:rPr>
                  </w:pPr>
                </w:p>
              </w:tc>
              <w:tc>
                <w:tcPr>
                  <w:tcW w:w="1019" w:type="pct"/>
                  <w:vAlign w:val="center"/>
                </w:tcPr>
                <w:p w14:paraId="38309BBF">
                  <w:pPr>
                    <w:jc w:val="center"/>
                    <w:rPr>
                      <w:rFonts w:hint="default"/>
                      <w:color w:val="auto"/>
                      <w:sz w:val="18"/>
                      <w:szCs w:val="18"/>
                      <w:lang w:val="en-US" w:eastAsia="zh-CN"/>
                    </w:rPr>
                  </w:pPr>
                  <w:r>
                    <w:rPr>
                      <w:rFonts w:hint="eastAsia"/>
                      <w:color w:val="auto"/>
                      <w:sz w:val="18"/>
                      <w:szCs w:val="18"/>
                      <w:lang w:val="en-US" w:eastAsia="zh-CN"/>
                    </w:rPr>
                    <w:t>灌装废气</w:t>
                  </w:r>
                </w:p>
              </w:tc>
              <w:tc>
                <w:tcPr>
                  <w:tcW w:w="1145" w:type="pct"/>
                  <w:tcMar>
                    <w:top w:w="0" w:type="dxa"/>
                    <w:left w:w="28" w:type="dxa"/>
                    <w:bottom w:w="0" w:type="dxa"/>
                    <w:right w:w="28" w:type="dxa"/>
                  </w:tcMar>
                  <w:vAlign w:val="center"/>
                </w:tcPr>
                <w:p w14:paraId="7F99D988">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VOCs</w:t>
                  </w:r>
                </w:p>
              </w:tc>
              <w:tc>
                <w:tcPr>
                  <w:tcW w:w="1612" w:type="pct"/>
                  <w:vMerge w:val="continue"/>
                  <w:tcMar>
                    <w:top w:w="0" w:type="dxa"/>
                    <w:left w:w="28" w:type="dxa"/>
                    <w:bottom w:w="0" w:type="dxa"/>
                    <w:right w:w="28" w:type="dxa"/>
                  </w:tcMar>
                  <w:vAlign w:val="center"/>
                </w:tcPr>
                <w:p w14:paraId="64E0AC04">
                  <w:pPr>
                    <w:jc w:val="center"/>
                    <w:rPr>
                      <w:rFonts w:ascii="Times New Roman" w:hAnsi="Times New Roman"/>
                      <w:color w:val="auto"/>
                      <w:sz w:val="18"/>
                      <w:szCs w:val="18"/>
                    </w:rPr>
                  </w:pPr>
                </w:p>
              </w:tc>
              <w:tc>
                <w:tcPr>
                  <w:tcW w:w="873" w:type="pct"/>
                  <w:vMerge w:val="continue"/>
                  <w:tcMar>
                    <w:top w:w="0" w:type="dxa"/>
                    <w:left w:w="28" w:type="dxa"/>
                    <w:bottom w:w="0" w:type="dxa"/>
                    <w:right w:w="28" w:type="dxa"/>
                  </w:tcMar>
                  <w:vAlign w:val="center"/>
                </w:tcPr>
                <w:p w14:paraId="06DF1480">
                  <w:pPr>
                    <w:jc w:val="center"/>
                    <w:rPr>
                      <w:rFonts w:ascii="Times New Roman" w:hAnsi="Times New Roman"/>
                      <w:color w:val="auto"/>
                      <w:sz w:val="18"/>
                      <w:szCs w:val="18"/>
                    </w:rPr>
                  </w:pPr>
                </w:p>
              </w:tc>
            </w:tr>
            <w:tr w14:paraId="3833C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continue"/>
                  <w:tcMar>
                    <w:top w:w="0" w:type="dxa"/>
                    <w:left w:w="28" w:type="dxa"/>
                    <w:bottom w:w="0" w:type="dxa"/>
                    <w:right w:w="28" w:type="dxa"/>
                  </w:tcMar>
                  <w:vAlign w:val="center"/>
                </w:tcPr>
                <w:p w14:paraId="4C23CF8A">
                  <w:pPr>
                    <w:jc w:val="center"/>
                    <w:rPr>
                      <w:rFonts w:ascii="Times New Roman" w:hAnsi="Times New Roman"/>
                      <w:color w:val="auto"/>
                      <w:sz w:val="18"/>
                      <w:szCs w:val="18"/>
                    </w:rPr>
                  </w:pPr>
                </w:p>
              </w:tc>
              <w:tc>
                <w:tcPr>
                  <w:tcW w:w="1019" w:type="pct"/>
                  <w:vAlign w:val="center"/>
                </w:tcPr>
                <w:p w14:paraId="4BFA5F64">
                  <w:pPr>
                    <w:jc w:val="center"/>
                    <w:rPr>
                      <w:rFonts w:ascii="Times New Roman" w:hAnsi="Times New Roman"/>
                      <w:color w:val="auto"/>
                      <w:sz w:val="18"/>
                      <w:szCs w:val="18"/>
                    </w:rPr>
                  </w:pPr>
                  <w:r>
                    <w:rPr>
                      <w:rFonts w:ascii="Times New Roman" w:hAnsi="Times New Roman"/>
                      <w:color w:val="auto"/>
                      <w:sz w:val="18"/>
                      <w:szCs w:val="18"/>
                    </w:rPr>
                    <w:t>动静密封处泄漏</w:t>
                  </w:r>
                </w:p>
              </w:tc>
              <w:tc>
                <w:tcPr>
                  <w:tcW w:w="1145" w:type="pct"/>
                  <w:tcMar>
                    <w:top w:w="0" w:type="dxa"/>
                    <w:left w:w="28" w:type="dxa"/>
                    <w:bottom w:w="0" w:type="dxa"/>
                    <w:right w:w="28" w:type="dxa"/>
                  </w:tcMar>
                  <w:vAlign w:val="center"/>
                </w:tcPr>
                <w:p w14:paraId="23DF5660">
                  <w:pPr>
                    <w:jc w:val="center"/>
                    <w:rPr>
                      <w:rFonts w:ascii="Times New Roman" w:hAnsi="Times New Roman"/>
                      <w:color w:val="auto"/>
                      <w:sz w:val="18"/>
                      <w:szCs w:val="18"/>
                    </w:rPr>
                  </w:pPr>
                  <w:r>
                    <w:rPr>
                      <w:rFonts w:ascii="Times New Roman" w:hAnsi="Times New Roman"/>
                      <w:color w:val="auto"/>
                      <w:sz w:val="18"/>
                      <w:szCs w:val="18"/>
                    </w:rPr>
                    <w:t>VOCs</w:t>
                  </w:r>
                </w:p>
              </w:tc>
              <w:tc>
                <w:tcPr>
                  <w:tcW w:w="1612" w:type="pct"/>
                  <w:tcMar>
                    <w:top w:w="0" w:type="dxa"/>
                    <w:left w:w="28" w:type="dxa"/>
                    <w:bottom w:w="0" w:type="dxa"/>
                    <w:right w:w="28" w:type="dxa"/>
                  </w:tcMar>
                  <w:vAlign w:val="center"/>
                </w:tcPr>
                <w:p w14:paraId="6BA067C4">
                  <w:pPr>
                    <w:jc w:val="center"/>
                    <w:rPr>
                      <w:rFonts w:ascii="Times New Roman" w:hAnsi="Times New Roman"/>
                      <w:color w:val="auto"/>
                      <w:kern w:val="0"/>
                      <w:sz w:val="18"/>
                      <w:szCs w:val="18"/>
                    </w:rPr>
                  </w:pPr>
                  <w:r>
                    <w:rPr>
                      <w:rFonts w:ascii="Times New Roman" w:hAnsi="Times New Roman"/>
                      <w:color w:val="auto"/>
                      <w:kern w:val="0"/>
                      <w:sz w:val="18"/>
                      <w:szCs w:val="18"/>
                    </w:rPr>
                    <w:t>定期进行LDAR泄漏检测与修复</w:t>
                  </w:r>
                </w:p>
              </w:tc>
              <w:tc>
                <w:tcPr>
                  <w:tcW w:w="873" w:type="pct"/>
                  <w:tcMar>
                    <w:top w:w="0" w:type="dxa"/>
                    <w:left w:w="28" w:type="dxa"/>
                    <w:bottom w:w="0" w:type="dxa"/>
                    <w:right w:w="28" w:type="dxa"/>
                  </w:tcMar>
                  <w:vAlign w:val="center"/>
                </w:tcPr>
                <w:p w14:paraId="1021FFA6">
                  <w:pPr>
                    <w:jc w:val="center"/>
                    <w:rPr>
                      <w:rFonts w:ascii="Times New Roman" w:hAnsi="Times New Roman"/>
                      <w:color w:val="auto"/>
                      <w:sz w:val="18"/>
                      <w:szCs w:val="18"/>
                    </w:rPr>
                  </w:pPr>
                  <w:r>
                    <w:rPr>
                      <w:rFonts w:ascii="Times New Roman" w:hAnsi="Times New Roman"/>
                      <w:color w:val="auto"/>
                      <w:sz w:val="18"/>
                      <w:szCs w:val="18"/>
                    </w:rPr>
                    <w:t>无组织排放</w:t>
                  </w:r>
                </w:p>
              </w:tc>
            </w:tr>
            <w:tr w14:paraId="26D0E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tcMar>
                    <w:top w:w="0" w:type="dxa"/>
                    <w:left w:w="28" w:type="dxa"/>
                    <w:bottom w:w="0" w:type="dxa"/>
                    <w:right w:w="28" w:type="dxa"/>
                  </w:tcMar>
                  <w:vAlign w:val="center"/>
                </w:tcPr>
                <w:p w14:paraId="549F8EA9">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废水</w:t>
                  </w:r>
                </w:p>
              </w:tc>
              <w:tc>
                <w:tcPr>
                  <w:tcW w:w="1019" w:type="pct"/>
                  <w:vAlign w:val="center"/>
                </w:tcPr>
                <w:p w14:paraId="778F7199">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初期雨水</w:t>
                  </w:r>
                </w:p>
              </w:tc>
              <w:tc>
                <w:tcPr>
                  <w:tcW w:w="1145" w:type="pct"/>
                  <w:tcMar>
                    <w:top w:w="0" w:type="dxa"/>
                    <w:left w:w="28" w:type="dxa"/>
                    <w:bottom w:w="0" w:type="dxa"/>
                    <w:right w:w="28" w:type="dxa"/>
                  </w:tcMar>
                  <w:vAlign w:val="center"/>
                </w:tcPr>
                <w:p w14:paraId="5885579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COD、氨氮、石油类、SS</w:t>
                  </w:r>
                </w:p>
              </w:tc>
              <w:tc>
                <w:tcPr>
                  <w:tcW w:w="1612" w:type="pct"/>
                  <w:tcMar>
                    <w:top w:w="0" w:type="dxa"/>
                    <w:left w:w="28" w:type="dxa"/>
                    <w:bottom w:w="0" w:type="dxa"/>
                    <w:right w:w="28" w:type="dxa"/>
                  </w:tcMar>
                  <w:vAlign w:val="center"/>
                </w:tcPr>
                <w:p w14:paraId="48F22A7C">
                  <w:pPr>
                    <w:jc w:val="center"/>
                    <w:rPr>
                      <w:rFonts w:hint="default" w:ascii="Times New Roman" w:hAnsi="Times New Roman" w:eastAsia="宋体"/>
                      <w:color w:val="auto"/>
                      <w:kern w:val="0"/>
                      <w:sz w:val="18"/>
                      <w:szCs w:val="18"/>
                      <w:lang w:val="en-US" w:eastAsia="zh-CN"/>
                    </w:rPr>
                  </w:pPr>
                  <w:r>
                    <w:rPr>
                      <w:rFonts w:hint="eastAsia"/>
                      <w:color w:val="auto"/>
                      <w:kern w:val="0"/>
                      <w:sz w:val="18"/>
                      <w:szCs w:val="18"/>
                      <w:lang w:val="en-US" w:eastAsia="zh-CN"/>
                    </w:rPr>
                    <w:t>收集后送东厂区现有废水处理设施处理</w:t>
                  </w:r>
                </w:p>
              </w:tc>
              <w:tc>
                <w:tcPr>
                  <w:tcW w:w="873" w:type="pct"/>
                  <w:tcMar>
                    <w:top w:w="0" w:type="dxa"/>
                    <w:left w:w="28" w:type="dxa"/>
                    <w:bottom w:w="0" w:type="dxa"/>
                    <w:right w:w="28" w:type="dxa"/>
                  </w:tcMar>
                  <w:vAlign w:val="center"/>
                </w:tcPr>
                <w:p w14:paraId="2060B522">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回用于甲醛生产装置，不外排</w:t>
                  </w:r>
                </w:p>
              </w:tc>
            </w:tr>
            <w:tr w14:paraId="665C7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tcMar>
                    <w:top w:w="0" w:type="dxa"/>
                    <w:left w:w="28" w:type="dxa"/>
                    <w:bottom w:w="0" w:type="dxa"/>
                    <w:right w:w="28" w:type="dxa"/>
                  </w:tcMar>
                  <w:vAlign w:val="center"/>
                </w:tcPr>
                <w:p w14:paraId="148E629C">
                  <w:pPr>
                    <w:jc w:val="center"/>
                    <w:rPr>
                      <w:rFonts w:ascii="Times New Roman" w:hAnsi="Times New Roman"/>
                      <w:color w:val="auto"/>
                      <w:sz w:val="18"/>
                      <w:szCs w:val="18"/>
                    </w:rPr>
                  </w:pPr>
                  <w:r>
                    <w:rPr>
                      <w:rFonts w:hint="eastAsia" w:ascii="Times New Roman" w:hAnsi="Times New Roman"/>
                      <w:color w:val="auto"/>
                      <w:sz w:val="18"/>
                      <w:szCs w:val="18"/>
                    </w:rPr>
                    <w:t>噪声</w:t>
                  </w:r>
                </w:p>
              </w:tc>
              <w:tc>
                <w:tcPr>
                  <w:tcW w:w="1019" w:type="pct"/>
                  <w:vAlign w:val="center"/>
                </w:tcPr>
                <w:p w14:paraId="4B1DBD64">
                  <w:pPr>
                    <w:jc w:val="center"/>
                    <w:rPr>
                      <w:rFonts w:ascii="Times New Roman" w:hAnsi="Times New Roman"/>
                      <w:color w:val="auto"/>
                      <w:sz w:val="18"/>
                      <w:szCs w:val="18"/>
                    </w:rPr>
                  </w:pPr>
                  <w:r>
                    <w:rPr>
                      <w:rFonts w:hint="eastAsia" w:ascii="Times New Roman" w:hAnsi="Times New Roman"/>
                      <w:color w:val="auto"/>
                      <w:sz w:val="18"/>
                      <w:szCs w:val="18"/>
                    </w:rPr>
                    <w:t>各类机泵运转噪声</w:t>
                  </w:r>
                </w:p>
              </w:tc>
              <w:tc>
                <w:tcPr>
                  <w:tcW w:w="1145" w:type="pct"/>
                  <w:tcMar>
                    <w:top w:w="0" w:type="dxa"/>
                    <w:left w:w="28" w:type="dxa"/>
                    <w:bottom w:w="0" w:type="dxa"/>
                    <w:right w:w="28" w:type="dxa"/>
                  </w:tcMar>
                  <w:vAlign w:val="center"/>
                </w:tcPr>
                <w:p w14:paraId="11D9E0ED">
                  <w:pPr>
                    <w:jc w:val="center"/>
                    <w:rPr>
                      <w:rFonts w:ascii="Times New Roman" w:hAnsi="Times New Roman"/>
                      <w:color w:val="auto"/>
                      <w:sz w:val="18"/>
                      <w:szCs w:val="18"/>
                    </w:rPr>
                  </w:pPr>
                  <w:r>
                    <w:rPr>
                      <w:rFonts w:ascii="Times New Roman" w:hAnsi="Times New Roman"/>
                      <w:color w:val="auto"/>
                      <w:sz w:val="18"/>
                      <w:szCs w:val="18"/>
                    </w:rPr>
                    <w:t>L</w:t>
                  </w:r>
                  <w:r>
                    <w:rPr>
                      <w:rFonts w:ascii="Times New Roman" w:hAnsi="Times New Roman"/>
                      <w:color w:val="auto"/>
                      <w:sz w:val="18"/>
                      <w:szCs w:val="18"/>
                      <w:vertAlign w:val="subscript"/>
                    </w:rPr>
                    <w:t>Aeq</w:t>
                  </w:r>
                </w:p>
              </w:tc>
              <w:tc>
                <w:tcPr>
                  <w:tcW w:w="2486" w:type="pct"/>
                  <w:gridSpan w:val="2"/>
                  <w:tcMar>
                    <w:top w:w="0" w:type="dxa"/>
                    <w:left w:w="28" w:type="dxa"/>
                    <w:bottom w:w="0" w:type="dxa"/>
                    <w:right w:w="28" w:type="dxa"/>
                  </w:tcMar>
                  <w:vAlign w:val="center"/>
                </w:tcPr>
                <w:p w14:paraId="65727662">
                  <w:pPr>
                    <w:jc w:val="center"/>
                    <w:rPr>
                      <w:rFonts w:ascii="Times New Roman" w:hAnsi="Times New Roman"/>
                      <w:color w:val="auto"/>
                      <w:sz w:val="18"/>
                      <w:szCs w:val="18"/>
                    </w:rPr>
                  </w:pPr>
                  <w:r>
                    <w:rPr>
                      <w:rFonts w:hint="eastAsia"/>
                      <w:color w:val="auto"/>
                      <w:sz w:val="18"/>
                      <w:szCs w:val="18"/>
                    </w:rPr>
                    <w:t>加强设备维护管理，并采取相应的隔声、减振措施</w:t>
                  </w:r>
                </w:p>
              </w:tc>
            </w:tr>
            <w:tr w14:paraId="6EBBE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restart"/>
                  <w:tcMar>
                    <w:top w:w="0" w:type="dxa"/>
                    <w:left w:w="28" w:type="dxa"/>
                    <w:bottom w:w="0" w:type="dxa"/>
                    <w:right w:w="28" w:type="dxa"/>
                  </w:tcMar>
                  <w:vAlign w:val="center"/>
                </w:tcPr>
                <w:p w14:paraId="1797081A">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固废</w:t>
                  </w:r>
                </w:p>
              </w:tc>
              <w:tc>
                <w:tcPr>
                  <w:tcW w:w="1019" w:type="pct"/>
                  <w:vAlign w:val="center"/>
                </w:tcPr>
                <w:p w14:paraId="1486F7AE">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污水处理污泥</w:t>
                  </w:r>
                </w:p>
              </w:tc>
              <w:tc>
                <w:tcPr>
                  <w:tcW w:w="1145" w:type="pct"/>
                  <w:tcMar>
                    <w:top w:w="0" w:type="dxa"/>
                    <w:left w:w="28" w:type="dxa"/>
                    <w:bottom w:w="0" w:type="dxa"/>
                    <w:right w:w="28" w:type="dxa"/>
                  </w:tcMar>
                  <w:vAlign w:val="center"/>
                </w:tcPr>
                <w:p w14:paraId="2146CB6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盐泥等</w:t>
                  </w:r>
                </w:p>
              </w:tc>
              <w:tc>
                <w:tcPr>
                  <w:tcW w:w="1612" w:type="pct"/>
                  <w:vMerge w:val="restart"/>
                  <w:tcMar>
                    <w:top w:w="0" w:type="dxa"/>
                    <w:left w:w="28" w:type="dxa"/>
                    <w:bottom w:w="0" w:type="dxa"/>
                    <w:right w:w="28" w:type="dxa"/>
                  </w:tcMar>
                  <w:vAlign w:val="center"/>
                </w:tcPr>
                <w:p w14:paraId="215C498F">
                  <w:pPr>
                    <w:jc w:val="center"/>
                    <w:rPr>
                      <w:rFonts w:hint="default" w:eastAsia="宋体"/>
                      <w:color w:val="auto"/>
                      <w:sz w:val="18"/>
                      <w:szCs w:val="18"/>
                      <w:lang w:val="en-US" w:eastAsia="zh-CN"/>
                    </w:rPr>
                  </w:pPr>
                  <w:r>
                    <w:rPr>
                      <w:rFonts w:hint="eastAsia"/>
                      <w:color w:val="auto"/>
                      <w:sz w:val="18"/>
                      <w:szCs w:val="18"/>
                      <w:lang w:val="en-US" w:eastAsia="zh-CN"/>
                    </w:rPr>
                    <w:t>暂存于危废暂存间</w:t>
                  </w:r>
                </w:p>
              </w:tc>
              <w:tc>
                <w:tcPr>
                  <w:tcW w:w="873" w:type="pct"/>
                  <w:vMerge w:val="restart"/>
                  <w:tcMar>
                    <w:top w:w="0" w:type="dxa"/>
                    <w:left w:w="28" w:type="dxa"/>
                    <w:bottom w:w="0" w:type="dxa"/>
                    <w:right w:w="28" w:type="dxa"/>
                  </w:tcMar>
                  <w:vAlign w:val="center"/>
                </w:tcPr>
                <w:p w14:paraId="795A72E3">
                  <w:pPr>
                    <w:jc w:val="center"/>
                    <w:rPr>
                      <w:rFonts w:hint="default" w:eastAsia="宋体"/>
                      <w:color w:val="auto"/>
                      <w:sz w:val="18"/>
                      <w:szCs w:val="18"/>
                      <w:lang w:val="en-US" w:eastAsia="zh-CN"/>
                    </w:rPr>
                  </w:pPr>
                  <w:r>
                    <w:rPr>
                      <w:rFonts w:hint="eastAsia"/>
                      <w:color w:val="auto"/>
                      <w:sz w:val="18"/>
                      <w:szCs w:val="18"/>
                      <w:lang w:val="en-US" w:eastAsia="zh-CN"/>
                    </w:rPr>
                    <w:t>定期委托有资质单位处置</w:t>
                  </w:r>
                </w:p>
              </w:tc>
            </w:tr>
            <w:tr w14:paraId="55A89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continue"/>
                  <w:tcMar>
                    <w:top w:w="0" w:type="dxa"/>
                    <w:left w:w="28" w:type="dxa"/>
                    <w:bottom w:w="0" w:type="dxa"/>
                    <w:right w:w="28" w:type="dxa"/>
                  </w:tcMar>
                  <w:vAlign w:val="center"/>
                </w:tcPr>
                <w:p w14:paraId="5F893327">
                  <w:pPr>
                    <w:jc w:val="center"/>
                    <w:rPr>
                      <w:rFonts w:hint="eastAsia"/>
                      <w:color w:val="auto"/>
                      <w:sz w:val="18"/>
                      <w:szCs w:val="18"/>
                      <w:lang w:val="en-US" w:eastAsia="zh-CN"/>
                    </w:rPr>
                  </w:pPr>
                </w:p>
              </w:tc>
              <w:tc>
                <w:tcPr>
                  <w:tcW w:w="1019" w:type="pct"/>
                  <w:vAlign w:val="center"/>
                </w:tcPr>
                <w:p w14:paraId="04D70B7A">
                  <w:pPr>
                    <w:jc w:val="center"/>
                    <w:rPr>
                      <w:rFonts w:hint="default"/>
                      <w:color w:val="auto"/>
                      <w:sz w:val="18"/>
                      <w:szCs w:val="18"/>
                      <w:lang w:val="en-US" w:eastAsia="zh-CN"/>
                    </w:rPr>
                  </w:pPr>
                  <w:r>
                    <w:rPr>
                      <w:rFonts w:hint="eastAsia"/>
                      <w:color w:val="auto"/>
                      <w:sz w:val="18"/>
                      <w:szCs w:val="18"/>
                      <w:lang w:val="en-US" w:eastAsia="zh-CN"/>
                    </w:rPr>
                    <w:t>废润滑油</w:t>
                  </w:r>
                </w:p>
              </w:tc>
              <w:tc>
                <w:tcPr>
                  <w:tcW w:w="1145" w:type="pct"/>
                  <w:tcMar>
                    <w:top w:w="0" w:type="dxa"/>
                    <w:left w:w="28" w:type="dxa"/>
                    <w:bottom w:w="0" w:type="dxa"/>
                    <w:right w:w="28" w:type="dxa"/>
                  </w:tcMar>
                  <w:vAlign w:val="center"/>
                </w:tcPr>
                <w:p w14:paraId="7A5A9387">
                  <w:pPr>
                    <w:jc w:val="center"/>
                    <w:rPr>
                      <w:rFonts w:hint="default"/>
                      <w:color w:val="auto"/>
                      <w:sz w:val="18"/>
                      <w:szCs w:val="18"/>
                      <w:lang w:val="en-US" w:eastAsia="zh-CN"/>
                    </w:rPr>
                  </w:pPr>
                  <w:r>
                    <w:rPr>
                      <w:rFonts w:hint="eastAsia"/>
                      <w:color w:val="auto"/>
                      <w:sz w:val="18"/>
                      <w:szCs w:val="18"/>
                      <w:lang w:val="en-US" w:eastAsia="zh-CN"/>
                    </w:rPr>
                    <w:t>油类物质等</w:t>
                  </w:r>
                </w:p>
              </w:tc>
              <w:tc>
                <w:tcPr>
                  <w:tcW w:w="1612" w:type="pct"/>
                  <w:vMerge w:val="continue"/>
                  <w:tcMar>
                    <w:top w:w="0" w:type="dxa"/>
                    <w:left w:w="28" w:type="dxa"/>
                    <w:bottom w:w="0" w:type="dxa"/>
                    <w:right w:w="28" w:type="dxa"/>
                  </w:tcMar>
                  <w:vAlign w:val="center"/>
                </w:tcPr>
                <w:p w14:paraId="20E9AFF3">
                  <w:pPr>
                    <w:jc w:val="center"/>
                    <w:rPr>
                      <w:rFonts w:hint="eastAsia"/>
                      <w:color w:val="auto"/>
                      <w:sz w:val="18"/>
                      <w:szCs w:val="18"/>
                    </w:rPr>
                  </w:pPr>
                </w:p>
              </w:tc>
              <w:tc>
                <w:tcPr>
                  <w:tcW w:w="873" w:type="pct"/>
                  <w:vMerge w:val="continue"/>
                  <w:tcMar>
                    <w:top w:w="0" w:type="dxa"/>
                    <w:left w:w="28" w:type="dxa"/>
                    <w:bottom w:w="0" w:type="dxa"/>
                    <w:right w:w="28" w:type="dxa"/>
                  </w:tcMar>
                  <w:vAlign w:val="center"/>
                </w:tcPr>
                <w:p w14:paraId="2B077F9C">
                  <w:pPr>
                    <w:jc w:val="center"/>
                    <w:rPr>
                      <w:rFonts w:hint="eastAsia"/>
                      <w:color w:val="auto"/>
                      <w:sz w:val="18"/>
                      <w:szCs w:val="18"/>
                    </w:rPr>
                  </w:pPr>
                </w:p>
              </w:tc>
            </w:tr>
            <w:tr w14:paraId="45AF5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9" w:type="pct"/>
                  <w:vMerge w:val="continue"/>
                  <w:tcMar>
                    <w:top w:w="0" w:type="dxa"/>
                    <w:left w:w="28" w:type="dxa"/>
                    <w:bottom w:w="0" w:type="dxa"/>
                    <w:right w:w="28" w:type="dxa"/>
                  </w:tcMar>
                  <w:vAlign w:val="center"/>
                </w:tcPr>
                <w:p w14:paraId="712345A9">
                  <w:pPr>
                    <w:jc w:val="center"/>
                    <w:rPr>
                      <w:rFonts w:hint="eastAsia"/>
                      <w:color w:val="auto"/>
                      <w:sz w:val="18"/>
                      <w:szCs w:val="18"/>
                      <w:lang w:val="en-US" w:eastAsia="zh-CN"/>
                    </w:rPr>
                  </w:pPr>
                </w:p>
              </w:tc>
              <w:tc>
                <w:tcPr>
                  <w:tcW w:w="1019" w:type="pct"/>
                  <w:vAlign w:val="center"/>
                </w:tcPr>
                <w:p w14:paraId="7712CD38">
                  <w:pPr>
                    <w:jc w:val="center"/>
                    <w:rPr>
                      <w:rFonts w:hint="default"/>
                      <w:color w:val="auto"/>
                      <w:sz w:val="18"/>
                      <w:szCs w:val="18"/>
                      <w:lang w:val="en-US" w:eastAsia="zh-CN"/>
                    </w:rPr>
                  </w:pPr>
                  <w:r>
                    <w:rPr>
                      <w:rFonts w:hint="eastAsia"/>
                      <w:color w:val="auto"/>
                      <w:sz w:val="18"/>
                      <w:szCs w:val="18"/>
                      <w:lang w:val="en-US" w:eastAsia="zh-CN"/>
                    </w:rPr>
                    <w:t>废润滑油桶</w:t>
                  </w:r>
                </w:p>
              </w:tc>
              <w:tc>
                <w:tcPr>
                  <w:tcW w:w="1145" w:type="pct"/>
                  <w:tcMar>
                    <w:top w:w="0" w:type="dxa"/>
                    <w:left w:w="28" w:type="dxa"/>
                    <w:bottom w:w="0" w:type="dxa"/>
                    <w:right w:w="28" w:type="dxa"/>
                  </w:tcMar>
                  <w:vAlign w:val="center"/>
                </w:tcPr>
                <w:p w14:paraId="3FE875AB">
                  <w:pPr>
                    <w:jc w:val="center"/>
                    <w:rPr>
                      <w:rFonts w:hint="default"/>
                      <w:color w:val="auto"/>
                      <w:sz w:val="18"/>
                      <w:szCs w:val="18"/>
                      <w:lang w:val="en-US" w:eastAsia="zh-CN"/>
                    </w:rPr>
                  </w:pPr>
                  <w:r>
                    <w:rPr>
                      <w:rFonts w:hint="eastAsia"/>
                      <w:color w:val="auto"/>
                      <w:sz w:val="18"/>
                      <w:szCs w:val="18"/>
                      <w:lang w:val="en-US" w:eastAsia="zh-CN"/>
                    </w:rPr>
                    <w:t>沾染油类物质的包装桶</w:t>
                  </w:r>
                </w:p>
              </w:tc>
              <w:tc>
                <w:tcPr>
                  <w:tcW w:w="1612" w:type="pct"/>
                  <w:vMerge w:val="continue"/>
                  <w:tcMar>
                    <w:top w:w="0" w:type="dxa"/>
                    <w:left w:w="28" w:type="dxa"/>
                    <w:bottom w:w="0" w:type="dxa"/>
                    <w:right w:w="28" w:type="dxa"/>
                  </w:tcMar>
                  <w:vAlign w:val="center"/>
                </w:tcPr>
                <w:p w14:paraId="21828AC4">
                  <w:pPr>
                    <w:jc w:val="center"/>
                    <w:rPr>
                      <w:rFonts w:hint="eastAsia"/>
                      <w:color w:val="auto"/>
                      <w:sz w:val="18"/>
                      <w:szCs w:val="18"/>
                    </w:rPr>
                  </w:pPr>
                </w:p>
              </w:tc>
              <w:tc>
                <w:tcPr>
                  <w:tcW w:w="873" w:type="pct"/>
                  <w:vMerge w:val="continue"/>
                  <w:tcMar>
                    <w:top w:w="0" w:type="dxa"/>
                    <w:left w:w="28" w:type="dxa"/>
                    <w:bottom w:w="0" w:type="dxa"/>
                    <w:right w:w="28" w:type="dxa"/>
                  </w:tcMar>
                  <w:vAlign w:val="center"/>
                </w:tcPr>
                <w:p w14:paraId="5F8A0DE8">
                  <w:pPr>
                    <w:jc w:val="center"/>
                    <w:rPr>
                      <w:rFonts w:hint="eastAsia"/>
                      <w:color w:val="auto"/>
                      <w:sz w:val="18"/>
                      <w:szCs w:val="18"/>
                    </w:rPr>
                  </w:pPr>
                </w:p>
              </w:tc>
            </w:tr>
          </w:tbl>
          <w:p w14:paraId="7D7268D4">
            <w:pPr>
              <w:adjustRightInd w:val="0"/>
              <w:snapToGrid w:val="0"/>
              <w:rPr>
                <w:bCs/>
                <w:color w:val="auto"/>
                <w:szCs w:val="21"/>
              </w:rPr>
            </w:pPr>
          </w:p>
        </w:tc>
      </w:tr>
      <w:tr w14:paraId="121EE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5" w:hRule="atLeast"/>
          <w:jc w:val="center"/>
        </w:trPr>
        <w:tc>
          <w:tcPr>
            <w:tcW w:w="420" w:type="dxa"/>
            <w:vAlign w:val="center"/>
          </w:tcPr>
          <w:p w14:paraId="6D6DACE9">
            <w:pPr>
              <w:pStyle w:val="18"/>
              <w:adjustRightInd w:val="0"/>
              <w:snapToGrid w:val="0"/>
              <w:spacing w:before="0" w:beforeAutospacing="0" w:after="0" w:afterAutospacing="0"/>
              <w:jc w:val="center"/>
              <w:rPr>
                <w:rFonts w:ascii="Times New Roman" w:hAnsi="Times New Roman"/>
                <w:color w:val="auto"/>
                <w:sz w:val="21"/>
                <w:szCs w:val="21"/>
                <w:lang w:val="en-US"/>
              </w:rPr>
            </w:pPr>
            <w:r>
              <w:rPr>
                <w:rFonts w:ascii="Times New Roman" w:hAnsi="Times New Roman"/>
                <w:bCs/>
                <w:color w:val="auto"/>
                <w:kern w:val="2"/>
                <w:sz w:val="21"/>
                <w:szCs w:val="21"/>
                <w:lang w:val="en-US"/>
              </w:rPr>
              <w:t>与项目有关的原有环境污染问题</w:t>
            </w:r>
          </w:p>
        </w:tc>
        <w:tc>
          <w:tcPr>
            <w:tcW w:w="8640" w:type="dxa"/>
            <w:vAlign w:val="center"/>
          </w:tcPr>
          <w:p w14:paraId="50A47C77">
            <w:pPr>
              <w:keepNext w:val="0"/>
              <w:keepLines w:val="0"/>
              <w:pageBreakBefore w:val="0"/>
              <w:widowControl w:val="0"/>
              <w:kinsoku/>
              <w:wordWrap/>
              <w:overflowPunct/>
              <w:topLinePunct w:val="0"/>
              <w:autoSpaceDE/>
              <w:autoSpaceDN/>
              <w:bidi w:val="0"/>
              <w:adjustRightInd w:val="0"/>
              <w:snapToGrid w:val="0"/>
              <w:spacing w:line="420" w:lineRule="exact"/>
              <w:textAlignment w:val="auto"/>
              <w:rPr>
                <w:b/>
                <w:color w:val="auto"/>
                <w:szCs w:val="21"/>
              </w:rPr>
            </w:pPr>
            <w:r>
              <w:rPr>
                <w:rFonts w:hint="eastAsia"/>
                <w:b/>
                <w:color w:val="auto"/>
                <w:szCs w:val="21"/>
              </w:rPr>
              <w:t>一、现有项目环保手续执行情况</w:t>
            </w:r>
          </w:p>
          <w:p w14:paraId="2E8B566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cs="Times New Roman"/>
                <w:color w:val="auto"/>
              </w:rPr>
            </w:pPr>
            <w:r>
              <w:rPr>
                <w:rFonts w:hint="eastAsia"/>
                <w:bCs/>
                <w:color w:val="auto"/>
                <w:sz w:val="21"/>
                <w:szCs w:val="21"/>
                <w:lang w:val="en-US" w:eastAsia="zh-CN"/>
              </w:rPr>
              <w:t>公司分为东、西厂区及办公区。东厂区现有项目为“5万吨/年甲醛改扩建项目”、“10000吨/年叔丁醇精制生产项目”；西厂区原现有项目为“2万吨/年片碱项目”该项目目前已不再生产，生产装置已全部拆除，仅保留2套尾气炉处理东厂区废气</w:t>
            </w:r>
            <w:r>
              <w:rPr>
                <w:rFonts w:cs="Times New Roman"/>
                <w:color w:val="auto"/>
              </w:rPr>
              <w:t>。</w:t>
            </w:r>
          </w:p>
          <w:p w14:paraId="238F5BF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bCs/>
                <w:color w:val="auto"/>
                <w:szCs w:val="21"/>
              </w:rPr>
            </w:pPr>
            <w:r>
              <w:rPr>
                <w:rFonts w:hint="eastAsia" w:cs="Times New Roman"/>
                <w:color w:val="auto"/>
              </w:rPr>
              <w:t>现有</w:t>
            </w:r>
            <w:r>
              <w:rPr>
                <w:color w:val="auto"/>
              </w:rPr>
              <w:t>项目环保手续履行情况</w:t>
            </w:r>
            <w:r>
              <w:rPr>
                <w:rFonts w:hint="eastAsia"/>
                <w:color w:val="auto"/>
                <w:lang w:val="en-US" w:eastAsia="zh-CN"/>
              </w:rPr>
              <w:t>详见前述表2-1</w:t>
            </w:r>
            <w:r>
              <w:rPr>
                <w:color w:val="auto"/>
              </w:rPr>
              <w:t>。</w:t>
            </w:r>
          </w:p>
          <w:p w14:paraId="2D9BBE23">
            <w:pPr>
              <w:keepNext w:val="0"/>
              <w:keepLines w:val="0"/>
              <w:pageBreakBefore w:val="0"/>
              <w:widowControl w:val="0"/>
              <w:kinsoku/>
              <w:wordWrap/>
              <w:overflowPunct/>
              <w:topLinePunct w:val="0"/>
              <w:autoSpaceDE/>
              <w:autoSpaceDN/>
              <w:bidi w:val="0"/>
              <w:adjustRightInd w:val="0"/>
              <w:snapToGrid w:val="0"/>
              <w:spacing w:line="420" w:lineRule="exact"/>
              <w:textAlignment w:val="auto"/>
              <w:rPr>
                <w:b/>
                <w:color w:val="auto"/>
                <w:szCs w:val="21"/>
              </w:rPr>
            </w:pPr>
            <w:r>
              <w:rPr>
                <w:rFonts w:hint="eastAsia"/>
                <w:b/>
                <w:color w:val="auto"/>
                <w:szCs w:val="21"/>
                <w:lang w:val="en-US" w:eastAsia="zh-CN"/>
              </w:rPr>
              <w:t>二、</w:t>
            </w:r>
            <w:r>
              <w:rPr>
                <w:rFonts w:hint="eastAsia"/>
                <w:b/>
                <w:color w:val="auto"/>
                <w:szCs w:val="21"/>
              </w:rPr>
              <w:t>现有项目生产工艺及产污分析</w:t>
            </w:r>
          </w:p>
          <w:p w14:paraId="4ADA02D4">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rFonts w:hint="default" w:eastAsia="宋体"/>
                <w:b/>
                <w:color w:val="auto"/>
                <w:szCs w:val="21"/>
                <w:lang w:val="en-US" w:eastAsia="zh-CN"/>
              </w:rPr>
            </w:pPr>
            <w:r>
              <w:rPr>
                <w:rFonts w:hint="eastAsia"/>
                <w:b/>
                <w:color w:val="auto"/>
                <w:szCs w:val="21"/>
              </w:rPr>
              <w:t>1、</w:t>
            </w:r>
            <w:r>
              <w:rPr>
                <w:rFonts w:hint="eastAsia"/>
                <w:b/>
                <w:color w:val="auto"/>
                <w:szCs w:val="21"/>
                <w:lang w:val="en-US" w:eastAsia="zh-CN"/>
              </w:rPr>
              <w:t>5万吨/年甲醛改扩建项目</w:t>
            </w:r>
          </w:p>
          <w:p w14:paraId="0DD84DAF">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rPr>
            </w:pPr>
            <w:r>
              <w:rPr>
                <w:rFonts w:hint="eastAsia"/>
                <w:bCs/>
                <w:color w:val="auto"/>
                <w:szCs w:val="21"/>
              </w:rPr>
              <w:t>原料甲醇用泵送入高位槽，以一定的流量经过滤器进入间接蒸汽加热器。同时在蒸发器底部由鼓风机送入经除去灰尘和杂质的定量空气。空气鼓泡通过被加热45～60℃的甲醇层时被甲醇蒸汽所饱和，每升甲醇和空气混合物中加入一定量的水蒸汽。为了保证混合气体在进入反应器后立即进行反应，以及避免混合气中存在甲醇凝液，还常将混合气体进行过热。过热在过热器E202中进行，过热温度为105～120℃。过热后的混合气体经阻火过滤器V207，以阻止氧化器中可能燃烧时影响到蒸发系统；再经过热器滤除含铁杂质，进入氧化器R201，在催化剂作用下，与380～650℃发生催化氧化和脱氢反应。</w:t>
            </w:r>
          </w:p>
          <w:p w14:paraId="1C24171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rPr>
            </w:pPr>
            <w:r>
              <w:rPr>
                <w:rFonts w:hint="eastAsia"/>
                <w:bCs/>
                <w:color w:val="auto"/>
                <w:szCs w:val="21"/>
              </w:rPr>
              <w:t>氧化器由两部分组成，上部是反应部分，在气体入口处连接一锥型的顶盖，使气体分布均匀，然后原料混合气在置于搁板上催化剂层中进行催化反应。为了防止催化剂过热，在催化剂层中装有冷却蛇管，通入冷水以带出部分反应热。氧化器下部是一紫铜管的列管式冷凝器，管外通冷却水冷却，从反应部分来的反应气体在这里迅速冷却至l00～130℃，以防止甲醛在高温下发生深度氧化等副反应；但也不能冷却到过低温度，以免甲醛聚合，造成聚合物堵塞管道。铁能促进甲醇深度氧化分解，因此反应部分和冷却管采用紫铜和不锈铜。</w:t>
            </w:r>
          </w:p>
          <w:p w14:paraId="77EE6B5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rPr>
            </w:pPr>
            <w:r>
              <w:rPr>
                <w:rFonts w:hint="default" w:ascii="Times New Roman" w:hAnsi="Times New Roman" w:cs="Times New Roman"/>
                <w:bCs/>
                <w:color w:val="auto"/>
                <w:szCs w:val="21"/>
              </w:rPr>
              <w:t>在650℃银催化剂作</w:t>
            </w:r>
            <w:r>
              <w:rPr>
                <w:rFonts w:hint="eastAsia"/>
                <w:bCs/>
                <w:color w:val="auto"/>
                <w:szCs w:val="21"/>
              </w:rPr>
              <w:t>用下，甲醇发生脱氢、氧化反应。出氧化器的反应气体进入第一吸收塔T101，将大部分甲醛吸收；未被吸收的气体再进入第二吸收塔T102底部，从塔顶加入一定量的冷水进行吸收。由第二吸收塔塔底采出的稀甲醛溶液经循环泵P104A/B/C打入第一、第二吸收塔，作为吸收剂的一部分。自第一吸收塔塔底引出的吸收液经冷却器E203冷却后，由泵抽出，一部分返回塔，一部分送入冷却器冷却后得到产品，即为含10%甲醇的甲醛水溶液，甲醇的存在可防止甲醛聚合。甲醛产率约80%。</w:t>
            </w:r>
          </w:p>
          <w:p w14:paraId="229D4F3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rPr>
            </w:pPr>
            <w:r>
              <w:rPr>
                <w:rFonts w:hint="eastAsia"/>
                <w:bCs/>
                <w:color w:val="auto"/>
                <w:szCs w:val="21"/>
              </w:rPr>
              <w:t>由第二吸收塔排出的尾气（氢气、一氧化碳、甲醛）送燃烧炉燃烧用于产生蒸汽，供生产使用。</w:t>
            </w:r>
          </w:p>
          <w:p w14:paraId="6AE8F57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Cs/>
                <w:color w:val="auto"/>
                <w:szCs w:val="21"/>
                <w:lang w:val="en-US" w:eastAsia="zh-CN"/>
              </w:rPr>
            </w:pPr>
            <w:r>
              <w:rPr>
                <w:rFonts w:hint="eastAsia"/>
                <w:bCs/>
                <w:color w:val="auto"/>
                <w:szCs w:val="21"/>
                <w:lang w:val="en-US" w:eastAsia="zh-CN"/>
              </w:rPr>
              <w:t>甲醛项目生产工艺流程及产污环节图具体如下：</w:t>
            </w:r>
          </w:p>
          <w:p w14:paraId="6244EAAD">
            <w:pPr>
              <w:pStyle w:val="8"/>
              <w:rPr>
                <w:rFonts w:hint="eastAsia"/>
                <w:bCs/>
                <w:color w:val="auto"/>
                <w:szCs w:val="21"/>
                <w:lang w:val="en-US" w:eastAsia="zh-CN"/>
              </w:rPr>
            </w:pPr>
          </w:p>
        </w:tc>
      </w:tr>
    </w:tbl>
    <w:p w14:paraId="20A92C4B">
      <w:pPr>
        <w:pStyle w:val="18"/>
        <w:adjustRightInd w:val="0"/>
        <w:snapToGrid w:val="0"/>
        <w:spacing w:before="0" w:beforeAutospacing="0" w:after="0" w:afterAutospacing="0"/>
        <w:jc w:val="center"/>
        <w:rPr>
          <w:rFonts w:ascii="Times New Roman" w:hAnsi="Times New Roman"/>
          <w:bCs/>
          <w:color w:val="auto"/>
          <w:kern w:val="2"/>
          <w:sz w:val="21"/>
          <w:szCs w:val="21"/>
          <w:lang w:val="en-US"/>
        </w:rPr>
        <w:sectPr>
          <w:pgSz w:w="11906" w:h="16838"/>
          <w:pgMar w:top="1701" w:right="1531" w:bottom="1418" w:left="1531" w:header="851" w:footer="851" w:gutter="0"/>
          <w:pgBorders>
            <w:top w:val="none" w:sz="0" w:space="0"/>
            <w:left w:val="none" w:sz="0" w:space="0"/>
            <w:bottom w:val="none" w:sz="0" w:space="0"/>
            <w:right w:val="none" w:sz="0" w:space="0"/>
          </w:pgBorders>
          <w:cols w:space="720" w:num="1"/>
          <w:docGrid w:linePitch="312" w:charSpace="0"/>
        </w:sectPr>
      </w:pPr>
    </w:p>
    <w:p w14:paraId="26066F1F">
      <w:pPr>
        <w:pStyle w:val="18"/>
        <w:adjustRightInd w:val="0"/>
        <w:snapToGrid w:val="0"/>
        <w:spacing w:before="0" w:beforeAutospacing="0" w:after="0" w:afterAutospacing="0"/>
        <w:jc w:val="center"/>
        <w:rPr>
          <w:rFonts w:hint="default" w:ascii="Times New Roman" w:hAnsi="Times New Roman" w:cs="Times New Roman"/>
          <w:bCs/>
          <w:color w:val="auto"/>
          <w:kern w:val="2"/>
          <w:sz w:val="21"/>
          <w:szCs w:val="21"/>
          <w:lang w:val="en-US"/>
        </w:rPr>
      </w:pPr>
      <w:r>
        <w:rPr>
          <w:rFonts w:ascii="Times New Roman" w:hAnsi="Times New Roman" w:cs="Times New Roman"/>
          <w:color w:val="auto"/>
        </w:rPr>
        <w:object>
          <v:shape id="_x0000_i1028" o:spt="75" type="#_x0000_t75" style="height:340.2pt;width:722.6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r>
        <w:rPr>
          <w:rFonts w:hint="default" w:ascii="Times New Roman" w:hAnsi="Times New Roman" w:eastAsia="黑体" w:cs="Times New Roman"/>
          <w:color w:val="auto"/>
          <w:kern w:val="0"/>
          <w:sz w:val="21"/>
          <w:szCs w:val="21"/>
        </w:rPr>
        <w:t>图2</w:t>
      </w:r>
      <w:r>
        <w:rPr>
          <w:rFonts w:hint="default" w:ascii="Times New Roman" w:hAnsi="Times New Roman" w:eastAsia="黑体" w:cs="Times New Roman"/>
          <w:color w:val="auto"/>
          <w:kern w:val="0"/>
          <w:sz w:val="21"/>
          <w:szCs w:val="21"/>
          <w:lang w:val="en-US" w:eastAsia="zh-CN"/>
        </w:rPr>
        <w:t>-</w:t>
      </w:r>
      <w:r>
        <w:rPr>
          <w:rFonts w:hint="eastAsia" w:ascii="Times New Roman" w:hAnsi="Times New Roman" w:eastAsia="黑体" w:cs="Times New Roman"/>
          <w:color w:val="auto"/>
          <w:kern w:val="0"/>
          <w:sz w:val="21"/>
          <w:szCs w:val="21"/>
          <w:lang w:val="en-US" w:eastAsia="zh-CN"/>
        </w:rPr>
        <w:t>3</w:t>
      </w:r>
      <w:r>
        <w:rPr>
          <w:rFonts w:hint="default" w:ascii="Times New Roman" w:hAnsi="Times New Roman" w:eastAsia="黑体" w:cs="Times New Roman"/>
          <w:color w:val="auto"/>
          <w:kern w:val="0"/>
          <w:sz w:val="21"/>
          <w:szCs w:val="21"/>
        </w:rPr>
        <w:t xml:space="preserve">  现有</w:t>
      </w:r>
      <w:r>
        <w:rPr>
          <w:rFonts w:hint="eastAsia" w:ascii="Times New Roman" w:hAnsi="Times New Roman" w:eastAsia="黑体" w:cs="Times New Roman"/>
          <w:color w:val="auto"/>
          <w:kern w:val="0"/>
          <w:sz w:val="21"/>
          <w:szCs w:val="21"/>
          <w:lang w:val="en-US" w:eastAsia="zh-CN"/>
        </w:rPr>
        <w:t>甲醛生产装置</w:t>
      </w:r>
      <w:r>
        <w:rPr>
          <w:rFonts w:hint="default" w:ascii="Times New Roman" w:hAnsi="Times New Roman" w:eastAsia="黑体" w:cs="Times New Roman"/>
          <w:color w:val="auto"/>
          <w:kern w:val="0"/>
          <w:sz w:val="21"/>
          <w:szCs w:val="21"/>
        </w:rPr>
        <w:t>工艺流程及产污环节图</w:t>
      </w:r>
    </w:p>
    <w:p w14:paraId="32FF36A2">
      <w:pPr>
        <w:pStyle w:val="18"/>
        <w:adjustRightInd w:val="0"/>
        <w:snapToGrid w:val="0"/>
        <w:spacing w:before="0" w:beforeAutospacing="0" w:after="0" w:afterAutospacing="0"/>
        <w:jc w:val="center"/>
        <w:rPr>
          <w:rFonts w:ascii="Times New Roman" w:hAnsi="Times New Roman"/>
          <w:bCs/>
          <w:color w:val="auto"/>
          <w:kern w:val="2"/>
          <w:sz w:val="21"/>
          <w:szCs w:val="21"/>
          <w:lang w:val="en-US"/>
        </w:rPr>
      </w:pPr>
    </w:p>
    <w:p w14:paraId="65763CC8">
      <w:pPr>
        <w:pStyle w:val="18"/>
        <w:adjustRightInd w:val="0"/>
        <w:snapToGrid w:val="0"/>
        <w:spacing w:before="0" w:beforeAutospacing="0" w:after="0" w:afterAutospacing="0"/>
        <w:jc w:val="center"/>
        <w:rPr>
          <w:rFonts w:ascii="Times New Roman" w:hAnsi="Times New Roman"/>
          <w:bCs/>
          <w:color w:val="auto"/>
          <w:kern w:val="2"/>
          <w:sz w:val="21"/>
          <w:szCs w:val="21"/>
          <w:lang w:val="en-US"/>
        </w:rPr>
      </w:pPr>
    </w:p>
    <w:p w14:paraId="24BFF3F1">
      <w:pPr>
        <w:pStyle w:val="18"/>
        <w:adjustRightInd w:val="0"/>
        <w:snapToGrid w:val="0"/>
        <w:spacing w:before="0" w:beforeAutospacing="0" w:after="0" w:afterAutospacing="0"/>
        <w:jc w:val="center"/>
        <w:rPr>
          <w:rFonts w:ascii="Times New Roman" w:hAnsi="Times New Roman"/>
          <w:bCs/>
          <w:color w:val="auto"/>
          <w:kern w:val="2"/>
          <w:sz w:val="21"/>
          <w:szCs w:val="21"/>
          <w:lang w:val="en-US"/>
        </w:rPr>
      </w:pPr>
    </w:p>
    <w:p w14:paraId="7647A03D">
      <w:pPr>
        <w:pStyle w:val="18"/>
        <w:adjustRightInd w:val="0"/>
        <w:snapToGrid w:val="0"/>
        <w:spacing w:before="0" w:beforeAutospacing="0" w:after="0" w:afterAutospacing="0"/>
        <w:jc w:val="center"/>
        <w:rPr>
          <w:rFonts w:ascii="Times New Roman" w:hAnsi="Times New Roman"/>
          <w:bCs/>
          <w:color w:val="auto"/>
          <w:kern w:val="2"/>
          <w:sz w:val="21"/>
          <w:szCs w:val="21"/>
          <w:lang w:val="en-US"/>
        </w:rPr>
        <w:sectPr>
          <w:pgSz w:w="16838" w:h="11906" w:orient="landscape"/>
          <w:pgMar w:top="1531" w:right="1701" w:bottom="1531" w:left="1418"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14:paraId="0A5D2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0" w:type="dxa"/>
            <w:vAlign w:val="center"/>
          </w:tcPr>
          <w:p w14:paraId="49B6784C">
            <w:pPr>
              <w:pStyle w:val="18"/>
              <w:adjustRightInd w:val="0"/>
              <w:snapToGrid w:val="0"/>
              <w:spacing w:before="0" w:beforeAutospacing="0" w:after="0" w:afterAutospacing="0"/>
              <w:jc w:val="center"/>
              <w:rPr>
                <w:rFonts w:ascii="Times New Roman" w:hAnsi="Times New Roman"/>
                <w:bCs/>
                <w:color w:val="auto"/>
                <w:kern w:val="2"/>
                <w:sz w:val="21"/>
                <w:szCs w:val="21"/>
                <w:lang w:val="en-US"/>
              </w:rPr>
            </w:pPr>
            <w:r>
              <w:rPr>
                <w:rFonts w:ascii="Times New Roman" w:hAnsi="Times New Roman"/>
                <w:bCs/>
                <w:color w:val="auto"/>
                <w:kern w:val="2"/>
                <w:sz w:val="21"/>
                <w:szCs w:val="21"/>
                <w:lang w:val="en-US"/>
              </w:rPr>
              <w:t>与项目有关的原有环境污染问题</w:t>
            </w:r>
          </w:p>
        </w:tc>
        <w:tc>
          <w:tcPr>
            <w:tcW w:w="8640" w:type="dxa"/>
            <w:vAlign w:val="center"/>
          </w:tcPr>
          <w:p w14:paraId="05E1344E">
            <w:pPr>
              <w:adjustRightInd w:val="0"/>
              <w:snapToGrid w:val="0"/>
              <w:spacing w:line="440" w:lineRule="exact"/>
              <w:ind w:firstLine="422" w:firstLineChars="200"/>
              <w:rPr>
                <w:rFonts w:hint="default" w:eastAsia="宋体"/>
                <w:b/>
                <w:bCs w:val="0"/>
                <w:color w:val="auto"/>
                <w:szCs w:val="21"/>
                <w:lang w:val="en-US" w:eastAsia="zh-CN"/>
              </w:rPr>
            </w:pPr>
            <w:r>
              <w:rPr>
                <w:rFonts w:hint="eastAsia"/>
                <w:b/>
                <w:bCs w:val="0"/>
                <w:color w:val="auto"/>
                <w:szCs w:val="21"/>
                <w:lang w:val="en-US" w:eastAsia="zh-CN"/>
              </w:rPr>
              <w:t>2、10000吨/年叔丁醇精制生产项目</w:t>
            </w:r>
          </w:p>
          <w:p w14:paraId="6FB98323">
            <w:pPr>
              <w:adjustRightInd w:val="0"/>
              <w:snapToGrid w:val="0"/>
              <w:spacing w:line="440" w:lineRule="exact"/>
              <w:ind w:firstLine="420" w:firstLineChars="200"/>
              <w:rPr>
                <w:rFonts w:hint="default" w:eastAsia="宋体"/>
                <w:bCs/>
                <w:color w:val="auto"/>
                <w:szCs w:val="21"/>
                <w:lang w:val="en-US" w:eastAsia="zh-CN"/>
              </w:rPr>
            </w:pPr>
            <w:r>
              <w:rPr>
                <w:rFonts w:hint="eastAsia"/>
                <w:bCs/>
                <w:color w:val="auto"/>
                <w:szCs w:val="21"/>
              </w:rPr>
              <w:t>叔丁醇精制利用共沸精馏的特点，依据物系的共沸性质、汽-液平衡和液-液平衡关系提纯化合物。正己烷-叔丁醇-水能够形成最低恒沸物，其共沸点为58.5℃，与叔丁醇的沸点82℃相差很大，所以容易分离。</w:t>
            </w:r>
            <w:r>
              <w:rPr>
                <w:rFonts w:hint="eastAsia"/>
                <w:bCs/>
                <w:color w:val="auto"/>
                <w:szCs w:val="21"/>
                <w:lang w:val="en-US" w:eastAsia="zh-CN"/>
              </w:rPr>
              <w:t>具体工艺流程如下：</w:t>
            </w:r>
          </w:p>
          <w:p w14:paraId="2C6F22F2">
            <w:pPr>
              <w:adjustRightInd w:val="0"/>
              <w:snapToGrid w:val="0"/>
              <w:spacing w:line="44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来自500m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原料储罐的叔丁醇原料经进料泵送至预热器，加热至60℃后与正己烷一同进精馏塔塔釜（观察液位），通过再沸器给料加热变成气态，控制塔釜温度，塔釜温度90℃，回流控制塔顶温度，控制塔顶温度78℃；塔底采出成品叔丁醇。</w:t>
            </w:r>
          </w:p>
          <w:p w14:paraId="741083DE">
            <w:pPr>
              <w:adjustRightInd w:val="0"/>
              <w:snapToGrid w:val="0"/>
              <w:spacing w:line="44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部分有色叔丁醇原料（约占1%）需先进行加水脱色处理，去除有色杂质。来自罐车的有色叔丁醇原料经进料泵送至脱色塔升温变成气态，蒸发出的叔丁醇经冷凝器冷凝后进入回流罐，再由进料泵送至预热器后精制叔丁醇。脱色塔脱出水进入“絮凝沉淀+间接加热蒸发”设施处理，回用于甲醛生产，不外排。</w:t>
            </w:r>
          </w:p>
          <w:p w14:paraId="6DCE3732">
            <w:pPr>
              <w:adjustRightInd w:val="0"/>
              <w:snapToGrid w:val="0"/>
              <w:spacing w:line="44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共沸剂正己烷与少量的产品从塔顶经冷凝器冷凝进回流罐南仓，由于正己烷与叔丁醇在回流罐中分层，共沸剂自流至北仓经泵打入精馏塔顶循环利用；南仓底部的混合液（主要为水及少量叔丁醇）经泵或自流进入回收塔进行回收叔丁醇；</w:t>
            </w:r>
          </w:p>
          <w:p w14:paraId="3743513F">
            <w:pPr>
              <w:adjustRightInd w:val="0"/>
              <w:snapToGrid w:val="0"/>
              <w:spacing w:line="440" w:lineRule="exact"/>
              <w:ind w:firstLine="420" w:firstLineChars="200"/>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回收塔塔顶物料落入塔釜经再沸器加热，气相物料（大部分叔丁醇及少量水）升至塔顶经塔顶冷凝器后进入回流罐，作为原料叔丁醇再次进入精馏塔内进行提纯。回收塔产生的废水从塔底排出</w:t>
            </w:r>
            <w:r>
              <w:rPr>
                <w:rFonts w:hint="eastAsia" w:ascii="Times New Roman" w:hAnsi="Times New Roman" w:cs="Times New Roman"/>
                <w:bCs/>
                <w:color w:val="auto"/>
                <w:szCs w:val="21"/>
                <w:lang w:eastAsia="zh-CN"/>
              </w:rPr>
              <w:t>。</w:t>
            </w:r>
          </w:p>
          <w:p w14:paraId="10F7085A">
            <w:pPr>
              <w:adjustRightInd w:val="0"/>
              <w:snapToGrid w:val="0"/>
              <w:spacing w:line="440" w:lineRule="exact"/>
              <w:ind w:firstLine="420" w:firstLineChars="200"/>
              <w:rPr>
                <w:rFonts w:hint="default" w:eastAsia="宋体"/>
                <w:bCs/>
                <w:color w:val="auto"/>
                <w:szCs w:val="21"/>
                <w:lang w:val="en-US" w:eastAsia="zh-CN"/>
              </w:rPr>
            </w:pPr>
            <w:r>
              <w:rPr>
                <w:rFonts w:hint="eastAsia"/>
                <w:bCs/>
                <w:color w:val="auto"/>
                <w:szCs w:val="21"/>
                <w:lang w:val="en-US" w:eastAsia="zh-CN"/>
              </w:rPr>
              <w:t>叔丁醇项目生产工艺流程及产污环节图具体如下：</w:t>
            </w:r>
          </w:p>
          <w:p w14:paraId="0F93E9B4">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eastAsia"/>
                <w:bCs/>
                <w:color w:val="auto"/>
                <w:szCs w:val="21"/>
              </w:rPr>
            </w:pPr>
            <w:r>
              <w:rPr>
                <w:rFonts w:ascii="Times New Roman" w:hAnsi="Times New Roman" w:cs="Times New Roman"/>
                <w:color w:val="auto"/>
              </w:rPr>
              <w:object>
                <v:shape id="_x0000_i1029" o:spt="75" type="#_x0000_t75" style="height:219.75pt;width:429.35pt;" o:ole="t" filled="f" o:preferrelative="t" stroked="f" coordsize="21600,21600">
                  <v:path/>
                  <v:fill on="f" focussize="0,0"/>
                  <v:stroke on="f"/>
                  <v:imagedata r:id="rId17" o:title=""/>
                  <o:lock v:ext="edit" aspectratio="t"/>
                  <w10:wrap type="none"/>
                  <w10:anchorlock/>
                </v:shape>
                <o:OLEObject Type="Embed" ProgID="Visio.Drawing.11" ShapeID="_x0000_i1029" DrawAspect="Content" ObjectID="_1468075729" r:id="rId16">
                  <o:LockedField>false</o:LockedField>
                </o:OLEObject>
              </w:object>
            </w:r>
            <w:r>
              <w:rPr>
                <w:rFonts w:eastAsia="黑体" w:cs="Times New Roman"/>
                <w:color w:val="auto"/>
                <w:kern w:val="0"/>
                <w:sz w:val="21"/>
                <w:szCs w:val="21"/>
              </w:rPr>
              <w:t>图</w:t>
            </w:r>
            <w:r>
              <w:rPr>
                <w:rFonts w:hint="eastAsia" w:eastAsia="黑体" w:cs="Times New Roman"/>
                <w:color w:val="auto"/>
                <w:kern w:val="0"/>
                <w:sz w:val="21"/>
                <w:szCs w:val="21"/>
              </w:rPr>
              <w:t>2</w:t>
            </w:r>
            <w:r>
              <w:rPr>
                <w:rFonts w:hint="eastAsia" w:eastAsia="黑体" w:cs="Times New Roman"/>
                <w:color w:val="auto"/>
                <w:kern w:val="0"/>
                <w:sz w:val="21"/>
                <w:szCs w:val="21"/>
                <w:lang w:val="en-US" w:eastAsia="zh-CN"/>
              </w:rPr>
              <w:t>-4</w:t>
            </w:r>
            <w:r>
              <w:rPr>
                <w:rFonts w:eastAsia="黑体" w:cs="Times New Roman"/>
                <w:color w:val="auto"/>
                <w:kern w:val="0"/>
                <w:sz w:val="21"/>
                <w:szCs w:val="21"/>
              </w:rPr>
              <w:t xml:space="preserve">  现有</w:t>
            </w:r>
            <w:r>
              <w:rPr>
                <w:rFonts w:hint="eastAsia" w:eastAsia="黑体" w:cs="Times New Roman"/>
                <w:color w:val="auto"/>
                <w:kern w:val="0"/>
                <w:sz w:val="21"/>
                <w:szCs w:val="21"/>
                <w:lang w:val="en-US" w:eastAsia="zh-CN"/>
              </w:rPr>
              <w:t>叔丁醇装置生产工</w:t>
            </w:r>
            <w:r>
              <w:rPr>
                <w:rFonts w:eastAsia="黑体" w:cs="Times New Roman"/>
                <w:color w:val="auto"/>
                <w:kern w:val="0"/>
                <w:sz w:val="21"/>
                <w:szCs w:val="21"/>
              </w:rPr>
              <w:t>艺流程及产污环节图</w:t>
            </w:r>
          </w:p>
          <w:p w14:paraId="6EA65020">
            <w:pPr>
              <w:adjustRightInd w:val="0"/>
              <w:snapToGrid w:val="0"/>
              <w:spacing w:line="440" w:lineRule="exact"/>
              <w:ind w:firstLine="422" w:firstLineChars="200"/>
              <w:rPr>
                <w:rFonts w:hint="default" w:eastAsia="宋体"/>
                <w:b/>
                <w:bCs w:val="0"/>
                <w:color w:val="auto"/>
                <w:szCs w:val="21"/>
                <w:lang w:val="en-US" w:eastAsia="zh-CN"/>
              </w:rPr>
            </w:pPr>
            <w:r>
              <w:rPr>
                <w:rFonts w:hint="eastAsia"/>
                <w:b/>
                <w:bCs w:val="0"/>
                <w:color w:val="auto"/>
                <w:szCs w:val="21"/>
                <w:lang w:val="en-US" w:eastAsia="zh-CN"/>
              </w:rPr>
              <w:t>3、产污环节汇总</w:t>
            </w:r>
          </w:p>
          <w:p w14:paraId="4E1C9AC2">
            <w:pPr>
              <w:adjustRightInd w:val="0"/>
              <w:snapToGrid w:val="0"/>
              <w:spacing w:line="440" w:lineRule="exact"/>
              <w:ind w:firstLine="420" w:firstLineChars="200"/>
              <w:rPr>
                <w:bCs/>
                <w:color w:val="auto"/>
                <w:szCs w:val="21"/>
              </w:rPr>
            </w:pPr>
            <w:r>
              <w:rPr>
                <w:rFonts w:hint="eastAsia"/>
                <w:bCs/>
                <w:color w:val="auto"/>
                <w:szCs w:val="21"/>
                <w:lang w:val="en-US" w:eastAsia="zh-CN"/>
              </w:rPr>
              <w:t>诚光工贸现有</w:t>
            </w:r>
            <w:r>
              <w:rPr>
                <w:rFonts w:hint="eastAsia"/>
                <w:bCs/>
                <w:color w:val="auto"/>
                <w:szCs w:val="21"/>
              </w:rPr>
              <w:t>项目产排污环节汇总如下：</w:t>
            </w:r>
          </w:p>
          <w:p w14:paraId="0B8B786F">
            <w:pPr>
              <w:adjustRightInd w:val="0"/>
              <w:snapToGrid w:val="0"/>
              <w:spacing w:before="120" w:beforeLines="50"/>
              <w:jc w:val="center"/>
              <w:rPr>
                <w:b/>
                <w:color w:val="auto"/>
                <w:szCs w:val="21"/>
              </w:rPr>
            </w:pPr>
            <w:r>
              <w:rPr>
                <w:b/>
                <w:color w:val="auto"/>
                <w:szCs w:val="21"/>
              </w:rPr>
              <w:t>表2-</w:t>
            </w:r>
            <w:r>
              <w:rPr>
                <w:rFonts w:hint="eastAsia"/>
                <w:b/>
                <w:color w:val="auto"/>
                <w:szCs w:val="21"/>
                <w:lang w:val="en-US" w:eastAsia="zh-CN"/>
              </w:rPr>
              <w:t>9</w:t>
            </w:r>
            <w:r>
              <w:rPr>
                <w:b/>
                <w:color w:val="auto"/>
                <w:szCs w:val="21"/>
              </w:rPr>
              <w:t xml:space="preserve">  </w:t>
            </w:r>
            <w:r>
              <w:rPr>
                <w:rFonts w:hint="eastAsia"/>
                <w:b/>
                <w:color w:val="auto"/>
                <w:szCs w:val="21"/>
              </w:rPr>
              <w:t>现有</w:t>
            </w:r>
            <w:r>
              <w:rPr>
                <w:b/>
                <w:color w:val="auto"/>
                <w:szCs w:val="21"/>
              </w:rPr>
              <w:t>项目污染物产生排放情况</w:t>
            </w:r>
            <w:r>
              <w:rPr>
                <w:rFonts w:hint="eastAsia"/>
                <w:b/>
                <w:color w:val="auto"/>
                <w:szCs w:val="21"/>
              </w:rPr>
              <w:t>汇总</w:t>
            </w:r>
            <w:r>
              <w:rPr>
                <w:b/>
                <w:color w:val="auto"/>
                <w:szCs w:val="21"/>
              </w:rPr>
              <w:t>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50"/>
              <w:gridCol w:w="1650"/>
              <w:gridCol w:w="2160"/>
              <w:gridCol w:w="1455"/>
              <w:gridCol w:w="1846"/>
            </w:tblGrid>
            <w:tr w14:paraId="45A9F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tcMar>
                    <w:top w:w="0" w:type="dxa"/>
                    <w:left w:w="28" w:type="dxa"/>
                    <w:bottom w:w="0" w:type="dxa"/>
                    <w:right w:w="28" w:type="dxa"/>
                  </w:tcMar>
                  <w:vAlign w:val="center"/>
                </w:tcPr>
                <w:p w14:paraId="648A4B90">
                  <w:pPr>
                    <w:jc w:val="center"/>
                    <w:rPr>
                      <w:rFonts w:ascii="Times New Roman" w:hAnsi="Times New Roman"/>
                      <w:color w:val="auto"/>
                      <w:sz w:val="18"/>
                      <w:szCs w:val="18"/>
                    </w:rPr>
                  </w:pPr>
                  <w:r>
                    <w:rPr>
                      <w:rFonts w:hint="eastAsia" w:ascii="Times New Roman" w:hAnsi="Times New Roman"/>
                      <w:color w:val="auto"/>
                      <w:sz w:val="18"/>
                      <w:szCs w:val="18"/>
                    </w:rPr>
                    <w:t>类别</w:t>
                  </w:r>
                </w:p>
              </w:tc>
              <w:tc>
                <w:tcPr>
                  <w:tcW w:w="1365" w:type="pct"/>
                  <w:gridSpan w:val="2"/>
                  <w:vAlign w:val="center"/>
                </w:tcPr>
                <w:p w14:paraId="53D1FF8F">
                  <w:pPr>
                    <w:jc w:val="center"/>
                    <w:rPr>
                      <w:rFonts w:ascii="Times New Roman" w:hAnsi="Times New Roman"/>
                      <w:color w:val="auto"/>
                      <w:sz w:val="18"/>
                      <w:szCs w:val="18"/>
                    </w:rPr>
                  </w:pPr>
                  <w:r>
                    <w:rPr>
                      <w:rFonts w:ascii="Times New Roman" w:hAnsi="Times New Roman"/>
                      <w:color w:val="auto"/>
                      <w:sz w:val="18"/>
                      <w:szCs w:val="18"/>
                    </w:rPr>
                    <w:t>污染源</w:t>
                  </w:r>
                </w:p>
              </w:tc>
              <w:tc>
                <w:tcPr>
                  <w:tcW w:w="1282" w:type="pct"/>
                  <w:tcMar>
                    <w:top w:w="0" w:type="dxa"/>
                    <w:left w:w="28" w:type="dxa"/>
                    <w:bottom w:w="0" w:type="dxa"/>
                    <w:right w:w="28" w:type="dxa"/>
                  </w:tcMar>
                  <w:vAlign w:val="center"/>
                </w:tcPr>
                <w:p w14:paraId="49200476">
                  <w:pPr>
                    <w:jc w:val="center"/>
                    <w:rPr>
                      <w:rFonts w:ascii="Times New Roman" w:hAnsi="Times New Roman"/>
                      <w:color w:val="auto"/>
                      <w:sz w:val="18"/>
                      <w:szCs w:val="18"/>
                    </w:rPr>
                  </w:pPr>
                  <w:r>
                    <w:rPr>
                      <w:rFonts w:ascii="Times New Roman" w:hAnsi="Times New Roman"/>
                      <w:color w:val="auto"/>
                      <w:sz w:val="18"/>
                      <w:szCs w:val="18"/>
                    </w:rPr>
                    <w:t>主要污染物</w:t>
                  </w:r>
                </w:p>
              </w:tc>
              <w:tc>
                <w:tcPr>
                  <w:tcW w:w="864" w:type="pct"/>
                  <w:tcMar>
                    <w:top w:w="0" w:type="dxa"/>
                    <w:left w:w="28" w:type="dxa"/>
                    <w:bottom w:w="0" w:type="dxa"/>
                    <w:right w:w="28" w:type="dxa"/>
                  </w:tcMar>
                  <w:vAlign w:val="center"/>
                </w:tcPr>
                <w:p w14:paraId="0EA3A7F3">
                  <w:pPr>
                    <w:jc w:val="center"/>
                    <w:rPr>
                      <w:rFonts w:ascii="Times New Roman" w:hAnsi="Times New Roman"/>
                      <w:color w:val="auto"/>
                      <w:sz w:val="18"/>
                      <w:szCs w:val="18"/>
                    </w:rPr>
                  </w:pPr>
                  <w:r>
                    <w:rPr>
                      <w:rFonts w:ascii="Times New Roman" w:hAnsi="Times New Roman"/>
                      <w:color w:val="auto"/>
                      <w:sz w:val="18"/>
                      <w:szCs w:val="18"/>
                    </w:rPr>
                    <w:t>治理措施</w:t>
                  </w:r>
                </w:p>
              </w:tc>
              <w:tc>
                <w:tcPr>
                  <w:tcW w:w="1096" w:type="pct"/>
                  <w:tcMar>
                    <w:top w:w="0" w:type="dxa"/>
                    <w:left w:w="28" w:type="dxa"/>
                    <w:bottom w:w="0" w:type="dxa"/>
                    <w:right w:w="28" w:type="dxa"/>
                  </w:tcMar>
                  <w:vAlign w:val="center"/>
                </w:tcPr>
                <w:p w14:paraId="068BEB59">
                  <w:pPr>
                    <w:jc w:val="center"/>
                    <w:rPr>
                      <w:rFonts w:ascii="Times New Roman" w:hAnsi="Times New Roman"/>
                      <w:color w:val="auto"/>
                      <w:sz w:val="18"/>
                      <w:szCs w:val="18"/>
                    </w:rPr>
                  </w:pPr>
                  <w:r>
                    <w:rPr>
                      <w:rFonts w:ascii="Times New Roman" w:hAnsi="Times New Roman"/>
                      <w:color w:val="auto"/>
                      <w:sz w:val="18"/>
                      <w:szCs w:val="18"/>
                    </w:rPr>
                    <w:t>排放</w:t>
                  </w:r>
                  <w:r>
                    <w:rPr>
                      <w:rFonts w:hint="eastAsia" w:ascii="Times New Roman" w:hAnsi="Times New Roman"/>
                      <w:color w:val="auto"/>
                      <w:sz w:val="18"/>
                      <w:szCs w:val="18"/>
                    </w:rPr>
                    <w:t>去向</w:t>
                  </w:r>
                </w:p>
              </w:tc>
            </w:tr>
            <w:tr w14:paraId="4DD80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tcMar>
                    <w:top w:w="0" w:type="dxa"/>
                    <w:left w:w="28" w:type="dxa"/>
                    <w:bottom w:w="0" w:type="dxa"/>
                    <w:right w:w="28" w:type="dxa"/>
                  </w:tcMar>
                  <w:vAlign w:val="center"/>
                </w:tcPr>
                <w:p w14:paraId="6870D62F">
                  <w:pPr>
                    <w:jc w:val="center"/>
                    <w:rPr>
                      <w:rFonts w:ascii="Times New Roman" w:hAnsi="Times New Roman"/>
                      <w:color w:val="auto"/>
                      <w:sz w:val="18"/>
                      <w:szCs w:val="18"/>
                    </w:rPr>
                  </w:pPr>
                  <w:r>
                    <w:rPr>
                      <w:rFonts w:hint="eastAsia" w:ascii="Times New Roman" w:hAnsi="Times New Roman"/>
                      <w:color w:val="auto"/>
                      <w:sz w:val="18"/>
                      <w:szCs w:val="18"/>
                    </w:rPr>
                    <w:t>废气</w:t>
                  </w:r>
                </w:p>
              </w:tc>
              <w:tc>
                <w:tcPr>
                  <w:tcW w:w="1365" w:type="pct"/>
                  <w:gridSpan w:val="2"/>
                  <w:vAlign w:val="center"/>
                </w:tcPr>
                <w:p w14:paraId="29BD10E3">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G1-1甲醇中间罐废气</w:t>
                  </w:r>
                </w:p>
              </w:tc>
              <w:tc>
                <w:tcPr>
                  <w:tcW w:w="1282" w:type="pct"/>
                  <w:tcMar>
                    <w:top w:w="0" w:type="dxa"/>
                    <w:left w:w="28" w:type="dxa"/>
                    <w:bottom w:w="0" w:type="dxa"/>
                    <w:right w:w="28" w:type="dxa"/>
                  </w:tcMar>
                  <w:vAlign w:val="center"/>
                </w:tcPr>
                <w:p w14:paraId="54D61BC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甲醇</w:t>
                  </w:r>
                </w:p>
              </w:tc>
              <w:tc>
                <w:tcPr>
                  <w:tcW w:w="864" w:type="pct"/>
                  <w:vMerge w:val="restart"/>
                  <w:tcMar>
                    <w:top w:w="0" w:type="dxa"/>
                    <w:left w:w="28" w:type="dxa"/>
                    <w:bottom w:w="0" w:type="dxa"/>
                    <w:right w:w="28" w:type="dxa"/>
                  </w:tcMar>
                  <w:vAlign w:val="center"/>
                </w:tcPr>
                <w:p w14:paraId="4482BFB9">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收集后经水洗预处理后送西厂区2台尾气炉焚烧处理</w:t>
                  </w:r>
                </w:p>
              </w:tc>
              <w:tc>
                <w:tcPr>
                  <w:tcW w:w="1096" w:type="pct"/>
                  <w:vMerge w:val="restart"/>
                  <w:tcMar>
                    <w:top w:w="0" w:type="dxa"/>
                    <w:left w:w="28" w:type="dxa"/>
                    <w:bottom w:w="0" w:type="dxa"/>
                    <w:right w:w="28" w:type="dxa"/>
                  </w:tcMar>
                  <w:vAlign w:val="center"/>
                </w:tcPr>
                <w:p w14:paraId="14E5C56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分别经DA001（24m高，内径0.5）、DA002（15m高、内径0.5）排放</w:t>
                  </w:r>
                </w:p>
              </w:tc>
            </w:tr>
            <w:tr w14:paraId="66545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07F0AC2B">
                  <w:pPr>
                    <w:jc w:val="center"/>
                    <w:rPr>
                      <w:rFonts w:ascii="Times New Roman" w:hAnsi="Times New Roman"/>
                      <w:color w:val="auto"/>
                      <w:sz w:val="18"/>
                      <w:szCs w:val="18"/>
                    </w:rPr>
                  </w:pPr>
                </w:p>
              </w:tc>
              <w:tc>
                <w:tcPr>
                  <w:tcW w:w="1365" w:type="pct"/>
                  <w:gridSpan w:val="2"/>
                  <w:vAlign w:val="center"/>
                </w:tcPr>
                <w:p w14:paraId="37AB9AF1">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G1-2吸收塔废气</w:t>
                  </w:r>
                </w:p>
              </w:tc>
              <w:tc>
                <w:tcPr>
                  <w:tcW w:w="1282" w:type="pct"/>
                  <w:tcMar>
                    <w:top w:w="0" w:type="dxa"/>
                    <w:left w:w="28" w:type="dxa"/>
                    <w:bottom w:w="0" w:type="dxa"/>
                    <w:right w:w="28" w:type="dxa"/>
                  </w:tcMar>
                  <w:vAlign w:val="center"/>
                </w:tcPr>
                <w:p w14:paraId="4E021F99">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VOCs、甲醇、甲醛</w:t>
                  </w:r>
                </w:p>
              </w:tc>
              <w:tc>
                <w:tcPr>
                  <w:tcW w:w="864" w:type="pct"/>
                  <w:vMerge w:val="continue"/>
                  <w:tcMar>
                    <w:top w:w="0" w:type="dxa"/>
                    <w:left w:w="28" w:type="dxa"/>
                    <w:bottom w:w="0" w:type="dxa"/>
                    <w:right w:w="28" w:type="dxa"/>
                  </w:tcMar>
                  <w:vAlign w:val="center"/>
                </w:tcPr>
                <w:p w14:paraId="307EA127">
                  <w:pPr>
                    <w:jc w:val="center"/>
                    <w:rPr>
                      <w:rFonts w:ascii="Times New Roman" w:hAnsi="Times New Roman"/>
                      <w:color w:val="auto"/>
                      <w:sz w:val="18"/>
                      <w:szCs w:val="18"/>
                    </w:rPr>
                  </w:pPr>
                </w:p>
              </w:tc>
              <w:tc>
                <w:tcPr>
                  <w:tcW w:w="1096" w:type="pct"/>
                  <w:vMerge w:val="continue"/>
                  <w:tcMar>
                    <w:top w:w="0" w:type="dxa"/>
                    <w:left w:w="28" w:type="dxa"/>
                    <w:bottom w:w="0" w:type="dxa"/>
                    <w:right w:w="28" w:type="dxa"/>
                  </w:tcMar>
                  <w:vAlign w:val="center"/>
                </w:tcPr>
                <w:p w14:paraId="66C68F43">
                  <w:pPr>
                    <w:jc w:val="center"/>
                    <w:rPr>
                      <w:rFonts w:ascii="Times New Roman" w:hAnsi="Times New Roman"/>
                      <w:color w:val="auto"/>
                      <w:sz w:val="18"/>
                      <w:szCs w:val="18"/>
                    </w:rPr>
                  </w:pPr>
                </w:p>
              </w:tc>
            </w:tr>
            <w:tr w14:paraId="3706F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162B1096">
                  <w:pPr>
                    <w:jc w:val="center"/>
                    <w:rPr>
                      <w:rFonts w:ascii="Times New Roman" w:hAnsi="Times New Roman"/>
                      <w:color w:val="auto"/>
                      <w:sz w:val="18"/>
                      <w:szCs w:val="18"/>
                    </w:rPr>
                  </w:pPr>
                </w:p>
              </w:tc>
              <w:tc>
                <w:tcPr>
                  <w:tcW w:w="1365" w:type="pct"/>
                  <w:gridSpan w:val="2"/>
                  <w:vAlign w:val="center"/>
                </w:tcPr>
                <w:p w14:paraId="2D32DAF5">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G1-3甲醛中间罐废气</w:t>
                  </w:r>
                </w:p>
              </w:tc>
              <w:tc>
                <w:tcPr>
                  <w:tcW w:w="1282" w:type="pct"/>
                  <w:tcMar>
                    <w:top w:w="0" w:type="dxa"/>
                    <w:left w:w="28" w:type="dxa"/>
                    <w:bottom w:w="0" w:type="dxa"/>
                    <w:right w:w="28" w:type="dxa"/>
                  </w:tcMar>
                  <w:vAlign w:val="center"/>
                </w:tcPr>
                <w:p w14:paraId="550092FE">
                  <w:pPr>
                    <w:jc w:val="center"/>
                    <w:rPr>
                      <w:rFonts w:hint="default" w:ascii="Times New Roman" w:hAnsi="Times New Roman"/>
                      <w:color w:val="auto"/>
                      <w:sz w:val="18"/>
                      <w:szCs w:val="18"/>
                      <w:lang w:val="en-US"/>
                    </w:rPr>
                  </w:pPr>
                  <w:r>
                    <w:rPr>
                      <w:rFonts w:hint="eastAsia"/>
                      <w:color w:val="auto"/>
                      <w:sz w:val="18"/>
                      <w:szCs w:val="18"/>
                      <w:lang w:val="en-US" w:eastAsia="zh-CN"/>
                    </w:rPr>
                    <w:t>甲醛</w:t>
                  </w:r>
                </w:p>
              </w:tc>
              <w:tc>
                <w:tcPr>
                  <w:tcW w:w="864" w:type="pct"/>
                  <w:vMerge w:val="continue"/>
                  <w:tcMar>
                    <w:top w:w="0" w:type="dxa"/>
                    <w:left w:w="28" w:type="dxa"/>
                    <w:bottom w:w="0" w:type="dxa"/>
                    <w:right w:w="28" w:type="dxa"/>
                  </w:tcMar>
                  <w:vAlign w:val="center"/>
                </w:tcPr>
                <w:p w14:paraId="2A6DA4C6">
                  <w:pPr>
                    <w:jc w:val="center"/>
                    <w:rPr>
                      <w:rFonts w:ascii="Times New Roman" w:hAnsi="Times New Roman"/>
                      <w:color w:val="auto"/>
                      <w:sz w:val="18"/>
                      <w:szCs w:val="18"/>
                    </w:rPr>
                  </w:pPr>
                </w:p>
              </w:tc>
              <w:tc>
                <w:tcPr>
                  <w:tcW w:w="1096" w:type="pct"/>
                  <w:vMerge w:val="continue"/>
                  <w:tcMar>
                    <w:top w:w="0" w:type="dxa"/>
                    <w:left w:w="28" w:type="dxa"/>
                    <w:bottom w:w="0" w:type="dxa"/>
                    <w:right w:w="28" w:type="dxa"/>
                  </w:tcMar>
                  <w:vAlign w:val="center"/>
                </w:tcPr>
                <w:p w14:paraId="72EEFEF5">
                  <w:pPr>
                    <w:jc w:val="center"/>
                    <w:rPr>
                      <w:rFonts w:ascii="Times New Roman" w:hAnsi="Times New Roman"/>
                      <w:color w:val="auto"/>
                      <w:sz w:val="18"/>
                      <w:szCs w:val="18"/>
                    </w:rPr>
                  </w:pPr>
                </w:p>
              </w:tc>
            </w:tr>
            <w:tr w14:paraId="36F47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3A93B35D">
                  <w:pPr>
                    <w:jc w:val="center"/>
                    <w:rPr>
                      <w:rFonts w:ascii="Times New Roman" w:hAnsi="Times New Roman"/>
                      <w:color w:val="auto"/>
                      <w:sz w:val="18"/>
                      <w:szCs w:val="18"/>
                    </w:rPr>
                  </w:pPr>
                </w:p>
              </w:tc>
              <w:tc>
                <w:tcPr>
                  <w:tcW w:w="1365" w:type="pct"/>
                  <w:gridSpan w:val="2"/>
                  <w:vAlign w:val="center"/>
                </w:tcPr>
                <w:p w14:paraId="321B7563">
                  <w:pPr>
                    <w:jc w:val="center"/>
                    <w:rPr>
                      <w:rFonts w:hint="default" w:ascii="Times New Roman" w:hAnsi="Times New Roman"/>
                      <w:color w:val="auto"/>
                      <w:sz w:val="18"/>
                      <w:szCs w:val="18"/>
                      <w:lang w:val="en-US"/>
                    </w:rPr>
                  </w:pPr>
                  <w:r>
                    <w:rPr>
                      <w:rFonts w:hint="eastAsia"/>
                      <w:color w:val="auto"/>
                      <w:sz w:val="18"/>
                      <w:szCs w:val="18"/>
                      <w:lang w:val="en-US" w:eastAsia="zh-CN"/>
                    </w:rPr>
                    <w:t>G1-4甲醇储罐废气</w:t>
                  </w:r>
                </w:p>
              </w:tc>
              <w:tc>
                <w:tcPr>
                  <w:tcW w:w="1282" w:type="pct"/>
                  <w:tcMar>
                    <w:top w:w="0" w:type="dxa"/>
                    <w:left w:w="28" w:type="dxa"/>
                    <w:bottom w:w="0" w:type="dxa"/>
                    <w:right w:w="28" w:type="dxa"/>
                  </w:tcMar>
                  <w:vAlign w:val="center"/>
                </w:tcPr>
                <w:p w14:paraId="1699BFA7">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甲醇</w:t>
                  </w:r>
                </w:p>
              </w:tc>
              <w:tc>
                <w:tcPr>
                  <w:tcW w:w="864" w:type="pct"/>
                  <w:vMerge w:val="continue"/>
                  <w:tcMar>
                    <w:top w:w="0" w:type="dxa"/>
                    <w:left w:w="28" w:type="dxa"/>
                    <w:bottom w:w="0" w:type="dxa"/>
                    <w:right w:w="28" w:type="dxa"/>
                  </w:tcMar>
                  <w:vAlign w:val="center"/>
                </w:tcPr>
                <w:p w14:paraId="1A7C008C">
                  <w:pPr>
                    <w:jc w:val="center"/>
                    <w:rPr>
                      <w:rFonts w:ascii="Times New Roman" w:hAnsi="Times New Roman"/>
                      <w:color w:val="auto"/>
                      <w:sz w:val="18"/>
                      <w:szCs w:val="18"/>
                    </w:rPr>
                  </w:pPr>
                </w:p>
              </w:tc>
              <w:tc>
                <w:tcPr>
                  <w:tcW w:w="1096" w:type="pct"/>
                  <w:vMerge w:val="continue"/>
                  <w:tcMar>
                    <w:top w:w="0" w:type="dxa"/>
                    <w:left w:w="28" w:type="dxa"/>
                    <w:bottom w:w="0" w:type="dxa"/>
                    <w:right w:w="28" w:type="dxa"/>
                  </w:tcMar>
                  <w:vAlign w:val="center"/>
                </w:tcPr>
                <w:p w14:paraId="3BC7D70D">
                  <w:pPr>
                    <w:jc w:val="center"/>
                    <w:rPr>
                      <w:rFonts w:ascii="Times New Roman" w:hAnsi="Times New Roman"/>
                      <w:color w:val="auto"/>
                      <w:sz w:val="18"/>
                      <w:szCs w:val="18"/>
                    </w:rPr>
                  </w:pPr>
                </w:p>
              </w:tc>
            </w:tr>
            <w:tr w14:paraId="41D44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05D0A9EE">
                  <w:pPr>
                    <w:jc w:val="center"/>
                    <w:rPr>
                      <w:rFonts w:ascii="Times New Roman" w:hAnsi="Times New Roman"/>
                      <w:color w:val="auto"/>
                      <w:sz w:val="18"/>
                      <w:szCs w:val="18"/>
                    </w:rPr>
                  </w:pPr>
                </w:p>
              </w:tc>
              <w:tc>
                <w:tcPr>
                  <w:tcW w:w="1365" w:type="pct"/>
                  <w:gridSpan w:val="2"/>
                  <w:vAlign w:val="center"/>
                </w:tcPr>
                <w:p w14:paraId="5C38B3EA">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G1-5甲醛储罐废气</w:t>
                  </w:r>
                </w:p>
              </w:tc>
              <w:tc>
                <w:tcPr>
                  <w:tcW w:w="1282" w:type="pct"/>
                  <w:tcMar>
                    <w:top w:w="0" w:type="dxa"/>
                    <w:left w:w="28" w:type="dxa"/>
                    <w:bottom w:w="0" w:type="dxa"/>
                    <w:right w:w="28" w:type="dxa"/>
                  </w:tcMar>
                  <w:vAlign w:val="center"/>
                </w:tcPr>
                <w:p w14:paraId="0D157D25">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甲醛</w:t>
                  </w:r>
                </w:p>
              </w:tc>
              <w:tc>
                <w:tcPr>
                  <w:tcW w:w="864" w:type="pct"/>
                  <w:vMerge w:val="continue"/>
                  <w:shd w:val="clear" w:color="auto" w:fill="auto"/>
                  <w:tcMar>
                    <w:top w:w="0" w:type="dxa"/>
                    <w:left w:w="28" w:type="dxa"/>
                    <w:bottom w:w="0" w:type="dxa"/>
                    <w:right w:w="28" w:type="dxa"/>
                  </w:tcMar>
                  <w:vAlign w:val="center"/>
                </w:tcPr>
                <w:p w14:paraId="14BF9D0C">
                  <w:pPr>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46872126">
                  <w:pPr>
                    <w:jc w:val="center"/>
                    <w:rPr>
                      <w:rFonts w:hint="default" w:ascii="Times New Roman" w:hAnsi="Times New Roman" w:eastAsia="宋体"/>
                      <w:color w:val="auto"/>
                      <w:sz w:val="18"/>
                      <w:szCs w:val="18"/>
                      <w:lang w:val="en-US" w:eastAsia="zh-CN"/>
                    </w:rPr>
                  </w:pPr>
                </w:p>
              </w:tc>
            </w:tr>
            <w:tr w14:paraId="0FED3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53BD191A">
                  <w:pPr>
                    <w:jc w:val="center"/>
                    <w:rPr>
                      <w:rFonts w:ascii="Times New Roman" w:hAnsi="Times New Roman"/>
                      <w:color w:val="auto"/>
                      <w:sz w:val="18"/>
                      <w:szCs w:val="18"/>
                    </w:rPr>
                  </w:pPr>
                </w:p>
              </w:tc>
              <w:tc>
                <w:tcPr>
                  <w:tcW w:w="1365" w:type="pct"/>
                  <w:gridSpan w:val="2"/>
                  <w:vAlign w:val="center"/>
                </w:tcPr>
                <w:p w14:paraId="6413D7FB">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G2-1精馏塔冷凝不凝气</w:t>
                  </w:r>
                </w:p>
              </w:tc>
              <w:tc>
                <w:tcPr>
                  <w:tcW w:w="1282" w:type="pct"/>
                  <w:tcMar>
                    <w:top w:w="0" w:type="dxa"/>
                    <w:left w:w="28" w:type="dxa"/>
                    <w:bottom w:w="0" w:type="dxa"/>
                    <w:right w:w="28" w:type="dxa"/>
                  </w:tcMar>
                  <w:vAlign w:val="center"/>
                </w:tcPr>
                <w:p w14:paraId="23766590">
                  <w:pPr>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VOCs、正己烷</w:t>
                  </w:r>
                </w:p>
              </w:tc>
              <w:tc>
                <w:tcPr>
                  <w:tcW w:w="864" w:type="pct"/>
                  <w:vMerge w:val="continue"/>
                  <w:shd w:val="clear" w:color="auto" w:fill="auto"/>
                  <w:tcMar>
                    <w:top w:w="0" w:type="dxa"/>
                    <w:left w:w="28" w:type="dxa"/>
                    <w:bottom w:w="0" w:type="dxa"/>
                    <w:right w:w="28" w:type="dxa"/>
                  </w:tcMar>
                  <w:vAlign w:val="center"/>
                </w:tcPr>
                <w:p w14:paraId="37D799D5">
                  <w:pPr>
                    <w:adjustRightInd w:val="0"/>
                    <w:snapToGrid w:val="0"/>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5F7051F2">
                  <w:pPr>
                    <w:jc w:val="center"/>
                    <w:rPr>
                      <w:rFonts w:ascii="Times New Roman" w:hAnsi="Times New Roman"/>
                      <w:color w:val="auto"/>
                      <w:sz w:val="18"/>
                      <w:szCs w:val="18"/>
                    </w:rPr>
                  </w:pPr>
                </w:p>
              </w:tc>
            </w:tr>
            <w:tr w14:paraId="2C114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498CC6A1">
                  <w:pPr>
                    <w:jc w:val="center"/>
                    <w:rPr>
                      <w:rFonts w:ascii="Times New Roman" w:hAnsi="Times New Roman"/>
                      <w:color w:val="auto"/>
                      <w:sz w:val="18"/>
                      <w:szCs w:val="18"/>
                    </w:rPr>
                  </w:pPr>
                </w:p>
              </w:tc>
              <w:tc>
                <w:tcPr>
                  <w:tcW w:w="1365" w:type="pct"/>
                  <w:gridSpan w:val="2"/>
                  <w:vAlign w:val="center"/>
                </w:tcPr>
                <w:p w14:paraId="7F86088D">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G2-2回流罐废气</w:t>
                  </w:r>
                </w:p>
              </w:tc>
              <w:tc>
                <w:tcPr>
                  <w:tcW w:w="1282" w:type="pct"/>
                  <w:tcMar>
                    <w:top w:w="0" w:type="dxa"/>
                    <w:left w:w="28" w:type="dxa"/>
                    <w:bottom w:w="0" w:type="dxa"/>
                    <w:right w:w="28" w:type="dxa"/>
                  </w:tcMar>
                  <w:vAlign w:val="center"/>
                </w:tcPr>
                <w:p w14:paraId="7AB0A5A7">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VOCs</w:t>
                  </w:r>
                </w:p>
              </w:tc>
              <w:tc>
                <w:tcPr>
                  <w:tcW w:w="864" w:type="pct"/>
                  <w:vMerge w:val="continue"/>
                  <w:shd w:val="clear" w:color="auto" w:fill="auto"/>
                  <w:tcMar>
                    <w:top w:w="0" w:type="dxa"/>
                    <w:left w:w="28" w:type="dxa"/>
                    <w:bottom w:w="0" w:type="dxa"/>
                    <w:right w:w="28" w:type="dxa"/>
                  </w:tcMar>
                  <w:vAlign w:val="center"/>
                </w:tcPr>
                <w:p w14:paraId="3F34D14B">
                  <w:pPr>
                    <w:adjustRightInd w:val="0"/>
                    <w:snapToGrid w:val="0"/>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15CC7E2A">
                  <w:pPr>
                    <w:jc w:val="center"/>
                    <w:rPr>
                      <w:rFonts w:ascii="Times New Roman" w:hAnsi="Times New Roman"/>
                      <w:color w:val="auto"/>
                      <w:sz w:val="18"/>
                      <w:szCs w:val="18"/>
                    </w:rPr>
                  </w:pPr>
                </w:p>
              </w:tc>
            </w:tr>
            <w:tr w14:paraId="75651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17DB79B8">
                  <w:pPr>
                    <w:jc w:val="center"/>
                    <w:rPr>
                      <w:rFonts w:ascii="Times New Roman" w:hAnsi="Times New Roman"/>
                      <w:color w:val="auto"/>
                      <w:sz w:val="18"/>
                      <w:szCs w:val="18"/>
                    </w:rPr>
                  </w:pPr>
                </w:p>
              </w:tc>
              <w:tc>
                <w:tcPr>
                  <w:tcW w:w="1365" w:type="pct"/>
                  <w:gridSpan w:val="2"/>
                  <w:vAlign w:val="center"/>
                </w:tcPr>
                <w:p w14:paraId="5C6C7D1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G2-3回收塔冷凝不凝气</w:t>
                  </w:r>
                </w:p>
              </w:tc>
              <w:tc>
                <w:tcPr>
                  <w:tcW w:w="1282" w:type="pct"/>
                  <w:tcMar>
                    <w:top w:w="0" w:type="dxa"/>
                    <w:left w:w="28" w:type="dxa"/>
                    <w:bottom w:w="0" w:type="dxa"/>
                    <w:right w:w="28" w:type="dxa"/>
                  </w:tcMar>
                  <w:vAlign w:val="center"/>
                </w:tcPr>
                <w:p w14:paraId="5D35540D">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VOCs</w:t>
                  </w:r>
                </w:p>
              </w:tc>
              <w:tc>
                <w:tcPr>
                  <w:tcW w:w="864" w:type="pct"/>
                  <w:vMerge w:val="continue"/>
                  <w:shd w:val="clear" w:color="auto" w:fill="auto"/>
                  <w:tcMar>
                    <w:top w:w="0" w:type="dxa"/>
                    <w:left w:w="28" w:type="dxa"/>
                    <w:bottom w:w="0" w:type="dxa"/>
                    <w:right w:w="28" w:type="dxa"/>
                  </w:tcMar>
                  <w:vAlign w:val="center"/>
                </w:tcPr>
                <w:p w14:paraId="73877138">
                  <w:pPr>
                    <w:adjustRightInd w:val="0"/>
                    <w:snapToGrid w:val="0"/>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45D6C8D4">
                  <w:pPr>
                    <w:jc w:val="center"/>
                    <w:rPr>
                      <w:rFonts w:ascii="Times New Roman" w:hAnsi="Times New Roman"/>
                      <w:color w:val="auto"/>
                      <w:sz w:val="18"/>
                      <w:szCs w:val="18"/>
                    </w:rPr>
                  </w:pPr>
                </w:p>
              </w:tc>
            </w:tr>
            <w:tr w14:paraId="2159D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17CA5B30">
                  <w:pPr>
                    <w:jc w:val="center"/>
                    <w:rPr>
                      <w:rFonts w:ascii="Times New Roman" w:hAnsi="Times New Roman"/>
                      <w:color w:val="auto"/>
                      <w:sz w:val="18"/>
                      <w:szCs w:val="18"/>
                    </w:rPr>
                  </w:pPr>
                </w:p>
              </w:tc>
              <w:tc>
                <w:tcPr>
                  <w:tcW w:w="1365" w:type="pct"/>
                  <w:gridSpan w:val="2"/>
                  <w:vAlign w:val="center"/>
                </w:tcPr>
                <w:p w14:paraId="0A28F6C4">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G2-4脱色塔冷凝不凝气</w:t>
                  </w:r>
                </w:p>
              </w:tc>
              <w:tc>
                <w:tcPr>
                  <w:tcW w:w="1282" w:type="pct"/>
                  <w:tcMar>
                    <w:top w:w="0" w:type="dxa"/>
                    <w:left w:w="28" w:type="dxa"/>
                    <w:bottom w:w="0" w:type="dxa"/>
                    <w:right w:w="28" w:type="dxa"/>
                  </w:tcMar>
                  <w:vAlign w:val="center"/>
                </w:tcPr>
                <w:p w14:paraId="4A24BEBD">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VOCs</w:t>
                  </w:r>
                </w:p>
              </w:tc>
              <w:tc>
                <w:tcPr>
                  <w:tcW w:w="864" w:type="pct"/>
                  <w:vMerge w:val="continue"/>
                  <w:shd w:val="clear" w:color="auto" w:fill="auto"/>
                  <w:tcMar>
                    <w:top w:w="0" w:type="dxa"/>
                    <w:left w:w="28" w:type="dxa"/>
                    <w:bottom w:w="0" w:type="dxa"/>
                    <w:right w:w="28" w:type="dxa"/>
                  </w:tcMar>
                  <w:vAlign w:val="center"/>
                </w:tcPr>
                <w:p w14:paraId="5D4130AE">
                  <w:pPr>
                    <w:adjustRightInd w:val="0"/>
                    <w:snapToGrid w:val="0"/>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4860A1B3">
                  <w:pPr>
                    <w:jc w:val="center"/>
                    <w:rPr>
                      <w:rFonts w:ascii="Times New Roman" w:hAnsi="Times New Roman"/>
                      <w:color w:val="auto"/>
                      <w:sz w:val="18"/>
                      <w:szCs w:val="18"/>
                    </w:rPr>
                  </w:pPr>
                </w:p>
              </w:tc>
            </w:tr>
            <w:tr w14:paraId="2E753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5E30C4E9">
                  <w:pPr>
                    <w:jc w:val="center"/>
                    <w:rPr>
                      <w:rFonts w:ascii="Times New Roman" w:hAnsi="Times New Roman"/>
                      <w:color w:val="auto"/>
                      <w:sz w:val="18"/>
                      <w:szCs w:val="18"/>
                    </w:rPr>
                  </w:pPr>
                </w:p>
              </w:tc>
              <w:tc>
                <w:tcPr>
                  <w:tcW w:w="1365" w:type="pct"/>
                  <w:gridSpan w:val="2"/>
                  <w:vAlign w:val="center"/>
                </w:tcPr>
                <w:p w14:paraId="2146EB53">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G2-5脱色塔回流罐废气</w:t>
                  </w:r>
                </w:p>
              </w:tc>
              <w:tc>
                <w:tcPr>
                  <w:tcW w:w="1282" w:type="pct"/>
                  <w:tcMar>
                    <w:top w:w="0" w:type="dxa"/>
                    <w:left w:w="28" w:type="dxa"/>
                    <w:bottom w:w="0" w:type="dxa"/>
                    <w:right w:w="28" w:type="dxa"/>
                  </w:tcMar>
                  <w:vAlign w:val="center"/>
                </w:tcPr>
                <w:p w14:paraId="3C01698A">
                  <w:pPr>
                    <w:jc w:val="center"/>
                    <w:rPr>
                      <w:rFonts w:ascii="Times New Roman" w:hAnsi="Times New Roman"/>
                      <w:color w:val="auto"/>
                      <w:sz w:val="18"/>
                      <w:szCs w:val="18"/>
                    </w:rPr>
                  </w:pPr>
                  <w:r>
                    <w:rPr>
                      <w:rFonts w:hint="eastAsia"/>
                      <w:color w:val="auto"/>
                      <w:sz w:val="18"/>
                      <w:szCs w:val="18"/>
                      <w:lang w:val="en-US" w:eastAsia="zh-CN"/>
                    </w:rPr>
                    <w:t>VOCs</w:t>
                  </w:r>
                </w:p>
              </w:tc>
              <w:tc>
                <w:tcPr>
                  <w:tcW w:w="864" w:type="pct"/>
                  <w:vMerge w:val="continue"/>
                  <w:shd w:val="clear" w:color="auto" w:fill="auto"/>
                  <w:tcMar>
                    <w:top w:w="0" w:type="dxa"/>
                    <w:left w:w="28" w:type="dxa"/>
                    <w:bottom w:w="0" w:type="dxa"/>
                    <w:right w:w="28" w:type="dxa"/>
                  </w:tcMar>
                  <w:vAlign w:val="center"/>
                </w:tcPr>
                <w:p w14:paraId="4A811289">
                  <w:pPr>
                    <w:adjustRightInd w:val="0"/>
                    <w:snapToGrid w:val="0"/>
                    <w:jc w:val="center"/>
                    <w:rPr>
                      <w:rFonts w:hint="eastAsia" w:ascii="Times New Roman" w:hAnsi="Times New Roman" w:eastAsia="宋体" w:cs="Times New Roman"/>
                      <w:color w:val="auto"/>
                      <w:kern w:val="2"/>
                      <w:sz w:val="18"/>
                      <w:szCs w:val="18"/>
                      <w:lang w:val="en-US" w:eastAsia="zh-CN" w:bidi="ar-SA"/>
                    </w:rPr>
                  </w:pPr>
                </w:p>
              </w:tc>
              <w:tc>
                <w:tcPr>
                  <w:tcW w:w="1096" w:type="pct"/>
                  <w:vMerge w:val="continue"/>
                  <w:tcMar>
                    <w:top w:w="0" w:type="dxa"/>
                    <w:left w:w="28" w:type="dxa"/>
                    <w:bottom w:w="0" w:type="dxa"/>
                    <w:right w:w="28" w:type="dxa"/>
                  </w:tcMar>
                  <w:vAlign w:val="center"/>
                </w:tcPr>
                <w:p w14:paraId="24542783">
                  <w:pPr>
                    <w:jc w:val="center"/>
                    <w:rPr>
                      <w:rFonts w:ascii="Times New Roman" w:hAnsi="Times New Roman"/>
                      <w:color w:val="auto"/>
                      <w:sz w:val="18"/>
                      <w:szCs w:val="18"/>
                    </w:rPr>
                  </w:pPr>
                </w:p>
              </w:tc>
            </w:tr>
            <w:tr w14:paraId="52739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28E0306D">
                  <w:pPr>
                    <w:jc w:val="center"/>
                    <w:rPr>
                      <w:rFonts w:ascii="Times New Roman" w:hAnsi="Times New Roman"/>
                      <w:color w:val="auto"/>
                      <w:sz w:val="18"/>
                      <w:szCs w:val="18"/>
                    </w:rPr>
                  </w:pPr>
                </w:p>
              </w:tc>
              <w:tc>
                <w:tcPr>
                  <w:tcW w:w="1365" w:type="pct"/>
                  <w:gridSpan w:val="2"/>
                  <w:shd w:val="clear" w:color="auto" w:fill="auto"/>
                  <w:vAlign w:val="center"/>
                </w:tcPr>
                <w:p w14:paraId="321B8DE5">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G2-6叔丁醇储罐废气</w:t>
                  </w:r>
                </w:p>
              </w:tc>
              <w:tc>
                <w:tcPr>
                  <w:tcW w:w="1282" w:type="pct"/>
                  <w:shd w:val="clear" w:color="auto" w:fill="auto"/>
                  <w:tcMar>
                    <w:top w:w="0" w:type="dxa"/>
                    <w:left w:w="28" w:type="dxa"/>
                    <w:bottom w:w="0" w:type="dxa"/>
                    <w:right w:w="28" w:type="dxa"/>
                  </w:tcMar>
                  <w:vAlign w:val="center"/>
                </w:tcPr>
                <w:p w14:paraId="02BFEDB0">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VOCs</w:t>
                  </w:r>
                </w:p>
              </w:tc>
              <w:tc>
                <w:tcPr>
                  <w:tcW w:w="864" w:type="pct"/>
                  <w:vMerge w:val="continue"/>
                  <w:shd w:val="clear" w:color="auto" w:fill="auto"/>
                  <w:tcMar>
                    <w:top w:w="0" w:type="dxa"/>
                    <w:left w:w="28" w:type="dxa"/>
                    <w:bottom w:w="0" w:type="dxa"/>
                    <w:right w:w="28" w:type="dxa"/>
                  </w:tcMar>
                  <w:vAlign w:val="center"/>
                </w:tcPr>
                <w:p w14:paraId="03CBDBF1">
                  <w:pPr>
                    <w:jc w:val="center"/>
                    <w:rPr>
                      <w:rFonts w:hint="eastAsia" w:ascii="Times New Roman" w:hAnsi="Times New Roman" w:eastAsia="宋体" w:cs="Times New Roman"/>
                      <w:color w:val="auto"/>
                      <w:kern w:val="0"/>
                      <w:sz w:val="18"/>
                      <w:szCs w:val="18"/>
                      <w:lang w:val="en-US" w:eastAsia="zh-CN" w:bidi="ar-SA"/>
                    </w:rPr>
                  </w:pPr>
                </w:p>
              </w:tc>
              <w:tc>
                <w:tcPr>
                  <w:tcW w:w="1096" w:type="pct"/>
                  <w:vMerge w:val="continue"/>
                  <w:shd w:val="clear" w:color="auto" w:fill="auto"/>
                  <w:tcMar>
                    <w:top w:w="0" w:type="dxa"/>
                    <w:left w:w="28" w:type="dxa"/>
                    <w:bottom w:w="0" w:type="dxa"/>
                    <w:right w:w="28" w:type="dxa"/>
                  </w:tcMar>
                  <w:vAlign w:val="center"/>
                </w:tcPr>
                <w:p w14:paraId="1D3D3D54">
                  <w:pPr>
                    <w:jc w:val="center"/>
                    <w:rPr>
                      <w:rFonts w:ascii="Times New Roman" w:hAnsi="Times New Roman" w:eastAsia="宋体" w:cs="Times New Roman"/>
                      <w:color w:val="auto"/>
                      <w:kern w:val="2"/>
                      <w:sz w:val="18"/>
                      <w:szCs w:val="18"/>
                      <w:lang w:val="en-US" w:eastAsia="zh-CN" w:bidi="ar-SA"/>
                    </w:rPr>
                  </w:pPr>
                </w:p>
              </w:tc>
            </w:tr>
            <w:tr w14:paraId="5946F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27D29E34">
                  <w:pPr>
                    <w:jc w:val="center"/>
                    <w:rPr>
                      <w:rFonts w:ascii="Times New Roman" w:hAnsi="Times New Roman"/>
                      <w:color w:val="auto"/>
                      <w:sz w:val="18"/>
                      <w:szCs w:val="18"/>
                    </w:rPr>
                  </w:pPr>
                </w:p>
              </w:tc>
              <w:tc>
                <w:tcPr>
                  <w:tcW w:w="1365" w:type="pct"/>
                  <w:gridSpan w:val="2"/>
                  <w:shd w:val="clear" w:color="auto" w:fill="auto"/>
                  <w:vAlign w:val="center"/>
                </w:tcPr>
                <w:p w14:paraId="542A6C9A">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G2-7叔丁醇产品灌装废气</w:t>
                  </w:r>
                </w:p>
              </w:tc>
              <w:tc>
                <w:tcPr>
                  <w:tcW w:w="1282" w:type="pct"/>
                  <w:shd w:val="clear" w:color="auto" w:fill="auto"/>
                  <w:tcMar>
                    <w:top w:w="0" w:type="dxa"/>
                    <w:left w:w="28" w:type="dxa"/>
                    <w:bottom w:w="0" w:type="dxa"/>
                    <w:right w:w="28" w:type="dxa"/>
                  </w:tcMar>
                  <w:vAlign w:val="center"/>
                </w:tcPr>
                <w:p w14:paraId="2190D1B4">
                  <w:pPr>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VOCs</w:t>
                  </w:r>
                </w:p>
              </w:tc>
              <w:tc>
                <w:tcPr>
                  <w:tcW w:w="864" w:type="pct"/>
                  <w:vMerge w:val="continue"/>
                  <w:shd w:val="clear" w:color="auto" w:fill="auto"/>
                  <w:tcMar>
                    <w:top w:w="0" w:type="dxa"/>
                    <w:left w:w="28" w:type="dxa"/>
                    <w:bottom w:w="0" w:type="dxa"/>
                    <w:right w:w="28" w:type="dxa"/>
                  </w:tcMar>
                  <w:vAlign w:val="center"/>
                </w:tcPr>
                <w:p w14:paraId="727DCD3B">
                  <w:pPr>
                    <w:jc w:val="center"/>
                    <w:rPr>
                      <w:rFonts w:hint="eastAsia" w:ascii="Times New Roman" w:hAnsi="Times New Roman" w:eastAsia="宋体" w:cs="Times New Roman"/>
                      <w:color w:val="auto"/>
                      <w:kern w:val="0"/>
                      <w:sz w:val="18"/>
                      <w:szCs w:val="18"/>
                      <w:lang w:val="en-US" w:eastAsia="zh-CN" w:bidi="ar-SA"/>
                    </w:rPr>
                  </w:pPr>
                </w:p>
              </w:tc>
              <w:tc>
                <w:tcPr>
                  <w:tcW w:w="1096" w:type="pct"/>
                  <w:vMerge w:val="continue"/>
                  <w:shd w:val="clear" w:color="auto" w:fill="auto"/>
                  <w:tcMar>
                    <w:top w:w="0" w:type="dxa"/>
                    <w:left w:w="28" w:type="dxa"/>
                    <w:bottom w:w="0" w:type="dxa"/>
                    <w:right w:w="28" w:type="dxa"/>
                  </w:tcMar>
                  <w:vAlign w:val="center"/>
                </w:tcPr>
                <w:p w14:paraId="7BDD6E83">
                  <w:pPr>
                    <w:jc w:val="center"/>
                    <w:rPr>
                      <w:rFonts w:ascii="Times New Roman" w:hAnsi="Times New Roman" w:eastAsia="宋体" w:cs="Times New Roman"/>
                      <w:color w:val="auto"/>
                      <w:kern w:val="2"/>
                      <w:sz w:val="18"/>
                      <w:szCs w:val="18"/>
                      <w:lang w:val="en-US" w:eastAsia="zh-CN" w:bidi="ar-SA"/>
                    </w:rPr>
                  </w:pPr>
                </w:p>
              </w:tc>
            </w:tr>
            <w:tr w14:paraId="3CEBF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345911D1">
                  <w:pPr>
                    <w:jc w:val="center"/>
                    <w:rPr>
                      <w:rFonts w:ascii="Times New Roman" w:hAnsi="Times New Roman"/>
                      <w:color w:val="auto"/>
                      <w:sz w:val="18"/>
                      <w:szCs w:val="18"/>
                    </w:rPr>
                  </w:pPr>
                </w:p>
              </w:tc>
              <w:tc>
                <w:tcPr>
                  <w:tcW w:w="1365" w:type="pct"/>
                  <w:gridSpan w:val="2"/>
                  <w:shd w:val="clear" w:color="auto" w:fill="auto"/>
                  <w:vAlign w:val="center"/>
                </w:tcPr>
                <w:p w14:paraId="7D243D43">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现有</w:t>
                  </w:r>
                  <w:r>
                    <w:rPr>
                      <w:rFonts w:ascii="Times New Roman" w:hAnsi="Times New Roman"/>
                      <w:color w:val="auto"/>
                      <w:sz w:val="18"/>
                      <w:szCs w:val="18"/>
                    </w:rPr>
                    <w:t>动静密封处泄漏</w:t>
                  </w:r>
                </w:p>
              </w:tc>
              <w:tc>
                <w:tcPr>
                  <w:tcW w:w="1282" w:type="pct"/>
                  <w:shd w:val="clear" w:color="auto" w:fill="auto"/>
                  <w:tcMar>
                    <w:top w:w="0" w:type="dxa"/>
                    <w:left w:w="28" w:type="dxa"/>
                    <w:bottom w:w="0" w:type="dxa"/>
                    <w:right w:w="28" w:type="dxa"/>
                  </w:tcMar>
                  <w:vAlign w:val="center"/>
                </w:tcPr>
                <w:p w14:paraId="1570D544">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VOCs</w:t>
                  </w:r>
                  <w:r>
                    <w:rPr>
                      <w:rFonts w:hint="eastAsia"/>
                      <w:color w:val="auto"/>
                      <w:sz w:val="18"/>
                      <w:szCs w:val="18"/>
                      <w:lang w:eastAsia="zh-CN"/>
                    </w:rPr>
                    <w:t>、</w:t>
                  </w:r>
                  <w:r>
                    <w:rPr>
                      <w:rFonts w:hint="eastAsia"/>
                      <w:color w:val="auto"/>
                      <w:sz w:val="18"/>
                      <w:szCs w:val="18"/>
                      <w:lang w:val="en-US" w:eastAsia="zh-CN"/>
                    </w:rPr>
                    <w:t>甲醛</w:t>
                  </w:r>
                </w:p>
              </w:tc>
              <w:tc>
                <w:tcPr>
                  <w:tcW w:w="864" w:type="pct"/>
                  <w:tcMar>
                    <w:top w:w="0" w:type="dxa"/>
                    <w:left w:w="28" w:type="dxa"/>
                    <w:bottom w:w="0" w:type="dxa"/>
                    <w:right w:w="28" w:type="dxa"/>
                  </w:tcMar>
                  <w:vAlign w:val="center"/>
                </w:tcPr>
                <w:p w14:paraId="5EC48E4D">
                  <w:pPr>
                    <w:jc w:val="center"/>
                    <w:rPr>
                      <w:rFonts w:ascii="Times New Roman" w:hAnsi="Times New Roman"/>
                      <w:color w:val="auto"/>
                      <w:kern w:val="0"/>
                      <w:sz w:val="18"/>
                      <w:szCs w:val="18"/>
                    </w:rPr>
                  </w:pPr>
                  <w:r>
                    <w:rPr>
                      <w:rFonts w:ascii="Times New Roman" w:hAnsi="Times New Roman"/>
                      <w:color w:val="auto"/>
                      <w:kern w:val="0"/>
                      <w:sz w:val="18"/>
                      <w:szCs w:val="18"/>
                    </w:rPr>
                    <w:t>定期进行LDAR泄漏检测与修复</w:t>
                  </w:r>
                </w:p>
              </w:tc>
              <w:tc>
                <w:tcPr>
                  <w:tcW w:w="1096" w:type="pct"/>
                  <w:tcMar>
                    <w:top w:w="0" w:type="dxa"/>
                    <w:left w:w="28" w:type="dxa"/>
                    <w:bottom w:w="0" w:type="dxa"/>
                    <w:right w:w="28" w:type="dxa"/>
                  </w:tcMar>
                  <w:vAlign w:val="center"/>
                </w:tcPr>
                <w:p w14:paraId="19589BA9">
                  <w:pPr>
                    <w:jc w:val="center"/>
                    <w:rPr>
                      <w:rFonts w:ascii="Times New Roman" w:hAnsi="Times New Roman"/>
                      <w:color w:val="auto"/>
                      <w:sz w:val="18"/>
                      <w:szCs w:val="18"/>
                    </w:rPr>
                  </w:pPr>
                  <w:r>
                    <w:rPr>
                      <w:rFonts w:hint="eastAsia"/>
                      <w:color w:val="auto"/>
                      <w:sz w:val="18"/>
                      <w:szCs w:val="18"/>
                      <w:lang w:val="en-US" w:eastAsia="zh-CN"/>
                    </w:rPr>
                    <w:t>无组织排放</w:t>
                  </w:r>
                </w:p>
              </w:tc>
            </w:tr>
            <w:tr w14:paraId="21C79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tcMar>
                    <w:top w:w="0" w:type="dxa"/>
                    <w:left w:w="28" w:type="dxa"/>
                    <w:bottom w:w="0" w:type="dxa"/>
                    <w:right w:w="28" w:type="dxa"/>
                  </w:tcMar>
                  <w:vAlign w:val="center"/>
                </w:tcPr>
                <w:p w14:paraId="27BBC114">
                  <w:pPr>
                    <w:jc w:val="center"/>
                    <w:rPr>
                      <w:rFonts w:ascii="Times New Roman" w:hAnsi="Times New Roman"/>
                      <w:color w:val="auto"/>
                      <w:sz w:val="18"/>
                      <w:szCs w:val="18"/>
                    </w:rPr>
                  </w:pPr>
                  <w:r>
                    <w:rPr>
                      <w:rFonts w:hint="eastAsia" w:ascii="Times New Roman" w:hAnsi="Times New Roman"/>
                      <w:color w:val="auto"/>
                      <w:sz w:val="18"/>
                      <w:szCs w:val="18"/>
                    </w:rPr>
                    <w:t>废水</w:t>
                  </w:r>
                </w:p>
              </w:tc>
              <w:tc>
                <w:tcPr>
                  <w:tcW w:w="1365" w:type="pct"/>
                  <w:gridSpan w:val="2"/>
                  <w:shd w:val="clear" w:color="auto" w:fill="auto"/>
                  <w:vAlign w:val="center"/>
                </w:tcPr>
                <w:p w14:paraId="3F1D0CD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W2-1回收塔塔底脱出水</w:t>
                  </w:r>
                </w:p>
              </w:tc>
              <w:tc>
                <w:tcPr>
                  <w:tcW w:w="1282" w:type="pct"/>
                  <w:shd w:val="clear" w:color="auto" w:fill="auto"/>
                  <w:tcMar>
                    <w:top w:w="0" w:type="dxa"/>
                    <w:left w:w="28" w:type="dxa"/>
                    <w:bottom w:w="0" w:type="dxa"/>
                    <w:right w:w="28" w:type="dxa"/>
                  </w:tcMar>
                  <w:vAlign w:val="center"/>
                </w:tcPr>
                <w:p w14:paraId="56E03723">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CODcr、氨氮、BOD</w:t>
                  </w:r>
                  <w:r>
                    <w:rPr>
                      <w:rFonts w:hint="eastAsia"/>
                      <w:color w:val="auto"/>
                      <w:sz w:val="18"/>
                      <w:szCs w:val="18"/>
                      <w:vertAlign w:val="subscript"/>
                      <w:lang w:val="en-US" w:eastAsia="zh-CN"/>
                    </w:rPr>
                    <w:t>5</w:t>
                  </w:r>
                  <w:r>
                    <w:rPr>
                      <w:rFonts w:hint="eastAsia"/>
                      <w:color w:val="auto"/>
                      <w:sz w:val="18"/>
                      <w:szCs w:val="18"/>
                      <w:lang w:val="en-US" w:eastAsia="zh-CN"/>
                    </w:rPr>
                    <w:t>、SS</w:t>
                  </w:r>
                </w:p>
              </w:tc>
              <w:tc>
                <w:tcPr>
                  <w:tcW w:w="1960" w:type="pct"/>
                  <w:gridSpan w:val="2"/>
                  <w:vMerge w:val="restart"/>
                  <w:tcMar>
                    <w:top w:w="0" w:type="dxa"/>
                    <w:left w:w="28" w:type="dxa"/>
                    <w:bottom w:w="0" w:type="dxa"/>
                    <w:right w:w="28" w:type="dxa"/>
                  </w:tcMar>
                  <w:vAlign w:val="center"/>
                </w:tcPr>
                <w:p w14:paraId="0084483E">
                  <w:pPr>
                    <w:jc w:val="center"/>
                    <w:rPr>
                      <w:rFonts w:ascii="Times New Roman" w:hAnsi="Times New Roman"/>
                      <w:color w:val="auto"/>
                      <w:sz w:val="18"/>
                      <w:szCs w:val="18"/>
                    </w:rPr>
                  </w:pPr>
                  <w:r>
                    <w:rPr>
                      <w:rFonts w:hint="eastAsia" w:ascii="Times New Roman" w:hAnsi="Times New Roman"/>
                      <w:color w:val="auto"/>
                      <w:sz w:val="18"/>
                      <w:szCs w:val="18"/>
                    </w:rPr>
                    <w:t>经</w:t>
                  </w:r>
                  <w:r>
                    <w:rPr>
                      <w:rFonts w:hint="eastAsia"/>
                      <w:color w:val="auto"/>
                      <w:sz w:val="18"/>
                      <w:szCs w:val="18"/>
                      <w:lang w:val="en-US" w:eastAsia="zh-CN"/>
                    </w:rPr>
                    <w:t>厂区污水处理设施处理（处理工艺为：</w:t>
                  </w:r>
                  <w:r>
                    <w:rPr>
                      <w:rFonts w:hint="eastAsia" w:ascii="Times New Roman" w:hAnsi="Times New Roman"/>
                      <w:color w:val="auto"/>
                      <w:sz w:val="18"/>
                      <w:szCs w:val="18"/>
                    </w:rPr>
                    <w:t>絮凝沉淀+间接加热蒸发</w:t>
                  </w:r>
                  <w:r>
                    <w:rPr>
                      <w:rFonts w:hint="eastAsia"/>
                      <w:color w:val="auto"/>
                      <w:sz w:val="18"/>
                      <w:szCs w:val="18"/>
                      <w:lang w:val="en-US" w:eastAsia="zh-CN"/>
                    </w:rPr>
                    <w:t>）</w:t>
                  </w:r>
                  <w:r>
                    <w:rPr>
                      <w:rFonts w:hint="eastAsia" w:ascii="Times New Roman" w:hAnsi="Times New Roman"/>
                      <w:color w:val="auto"/>
                      <w:sz w:val="18"/>
                      <w:szCs w:val="18"/>
                    </w:rPr>
                    <w:t>，蒸发处理产生蒸气经管线输送至甲醛项目吸收塔吸收处理，进入甲醛吸收工序，回用于甲醛生产，不外排</w:t>
                  </w:r>
                </w:p>
              </w:tc>
            </w:tr>
            <w:tr w14:paraId="62C53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3B2385E5">
                  <w:pPr>
                    <w:jc w:val="center"/>
                    <w:rPr>
                      <w:rFonts w:ascii="Times New Roman" w:hAnsi="Times New Roman"/>
                      <w:color w:val="auto"/>
                      <w:sz w:val="18"/>
                      <w:szCs w:val="18"/>
                    </w:rPr>
                  </w:pPr>
                </w:p>
              </w:tc>
              <w:tc>
                <w:tcPr>
                  <w:tcW w:w="1365" w:type="pct"/>
                  <w:gridSpan w:val="2"/>
                  <w:shd w:val="clear" w:color="auto" w:fill="auto"/>
                  <w:vAlign w:val="center"/>
                </w:tcPr>
                <w:p w14:paraId="0387C35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W2-2脱色塔塔底脱出水</w:t>
                  </w:r>
                </w:p>
              </w:tc>
              <w:tc>
                <w:tcPr>
                  <w:tcW w:w="1282" w:type="pct"/>
                  <w:shd w:val="clear" w:color="auto" w:fill="auto"/>
                  <w:tcMar>
                    <w:top w:w="0" w:type="dxa"/>
                    <w:left w:w="28" w:type="dxa"/>
                    <w:bottom w:w="0" w:type="dxa"/>
                    <w:right w:w="28" w:type="dxa"/>
                  </w:tcMar>
                  <w:vAlign w:val="center"/>
                </w:tcPr>
                <w:p w14:paraId="707FAB1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CODcr、氨氮、BOD</w:t>
                  </w:r>
                  <w:r>
                    <w:rPr>
                      <w:rFonts w:hint="eastAsia"/>
                      <w:color w:val="auto"/>
                      <w:sz w:val="18"/>
                      <w:szCs w:val="18"/>
                      <w:vertAlign w:val="subscript"/>
                      <w:lang w:val="en-US" w:eastAsia="zh-CN"/>
                    </w:rPr>
                    <w:t>5</w:t>
                  </w:r>
                  <w:r>
                    <w:rPr>
                      <w:rFonts w:hint="eastAsia"/>
                      <w:color w:val="auto"/>
                      <w:sz w:val="18"/>
                      <w:szCs w:val="18"/>
                      <w:lang w:val="en-US" w:eastAsia="zh-CN"/>
                    </w:rPr>
                    <w:t>、SS</w:t>
                  </w:r>
                </w:p>
              </w:tc>
              <w:tc>
                <w:tcPr>
                  <w:tcW w:w="1960" w:type="pct"/>
                  <w:gridSpan w:val="2"/>
                  <w:vMerge w:val="continue"/>
                  <w:tcMar>
                    <w:top w:w="0" w:type="dxa"/>
                    <w:left w:w="28" w:type="dxa"/>
                    <w:bottom w:w="0" w:type="dxa"/>
                    <w:right w:w="28" w:type="dxa"/>
                  </w:tcMar>
                  <w:vAlign w:val="center"/>
                </w:tcPr>
                <w:p w14:paraId="54C7125F">
                  <w:pPr>
                    <w:jc w:val="center"/>
                    <w:rPr>
                      <w:rFonts w:hint="eastAsia"/>
                      <w:color w:val="auto"/>
                      <w:sz w:val="18"/>
                      <w:szCs w:val="18"/>
                      <w:lang w:val="en-US" w:eastAsia="zh-CN"/>
                    </w:rPr>
                  </w:pPr>
                </w:p>
              </w:tc>
            </w:tr>
            <w:tr w14:paraId="2AB51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6ADF078F">
                  <w:pPr>
                    <w:jc w:val="center"/>
                    <w:rPr>
                      <w:rFonts w:ascii="Times New Roman" w:hAnsi="Times New Roman"/>
                      <w:color w:val="auto"/>
                      <w:sz w:val="18"/>
                      <w:szCs w:val="18"/>
                    </w:rPr>
                  </w:pPr>
                </w:p>
              </w:tc>
              <w:tc>
                <w:tcPr>
                  <w:tcW w:w="1365" w:type="pct"/>
                  <w:gridSpan w:val="2"/>
                  <w:shd w:val="clear" w:color="auto" w:fill="auto"/>
                  <w:vAlign w:val="center"/>
                </w:tcPr>
                <w:p w14:paraId="6CDC8CF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W3离子交换装置排污水</w:t>
                  </w:r>
                </w:p>
              </w:tc>
              <w:tc>
                <w:tcPr>
                  <w:tcW w:w="1282" w:type="pct"/>
                  <w:shd w:val="clear" w:color="auto" w:fill="auto"/>
                  <w:tcMar>
                    <w:top w:w="0" w:type="dxa"/>
                    <w:left w:w="28" w:type="dxa"/>
                    <w:bottom w:w="0" w:type="dxa"/>
                    <w:right w:w="28" w:type="dxa"/>
                  </w:tcMar>
                  <w:vAlign w:val="center"/>
                </w:tcPr>
                <w:p w14:paraId="5396D687">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盐类、SS</w:t>
                  </w:r>
                </w:p>
              </w:tc>
              <w:tc>
                <w:tcPr>
                  <w:tcW w:w="1960" w:type="pct"/>
                  <w:gridSpan w:val="2"/>
                  <w:vMerge w:val="continue"/>
                  <w:tcMar>
                    <w:top w:w="0" w:type="dxa"/>
                    <w:left w:w="28" w:type="dxa"/>
                    <w:bottom w:w="0" w:type="dxa"/>
                    <w:right w:w="28" w:type="dxa"/>
                  </w:tcMar>
                  <w:vAlign w:val="center"/>
                </w:tcPr>
                <w:p w14:paraId="55A00616">
                  <w:pPr>
                    <w:jc w:val="center"/>
                    <w:rPr>
                      <w:rFonts w:hint="eastAsia"/>
                      <w:color w:val="auto"/>
                      <w:sz w:val="18"/>
                      <w:szCs w:val="18"/>
                      <w:lang w:val="en-US" w:eastAsia="zh-CN"/>
                    </w:rPr>
                  </w:pPr>
                </w:p>
              </w:tc>
            </w:tr>
            <w:tr w14:paraId="09FBA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6BB73F67">
                  <w:pPr>
                    <w:jc w:val="center"/>
                    <w:rPr>
                      <w:rFonts w:ascii="Times New Roman" w:hAnsi="Times New Roman"/>
                      <w:color w:val="auto"/>
                      <w:sz w:val="18"/>
                      <w:szCs w:val="18"/>
                    </w:rPr>
                  </w:pPr>
                </w:p>
              </w:tc>
              <w:tc>
                <w:tcPr>
                  <w:tcW w:w="1365" w:type="pct"/>
                  <w:gridSpan w:val="2"/>
                  <w:shd w:val="clear" w:color="auto" w:fill="auto"/>
                  <w:vAlign w:val="center"/>
                </w:tcPr>
                <w:p w14:paraId="580BC82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W4地面设备冲洗废水</w:t>
                  </w:r>
                </w:p>
              </w:tc>
              <w:tc>
                <w:tcPr>
                  <w:tcW w:w="1282" w:type="pct"/>
                  <w:shd w:val="clear" w:color="auto" w:fill="auto"/>
                  <w:tcMar>
                    <w:top w:w="0" w:type="dxa"/>
                    <w:left w:w="28" w:type="dxa"/>
                    <w:bottom w:w="0" w:type="dxa"/>
                    <w:right w:w="28" w:type="dxa"/>
                  </w:tcMar>
                  <w:vAlign w:val="center"/>
                </w:tcPr>
                <w:p w14:paraId="38A33981">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COD、氨氮、SS</w:t>
                  </w:r>
                </w:p>
              </w:tc>
              <w:tc>
                <w:tcPr>
                  <w:tcW w:w="1960" w:type="pct"/>
                  <w:gridSpan w:val="2"/>
                  <w:vMerge w:val="continue"/>
                  <w:tcMar>
                    <w:top w:w="0" w:type="dxa"/>
                    <w:left w:w="28" w:type="dxa"/>
                    <w:bottom w:w="0" w:type="dxa"/>
                    <w:right w:w="28" w:type="dxa"/>
                  </w:tcMar>
                  <w:vAlign w:val="center"/>
                </w:tcPr>
                <w:p w14:paraId="1395B5DF">
                  <w:pPr>
                    <w:jc w:val="center"/>
                    <w:rPr>
                      <w:rFonts w:hint="eastAsia"/>
                      <w:color w:val="auto"/>
                      <w:sz w:val="18"/>
                      <w:szCs w:val="18"/>
                      <w:lang w:val="en-US" w:eastAsia="zh-CN"/>
                    </w:rPr>
                  </w:pPr>
                </w:p>
              </w:tc>
            </w:tr>
            <w:tr w14:paraId="01BA3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77504F79">
                  <w:pPr>
                    <w:jc w:val="center"/>
                    <w:rPr>
                      <w:rFonts w:ascii="Times New Roman" w:hAnsi="Times New Roman"/>
                      <w:color w:val="auto"/>
                      <w:sz w:val="18"/>
                      <w:szCs w:val="18"/>
                    </w:rPr>
                  </w:pPr>
                </w:p>
              </w:tc>
              <w:tc>
                <w:tcPr>
                  <w:tcW w:w="1365" w:type="pct"/>
                  <w:gridSpan w:val="2"/>
                  <w:shd w:val="clear" w:color="auto" w:fill="auto"/>
                  <w:vAlign w:val="center"/>
                </w:tcPr>
                <w:p w14:paraId="4E59FD3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W5循环冷却排污水</w:t>
                  </w:r>
                </w:p>
              </w:tc>
              <w:tc>
                <w:tcPr>
                  <w:tcW w:w="1282" w:type="pct"/>
                  <w:tcMar>
                    <w:top w:w="0" w:type="dxa"/>
                    <w:left w:w="28" w:type="dxa"/>
                    <w:bottom w:w="0" w:type="dxa"/>
                    <w:right w:w="28" w:type="dxa"/>
                  </w:tcMar>
                  <w:vAlign w:val="center"/>
                </w:tcPr>
                <w:p w14:paraId="5BB84413">
                  <w:pPr>
                    <w:jc w:val="center"/>
                    <w:rPr>
                      <w:rFonts w:ascii="Times New Roman" w:hAnsi="Times New Roman"/>
                      <w:color w:val="auto"/>
                      <w:sz w:val="18"/>
                      <w:szCs w:val="18"/>
                    </w:rPr>
                  </w:pPr>
                  <w:r>
                    <w:rPr>
                      <w:rFonts w:hint="eastAsia"/>
                      <w:color w:val="auto"/>
                      <w:sz w:val="18"/>
                      <w:szCs w:val="18"/>
                      <w:lang w:val="en-US" w:eastAsia="zh-CN"/>
                    </w:rPr>
                    <w:t>盐类、SS</w:t>
                  </w:r>
                </w:p>
              </w:tc>
              <w:tc>
                <w:tcPr>
                  <w:tcW w:w="1960" w:type="pct"/>
                  <w:gridSpan w:val="2"/>
                  <w:vMerge w:val="continue"/>
                  <w:tcMar>
                    <w:top w:w="0" w:type="dxa"/>
                    <w:left w:w="28" w:type="dxa"/>
                    <w:bottom w:w="0" w:type="dxa"/>
                    <w:right w:w="28" w:type="dxa"/>
                  </w:tcMar>
                  <w:vAlign w:val="center"/>
                </w:tcPr>
                <w:p w14:paraId="5D66CCEA">
                  <w:pPr>
                    <w:jc w:val="center"/>
                    <w:rPr>
                      <w:rFonts w:ascii="Times New Roman" w:hAnsi="Times New Roman"/>
                      <w:color w:val="auto"/>
                      <w:sz w:val="18"/>
                      <w:szCs w:val="18"/>
                    </w:rPr>
                  </w:pPr>
                </w:p>
              </w:tc>
            </w:tr>
            <w:tr w14:paraId="317B6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4409C559">
                  <w:pPr>
                    <w:jc w:val="center"/>
                    <w:rPr>
                      <w:rFonts w:ascii="Times New Roman" w:hAnsi="Times New Roman"/>
                      <w:color w:val="auto"/>
                      <w:sz w:val="18"/>
                      <w:szCs w:val="18"/>
                    </w:rPr>
                  </w:pPr>
                </w:p>
              </w:tc>
              <w:tc>
                <w:tcPr>
                  <w:tcW w:w="1365" w:type="pct"/>
                  <w:gridSpan w:val="2"/>
                  <w:shd w:val="clear" w:color="auto" w:fill="auto"/>
                  <w:vAlign w:val="center"/>
                </w:tcPr>
                <w:p w14:paraId="49DB8EAA">
                  <w:pPr>
                    <w:jc w:val="center"/>
                    <w:rPr>
                      <w:rFonts w:hint="default"/>
                      <w:color w:val="auto"/>
                      <w:sz w:val="18"/>
                      <w:szCs w:val="18"/>
                      <w:lang w:val="en-US" w:eastAsia="zh-CN"/>
                    </w:rPr>
                  </w:pPr>
                  <w:r>
                    <w:rPr>
                      <w:rFonts w:hint="eastAsia"/>
                      <w:color w:val="auto"/>
                      <w:sz w:val="18"/>
                      <w:szCs w:val="18"/>
                      <w:lang w:val="en-US" w:eastAsia="zh-CN"/>
                    </w:rPr>
                    <w:t>W6初期雨水</w:t>
                  </w:r>
                </w:p>
              </w:tc>
              <w:tc>
                <w:tcPr>
                  <w:tcW w:w="1282" w:type="pct"/>
                  <w:tcMar>
                    <w:top w:w="0" w:type="dxa"/>
                    <w:left w:w="28" w:type="dxa"/>
                    <w:bottom w:w="0" w:type="dxa"/>
                    <w:right w:w="28" w:type="dxa"/>
                  </w:tcMar>
                  <w:vAlign w:val="center"/>
                </w:tcPr>
                <w:p w14:paraId="41B50BAF">
                  <w:pPr>
                    <w:jc w:val="center"/>
                    <w:rPr>
                      <w:rFonts w:hint="default" w:eastAsia="宋体"/>
                      <w:color w:val="auto"/>
                      <w:sz w:val="18"/>
                      <w:szCs w:val="18"/>
                      <w:lang w:val="en-US" w:eastAsia="zh-CN"/>
                    </w:rPr>
                  </w:pPr>
                  <w:r>
                    <w:rPr>
                      <w:rFonts w:hint="eastAsia" w:ascii="Times New Roman" w:hAnsi="Times New Roman"/>
                      <w:color w:val="auto"/>
                      <w:sz w:val="18"/>
                      <w:szCs w:val="18"/>
                    </w:rPr>
                    <w:t>COD、氨氮、SS</w:t>
                  </w:r>
                  <w:r>
                    <w:rPr>
                      <w:rFonts w:hint="eastAsia"/>
                      <w:color w:val="auto"/>
                      <w:sz w:val="18"/>
                      <w:szCs w:val="18"/>
                      <w:lang w:eastAsia="zh-CN"/>
                    </w:rPr>
                    <w:t>、</w:t>
                  </w:r>
                  <w:r>
                    <w:rPr>
                      <w:rFonts w:hint="eastAsia"/>
                      <w:color w:val="auto"/>
                      <w:sz w:val="18"/>
                      <w:szCs w:val="18"/>
                      <w:lang w:val="en-US" w:eastAsia="zh-CN"/>
                    </w:rPr>
                    <w:t>石油类</w:t>
                  </w:r>
                </w:p>
              </w:tc>
              <w:tc>
                <w:tcPr>
                  <w:tcW w:w="1960" w:type="pct"/>
                  <w:gridSpan w:val="2"/>
                  <w:vMerge w:val="continue"/>
                  <w:tcMar>
                    <w:top w:w="0" w:type="dxa"/>
                    <w:left w:w="28" w:type="dxa"/>
                    <w:bottom w:w="0" w:type="dxa"/>
                    <w:right w:w="28" w:type="dxa"/>
                  </w:tcMar>
                  <w:vAlign w:val="center"/>
                </w:tcPr>
                <w:p w14:paraId="4C9F11BA">
                  <w:pPr>
                    <w:jc w:val="center"/>
                    <w:rPr>
                      <w:rFonts w:ascii="Times New Roman" w:hAnsi="Times New Roman"/>
                      <w:color w:val="auto"/>
                      <w:sz w:val="18"/>
                      <w:szCs w:val="18"/>
                    </w:rPr>
                  </w:pPr>
                </w:p>
              </w:tc>
            </w:tr>
            <w:tr w14:paraId="607DF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62A80BEB">
                  <w:pPr>
                    <w:jc w:val="center"/>
                    <w:rPr>
                      <w:rFonts w:ascii="Times New Roman" w:hAnsi="Times New Roman"/>
                      <w:color w:val="auto"/>
                      <w:sz w:val="18"/>
                      <w:szCs w:val="18"/>
                    </w:rPr>
                  </w:pPr>
                </w:p>
              </w:tc>
              <w:tc>
                <w:tcPr>
                  <w:tcW w:w="1365" w:type="pct"/>
                  <w:gridSpan w:val="2"/>
                  <w:vAlign w:val="center"/>
                </w:tcPr>
                <w:p w14:paraId="6C01C918">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W7反渗透浓水</w:t>
                  </w:r>
                </w:p>
              </w:tc>
              <w:tc>
                <w:tcPr>
                  <w:tcW w:w="1282" w:type="pct"/>
                  <w:tcMar>
                    <w:top w:w="0" w:type="dxa"/>
                    <w:left w:w="28" w:type="dxa"/>
                    <w:bottom w:w="0" w:type="dxa"/>
                    <w:right w:w="28" w:type="dxa"/>
                  </w:tcMar>
                  <w:vAlign w:val="center"/>
                </w:tcPr>
                <w:p w14:paraId="3745AC08">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COD、氨氮、盐类</w:t>
                  </w:r>
                </w:p>
              </w:tc>
              <w:tc>
                <w:tcPr>
                  <w:tcW w:w="1960" w:type="pct"/>
                  <w:gridSpan w:val="2"/>
                  <w:tcMar>
                    <w:top w:w="0" w:type="dxa"/>
                    <w:left w:w="28" w:type="dxa"/>
                    <w:bottom w:w="0" w:type="dxa"/>
                    <w:right w:w="28" w:type="dxa"/>
                  </w:tcMar>
                  <w:vAlign w:val="center"/>
                </w:tcPr>
                <w:p w14:paraId="2207FEF2">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回用于甲醛吸收塔</w:t>
                  </w:r>
                </w:p>
              </w:tc>
            </w:tr>
            <w:tr w14:paraId="5B52A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754CAD9E">
                  <w:pPr>
                    <w:jc w:val="center"/>
                    <w:rPr>
                      <w:rFonts w:ascii="Times New Roman" w:hAnsi="Times New Roman"/>
                      <w:color w:val="auto"/>
                      <w:sz w:val="18"/>
                      <w:szCs w:val="18"/>
                    </w:rPr>
                  </w:pPr>
                </w:p>
              </w:tc>
              <w:tc>
                <w:tcPr>
                  <w:tcW w:w="1365" w:type="pct"/>
                  <w:gridSpan w:val="2"/>
                  <w:vAlign w:val="center"/>
                </w:tcPr>
                <w:p w14:paraId="194E1C1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W8生活污水</w:t>
                  </w:r>
                </w:p>
              </w:tc>
              <w:tc>
                <w:tcPr>
                  <w:tcW w:w="1282" w:type="pct"/>
                  <w:tcMar>
                    <w:top w:w="0" w:type="dxa"/>
                    <w:left w:w="28" w:type="dxa"/>
                    <w:bottom w:w="0" w:type="dxa"/>
                    <w:right w:w="28" w:type="dxa"/>
                  </w:tcMar>
                  <w:vAlign w:val="center"/>
                </w:tcPr>
                <w:p w14:paraId="5CC34EC4">
                  <w:pPr>
                    <w:jc w:val="center"/>
                    <w:rPr>
                      <w:rFonts w:ascii="Times New Roman" w:hAnsi="Times New Roman"/>
                      <w:color w:val="auto"/>
                      <w:sz w:val="18"/>
                      <w:szCs w:val="18"/>
                    </w:rPr>
                  </w:pPr>
                  <w:r>
                    <w:rPr>
                      <w:rFonts w:hint="eastAsia" w:ascii="Times New Roman" w:hAnsi="Times New Roman"/>
                      <w:color w:val="auto"/>
                      <w:sz w:val="18"/>
                      <w:szCs w:val="18"/>
                    </w:rPr>
                    <w:t>COD、氨氮、SS</w:t>
                  </w:r>
                </w:p>
              </w:tc>
              <w:tc>
                <w:tcPr>
                  <w:tcW w:w="1960" w:type="pct"/>
                  <w:gridSpan w:val="2"/>
                  <w:tcMar>
                    <w:top w:w="0" w:type="dxa"/>
                    <w:left w:w="28" w:type="dxa"/>
                    <w:bottom w:w="0" w:type="dxa"/>
                    <w:right w:w="28" w:type="dxa"/>
                  </w:tcMar>
                  <w:vAlign w:val="center"/>
                </w:tcPr>
                <w:p w14:paraId="5113869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化粪池收集后环卫部门清运</w:t>
                  </w:r>
                </w:p>
              </w:tc>
            </w:tr>
            <w:tr w14:paraId="27CA3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tcMar>
                    <w:top w:w="0" w:type="dxa"/>
                    <w:left w:w="28" w:type="dxa"/>
                    <w:bottom w:w="0" w:type="dxa"/>
                    <w:right w:w="28" w:type="dxa"/>
                  </w:tcMar>
                  <w:vAlign w:val="center"/>
                </w:tcPr>
                <w:p w14:paraId="46989D2C">
                  <w:pPr>
                    <w:jc w:val="center"/>
                    <w:rPr>
                      <w:rFonts w:ascii="Times New Roman" w:hAnsi="Times New Roman"/>
                      <w:color w:val="auto"/>
                      <w:sz w:val="18"/>
                      <w:szCs w:val="18"/>
                    </w:rPr>
                  </w:pPr>
                  <w:r>
                    <w:rPr>
                      <w:rFonts w:hint="eastAsia" w:ascii="Times New Roman" w:hAnsi="Times New Roman"/>
                      <w:color w:val="auto"/>
                      <w:sz w:val="18"/>
                      <w:szCs w:val="18"/>
                    </w:rPr>
                    <w:t>噪声</w:t>
                  </w:r>
                </w:p>
              </w:tc>
              <w:tc>
                <w:tcPr>
                  <w:tcW w:w="1365" w:type="pct"/>
                  <w:gridSpan w:val="2"/>
                  <w:vAlign w:val="center"/>
                </w:tcPr>
                <w:p w14:paraId="3615B23D">
                  <w:pPr>
                    <w:jc w:val="center"/>
                    <w:rPr>
                      <w:rFonts w:ascii="Times New Roman" w:hAnsi="Times New Roman"/>
                      <w:color w:val="auto"/>
                      <w:sz w:val="18"/>
                      <w:szCs w:val="18"/>
                    </w:rPr>
                  </w:pPr>
                  <w:r>
                    <w:rPr>
                      <w:rFonts w:hint="eastAsia" w:ascii="Times New Roman" w:hAnsi="Times New Roman"/>
                      <w:color w:val="auto"/>
                      <w:sz w:val="18"/>
                      <w:szCs w:val="18"/>
                    </w:rPr>
                    <w:t>各类机泵运转噪声</w:t>
                  </w:r>
                </w:p>
              </w:tc>
              <w:tc>
                <w:tcPr>
                  <w:tcW w:w="1282" w:type="pct"/>
                  <w:tcMar>
                    <w:top w:w="0" w:type="dxa"/>
                    <w:left w:w="28" w:type="dxa"/>
                    <w:bottom w:w="0" w:type="dxa"/>
                    <w:right w:w="28" w:type="dxa"/>
                  </w:tcMar>
                  <w:vAlign w:val="center"/>
                </w:tcPr>
                <w:p w14:paraId="7CA5EAE3">
                  <w:pPr>
                    <w:jc w:val="center"/>
                    <w:rPr>
                      <w:rFonts w:ascii="Times New Roman" w:hAnsi="Times New Roman"/>
                      <w:color w:val="auto"/>
                      <w:sz w:val="18"/>
                      <w:szCs w:val="18"/>
                    </w:rPr>
                  </w:pPr>
                  <w:r>
                    <w:rPr>
                      <w:rFonts w:ascii="Times New Roman" w:hAnsi="Times New Roman"/>
                      <w:color w:val="auto"/>
                      <w:sz w:val="18"/>
                      <w:szCs w:val="18"/>
                    </w:rPr>
                    <w:t>L</w:t>
                  </w:r>
                  <w:r>
                    <w:rPr>
                      <w:rFonts w:ascii="Times New Roman" w:hAnsi="Times New Roman"/>
                      <w:color w:val="auto"/>
                      <w:sz w:val="18"/>
                      <w:szCs w:val="18"/>
                      <w:vertAlign w:val="subscript"/>
                    </w:rPr>
                    <w:t>Aeq</w:t>
                  </w:r>
                </w:p>
              </w:tc>
              <w:tc>
                <w:tcPr>
                  <w:tcW w:w="1960" w:type="pct"/>
                  <w:gridSpan w:val="2"/>
                  <w:tcMar>
                    <w:top w:w="0" w:type="dxa"/>
                    <w:left w:w="28" w:type="dxa"/>
                    <w:bottom w:w="0" w:type="dxa"/>
                    <w:right w:w="28" w:type="dxa"/>
                  </w:tcMar>
                  <w:vAlign w:val="center"/>
                </w:tcPr>
                <w:p w14:paraId="3C816E33">
                  <w:pPr>
                    <w:jc w:val="center"/>
                    <w:rPr>
                      <w:rFonts w:ascii="Times New Roman" w:hAnsi="Times New Roman"/>
                      <w:color w:val="auto"/>
                      <w:sz w:val="18"/>
                      <w:szCs w:val="18"/>
                    </w:rPr>
                  </w:pPr>
                  <w:r>
                    <w:rPr>
                      <w:rFonts w:hint="eastAsia"/>
                      <w:color w:val="auto"/>
                      <w:sz w:val="18"/>
                      <w:szCs w:val="18"/>
                    </w:rPr>
                    <w:t>加强设备维护管理，并采取相应的隔声、减振、消音措施</w:t>
                  </w:r>
                </w:p>
              </w:tc>
            </w:tr>
            <w:tr w14:paraId="01289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tcMar>
                    <w:top w:w="0" w:type="dxa"/>
                    <w:left w:w="28" w:type="dxa"/>
                    <w:bottom w:w="0" w:type="dxa"/>
                    <w:right w:w="28" w:type="dxa"/>
                  </w:tcMar>
                  <w:vAlign w:val="center"/>
                </w:tcPr>
                <w:p w14:paraId="35C47339">
                  <w:pPr>
                    <w:jc w:val="center"/>
                    <w:rPr>
                      <w:rFonts w:ascii="Times New Roman" w:hAnsi="Times New Roman"/>
                      <w:color w:val="auto"/>
                      <w:sz w:val="18"/>
                      <w:szCs w:val="18"/>
                    </w:rPr>
                  </w:pPr>
                  <w:r>
                    <w:rPr>
                      <w:rFonts w:hint="eastAsia" w:ascii="Times New Roman" w:hAnsi="Times New Roman"/>
                      <w:color w:val="auto"/>
                      <w:sz w:val="18"/>
                      <w:szCs w:val="18"/>
                    </w:rPr>
                    <w:t>固废</w:t>
                  </w:r>
                </w:p>
              </w:tc>
              <w:tc>
                <w:tcPr>
                  <w:tcW w:w="386" w:type="pct"/>
                  <w:vMerge w:val="restart"/>
                  <w:vAlign w:val="center"/>
                </w:tcPr>
                <w:p w14:paraId="65AA3AF2">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危险废物</w:t>
                  </w:r>
                </w:p>
              </w:tc>
              <w:tc>
                <w:tcPr>
                  <w:tcW w:w="979" w:type="pct"/>
                  <w:shd w:val="clear" w:color="auto" w:fill="auto"/>
                  <w:vAlign w:val="center"/>
                </w:tcPr>
                <w:p w14:paraId="3E6ED6C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废水处理污泥</w:t>
                  </w:r>
                </w:p>
              </w:tc>
              <w:tc>
                <w:tcPr>
                  <w:tcW w:w="1282" w:type="pct"/>
                  <w:tcMar>
                    <w:top w:w="0" w:type="dxa"/>
                    <w:left w:w="28" w:type="dxa"/>
                    <w:bottom w:w="0" w:type="dxa"/>
                    <w:right w:w="28" w:type="dxa"/>
                  </w:tcMar>
                  <w:vAlign w:val="center"/>
                </w:tcPr>
                <w:p w14:paraId="449A7933">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盐类等</w:t>
                  </w:r>
                </w:p>
              </w:tc>
              <w:tc>
                <w:tcPr>
                  <w:tcW w:w="1960" w:type="pct"/>
                  <w:gridSpan w:val="2"/>
                  <w:vMerge w:val="restart"/>
                  <w:tcMar>
                    <w:top w:w="0" w:type="dxa"/>
                    <w:left w:w="28" w:type="dxa"/>
                    <w:bottom w:w="0" w:type="dxa"/>
                    <w:right w:w="28" w:type="dxa"/>
                  </w:tcMar>
                  <w:vAlign w:val="center"/>
                </w:tcPr>
                <w:p w14:paraId="40410E66">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暂存于危废暂存间，定期委托处置</w:t>
                  </w:r>
                </w:p>
              </w:tc>
            </w:tr>
            <w:tr w14:paraId="3CAC0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6DDA951A">
                  <w:pPr>
                    <w:jc w:val="center"/>
                    <w:rPr>
                      <w:rFonts w:hint="eastAsia" w:ascii="Times New Roman" w:hAnsi="Times New Roman"/>
                      <w:color w:val="auto"/>
                      <w:sz w:val="18"/>
                      <w:szCs w:val="18"/>
                    </w:rPr>
                  </w:pPr>
                </w:p>
              </w:tc>
              <w:tc>
                <w:tcPr>
                  <w:tcW w:w="386" w:type="pct"/>
                  <w:vMerge w:val="continue"/>
                  <w:vAlign w:val="center"/>
                </w:tcPr>
                <w:p w14:paraId="43EA1338">
                  <w:pPr>
                    <w:jc w:val="center"/>
                    <w:rPr>
                      <w:rFonts w:hint="default"/>
                      <w:color w:val="auto"/>
                      <w:sz w:val="18"/>
                      <w:szCs w:val="18"/>
                      <w:lang w:val="en-US" w:eastAsia="zh-CN"/>
                    </w:rPr>
                  </w:pPr>
                </w:p>
              </w:tc>
              <w:tc>
                <w:tcPr>
                  <w:tcW w:w="979" w:type="pct"/>
                  <w:shd w:val="clear" w:color="auto" w:fill="auto"/>
                  <w:vAlign w:val="center"/>
                </w:tcPr>
                <w:p w14:paraId="7042C3A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废活性炭</w:t>
                  </w:r>
                </w:p>
              </w:tc>
              <w:tc>
                <w:tcPr>
                  <w:tcW w:w="1282" w:type="pct"/>
                  <w:tcMar>
                    <w:top w:w="0" w:type="dxa"/>
                    <w:left w:w="28" w:type="dxa"/>
                    <w:bottom w:w="0" w:type="dxa"/>
                    <w:right w:w="28" w:type="dxa"/>
                  </w:tcMar>
                  <w:vAlign w:val="center"/>
                </w:tcPr>
                <w:p w14:paraId="24BA13B2">
                  <w:pPr>
                    <w:jc w:val="center"/>
                    <w:rPr>
                      <w:rFonts w:hint="default"/>
                      <w:color w:val="auto"/>
                      <w:sz w:val="18"/>
                      <w:szCs w:val="18"/>
                      <w:lang w:val="en-US" w:eastAsia="zh-CN"/>
                    </w:rPr>
                  </w:pPr>
                  <w:r>
                    <w:rPr>
                      <w:rFonts w:hint="eastAsia"/>
                      <w:color w:val="auto"/>
                      <w:sz w:val="18"/>
                      <w:szCs w:val="18"/>
                      <w:lang w:val="en-US" w:eastAsia="zh-CN"/>
                    </w:rPr>
                    <w:t>活性炭、甲醇等</w:t>
                  </w:r>
                </w:p>
              </w:tc>
              <w:tc>
                <w:tcPr>
                  <w:tcW w:w="1960" w:type="pct"/>
                  <w:gridSpan w:val="2"/>
                  <w:vMerge w:val="continue"/>
                  <w:tcMar>
                    <w:top w:w="0" w:type="dxa"/>
                    <w:left w:w="28" w:type="dxa"/>
                    <w:bottom w:w="0" w:type="dxa"/>
                    <w:right w:w="28" w:type="dxa"/>
                  </w:tcMar>
                  <w:vAlign w:val="center"/>
                </w:tcPr>
                <w:p w14:paraId="2A15EF5B">
                  <w:pPr>
                    <w:jc w:val="center"/>
                    <w:rPr>
                      <w:rFonts w:hint="eastAsia"/>
                      <w:color w:val="auto"/>
                      <w:sz w:val="18"/>
                      <w:szCs w:val="18"/>
                      <w:lang w:val="en-US" w:eastAsia="zh-CN"/>
                    </w:rPr>
                  </w:pPr>
                </w:p>
              </w:tc>
            </w:tr>
            <w:tr w14:paraId="6A078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7FF93C40">
                  <w:pPr>
                    <w:jc w:val="center"/>
                    <w:rPr>
                      <w:rFonts w:hint="eastAsia" w:ascii="Times New Roman" w:hAnsi="Times New Roman"/>
                      <w:color w:val="auto"/>
                      <w:sz w:val="18"/>
                      <w:szCs w:val="18"/>
                    </w:rPr>
                  </w:pPr>
                </w:p>
              </w:tc>
              <w:tc>
                <w:tcPr>
                  <w:tcW w:w="386" w:type="pct"/>
                  <w:vMerge w:val="continue"/>
                  <w:vAlign w:val="center"/>
                </w:tcPr>
                <w:p w14:paraId="44E648D4">
                  <w:pPr>
                    <w:jc w:val="center"/>
                    <w:rPr>
                      <w:rFonts w:hint="default"/>
                      <w:color w:val="auto"/>
                      <w:sz w:val="18"/>
                      <w:szCs w:val="18"/>
                      <w:lang w:val="en-US" w:eastAsia="zh-CN"/>
                    </w:rPr>
                  </w:pPr>
                </w:p>
              </w:tc>
              <w:tc>
                <w:tcPr>
                  <w:tcW w:w="979" w:type="pct"/>
                  <w:shd w:val="clear" w:color="auto" w:fill="auto"/>
                  <w:vAlign w:val="center"/>
                </w:tcPr>
                <w:p w14:paraId="25728EC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废润滑油</w:t>
                  </w:r>
                </w:p>
              </w:tc>
              <w:tc>
                <w:tcPr>
                  <w:tcW w:w="1282" w:type="pct"/>
                  <w:tcMar>
                    <w:top w:w="0" w:type="dxa"/>
                    <w:left w:w="28" w:type="dxa"/>
                    <w:bottom w:w="0" w:type="dxa"/>
                    <w:right w:w="28" w:type="dxa"/>
                  </w:tcMar>
                  <w:vAlign w:val="center"/>
                </w:tcPr>
                <w:p w14:paraId="042A45DE">
                  <w:pPr>
                    <w:jc w:val="center"/>
                    <w:rPr>
                      <w:rFonts w:hint="default"/>
                      <w:color w:val="auto"/>
                      <w:sz w:val="18"/>
                      <w:szCs w:val="18"/>
                      <w:lang w:val="en-US" w:eastAsia="zh-CN"/>
                    </w:rPr>
                  </w:pPr>
                  <w:r>
                    <w:rPr>
                      <w:rFonts w:hint="eastAsia"/>
                      <w:color w:val="auto"/>
                      <w:sz w:val="18"/>
                      <w:szCs w:val="18"/>
                      <w:lang w:val="en-US" w:eastAsia="zh-CN"/>
                    </w:rPr>
                    <w:t>油类</w:t>
                  </w:r>
                </w:p>
              </w:tc>
              <w:tc>
                <w:tcPr>
                  <w:tcW w:w="1960" w:type="pct"/>
                  <w:gridSpan w:val="2"/>
                  <w:vMerge w:val="continue"/>
                  <w:tcMar>
                    <w:top w:w="0" w:type="dxa"/>
                    <w:left w:w="28" w:type="dxa"/>
                    <w:bottom w:w="0" w:type="dxa"/>
                    <w:right w:w="28" w:type="dxa"/>
                  </w:tcMar>
                  <w:vAlign w:val="center"/>
                </w:tcPr>
                <w:p w14:paraId="4349C7C0">
                  <w:pPr>
                    <w:jc w:val="center"/>
                    <w:rPr>
                      <w:rFonts w:hint="eastAsia"/>
                      <w:color w:val="auto"/>
                      <w:sz w:val="18"/>
                      <w:szCs w:val="18"/>
                      <w:lang w:val="en-US" w:eastAsia="zh-CN"/>
                    </w:rPr>
                  </w:pPr>
                </w:p>
              </w:tc>
            </w:tr>
            <w:tr w14:paraId="7E2AA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79EAE277">
                  <w:pPr>
                    <w:jc w:val="center"/>
                    <w:rPr>
                      <w:rFonts w:hint="eastAsia" w:ascii="Times New Roman" w:hAnsi="Times New Roman"/>
                      <w:color w:val="auto"/>
                      <w:sz w:val="18"/>
                      <w:szCs w:val="18"/>
                    </w:rPr>
                  </w:pPr>
                </w:p>
              </w:tc>
              <w:tc>
                <w:tcPr>
                  <w:tcW w:w="386" w:type="pct"/>
                  <w:vMerge w:val="continue"/>
                  <w:vAlign w:val="center"/>
                </w:tcPr>
                <w:p w14:paraId="0B053E83">
                  <w:pPr>
                    <w:jc w:val="center"/>
                    <w:rPr>
                      <w:rFonts w:hint="default"/>
                      <w:color w:val="auto"/>
                      <w:sz w:val="18"/>
                      <w:szCs w:val="18"/>
                      <w:lang w:val="en-US" w:eastAsia="zh-CN"/>
                    </w:rPr>
                  </w:pPr>
                </w:p>
              </w:tc>
              <w:tc>
                <w:tcPr>
                  <w:tcW w:w="979" w:type="pct"/>
                  <w:shd w:val="clear" w:color="auto" w:fill="auto"/>
                  <w:vAlign w:val="center"/>
                </w:tcPr>
                <w:p w14:paraId="3CC0280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废润滑油桶</w:t>
                  </w:r>
                </w:p>
              </w:tc>
              <w:tc>
                <w:tcPr>
                  <w:tcW w:w="1282" w:type="pct"/>
                  <w:tcMar>
                    <w:top w:w="0" w:type="dxa"/>
                    <w:left w:w="28" w:type="dxa"/>
                    <w:bottom w:w="0" w:type="dxa"/>
                    <w:right w:w="28" w:type="dxa"/>
                  </w:tcMar>
                  <w:vAlign w:val="center"/>
                </w:tcPr>
                <w:p w14:paraId="387ED4D3">
                  <w:pPr>
                    <w:jc w:val="center"/>
                    <w:rPr>
                      <w:rFonts w:hint="default"/>
                      <w:color w:val="auto"/>
                      <w:sz w:val="18"/>
                      <w:szCs w:val="18"/>
                      <w:lang w:val="en-US" w:eastAsia="zh-CN"/>
                    </w:rPr>
                  </w:pPr>
                  <w:r>
                    <w:rPr>
                      <w:rFonts w:hint="eastAsia"/>
                      <w:color w:val="auto"/>
                      <w:sz w:val="18"/>
                      <w:szCs w:val="18"/>
                      <w:lang w:val="en-US" w:eastAsia="zh-CN"/>
                    </w:rPr>
                    <w:t>沾染润滑油的包装桶</w:t>
                  </w:r>
                </w:p>
              </w:tc>
              <w:tc>
                <w:tcPr>
                  <w:tcW w:w="1960" w:type="pct"/>
                  <w:gridSpan w:val="2"/>
                  <w:vMerge w:val="continue"/>
                  <w:tcMar>
                    <w:top w:w="0" w:type="dxa"/>
                    <w:left w:w="28" w:type="dxa"/>
                    <w:bottom w:w="0" w:type="dxa"/>
                    <w:right w:w="28" w:type="dxa"/>
                  </w:tcMar>
                  <w:vAlign w:val="center"/>
                </w:tcPr>
                <w:p w14:paraId="4A1B2AFD">
                  <w:pPr>
                    <w:jc w:val="center"/>
                    <w:rPr>
                      <w:rFonts w:hint="eastAsia"/>
                      <w:color w:val="auto"/>
                      <w:sz w:val="18"/>
                      <w:szCs w:val="18"/>
                      <w:lang w:val="en-US" w:eastAsia="zh-CN"/>
                    </w:rPr>
                  </w:pPr>
                </w:p>
              </w:tc>
            </w:tr>
            <w:tr w14:paraId="68ECB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27C60EB7">
                  <w:pPr>
                    <w:jc w:val="center"/>
                    <w:rPr>
                      <w:rFonts w:hint="eastAsia" w:ascii="Times New Roman" w:hAnsi="Times New Roman"/>
                      <w:color w:val="auto"/>
                      <w:sz w:val="18"/>
                      <w:szCs w:val="18"/>
                    </w:rPr>
                  </w:pPr>
                </w:p>
              </w:tc>
              <w:tc>
                <w:tcPr>
                  <w:tcW w:w="386" w:type="pct"/>
                  <w:vMerge w:val="restart"/>
                  <w:vAlign w:val="center"/>
                </w:tcPr>
                <w:p w14:paraId="5101F12A">
                  <w:pPr>
                    <w:jc w:val="center"/>
                    <w:rPr>
                      <w:rFonts w:hint="default"/>
                      <w:color w:val="auto"/>
                      <w:sz w:val="18"/>
                      <w:szCs w:val="18"/>
                      <w:lang w:val="en-US" w:eastAsia="zh-CN"/>
                    </w:rPr>
                  </w:pPr>
                  <w:r>
                    <w:rPr>
                      <w:rFonts w:hint="eastAsia"/>
                      <w:color w:val="auto"/>
                      <w:sz w:val="18"/>
                      <w:szCs w:val="18"/>
                      <w:lang w:val="en-US" w:eastAsia="zh-CN"/>
                    </w:rPr>
                    <w:t>一般固废</w:t>
                  </w:r>
                </w:p>
              </w:tc>
              <w:tc>
                <w:tcPr>
                  <w:tcW w:w="979" w:type="pct"/>
                  <w:shd w:val="clear" w:color="auto" w:fill="auto"/>
                  <w:vAlign w:val="center"/>
                </w:tcPr>
                <w:p w14:paraId="3C1F86D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废银触媒</w:t>
                  </w:r>
                </w:p>
              </w:tc>
              <w:tc>
                <w:tcPr>
                  <w:tcW w:w="1282" w:type="pct"/>
                  <w:tcMar>
                    <w:top w:w="0" w:type="dxa"/>
                    <w:left w:w="28" w:type="dxa"/>
                    <w:bottom w:w="0" w:type="dxa"/>
                    <w:right w:w="28" w:type="dxa"/>
                  </w:tcMar>
                  <w:vAlign w:val="center"/>
                </w:tcPr>
                <w:p w14:paraId="3EC4159B">
                  <w:pPr>
                    <w:jc w:val="center"/>
                    <w:rPr>
                      <w:rFonts w:hint="default"/>
                      <w:color w:val="auto"/>
                      <w:sz w:val="18"/>
                      <w:szCs w:val="18"/>
                      <w:lang w:val="en-US" w:eastAsia="zh-CN"/>
                    </w:rPr>
                  </w:pPr>
                  <w:r>
                    <w:rPr>
                      <w:rFonts w:hint="eastAsia"/>
                      <w:color w:val="auto"/>
                      <w:sz w:val="18"/>
                      <w:szCs w:val="18"/>
                      <w:lang w:val="en-US" w:eastAsia="zh-CN"/>
                    </w:rPr>
                    <w:t>--</w:t>
                  </w:r>
                </w:p>
              </w:tc>
              <w:tc>
                <w:tcPr>
                  <w:tcW w:w="1960" w:type="pct"/>
                  <w:gridSpan w:val="2"/>
                  <w:tcMar>
                    <w:top w:w="0" w:type="dxa"/>
                    <w:left w:w="28" w:type="dxa"/>
                    <w:bottom w:w="0" w:type="dxa"/>
                    <w:right w:w="28" w:type="dxa"/>
                  </w:tcMar>
                  <w:vAlign w:val="center"/>
                </w:tcPr>
                <w:p w14:paraId="61EB13E8">
                  <w:pPr>
                    <w:jc w:val="center"/>
                    <w:rPr>
                      <w:rFonts w:hint="default"/>
                      <w:color w:val="auto"/>
                      <w:sz w:val="18"/>
                      <w:szCs w:val="18"/>
                      <w:lang w:val="en-US" w:eastAsia="zh-CN"/>
                    </w:rPr>
                  </w:pPr>
                  <w:r>
                    <w:rPr>
                      <w:rFonts w:hint="eastAsia"/>
                      <w:color w:val="auto"/>
                      <w:sz w:val="18"/>
                      <w:szCs w:val="18"/>
                      <w:lang w:val="en-US" w:eastAsia="zh-CN"/>
                    </w:rPr>
                    <w:t>厂家回收</w:t>
                  </w:r>
                </w:p>
              </w:tc>
            </w:tr>
            <w:tr w14:paraId="19A30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001A0D96">
                  <w:pPr>
                    <w:jc w:val="center"/>
                    <w:rPr>
                      <w:rFonts w:hint="eastAsia" w:ascii="Times New Roman" w:hAnsi="Times New Roman"/>
                      <w:color w:val="auto"/>
                      <w:sz w:val="18"/>
                      <w:szCs w:val="18"/>
                    </w:rPr>
                  </w:pPr>
                </w:p>
              </w:tc>
              <w:tc>
                <w:tcPr>
                  <w:tcW w:w="386" w:type="pct"/>
                  <w:vMerge w:val="continue"/>
                  <w:vAlign w:val="center"/>
                </w:tcPr>
                <w:p w14:paraId="355BF8D1">
                  <w:pPr>
                    <w:jc w:val="center"/>
                    <w:rPr>
                      <w:rFonts w:hint="eastAsia"/>
                      <w:color w:val="auto"/>
                      <w:sz w:val="18"/>
                      <w:szCs w:val="18"/>
                      <w:lang w:val="en-US" w:eastAsia="zh-CN"/>
                    </w:rPr>
                  </w:pPr>
                </w:p>
              </w:tc>
              <w:tc>
                <w:tcPr>
                  <w:tcW w:w="979" w:type="pct"/>
                  <w:vAlign w:val="center"/>
                </w:tcPr>
                <w:p w14:paraId="74E11F56">
                  <w:pPr>
                    <w:jc w:val="center"/>
                    <w:rPr>
                      <w:rFonts w:hint="default"/>
                      <w:color w:val="auto"/>
                      <w:sz w:val="18"/>
                      <w:szCs w:val="18"/>
                      <w:lang w:val="en-US" w:eastAsia="zh-CN"/>
                    </w:rPr>
                  </w:pPr>
                  <w:r>
                    <w:rPr>
                      <w:rFonts w:hint="eastAsia"/>
                      <w:color w:val="auto"/>
                      <w:sz w:val="18"/>
                      <w:szCs w:val="18"/>
                      <w:lang w:val="en-US" w:eastAsia="zh-CN"/>
                    </w:rPr>
                    <w:t>废包装材料</w:t>
                  </w:r>
                </w:p>
              </w:tc>
              <w:tc>
                <w:tcPr>
                  <w:tcW w:w="1282" w:type="pct"/>
                  <w:tcMar>
                    <w:top w:w="0" w:type="dxa"/>
                    <w:left w:w="28" w:type="dxa"/>
                    <w:bottom w:w="0" w:type="dxa"/>
                    <w:right w:w="28" w:type="dxa"/>
                  </w:tcMar>
                  <w:vAlign w:val="center"/>
                </w:tcPr>
                <w:p w14:paraId="540982C0">
                  <w:pPr>
                    <w:jc w:val="center"/>
                    <w:rPr>
                      <w:rFonts w:hint="default"/>
                      <w:color w:val="auto"/>
                      <w:sz w:val="18"/>
                      <w:szCs w:val="18"/>
                      <w:lang w:val="en-US" w:eastAsia="zh-CN"/>
                    </w:rPr>
                  </w:pPr>
                  <w:r>
                    <w:rPr>
                      <w:rFonts w:hint="eastAsia"/>
                      <w:color w:val="auto"/>
                      <w:sz w:val="18"/>
                      <w:szCs w:val="18"/>
                      <w:lang w:val="en-US" w:eastAsia="zh-CN"/>
                    </w:rPr>
                    <w:t>--</w:t>
                  </w:r>
                </w:p>
              </w:tc>
              <w:tc>
                <w:tcPr>
                  <w:tcW w:w="1960" w:type="pct"/>
                  <w:gridSpan w:val="2"/>
                  <w:tcMar>
                    <w:top w:w="0" w:type="dxa"/>
                    <w:left w:w="28" w:type="dxa"/>
                    <w:bottom w:w="0" w:type="dxa"/>
                    <w:right w:w="28" w:type="dxa"/>
                  </w:tcMar>
                  <w:vAlign w:val="center"/>
                </w:tcPr>
                <w:p w14:paraId="4657711B">
                  <w:pPr>
                    <w:jc w:val="center"/>
                    <w:rPr>
                      <w:rFonts w:hint="default"/>
                      <w:color w:val="auto"/>
                      <w:sz w:val="18"/>
                      <w:szCs w:val="18"/>
                      <w:lang w:val="en-US" w:eastAsia="zh-CN"/>
                    </w:rPr>
                  </w:pPr>
                  <w:r>
                    <w:rPr>
                      <w:rFonts w:hint="eastAsia"/>
                      <w:color w:val="auto"/>
                      <w:sz w:val="18"/>
                      <w:szCs w:val="18"/>
                      <w:lang w:val="en-US" w:eastAsia="zh-CN"/>
                    </w:rPr>
                    <w:t>厂家回收</w:t>
                  </w:r>
                </w:p>
              </w:tc>
            </w:tr>
            <w:tr w14:paraId="4464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51AF7C27">
                  <w:pPr>
                    <w:jc w:val="center"/>
                    <w:rPr>
                      <w:rFonts w:hint="eastAsia" w:ascii="Times New Roman" w:hAnsi="Times New Roman"/>
                      <w:color w:val="auto"/>
                      <w:sz w:val="18"/>
                      <w:szCs w:val="18"/>
                    </w:rPr>
                  </w:pPr>
                </w:p>
                <w:p w14:paraId="550F7E07">
                  <w:pPr>
                    <w:jc w:val="center"/>
                    <w:rPr>
                      <w:rFonts w:hint="eastAsia" w:ascii="Times New Roman" w:hAnsi="Times New Roman"/>
                      <w:color w:val="auto"/>
                      <w:sz w:val="18"/>
                      <w:szCs w:val="18"/>
                    </w:rPr>
                  </w:pPr>
                </w:p>
              </w:tc>
              <w:tc>
                <w:tcPr>
                  <w:tcW w:w="386" w:type="pct"/>
                  <w:vMerge w:val="continue"/>
                  <w:vAlign w:val="center"/>
                </w:tcPr>
                <w:p w14:paraId="797B7080">
                  <w:pPr>
                    <w:jc w:val="center"/>
                    <w:rPr>
                      <w:rFonts w:hint="eastAsia"/>
                      <w:color w:val="auto"/>
                      <w:sz w:val="18"/>
                      <w:szCs w:val="18"/>
                      <w:lang w:val="en-US" w:eastAsia="zh-CN"/>
                    </w:rPr>
                  </w:pPr>
                </w:p>
              </w:tc>
              <w:tc>
                <w:tcPr>
                  <w:tcW w:w="979" w:type="pct"/>
                  <w:vAlign w:val="center"/>
                </w:tcPr>
                <w:p w14:paraId="01D10A72">
                  <w:pPr>
                    <w:jc w:val="center"/>
                    <w:rPr>
                      <w:rFonts w:hint="default"/>
                      <w:color w:val="auto"/>
                      <w:sz w:val="18"/>
                      <w:szCs w:val="18"/>
                      <w:lang w:val="en-US" w:eastAsia="zh-CN"/>
                    </w:rPr>
                  </w:pPr>
                  <w:r>
                    <w:rPr>
                      <w:rFonts w:hint="eastAsia"/>
                      <w:color w:val="auto"/>
                      <w:sz w:val="18"/>
                      <w:szCs w:val="18"/>
                      <w:lang w:val="en-US" w:eastAsia="zh-CN"/>
                    </w:rPr>
                    <w:t>废离子交换树脂</w:t>
                  </w:r>
                </w:p>
              </w:tc>
              <w:tc>
                <w:tcPr>
                  <w:tcW w:w="1282" w:type="pct"/>
                  <w:tcMar>
                    <w:top w:w="0" w:type="dxa"/>
                    <w:left w:w="28" w:type="dxa"/>
                    <w:bottom w:w="0" w:type="dxa"/>
                    <w:right w:w="28" w:type="dxa"/>
                  </w:tcMar>
                  <w:vAlign w:val="center"/>
                </w:tcPr>
                <w:p w14:paraId="0587260B">
                  <w:pPr>
                    <w:jc w:val="center"/>
                    <w:rPr>
                      <w:rFonts w:hint="default"/>
                      <w:color w:val="auto"/>
                      <w:sz w:val="18"/>
                      <w:szCs w:val="18"/>
                      <w:lang w:val="en-US" w:eastAsia="zh-CN"/>
                    </w:rPr>
                  </w:pPr>
                  <w:r>
                    <w:rPr>
                      <w:rFonts w:hint="eastAsia"/>
                      <w:color w:val="auto"/>
                      <w:sz w:val="18"/>
                      <w:szCs w:val="18"/>
                      <w:lang w:val="en-US" w:eastAsia="zh-CN"/>
                    </w:rPr>
                    <w:t>--</w:t>
                  </w:r>
                </w:p>
              </w:tc>
              <w:tc>
                <w:tcPr>
                  <w:tcW w:w="1960" w:type="pct"/>
                  <w:gridSpan w:val="2"/>
                  <w:tcMar>
                    <w:top w:w="0" w:type="dxa"/>
                    <w:left w:w="28" w:type="dxa"/>
                    <w:bottom w:w="0" w:type="dxa"/>
                    <w:right w:w="28" w:type="dxa"/>
                  </w:tcMar>
                  <w:vAlign w:val="center"/>
                </w:tcPr>
                <w:p w14:paraId="054DCBEA">
                  <w:pPr>
                    <w:jc w:val="center"/>
                    <w:rPr>
                      <w:rFonts w:hint="eastAsia"/>
                      <w:color w:val="auto"/>
                      <w:sz w:val="18"/>
                      <w:szCs w:val="18"/>
                      <w:lang w:val="en-US" w:eastAsia="zh-CN"/>
                    </w:rPr>
                  </w:pPr>
                  <w:r>
                    <w:rPr>
                      <w:rFonts w:hint="eastAsia"/>
                      <w:color w:val="auto"/>
                      <w:sz w:val="18"/>
                      <w:szCs w:val="18"/>
                      <w:lang w:val="en-US" w:eastAsia="zh-CN"/>
                    </w:rPr>
                    <w:t>厂家回收</w:t>
                  </w:r>
                </w:p>
              </w:tc>
            </w:tr>
            <w:tr w14:paraId="13E3A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2F1137F6">
                  <w:pPr>
                    <w:jc w:val="center"/>
                    <w:rPr>
                      <w:rFonts w:hint="eastAsia" w:ascii="Times New Roman" w:hAnsi="Times New Roman"/>
                      <w:color w:val="auto"/>
                      <w:sz w:val="18"/>
                      <w:szCs w:val="18"/>
                    </w:rPr>
                  </w:pPr>
                </w:p>
              </w:tc>
              <w:tc>
                <w:tcPr>
                  <w:tcW w:w="386" w:type="pct"/>
                  <w:vMerge w:val="continue"/>
                  <w:vAlign w:val="center"/>
                </w:tcPr>
                <w:p w14:paraId="2A5E2F66">
                  <w:pPr>
                    <w:jc w:val="center"/>
                    <w:rPr>
                      <w:rFonts w:hint="eastAsia"/>
                      <w:color w:val="auto"/>
                      <w:sz w:val="18"/>
                      <w:szCs w:val="18"/>
                      <w:lang w:val="en-US" w:eastAsia="zh-CN"/>
                    </w:rPr>
                  </w:pPr>
                </w:p>
              </w:tc>
              <w:tc>
                <w:tcPr>
                  <w:tcW w:w="979" w:type="pct"/>
                  <w:vAlign w:val="center"/>
                </w:tcPr>
                <w:p w14:paraId="6310F9DD">
                  <w:pPr>
                    <w:jc w:val="center"/>
                    <w:rPr>
                      <w:rFonts w:hint="default"/>
                      <w:color w:val="auto"/>
                      <w:sz w:val="18"/>
                      <w:szCs w:val="18"/>
                      <w:lang w:val="en-US" w:eastAsia="zh-CN"/>
                    </w:rPr>
                  </w:pPr>
                  <w:r>
                    <w:rPr>
                      <w:rFonts w:hint="eastAsia"/>
                      <w:color w:val="auto"/>
                      <w:sz w:val="18"/>
                      <w:szCs w:val="18"/>
                      <w:lang w:val="en-US" w:eastAsia="zh-CN"/>
                    </w:rPr>
                    <w:t>废反渗透膜</w:t>
                  </w:r>
                </w:p>
              </w:tc>
              <w:tc>
                <w:tcPr>
                  <w:tcW w:w="1282" w:type="pct"/>
                  <w:tcMar>
                    <w:top w:w="0" w:type="dxa"/>
                    <w:left w:w="28" w:type="dxa"/>
                    <w:bottom w:w="0" w:type="dxa"/>
                    <w:right w:w="28" w:type="dxa"/>
                  </w:tcMar>
                  <w:vAlign w:val="center"/>
                </w:tcPr>
                <w:p w14:paraId="0C27F73F">
                  <w:pPr>
                    <w:jc w:val="center"/>
                    <w:rPr>
                      <w:rFonts w:hint="default"/>
                      <w:color w:val="auto"/>
                      <w:sz w:val="18"/>
                      <w:szCs w:val="18"/>
                      <w:lang w:val="en-US" w:eastAsia="zh-CN"/>
                    </w:rPr>
                  </w:pPr>
                  <w:r>
                    <w:rPr>
                      <w:rFonts w:hint="eastAsia"/>
                      <w:color w:val="auto"/>
                      <w:sz w:val="18"/>
                      <w:szCs w:val="18"/>
                      <w:lang w:val="en-US" w:eastAsia="zh-CN"/>
                    </w:rPr>
                    <w:t>--</w:t>
                  </w:r>
                </w:p>
              </w:tc>
              <w:tc>
                <w:tcPr>
                  <w:tcW w:w="1960" w:type="pct"/>
                  <w:gridSpan w:val="2"/>
                  <w:tcMar>
                    <w:top w:w="0" w:type="dxa"/>
                    <w:left w:w="28" w:type="dxa"/>
                    <w:bottom w:w="0" w:type="dxa"/>
                    <w:right w:w="28" w:type="dxa"/>
                  </w:tcMar>
                  <w:vAlign w:val="center"/>
                </w:tcPr>
                <w:p w14:paraId="63550135">
                  <w:pPr>
                    <w:jc w:val="center"/>
                    <w:rPr>
                      <w:rFonts w:hint="eastAsia"/>
                      <w:color w:val="auto"/>
                      <w:sz w:val="18"/>
                      <w:szCs w:val="18"/>
                      <w:lang w:val="en-US" w:eastAsia="zh-CN"/>
                    </w:rPr>
                  </w:pPr>
                  <w:r>
                    <w:rPr>
                      <w:rFonts w:hint="eastAsia"/>
                      <w:color w:val="auto"/>
                      <w:sz w:val="18"/>
                      <w:szCs w:val="18"/>
                      <w:lang w:val="en-US" w:eastAsia="zh-CN"/>
                    </w:rPr>
                    <w:t>厂家回收</w:t>
                  </w:r>
                </w:p>
              </w:tc>
            </w:tr>
            <w:tr w14:paraId="1653E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tcMar>
                    <w:top w:w="0" w:type="dxa"/>
                    <w:left w:w="28" w:type="dxa"/>
                    <w:bottom w:w="0" w:type="dxa"/>
                    <w:right w:w="28" w:type="dxa"/>
                  </w:tcMar>
                  <w:vAlign w:val="center"/>
                </w:tcPr>
                <w:p w14:paraId="6F5CDA59">
                  <w:pPr>
                    <w:jc w:val="center"/>
                    <w:rPr>
                      <w:rFonts w:ascii="Times New Roman" w:hAnsi="Times New Roman"/>
                      <w:color w:val="auto"/>
                      <w:sz w:val="18"/>
                      <w:szCs w:val="18"/>
                    </w:rPr>
                  </w:pPr>
                </w:p>
              </w:tc>
              <w:tc>
                <w:tcPr>
                  <w:tcW w:w="1365" w:type="pct"/>
                  <w:gridSpan w:val="2"/>
                  <w:vAlign w:val="center"/>
                </w:tcPr>
                <w:p w14:paraId="7C239A07">
                  <w:pPr>
                    <w:jc w:val="center"/>
                    <w:rPr>
                      <w:rFonts w:ascii="Times New Roman" w:hAnsi="Times New Roman"/>
                      <w:color w:val="auto"/>
                      <w:sz w:val="18"/>
                      <w:szCs w:val="18"/>
                    </w:rPr>
                  </w:pPr>
                  <w:r>
                    <w:rPr>
                      <w:rFonts w:hint="eastAsia" w:ascii="Times New Roman" w:hAnsi="Times New Roman"/>
                      <w:color w:val="auto"/>
                      <w:sz w:val="18"/>
                      <w:szCs w:val="18"/>
                    </w:rPr>
                    <w:t>生活垃圾</w:t>
                  </w:r>
                </w:p>
              </w:tc>
              <w:tc>
                <w:tcPr>
                  <w:tcW w:w="1282" w:type="pct"/>
                  <w:tcMar>
                    <w:top w:w="0" w:type="dxa"/>
                    <w:left w:w="28" w:type="dxa"/>
                    <w:bottom w:w="0" w:type="dxa"/>
                    <w:right w:w="28" w:type="dxa"/>
                  </w:tcMar>
                  <w:vAlign w:val="center"/>
                </w:tcPr>
                <w:p w14:paraId="7C4274DE">
                  <w:pPr>
                    <w:jc w:val="center"/>
                    <w:rPr>
                      <w:rFonts w:ascii="Times New Roman" w:hAnsi="Times New Roman"/>
                      <w:color w:val="auto"/>
                      <w:sz w:val="18"/>
                      <w:szCs w:val="18"/>
                    </w:rPr>
                  </w:pPr>
                  <w:r>
                    <w:rPr>
                      <w:rFonts w:hint="eastAsia" w:ascii="Times New Roman" w:hAnsi="Times New Roman"/>
                      <w:color w:val="auto"/>
                      <w:sz w:val="18"/>
                      <w:szCs w:val="18"/>
                    </w:rPr>
                    <w:t>垃圾、纸屑等</w:t>
                  </w:r>
                </w:p>
              </w:tc>
              <w:tc>
                <w:tcPr>
                  <w:tcW w:w="1960" w:type="pct"/>
                  <w:gridSpan w:val="2"/>
                  <w:tcMar>
                    <w:top w:w="0" w:type="dxa"/>
                    <w:left w:w="28" w:type="dxa"/>
                    <w:bottom w:w="0" w:type="dxa"/>
                    <w:right w:w="28" w:type="dxa"/>
                  </w:tcMar>
                  <w:vAlign w:val="center"/>
                </w:tcPr>
                <w:p w14:paraId="4AB13563">
                  <w:pPr>
                    <w:jc w:val="center"/>
                    <w:rPr>
                      <w:rFonts w:ascii="Times New Roman" w:hAnsi="Times New Roman"/>
                      <w:color w:val="auto"/>
                      <w:sz w:val="18"/>
                      <w:szCs w:val="18"/>
                    </w:rPr>
                  </w:pPr>
                  <w:r>
                    <w:rPr>
                      <w:rFonts w:hint="eastAsia" w:ascii="Times New Roman" w:hAnsi="Times New Roman"/>
                      <w:color w:val="auto"/>
                      <w:sz w:val="18"/>
                      <w:szCs w:val="18"/>
                    </w:rPr>
                    <w:t>环卫部门定期清运</w:t>
                  </w:r>
                </w:p>
              </w:tc>
            </w:tr>
          </w:tbl>
          <w:p w14:paraId="215F036F">
            <w:pPr>
              <w:adjustRightInd w:val="0"/>
              <w:snapToGrid w:val="0"/>
              <w:spacing w:line="460" w:lineRule="exact"/>
              <w:rPr>
                <w:b/>
                <w:color w:val="auto"/>
                <w:szCs w:val="21"/>
              </w:rPr>
            </w:pPr>
            <w:r>
              <w:rPr>
                <w:rFonts w:hint="eastAsia"/>
                <w:b/>
                <w:color w:val="auto"/>
                <w:szCs w:val="21"/>
              </w:rPr>
              <w:t>三、现有项目“三废”达标排放情况</w:t>
            </w:r>
          </w:p>
          <w:p w14:paraId="6407727D">
            <w:pPr>
              <w:adjustRightInd w:val="0"/>
              <w:snapToGrid w:val="0"/>
              <w:spacing w:line="460" w:lineRule="exact"/>
              <w:ind w:firstLine="422" w:firstLineChars="200"/>
              <w:rPr>
                <w:b/>
                <w:color w:val="auto"/>
                <w:szCs w:val="21"/>
              </w:rPr>
            </w:pPr>
            <w:r>
              <w:rPr>
                <w:rFonts w:hint="eastAsia"/>
                <w:b/>
                <w:color w:val="auto"/>
                <w:szCs w:val="21"/>
              </w:rPr>
              <w:t>1、废气</w:t>
            </w:r>
          </w:p>
          <w:p w14:paraId="036F2B6F">
            <w:pPr>
              <w:adjustRightInd w:val="0"/>
              <w:snapToGrid w:val="0"/>
              <w:spacing w:line="460" w:lineRule="exact"/>
              <w:ind w:firstLine="422" w:firstLineChars="200"/>
              <w:rPr>
                <w:b/>
                <w:color w:val="auto"/>
                <w:szCs w:val="21"/>
              </w:rPr>
            </w:pPr>
            <w:r>
              <w:rPr>
                <w:rFonts w:hint="eastAsia"/>
                <w:b/>
                <w:color w:val="auto"/>
                <w:szCs w:val="21"/>
              </w:rPr>
              <w:t>（1）有组织废气</w:t>
            </w:r>
          </w:p>
          <w:p w14:paraId="06F76A10">
            <w:pPr>
              <w:adjustRightInd w:val="0"/>
              <w:snapToGrid w:val="0"/>
              <w:spacing w:line="460" w:lineRule="exact"/>
              <w:ind w:firstLine="420" w:firstLineChars="200"/>
              <w:rPr>
                <w:rFonts w:hint="default"/>
                <w:bCs/>
                <w:color w:val="auto"/>
                <w:szCs w:val="21"/>
                <w:lang w:val="en-US" w:eastAsia="zh-CN"/>
              </w:rPr>
            </w:pPr>
            <w:r>
              <w:rPr>
                <w:rFonts w:hint="eastAsia"/>
                <w:bCs/>
                <w:color w:val="auto"/>
                <w:szCs w:val="21"/>
                <w:lang w:val="en-US" w:eastAsia="zh-CN"/>
              </w:rPr>
              <w:t>1）有组织废气达标情况分析</w:t>
            </w:r>
          </w:p>
          <w:p w14:paraId="6520DF46">
            <w:pPr>
              <w:adjustRightInd w:val="0"/>
              <w:snapToGrid w:val="0"/>
              <w:spacing w:line="460" w:lineRule="exact"/>
              <w:ind w:firstLine="420" w:firstLineChars="200"/>
              <w:rPr>
                <w:rFonts w:hint="default" w:eastAsia="宋体"/>
                <w:bCs/>
                <w:color w:val="auto"/>
                <w:szCs w:val="21"/>
                <w:lang w:val="en-US" w:eastAsia="zh-CN"/>
              </w:rPr>
            </w:pPr>
            <w:r>
              <w:rPr>
                <w:rFonts w:hint="eastAsia"/>
                <w:bCs/>
                <w:color w:val="auto"/>
                <w:szCs w:val="21"/>
                <w:lang w:val="en-US" w:eastAsia="zh-CN"/>
              </w:rPr>
              <w:t>根据前述，现有项目有组织废气收集后经水洗预处理后送西厂区2台尾气炉焚烧处理，处理后废气经配套DA001及DA002排气筒排放。其中，DA001排气筒安装有</w:t>
            </w:r>
            <w:r>
              <w:rPr>
                <w:rFonts w:hint="eastAsia"/>
                <w:bCs/>
                <w:color w:val="auto"/>
                <w:szCs w:val="21"/>
                <w:highlight w:val="none"/>
                <w:lang w:val="en-US" w:eastAsia="zh-CN"/>
              </w:rPr>
              <w:t>VOCs</w:t>
            </w:r>
            <w:r>
              <w:rPr>
                <w:rFonts w:hint="eastAsia"/>
                <w:bCs/>
                <w:color w:val="auto"/>
                <w:szCs w:val="21"/>
                <w:lang w:val="en-US" w:eastAsia="zh-CN"/>
              </w:rPr>
              <w:t>在线监测系统，其他污染物采用手工监测。本次环评收集了DA001排气筒</w:t>
            </w:r>
            <w:r>
              <w:rPr>
                <w:rFonts w:hint="eastAsia"/>
                <w:bCs/>
                <w:color w:val="auto"/>
                <w:szCs w:val="21"/>
                <w:highlight w:val="none"/>
                <w:lang w:val="en-US" w:eastAsia="zh-CN"/>
              </w:rPr>
              <w:t>VOCs</w:t>
            </w:r>
            <w:r>
              <w:rPr>
                <w:rFonts w:hint="eastAsia"/>
                <w:color w:val="auto"/>
                <w:szCs w:val="24"/>
                <w:lang w:val="en-US" w:eastAsia="zh-CN"/>
              </w:rPr>
              <w:t>近3个月</w:t>
            </w:r>
            <w:r>
              <w:rPr>
                <w:rFonts w:hint="eastAsia"/>
                <w:color w:val="auto"/>
                <w:szCs w:val="24"/>
              </w:rPr>
              <w:t>在线监测数据</w:t>
            </w:r>
            <w:r>
              <w:rPr>
                <w:rFonts w:hint="eastAsia"/>
                <w:color w:val="auto"/>
                <w:szCs w:val="24"/>
                <w:lang w:val="en-US" w:eastAsia="zh-CN"/>
              </w:rPr>
              <w:t>及2025年9月8日山东中熙环境检测服务有限公司出具的山东诚光工贸有限公司现有例行检测报告“ZXJC/BG202509080、ZXJC/BG202509081”，监测结果统计如下：</w:t>
            </w:r>
          </w:p>
          <w:p w14:paraId="5620B04C">
            <w:pPr>
              <w:adjustRightInd w:val="0"/>
              <w:snapToGrid w:val="0"/>
              <w:spacing w:before="120" w:beforeLines="50"/>
              <w:jc w:val="center"/>
              <w:rPr>
                <w:b/>
                <w:color w:val="auto"/>
                <w:szCs w:val="21"/>
              </w:rPr>
            </w:pPr>
            <w:r>
              <w:rPr>
                <w:rFonts w:hint="eastAsia"/>
                <w:b/>
                <w:color w:val="auto"/>
                <w:szCs w:val="21"/>
              </w:rPr>
              <w:t>表2-</w:t>
            </w:r>
            <w:r>
              <w:rPr>
                <w:rFonts w:hint="eastAsia"/>
                <w:b/>
                <w:color w:val="auto"/>
                <w:szCs w:val="21"/>
                <w:lang w:val="en-US" w:eastAsia="zh-CN"/>
              </w:rPr>
              <w:t>10</w:t>
            </w:r>
            <w:r>
              <w:rPr>
                <w:rFonts w:hint="eastAsia"/>
                <w:b/>
                <w:color w:val="auto"/>
                <w:szCs w:val="21"/>
              </w:rPr>
              <w:t xml:space="preserve">  </w:t>
            </w:r>
            <w:r>
              <w:rPr>
                <w:rFonts w:hint="eastAsia"/>
                <w:b/>
                <w:color w:val="auto"/>
                <w:szCs w:val="21"/>
                <w:lang w:val="en-US" w:eastAsia="zh-CN"/>
              </w:rPr>
              <w:t>DA001</w:t>
            </w:r>
            <w:r>
              <w:rPr>
                <w:rFonts w:hint="eastAsia"/>
                <w:b/>
                <w:color w:val="auto"/>
                <w:szCs w:val="21"/>
              </w:rPr>
              <w:t>排气筒VOCs在线监测数据（小时值）</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681"/>
              <w:gridCol w:w="1541"/>
              <w:gridCol w:w="1666"/>
              <w:gridCol w:w="2219"/>
            </w:tblGrid>
            <w:tr w14:paraId="7C6A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1" w:type="pct"/>
                  <w:tcBorders>
                    <w:tl2br w:val="nil"/>
                    <w:tr2bl w:val="nil"/>
                  </w:tcBorders>
                  <w:tcMar>
                    <w:left w:w="57" w:type="dxa"/>
                    <w:right w:w="57" w:type="dxa"/>
                  </w:tcMar>
                  <w:vAlign w:val="center"/>
                </w:tcPr>
                <w:p w14:paraId="45434772">
                  <w:pPr>
                    <w:pStyle w:val="73"/>
                    <w:spacing w:beforeLines="0" w:line="240" w:lineRule="auto"/>
                    <w:rPr>
                      <w:color w:val="auto"/>
                      <w:sz w:val="18"/>
                      <w:szCs w:val="18"/>
                      <w:highlight w:val="none"/>
                    </w:rPr>
                  </w:pPr>
                  <w:r>
                    <w:rPr>
                      <w:color w:val="auto"/>
                      <w:sz w:val="18"/>
                      <w:szCs w:val="18"/>
                      <w:highlight w:val="none"/>
                    </w:rPr>
                    <w:t>时间</w:t>
                  </w:r>
                </w:p>
              </w:tc>
              <w:tc>
                <w:tcPr>
                  <w:tcW w:w="997" w:type="pct"/>
                  <w:tcBorders>
                    <w:tl2br w:val="nil"/>
                    <w:tr2bl w:val="nil"/>
                  </w:tcBorders>
                  <w:tcMar>
                    <w:left w:w="57" w:type="dxa"/>
                    <w:right w:w="57" w:type="dxa"/>
                  </w:tcMar>
                  <w:vAlign w:val="center"/>
                </w:tcPr>
                <w:p w14:paraId="70C1BD81">
                  <w:pPr>
                    <w:pStyle w:val="73"/>
                    <w:spacing w:beforeLines="0" w:line="240" w:lineRule="auto"/>
                    <w:rPr>
                      <w:color w:val="auto"/>
                      <w:sz w:val="18"/>
                      <w:szCs w:val="18"/>
                      <w:highlight w:val="none"/>
                    </w:rPr>
                  </w:pPr>
                  <w:r>
                    <w:rPr>
                      <w:color w:val="auto"/>
                      <w:sz w:val="18"/>
                      <w:szCs w:val="18"/>
                      <w:highlight w:val="none"/>
                    </w:rPr>
                    <w:t>实测浓度(mg/m</w:t>
                  </w:r>
                  <w:r>
                    <w:rPr>
                      <w:color w:val="auto"/>
                      <w:sz w:val="18"/>
                      <w:szCs w:val="18"/>
                      <w:highlight w:val="none"/>
                      <w:vertAlign w:val="superscript"/>
                    </w:rPr>
                    <w:t>3</w:t>
                  </w:r>
                  <w:r>
                    <w:rPr>
                      <w:color w:val="auto"/>
                      <w:sz w:val="18"/>
                      <w:szCs w:val="18"/>
                      <w:highlight w:val="none"/>
                    </w:rPr>
                    <w:t>)</w:t>
                  </w:r>
                </w:p>
              </w:tc>
              <w:tc>
                <w:tcPr>
                  <w:tcW w:w="914" w:type="pct"/>
                  <w:tcBorders>
                    <w:tl2br w:val="nil"/>
                    <w:tr2bl w:val="nil"/>
                  </w:tcBorders>
                  <w:tcMar>
                    <w:left w:w="57" w:type="dxa"/>
                    <w:right w:w="57" w:type="dxa"/>
                  </w:tcMar>
                  <w:vAlign w:val="center"/>
                </w:tcPr>
                <w:p w14:paraId="4117C0E3">
                  <w:pPr>
                    <w:pStyle w:val="73"/>
                    <w:spacing w:beforeLines="0" w:line="240" w:lineRule="auto"/>
                    <w:rPr>
                      <w:color w:val="auto"/>
                      <w:sz w:val="18"/>
                      <w:szCs w:val="18"/>
                      <w:highlight w:val="none"/>
                    </w:rPr>
                  </w:pPr>
                  <w:r>
                    <w:rPr>
                      <w:color w:val="auto"/>
                      <w:sz w:val="18"/>
                      <w:szCs w:val="18"/>
                      <w:highlight w:val="none"/>
                    </w:rPr>
                    <w:t>折算浓度(mg/m</w:t>
                  </w:r>
                  <w:r>
                    <w:rPr>
                      <w:color w:val="auto"/>
                      <w:sz w:val="18"/>
                      <w:szCs w:val="18"/>
                      <w:highlight w:val="none"/>
                      <w:vertAlign w:val="superscript"/>
                    </w:rPr>
                    <w:t>3</w:t>
                  </w:r>
                  <w:r>
                    <w:rPr>
                      <w:color w:val="auto"/>
                      <w:sz w:val="18"/>
                      <w:szCs w:val="18"/>
                      <w:highlight w:val="none"/>
                    </w:rPr>
                    <w:t>)</w:t>
                  </w:r>
                </w:p>
              </w:tc>
              <w:tc>
                <w:tcPr>
                  <w:tcW w:w="988" w:type="pct"/>
                  <w:tcBorders>
                    <w:tl2br w:val="nil"/>
                    <w:tr2bl w:val="nil"/>
                  </w:tcBorders>
                  <w:tcMar>
                    <w:left w:w="57" w:type="dxa"/>
                    <w:right w:w="57" w:type="dxa"/>
                  </w:tcMar>
                  <w:vAlign w:val="center"/>
                </w:tcPr>
                <w:p w14:paraId="77811359">
                  <w:pPr>
                    <w:pStyle w:val="73"/>
                    <w:spacing w:beforeLines="0" w:line="240" w:lineRule="auto"/>
                    <w:rPr>
                      <w:color w:val="auto"/>
                      <w:sz w:val="18"/>
                      <w:szCs w:val="18"/>
                      <w:highlight w:val="none"/>
                    </w:rPr>
                  </w:pPr>
                  <w:r>
                    <w:rPr>
                      <w:color w:val="auto"/>
                      <w:sz w:val="18"/>
                      <w:szCs w:val="18"/>
                      <w:highlight w:val="none"/>
                    </w:rPr>
                    <w:t>氧含量(%)</w:t>
                  </w:r>
                </w:p>
              </w:tc>
              <w:tc>
                <w:tcPr>
                  <w:tcW w:w="1317" w:type="pct"/>
                  <w:tcBorders>
                    <w:tl2br w:val="nil"/>
                    <w:tr2bl w:val="nil"/>
                  </w:tcBorders>
                  <w:vAlign w:val="center"/>
                </w:tcPr>
                <w:p w14:paraId="32812358">
                  <w:pPr>
                    <w:pStyle w:val="73"/>
                    <w:spacing w:beforeLines="0" w:line="240" w:lineRule="auto"/>
                    <w:rPr>
                      <w:color w:val="auto"/>
                      <w:sz w:val="18"/>
                      <w:szCs w:val="18"/>
                      <w:highlight w:val="none"/>
                    </w:rPr>
                  </w:pPr>
                  <w:r>
                    <w:rPr>
                      <w:rFonts w:hint="eastAsia"/>
                      <w:color w:val="auto"/>
                      <w:sz w:val="18"/>
                      <w:szCs w:val="18"/>
                      <w:highlight w:val="none"/>
                    </w:rPr>
                    <w:t>废气排放量（</w:t>
                  </w:r>
                  <w:r>
                    <w:rPr>
                      <w:color w:val="auto"/>
                      <w:sz w:val="18"/>
                      <w:szCs w:val="18"/>
                      <w:highlight w:val="none"/>
                    </w:rPr>
                    <w:t>m</w:t>
                  </w:r>
                  <w:r>
                    <w:rPr>
                      <w:color w:val="auto"/>
                      <w:sz w:val="18"/>
                      <w:szCs w:val="18"/>
                      <w:highlight w:val="none"/>
                      <w:vertAlign w:val="superscript"/>
                    </w:rPr>
                    <w:t>3</w:t>
                  </w:r>
                  <w:r>
                    <w:rPr>
                      <w:rFonts w:hint="eastAsia"/>
                      <w:color w:val="auto"/>
                      <w:sz w:val="18"/>
                      <w:szCs w:val="18"/>
                      <w:highlight w:val="none"/>
                    </w:rPr>
                    <w:t>/h）</w:t>
                  </w:r>
                </w:p>
              </w:tc>
            </w:tr>
            <w:tr w14:paraId="70B82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1" w:type="pct"/>
                  <w:tcBorders>
                    <w:tl2br w:val="nil"/>
                    <w:tr2bl w:val="nil"/>
                  </w:tcBorders>
                  <w:tcMar>
                    <w:left w:w="57" w:type="dxa"/>
                    <w:right w:w="57" w:type="dxa"/>
                  </w:tcMar>
                  <w:vAlign w:val="center"/>
                </w:tcPr>
                <w:p w14:paraId="1C9CF21B">
                  <w:pPr>
                    <w:pStyle w:val="73"/>
                    <w:spacing w:beforeLines="0" w:line="240" w:lineRule="auto"/>
                    <w:rPr>
                      <w:rFonts w:hint="eastAsia"/>
                      <w:b w:val="0"/>
                      <w:bCs/>
                      <w:color w:val="auto"/>
                      <w:sz w:val="18"/>
                      <w:szCs w:val="18"/>
                      <w:highlight w:val="none"/>
                    </w:rPr>
                  </w:pPr>
                  <w:r>
                    <w:rPr>
                      <w:rFonts w:hint="eastAsia"/>
                      <w:b w:val="0"/>
                      <w:bCs/>
                      <w:color w:val="auto"/>
                      <w:sz w:val="18"/>
                      <w:szCs w:val="18"/>
                      <w:highlight w:val="none"/>
                    </w:rPr>
                    <w:t>2025.1</w:t>
                  </w:r>
                </w:p>
              </w:tc>
              <w:tc>
                <w:tcPr>
                  <w:tcW w:w="997" w:type="pct"/>
                  <w:tcBorders>
                    <w:tl2br w:val="nil"/>
                    <w:tr2bl w:val="nil"/>
                  </w:tcBorders>
                  <w:shd w:val="clear" w:color="auto" w:fill="auto"/>
                  <w:tcMar>
                    <w:left w:w="57" w:type="dxa"/>
                    <w:right w:w="57" w:type="dxa"/>
                  </w:tcMar>
                  <w:vAlign w:val="center"/>
                </w:tcPr>
                <w:p w14:paraId="253D538E">
                  <w:pPr>
                    <w:pStyle w:val="73"/>
                    <w:spacing w:beforeLines="0" w:line="240" w:lineRule="auto"/>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1.16~21.5</w:t>
                  </w:r>
                </w:p>
              </w:tc>
              <w:tc>
                <w:tcPr>
                  <w:tcW w:w="914" w:type="pct"/>
                  <w:tcBorders>
                    <w:tl2br w:val="nil"/>
                    <w:tr2bl w:val="nil"/>
                  </w:tcBorders>
                  <w:shd w:val="clear" w:color="auto" w:fill="auto"/>
                  <w:tcMar>
                    <w:left w:w="57" w:type="dxa"/>
                    <w:right w:w="57" w:type="dxa"/>
                  </w:tcMar>
                  <w:vAlign w:val="center"/>
                </w:tcPr>
                <w:p w14:paraId="348F650B">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1.51~27.4</w:t>
                  </w:r>
                </w:p>
              </w:tc>
              <w:tc>
                <w:tcPr>
                  <w:tcW w:w="988" w:type="pct"/>
                  <w:tcBorders>
                    <w:tl2br w:val="nil"/>
                    <w:tr2bl w:val="nil"/>
                  </w:tcBorders>
                  <w:shd w:val="clear" w:color="auto" w:fill="auto"/>
                  <w:tcMar>
                    <w:left w:w="57" w:type="dxa"/>
                    <w:right w:w="57" w:type="dxa"/>
                  </w:tcMar>
                  <w:vAlign w:val="center"/>
                </w:tcPr>
                <w:p w14:paraId="09C88CA0">
                  <w:pPr>
                    <w:pStyle w:val="73"/>
                    <w:spacing w:beforeLines="0" w:line="240" w:lineRule="auto"/>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6.28~7.41</w:t>
                  </w:r>
                </w:p>
              </w:tc>
              <w:tc>
                <w:tcPr>
                  <w:tcW w:w="1317" w:type="pct"/>
                  <w:tcBorders>
                    <w:tl2br w:val="nil"/>
                    <w:tr2bl w:val="nil"/>
                  </w:tcBorders>
                  <w:shd w:val="clear" w:color="auto" w:fill="auto"/>
                  <w:vAlign w:val="center"/>
                </w:tcPr>
                <w:p w14:paraId="729FAD95">
                  <w:pPr>
                    <w:pStyle w:val="73"/>
                    <w:spacing w:beforeLines="0" w:line="240" w:lineRule="auto"/>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11186~13786</w:t>
                  </w:r>
                </w:p>
              </w:tc>
            </w:tr>
            <w:tr w14:paraId="59870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1" w:type="pct"/>
                  <w:tcBorders>
                    <w:tl2br w:val="nil"/>
                    <w:tr2bl w:val="nil"/>
                  </w:tcBorders>
                  <w:tcMar>
                    <w:left w:w="57" w:type="dxa"/>
                    <w:right w:w="57" w:type="dxa"/>
                  </w:tcMar>
                  <w:vAlign w:val="center"/>
                </w:tcPr>
                <w:p w14:paraId="0B297959">
                  <w:pPr>
                    <w:pStyle w:val="73"/>
                    <w:spacing w:beforeLines="0" w:line="240" w:lineRule="auto"/>
                    <w:rPr>
                      <w:rFonts w:hint="eastAsia"/>
                      <w:b w:val="0"/>
                      <w:bCs/>
                      <w:color w:val="auto"/>
                      <w:sz w:val="18"/>
                      <w:szCs w:val="18"/>
                      <w:highlight w:val="none"/>
                    </w:rPr>
                  </w:pPr>
                  <w:r>
                    <w:rPr>
                      <w:rFonts w:hint="eastAsia"/>
                      <w:b w:val="0"/>
                      <w:bCs/>
                      <w:color w:val="auto"/>
                      <w:sz w:val="18"/>
                      <w:szCs w:val="18"/>
                      <w:highlight w:val="none"/>
                    </w:rPr>
                    <w:t>2025.2</w:t>
                  </w:r>
                </w:p>
              </w:tc>
              <w:tc>
                <w:tcPr>
                  <w:tcW w:w="997" w:type="pct"/>
                  <w:tcBorders>
                    <w:tl2br w:val="nil"/>
                    <w:tr2bl w:val="nil"/>
                  </w:tcBorders>
                  <w:shd w:val="clear" w:color="auto" w:fill="auto"/>
                  <w:tcMar>
                    <w:left w:w="57" w:type="dxa"/>
                    <w:right w:w="57" w:type="dxa"/>
                  </w:tcMar>
                  <w:vAlign w:val="center"/>
                </w:tcPr>
                <w:p w14:paraId="34ACF7A2">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1.33~20.0</w:t>
                  </w:r>
                </w:p>
              </w:tc>
              <w:tc>
                <w:tcPr>
                  <w:tcW w:w="914" w:type="pct"/>
                  <w:tcBorders>
                    <w:tl2br w:val="nil"/>
                    <w:tr2bl w:val="nil"/>
                  </w:tcBorders>
                  <w:shd w:val="clear" w:color="auto" w:fill="auto"/>
                  <w:tcMar>
                    <w:left w:w="57" w:type="dxa"/>
                    <w:right w:w="57" w:type="dxa"/>
                  </w:tcMar>
                  <w:vAlign w:val="center"/>
                </w:tcPr>
                <w:p w14:paraId="2BEFC293">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1.56~24.3</w:t>
                  </w:r>
                </w:p>
              </w:tc>
              <w:tc>
                <w:tcPr>
                  <w:tcW w:w="988" w:type="pct"/>
                  <w:tcBorders>
                    <w:tl2br w:val="nil"/>
                    <w:tr2bl w:val="nil"/>
                  </w:tcBorders>
                  <w:shd w:val="clear" w:color="auto" w:fill="auto"/>
                  <w:tcMar>
                    <w:left w:w="57" w:type="dxa"/>
                    <w:right w:w="57" w:type="dxa"/>
                  </w:tcMar>
                  <w:vAlign w:val="center"/>
                </w:tcPr>
                <w:p w14:paraId="4450C55D">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5.44~6.45</w:t>
                  </w:r>
                </w:p>
              </w:tc>
              <w:tc>
                <w:tcPr>
                  <w:tcW w:w="1317" w:type="pct"/>
                  <w:tcBorders>
                    <w:tl2br w:val="nil"/>
                    <w:tr2bl w:val="nil"/>
                  </w:tcBorders>
                  <w:shd w:val="clear" w:color="auto" w:fill="auto"/>
                  <w:vAlign w:val="center"/>
                </w:tcPr>
                <w:p w14:paraId="52B44A29">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13461~14497</w:t>
                  </w:r>
                </w:p>
              </w:tc>
            </w:tr>
            <w:tr w14:paraId="4B9D7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1" w:type="pct"/>
                  <w:tcBorders>
                    <w:tl2br w:val="nil"/>
                    <w:tr2bl w:val="nil"/>
                  </w:tcBorders>
                  <w:tcMar>
                    <w:left w:w="57" w:type="dxa"/>
                    <w:right w:w="57" w:type="dxa"/>
                  </w:tcMar>
                  <w:vAlign w:val="center"/>
                </w:tcPr>
                <w:p w14:paraId="05FB4D95">
                  <w:pPr>
                    <w:pStyle w:val="73"/>
                    <w:spacing w:beforeLines="0" w:line="240" w:lineRule="auto"/>
                    <w:rPr>
                      <w:rFonts w:hint="eastAsia"/>
                      <w:b w:val="0"/>
                      <w:bCs/>
                      <w:color w:val="auto"/>
                      <w:sz w:val="18"/>
                      <w:szCs w:val="18"/>
                      <w:highlight w:val="none"/>
                    </w:rPr>
                  </w:pPr>
                  <w:r>
                    <w:rPr>
                      <w:rFonts w:hint="eastAsia"/>
                      <w:b w:val="0"/>
                      <w:bCs/>
                      <w:color w:val="auto"/>
                      <w:sz w:val="18"/>
                      <w:szCs w:val="18"/>
                      <w:highlight w:val="none"/>
                    </w:rPr>
                    <w:t>2025.3</w:t>
                  </w:r>
                </w:p>
              </w:tc>
              <w:tc>
                <w:tcPr>
                  <w:tcW w:w="997" w:type="pct"/>
                  <w:tcBorders>
                    <w:tl2br w:val="nil"/>
                    <w:tr2bl w:val="nil"/>
                  </w:tcBorders>
                  <w:shd w:val="clear" w:color="auto" w:fill="auto"/>
                  <w:tcMar>
                    <w:left w:w="57" w:type="dxa"/>
                    <w:right w:w="57" w:type="dxa"/>
                  </w:tcMar>
                  <w:vAlign w:val="center"/>
                </w:tcPr>
                <w:p w14:paraId="1FCE3126">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0.72~24.8</w:t>
                  </w:r>
                </w:p>
              </w:tc>
              <w:tc>
                <w:tcPr>
                  <w:tcW w:w="914" w:type="pct"/>
                  <w:tcBorders>
                    <w:tl2br w:val="nil"/>
                    <w:tr2bl w:val="nil"/>
                  </w:tcBorders>
                  <w:shd w:val="clear" w:color="auto" w:fill="auto"/>
                  <w:tcMar>
                    <w:left w:w="57" w:type="dxa"/>
                    <w:right w:w="57" w:type="dxa"/>
                  </w:tcMar>
                  <w:vAlign w:val="center"/>
                </w:tcPr>
                <w:p w14:paraId="4C9A63CE">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0.85~30.8</w:t>
                  </w:r>
                </w:p>
              </w:tc>
              <w:tc>
                <w:tcPr>
                  <w:tcW w:w="988" w:type="pct"/>
                  <w:tcBorders>
                    <w:tl2br w:val="nil"/>
                    <w:tr2bl w:val="nil"/>
                  </w:tcBorders>
                  <w:shd w:val="clear" w:color="auto" w:fill="auto"/>
                  <w:tcMar>
                    <w:left w:w="57" w:type="dxa"/>
                    <w:right w:w="57" w:type="dxa"/>
                  </w:tcMar>
                  <w:vAlign w:val="center"/>
                </w:tcPr>
                <w:p w14:paraId="5783272B">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4.47~7.10</w:t>
                  </w:r>
                </w:p>
              </w:tc>
              <w:tc>
                <w:tcPr>
                  <w:tcW w:w="1317" w:type="pct"/>
                  <w:tcBorders>
                    <w:tl2br w:val="nil"/>
                    <w:tr2bl w:val="nil"/>
                  </w:tcBorders>
                  <w:shd w:val="clear" w:color="auto" w:fill="auto"/>
                  <w:vAlign w:val="center"/>
                </w:tcPr>
                <w:p w14:paraId="00D88B74">
                  <w:pPr>
                    <w:pStyle w:val="73"/>
                    <w:spacing w:beforeLines="0" w:line="240" w:lineRule="auto"/>
                    <w:rPr>
                      <w:rFonts w:hint="default"/>
                      <w:b w:val="0"/>
                      <w:bCs/>
                      <w:color w:val="auto"/>
                      <w:sz w:val="18"/>
                      <w:szCs w:val="18"/>
                      <w:highlight w:val="none"/>
                      <w:lang w:val="en-US" w:eastAsia="zh-CN"/>
                    </w:rPr>
                  </w:pPr>
                  <w:r>
                    <w:rPr>
                      <w:rFonts w:hint="eastAsia"/>
                      <w:b w:val="0"/>
                      <w:bCs/>
                      <w:color w:val="auto"/>
                      <w:sz w:val="18"/>
                      <w:szCs w:val="18"/>
                      <w:highlight w:val="none"/>
                      <w:lang w:val="en-US" w:eastAsia="zh-CN"/>
                    </w:rPr>
                    <w:t>5981~14905</w:t>
                  </w:r>
                </w:p>
              </w:tc>
            </w:tr>
          </w:tbl>
          <w:p w14:paraId="2DE87B31">
            <w:pPr>
              <w:adjustRightInd w:val="0"/>
              <w:snapToGrid w:val="0"/>
              <w:spacing w:before="120" w:beforeLines="50"/>
              <w:jc w:val="center"/>
              <w:rPr>
                <w:rFonts w:hint="eastAsia"/>
                <w:b/>
                <w:color w:val="auto"/>
                <w:szCs w:val="21"/>
              </w:rPr>
            </w:pPr>
            <w:r>
              <w:rPr>
                <w:rFonts w:hint="eastAsia"/>
                <w:b/>
                <w:color w:val="auto"/>
                <w:szCs w:val="21"/>
              </w:rPr>
              <w:t>表2-1</w:t>
            </w:r>
            <w:r>
              <w:rPr>
                <w:rFonts w:hint="eastAsia"/>
                <w:b/>
                <w:color w:val="auto"/>
                <w:szCs w:val="21"/>
                <w:lang w:val="en-US" w:eastAsia="zh-CN"/>
              </w:rPr>
              <w:t>1</w:t>
            </w:r>
            <w:r>
              <w:rPr>
                <w:rFonts w:hint="eastAsia"/>
                <w:b/>
                <w:color w:val="auto"/>
                <w:szCs w:val="21"/>
              </w:rPr>
              <w:t xml:space="preserve">  </w:t>
            </w:r>
            <w:r>
              <w:rPr>
                <w:rFonts w:hint="eastAsia"/>
                <w:b/>
                <w:color w:val="auto"/>
                <w:szCs w:val="21"/>
                <w:lang w:val="en-US" w:eastAsia="zh-CN"/>
              </w:rPr>
              <w:t>DA001</w:t>
            </w:r>
            <w:r>
              <w:rPr>
                <w:rFonts w:hint="eastAsia"/>
                <w:b/>
                <w:color w:val="auto"/>
                <w:szCs w:val="21"/>
              </w:rPr>
              <w:t>排气筒</w:t>
            </w:r>
            <w:r>
              <w:rPr>
                <w:rFonts w:hint="eastAsia"/>
                <w:b/>
                <w:color w:val="auto"/>
                <w:szCs w:val="21"/>
                <w:lang w:val="en-US" w:eastAsia="zh-CN"/>
              </w:rPr>
              <w:t>氮氧化物、甲醇、甲醛</w:t>
            </w:r>
            <w:r>
              <w:rPr>
                <w:rFonts w:hint="eastAsia"/>
                <w:b/>
                <w:color w:val="auto"/>
                <w:szCs w:val="21"/>
              </w:rPr>
              <w:t>例行检测结果统计表</w:t>
            </w:r>
          </w:p>
          <w:tbl>
            <w:tblPr>
              <w:tblStyle w:val="22"/>
              <w:tblW w:w="84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785"/>
              <w:gridCol w:w="1881"/>
              <w:gridCol w:w="1881"/>
              <w:gridCol w:w="1881"/>
            </w:tblGrid>
            <w:tr w14:paraId="6C114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noWrap w:val="0"/>
                  <w:vAlign w:val="center"/>
                </w:tcPr>
                <w:p w14:paraId="6046DFAC">
                  <w:pPr>
                    <w:pStyle w:val="60"/>
                    <w:rPr>
                      <w:rFonts w:hint="default"/>
                      <w:color w:val="auto"/>
                      <w:sz w:val="18"/>
                      <w:szCs w:val="18"/>
                      <w:lang w:val="en-US" w:eastAsia="zh-CN"/>
                    </w:rPr>
                  </w:pPr>
                  <w:r>
                    <w:rPr>
                      <w:rFonts w:hint="eastAsia"/>
                      <w:color w:val="auto"/>
                      <w:sz w:val="18"/>
                      <w:szCs w:val="18"/>
                      <w:lang w:val="en-US" w:eastAsia="zh-CN"/>
                    </w:rPr>
                    <w:t>检测日期</w:t>
                  </w:r>
                </w:p>
              </w:tc>
              <w:tc>
                <w:tcPr>
                  <w:tcW w:w="5643" w:type="dxa"/>
                  <w:gridSpan w:val="3"/>
                  <w:tcBorders>
                    <w:tl2br w:val="nil"/>
                    <w:tr2bl w:val="nil"/>
                  </w:tcBorders>
                  <w:noWrap w:val="0"/>
                  <w:vAlign w:val="center"/>
                </w:tcPr>
                <w:p w14:paraId="6D27C3DF">
                  <w:pPr>
                    <w:pStyle w:val="60"/>
                    <w:rPr>
                      <w:rFonts w:hint="default"/>
                      <w:color w:val="auto"/>
                      <w:sz w:val="18"/>
                      <w:szCs w:val="18"/>
                      <w:lang w:val="en-US" w:eastAsia="zh-CN"/>
                    </w:rPr>
                  </w:pPr>
                  <w:r>
                    <w:rPr>
                      <w:rFonts w:hint="eastAsia"/>
                      <w:color w:val="auto"/>
                      <w:sz w:val="18"/>
                      <w:szCs w:val="18"/>
                      <w:lang w:val="en-US" w:eastAsia="zh-CN"/>
                    </w:rPr>
                    <w:t>2025年9月5日</w:t>
                  </w:r>
                </w:p>
              </w:tc>
            </w:tr>
            <w:tr w14:paraId="3DE24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1A6B02B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检测点位</w:t>
                  </w:r>
                </w:p>
              </w:tc>
              <w:tc>
                <w:tcPr>
                  <w:tcW w:w="5643" w:type="dxa"/>
                  <w:gridSpan w:val="3"/>
                  <w:tcBorders>
                    <w:tl2br w:val="nil"/>
                    <w:tr2bl w:val="nil"/>
                  </w:tcBorders>
                  <w:shd w:val="clear" w:color="auto" w:fill="auto"/>
                  <w:noWrap w:val="0"/>
                  <w:vAlign w:val="center"/>
                </w:tcPr>
                <w:p w14:paraId="169BFFB9">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DA001排气筒出口</w:t>
                  </w:r>
                </w:p>
              </w:tc>
            </w:tr>
            <w:tr w14:paraId="7E6C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45BF616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排气筒高度/监测断面尺寸（m）</w:t>
                  </w:r>
                </w:p>
              </w:tc>
              <w:tc>
                <w:tcPr>
                  <w:tcW w:w="5643" w:type="dxa"/>
                  <w:gridSpan w:val="3"/>
                  <w:tcBorders>
                    <w:tl2br w:val="nil"/>
                    <w:tr2bl w:val="nil"/>
                  </w:tcBorders>
                  <w:shd w:val="clear" w:color="auto" w:fill="auto"/>
                  <w:noWrap w:val="0"/>
                  <w:vAlign w:val="center"/>
                </w:tcPr>
                <w:p w14:paraId="60B2767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24/0.8</w:t>
                  </w:r>
                </w:p>
              </w:tc>
            </w:tr>
            <w:tr w14:paraId="1B5C2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78793FC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监测频次</w:t>
                  </w:r>
                </w:p>
              </w:tc>
              <w:tc>
                <w:tcPr>
                  <w:tcW w:w="1881" w:type="dxa"/>
                  <w:tcBorders>
                    <w:tl2br w:val="nil"/>
                    <w:tr2bl w:val="nil"/>
                  </w:tcBorders>
                  <w:shd w:val="clear" w:color="auto" w:fill="auto"/>
                  <w:noWrap w:val="0"/>
                  <w:vAlign w:val="center"/>
                </w:tcPr>
                <w:p w14:paraId="588A98D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第一次</w:t>
                  </w:r>
                </w:p>
              </w:tc>
              <w:tc>
                <w:tcPr>
                  <w:tcW w:w="1881" w:type="dxa"/>
                  <w:tcBorders>
                    <w:tl2br w:val="nil"/>
                    <w:tr2bl w:val="nil"/>
                  </w:tcBorders>
                  <w:shd w:val="clear" w:color="auto" w:fill="auto"/>
                  <w:noWrap w:val="0"/>
                  <w:vAlign w:val="center"/>
                </w:tcPr>
                <w:p w14:paraId="5E575C7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第二次</w:t>
                  </w:r>
                </w:p>
              </w:tc>
              <w:tc>
                <w:tcPr>
                  <w:tcW w:w="1881" w:type="dxa"/>
                  <w:tcBorders>
                    <w:tl2br w:val="nil"/>
                    <w:tr2bl w:val="nil"/>
                  </w:tcBorders>
                  <w:shd w:val="clear" w:color="auto" w:fill="auto"/>
                  <w:noWrap w:val="0"/>
                  <w:vAlign w:val="center"/>
                </w:tcPr>
                <w:p w14:paraId="55EC98C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第三次</w:t>
                  </w:r>
                </w:p>
              </w:tc>
            </w:tr>
            <w:tr w14:paraId="3A179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7B826300">
                  <w:pPr>
                    <w:pStyle w:val="6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烟温（℃）</w:t>
                  </w:r>
                </w:p>
              </w:tc>
              <w:tc>
                <w:tcPr>
                  <w:tcW w:w="1881" w:type="dxa"/>
                  <w:tcBorders>
                    <w:tl2br w:val="nil"/>
                    <w:tr2bl w:val="nil"/>
                  </w:tcBorders>
                  <w:shd w:val="clear" w:color="auto" w:fill="auto"/>
                  <w:noWrap w:val="0"/>
                  <w:vAlign w:val="center"/>
                </w:tcPr>
                <w:p w14:paraId="44E1E48F">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69.1</w:t>
                  </w:r>
                </w:p>
              </w:tc>
              <w:tc>
                <w:tcPr>
                  <w:tcW w:w="1881" w:type="dxa"/>
                  <w:tcBorders>
                    <w:tl2br w:val="nil"/>
                    <w:tr2bl w:val="nil"/>
                  </w:tcBorders>
                  <w:shd w:val="clear" w:color="auto" w:fill="auto"/>
                  <w:noWrap w:val="0"/>
                  <w:vAlign w:val="center"/>
                </w:tcPr>
                <w:p w14:paraId="535EFD7A">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69.2</w:t>
                  </w:r>
                </w:p>
              </w:tc>
              <w:tc>
                <w:tcPr>
                  <w:tcW w:w="1881" w:type="dxa"/>
                  <w:tcBorders>
                    <w:tl2br w:val="nil"/>
                    <w:tr2bl w:val="nil"/>
                  </w:tcBorders>
                  <w:shd w:val="clear" w:color="auto" w:fill="auto"/>
                  <w:noWrap w:val="0"/>
                  <w:vAlign w:val="center"/>
                </w:tcPr>
                <w:p w14:paraId="30DCE50C">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69.6</w:t>
                  </w:r>
                </w:p>
              </w:tc>
            </w:tr>
            <w:tr w14:paraId="4D45F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27BE5E8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流速（m/s）</w:t>
                  </w:r>
                </w:p>
              </w:tc>
              <w:tc>
                <w:tcPr>
                  <w:tcW w:w="1881" w:type="dxa"/>
                  <w:tcBorders>
                    <w:tl2br w:val="nil"/>
                    <w:tr2bl w:val="nil"/>
                  </w:tcBorders>
                  <w:shd w:val="clear" w:color="auto" w:fill="auto"/>
                  <w:noWrap w:val="0"/>
                  <w:vAlign w:val="center"/>
                </w:tcPr>
                <w:p w14:paraId="0A69B79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7.4</w:t>
                  </w:r>
                </w:p>
              </w:tc>
              <w:tc>
                <w:tcPr>
                  <w:tcW w:w="1881" w:type="dxa"/>
                  <w:tcBorders>
                    <w:tl2br w:val="nil"/>
                    <w:tr2bl w:val="nil"/>
                  </w:tcBorders>
                  <w:shd w:val="clear" w:color="auto" w:fill="auto"/>
                  <w:noWrap w:val="0"/>
                  <w:vAlign w:val="center"/>
                </w:tcPr>
                <w:p w14:paraId="3B50D3B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7.7</w:t>
                  </w:r>
                </w:p>
              </w:tc>
              <w:tc>
                <w:tcPr>
                  <w:tcW w:w="1881" w:type="dxa"/>
                  <w:tcBorders>
                    <w:tl2br w:val="nil"/>
                    <w:tr2bl w:val="nil"/>
                  </w:tcBorders>
                  <w:shd w:val="clear" w:color="auto" w:fill="auto"/>
                  <w:noWrap w:val="0"/>
                  <w:vAlign w:val="center"/>
                </w:tcPr>
                <w:p w14:paraId="60E2ADC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7.6</w:t>
                  </w:r>
                </w:p>
              </w:tc>
            </w:tr>
            <w:tr w14:paraId="3DF94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3D30B0C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含氧量（%）</w:t>
                  </w:r>
                </w:p>
              </w:tc>
              <w:tc>
                <w:tcPr>
                  <w:tcW w:w="1881" w:type="dxa"/>
                  <w:tcBorders>
                    <w:tl2br w:val="nil"/>
                    <w:tr2bl w:val="nil"/>
                  </w:tcBorders>
                  <w:shd w:val="clear" w:color="auto" w:fill="auto"/>
                  <w:noWrap w:val="0"/>
                  <w:vAlign w:val="center"/>
                </w:tcPr>
                <w:p w14:paraId="7F98533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4.66</w:t>
                  </w:r>
                </w:p>
              </w:tc>
              <w:tc>
                <w:tcPr>
                  <w:tcW w:w="1881" w:type="dxa"/>
                  <w:tcBorders>
                    <w:tl2br w:val="nil"/>
                    <w:tr2bl w:val="nil"/>
                  </w:tcBorders>
                  <w:shd w:val="clear" w:color="auto" w:fill="auto"/>
                  <w:noWrap w:val="0"/>
                  <w:vAlign w:val="center"/>
                </w:tcPr>
                <w:p w14:paraId="6A18A01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4.34</w:t>
                  </w:r>
                </w:p>
              </w:tc>
              <w:tc>
                <w:tcPr>
                  <w:tcW w:w="1881" w:type="dxa"/>
                  <w:tcBorders>
                    <w:tl2br w:val="nil"/>
                    <w:tr2bl w:val="nil"/>
                  </w:tcBorders>
                  <w:shd w:val="clear" w:color="auto" w:fill="auto"/>
                  <w:noWrap w:val="0"/>
                  <w:vAlign w:val="center"/>
                </w:tcPr>
                <w:p w14:paraId="5D58298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4.19</w:t>
                  </w:r>
                </w:p>
              </w:tc>
            </w:tr>
            <w:tr w14:paraId="4F849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gridSpan w:val="2"/>
                  <w:tcBorders>
                    <w:tl2br w:val="nil"/>
                    <w:tr2bl w:val="nil"/>
                  </w:tcBorders>
                  <w:shd w:val="clear" w:color="auto" w:fill="auto"/>
                  <w:noWrap w:val="0"/>
                  <w:vAlign w:val="center"/>
                </w:tcPr>
                <w:p w14:paraId="4112F5D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标干流量（m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1881" w:type="dxa"/>
                  <w:tcBorders>
                    <w:tl2br w:val="nil"/>
                    <w:tr2bl w:val="nil"/>
                  </w:tcBorders>
                  <w:shd w:val="clear" w:color="auto" w:fill="auto"/>
                  <w:noWrap w:val="0"/>
                  <w:vAlign w:val="center"/>
                </w:tcPr>
                <w:p w14:paraId="6CE100E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10068</w:t>
                  </w:r>
                </w:p>
              </w:tc>
              <w:tc>
                <w:tcPr>
                  <w:tcW w:w="1881" w:type="dxa"/>
                  <w:tcBorders>
                    <w:tl2br w:val="nil"/>
                    <w:tr2bl w:val="nil"/>
                  </w:tcBorders>
                  <w:shd w:val="clear" w:color="auto" w:fill="auto"/>
                  <w:noWrap w:val="0"/>
                  <w:vAlign w:val="center"/>
                </w:tcPr>
                <w:p w14:paraId="2E6C64F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10427</w:t>
                  </w:r>
                </w:p>
              </w:tc>
              <w:tc>
                <w:tcPr>
                  <w:tcW w:w="1881" w:type="dxa"/>
                  <w:tcBorders>
                    <w:tl2br w:val="nil"/>
                    <w:tr2bl w:val="nil"/>
                  </w:tcBorders>
                  <w:shd w:val="clear" w:color="auto" w:fill="auto"/>
                  <w:noWrap w:val="0"/>
                  <w:vAlign w:val="center"/>
                </w:tcPr>
                <w:p w14:paraId="69F79CB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10302</w:t>
                  </w:r>
                </w:p>
              </w:tc>
            </w:tr>
            <w:tr w14:paraId="40365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restart"/>
                  <w:tcBorders>
                    <w:tl2br w:val="nil"/>
                    <w:tr2bl w:val="nil"/>
                  </w:tcBorders>
                  <w:shd w:val="clear" w:color="auto" w:fill="auto"/>
                  <w:noWrap w:val="0"/>
                  <w:vAlign w:val="center"/>
                </w:tcPr>
                <w:p w14:paraId="2A8760EA">
                  <w:pPr>
                    <w:pStyle w:val="60"/>
                    <w:rPr>
                      <w:rFonts w:hint="default"/>
                      <w:color w:val="auto"/>
                      <w:sz w:val="18"/>
                      <w:szCs w:val="18"/>
                      <w:lang w:val="en-US" w:eastAsia="zh-CN"/>
                    </w:rPr>
                  </w:pPr>
                  <w:r>
                    <w:rPr>
                      <w:rFonts w:hint="eastAsia"/>
                      <w:color w:val="auto"/>
                      <w:sz w:val="18"/>
                      <w:szCs w:val="18"/>
                      <w:lang w:val="en-US" w:eastAsia="zh-CN"/>
                    </w:rPr>
                    <w:t>氮氧化物</w:t>
                  </w:r>
                </w:p>
              </w:tc>
              <w:tc>
                <w:tcPr>
                  <w:tcW w:w="1785" w:type="dxa"/>
                  <w:tcBorders>
                    <w:tl2br w:val="nil"/>
                    <w:tr2bl w:val="nil"/>
                  </w:tcBorders>
                  <w:shd w:val="clear" w:color="auto" w:fill="auto"/>
                  <w:noWrap w:val="0"/>
                  <w:vAlign w:val="center"/>
                </w:tcPr>
                <w:p w14:paraId="25793B7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2F28204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c>
                <w:tcPr>
                  <w:tcW w:w="1881" w:type="dxa"/>
                  <w:tcBorders>
                    <w:tl2br w:val="nil"/>
                    <w:tr2bl w:val="nil"/>
                  </w:tcBorders>
                  <w:shd w:val="clear" w:color="auto" w:fill="auto"/>
                  <w:noWrap w:val="0"/>
                  <w:vAlign w:val="center"/>
                </w:tcPr>
                <w:p w14:paraId="1ECF5A0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c>
                <w:tcPr>
                  <w:tcW w:w="1881" w:type="dxa"/>
                  <w:tcBorders>
                    <w:tl2br w:val="nil"/>
                    <w:tr2bl w:val="nil"/>
                  </w:tcBorders>
                  <w:shd w:val="clear" w:color="auto" w:fill="auto"/>
                  <w:noWrap w:val="0"/>
                  <w:vAlign w:val="center"/>
                </w:tcPr>
                <w:p w14:paraId="651FB05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r>
            <w:tr w14:paraId="050BF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shd w:val="clear" w:color="auto" w:fill="auto"/>
                  <w:noWrap w:val="0"/>
                  <w:vAlign w:val="center"/>
                </w:tcPr>
                <w:p w14:paraId="7149946D">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2BEB5AE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2F7F323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1232145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5E6F2C3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42120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shd w:val="clear" w:color="auto" w:fill="auto"/>
                  <w:noWrap w:val="0"/>
                  <w:vAlign w:val="center"/>
                </w:tcPr>
                <w:p w14:paraId="37285EEA">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3FAFB6F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shd w:val="clear" w:color="auto" w:fill="auto"/>
                  <w:noWrap w:val="0"/>
                  <w:vAlign w:val="center"/>
                </w:tcPr>
                <w:p w14:paraId="668BD22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326B15E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0F9383A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7E087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restart"/>
                  <w:tcBorders>
                    <w:tl2br w:val="nil"/>
                    <w:tr2bl w:val="nil"/>
                  </w:tcBorders>
                  <w:noWrap w:val="0"/>
                  <w:vAlign w:val="center"/>
                </w:tcPr>
                <w:p w14:paraId="6E387C90">
                  <w:pPr>
                    <w:pStyle w:val="60"/>
                    <w:rPr>
                      <w:rFonts w:hint="default"/>
                      <w:color w:val="auto"/>
                      <w:sz w:val="18"/>
                      <w:szCs w:val="18"/>
                      <w:lang w:val="en-US" w:eastAsia="zh-CN"/>
                    </w:rPr>
                  </w:pPr>
                  <w:r>
                    <w:rPr>
                      <w:rFonts w:hint="eastAsia"/>
                      <w:color w:val="auto"/>
                      <w:sz w:val="18"/>
                      <w:szCs w:val="18"/>
                      <w:lang w:val="en-US" w:eastAsia="zh-CN"/>
                    </w:rPr>
                    <w:t>甲醇</w:t>
                  </w:r>
                </w:p>
              </w:tc>
              <w:tc>
                <w:tcPr>
                  <w:tcW w:w="1785" w:type="dxa"/>
                  <w:tcBorders>
                    <w:tl2br w:val="nil"/>
                    <w:tr2bl w:val="nil"/>
                  </w:tcBorders>
                  <w:shd w:val="clear" w:color="auto" w:fill="auto"/>
                  <w:noWrap w:val="0"/>
                  <w:vAlign w:val="center"/>
                </w:tcPr>
                <w:p w14:paraId="65C94E5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462E86DF">
                  <w:pPr>
                    <w:pStyle w:val="60"/>
                    <w:rPr>
                      <w:rFonts w:hint="default"/>
                      <w:color w:val="auto"/>
                      <w:sz w:val="18"/>
                      <w:szCs w:val="18"/>
                      <w:lang w:val="en-US" w:eastAsia="zh-CN"/>
                    </w:rPr>
                  </w:pPr>
                  <w:r>
                    <w:rPr>
                      <w:rFonts w:hint="eastAsia"/>
                      <w:color w:val="auto"/>
                      <w:sz w:val="18"/>
                      <w:szCs w:val="18"/>
                      <w:lang w:val="en-US" w:eastAsia="zh-CN"/>
                    </w:rPr>
                    <w:t>8.53</w:t>
                  </w:r>
                </w:p>
              </w:tc>
              <w:tc>
                <w:tcPr>
                  <w:tcW w:w="1881" w:type="dxa"/>
                  <w:tcBorders>
                    <w:tl2br w:val="nil"/>
                    <w:tr2bl w:val="nil"/>
                  </w:tcBorders>
                  <w:noWrap w:val="0"/>
                  <w:vAlign w:val="center"/>
                </w:tcPr>
                <w:p w14:paraId="64C7FEC6">
                  <w:pPr>
                    <w:pStyle w:val="60"/>
                    <w:rPr>
                      <w:rFonts w:hint="default"/>
                      <w:color w:val="auto"/>
                      <w:sz w:val="18"/>
                      <w:szCs w:val="18"/>
                      <w:lang w:val="en-US" w:eastAsia="zh-CN"/>
                    </w:rPr>
                  </w:pPr>
                  <w:r>
                    <w:rPr>
                      <w:rFonts w:hint="eastAsia"/>
                      <w:color w:val="auto"/>
                      <w:sz w:val="18"/>
                      <w:szCs w:val="18"/>
                      <w:lang w:val="en-US" w:eastAsia="zh-CN"/>
                    </w:rPr>
                    <w:t>7.66</w:t>
                  </w:r>
                </w:p>
              </w:tc>
              <w:tc>
                <w:tcPr>
                  <w:tcW w:w="1881" w:type="dxa"/>
                  <w:tcBorders>
                    <w:tl2br w:val="nil"/>
                    <w:tr2bl w:val="nil"/>
                  </w:tcBorders>
                  <w:noWrap w:val="0"/>
                  <w:vAlign w:val="center"/>
                </w:tcPr>
                <w:p w14:paraId="6C507B2E">
                  <w:pPr>
                    <w:pStyle w:val="60"/>
                    <w:rPr>
                      <w:rFonts w:hint="default"/>
                      <w:color w:val="auto"/>
                      <w:sz w:val="18"/>
                      <w:szCs w:val="18"/>
                      <w:lang w:val="en-US" w:eastAsia="zh-CN"/>
                    </w:rPr>
                  </w:pPr>
                  <w:r>
                    <w:rPr>
                      <w:rFonts w:hint="eastAsia"/>
                      <w:color w:val="auto"/>
                      <w:sz w:val="18"/>
                      <w:szCs w:val="18"/>
                      <w:lang w:val="en-US" w:eastAsia="zh-CN"/>
                    </w:rPr>
                    <w:t>13.8</w:t>
                  </w:r>
                </w:p>
              </w:tc>
            </w:tr>
            <w:tr w14:paraId="10F0E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noWrap w:val="0"/>
                  <w:vAlign w:val="center"/>
                </w:tcPr>
                <w:p w14:paraId="773A5FBD">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33398AC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2FC3498D">
                  <w:pPr>
                    <w:pStyle w:val="60"/>
                    <w:rPr>
                      <w:rFonts w:hint="default"/>
                      <w:color w:val="auto"/>
                      <w:sz w:val="18"/>
                      <w:szCs w:val="18"/>
                      <w:lang w:val="en-US" w:eastAsia="zh-CN"/>
                    </w:rPr>
                  </w:pPr>
                  <w:r>
                    <w:rPr>
                      <w:rFonts w:hint="eastAsia"/>
                      <w:color w:val="auto"/>
                      <w:sz w:val="18"/>
                      <w:szCs w:val="18"/>
                      <w:lang w:val="en-US" w:eastAsia="zh-CN"/>
                    </w:rPr>
                    <w:t>9.40</w:t>
                  </w:r>
                </w:p>
              </w:tc>
              <w:tc>
                <w:tcPr>
                  <w:tcW w:w="1881" w:type="dxa"/>
                  <w:tcBorders>
                    <w:tl2br w:val="nil"/>
                    <w:tr2bl w:val="nil"/>
                  </w:tcBorders>
                  <w:noWrap w:val="0"/>
                  <w:vAlign w:val="center"/>
                </w:tcPr>
                <w:p w14:paraId="73A11746">
                  <w:pPr>
                    <w:pStyle w:val="60"/>
                    <w:rPr>
                      <w:rFonts w:hint="default"/>
                      <w:color w:val="auto"/>
                      <w:sz w:val="18"/>
                      <w:szCs w:val="18"/>
                      <w:lang w:val="en-US" w:eastAsia="zh-CN"/>
                    </w:rPr>
                  </w:pPr>
                  <w:r>
                    <w:rPr>
                      <w:rFonts w:hint="eastAsia"/>
                      <w:color w:val="auto"/>
                      <w:sz w:val="18"/>
                      <w:szCs w:val="18"/>
                      <w:lang w:val="en-US" w:eastAsia="zh-CN"/>
                    </w:rPr>
                    <w:t>8.28</w:t>
                  </w:r>
                </w:p>
              </w:tc>
              <w:tc>
                <w:tcPr>
                  <w:tcW w:w="1881" w:type="dxa"/>
                  <w:tcBorders>
                    <w:tl2br w:val="nil"/>
                    <w:tr2bl w:val="nil"/>
                  </w:tcBorders>
                  <w:noWrap w:val="0"/>
                  <w:vAlign w:val="center"/>
                </w:tcPr>
                <w:p w14:paraId="4FC71A31">
                  <w:pPr>
                    <w:pStyle w:val="60"/>
                    <w:rPr>
                      <w:rFonts w:hint="default"/>
                      <w:color w:val="auto"/>
                      <w:sz w:val="18"/>
                      <w:szCs w:val="18"/>
                      <w:lang w:val="en-US" w:eastAsia="zh-CN"/>
                    </w:rPr>
                  </w:pPr>
                  <w:r>
                    <w:rPr>
                      <w:rFonts w:hint="eastAsia"/>
                      <w:color w:val="auto"/>
                      <w:sz w:val="18"/>
                      <w:szCs w:val="18"/>
                      <w:lang w:val="en-US" w:eastAsia="zh-CN"/>
                    </w:rPr>
                    <w:t>14.78</w:t>
                  </w:r>
                </w:p>
              </w:tc>
            </w:tr>
            <w:tr w14:paraId="0ABFD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noWrap w:val="0"/>
                  <w:vAlign w:val="center"/>
                </w:tcPr>
                <w:p w14:paraId="39042C78">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7A42A11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noWrap w:val="0"/>
                  <w:vAlign w:val="center"/>
                </w:tcPr>
                <w:p w14:paraId="0B1201D7">
                  <w:pPr>
                    <w:pStyle w:val="60"/>
                    <w:rPr>
                      <w:rFonts w:hint="default"/>
                      <w:color w:val="auto"/>
                      <w:sz w:val="18"/>
                      <w:szCs w:val="18"/>
                      <w:lang w:val="en-US" w:eastAsia="zh-CN"/>
                    </w:rPr>
                  </w:pPr>
                  <w:r>
                    <w:rPr>
                      <w:rFonts w:hint="eastAsia"/>
                      <w:color w:val="auto"/>
                      <w:sz w:val="18"/>
                      <w:szCs w:val="18"/>
                      <w:lang w:val="en-US" w:eastAsia="zh-CN"/>
                    </w:rPr>
                    <w:t>0.0859</w:t>
                  </w:r>
                </w:p>
              </w:tc>
              <w:tc>
                <w:tcPr>
                  <w:tcW w:w="1881" w:type="dxa"/>
                  <w:tcBorders>
                    <w:tl2br w:val="nil"/>
                    <w:tr2bl w:val="nil"/>
                  </w:tcBorders>
                  <w:noWrap w:val="0"/>
                  <w:vAlign w:val="center"/>
                </w:tcPr>
                <w:p w14:paraId="1F5782AE">
                  <w:pPr>
                    <w:pStyle w:val="60"/>
                    <w:rPr>
                      <w:rFonts w:hint="default"/>
                      <w:color w:val="auto"/>
                      <w:sz w:val="18"/>
                      <w:szCs w:val="18"/>
                      <w:lang w:val="en-US" w:eastAsia="zh-CN"/>
                    </w:rPr>
                  </w:pPr>
                  <w:r>
                    <w:rPr>
                      <w:rFonts w:hint="eastAsia"/>
                      <w:color w:val="auto"/>
                      <w:sz w:val="18"/>
                      <w:szCs w:val="18"/>
                      <w:lang w:val="en-US" w:eastAsia="zh-CN"/>
                    </w:rPr>
                    <w:t>0.0799</w:t>
                  </w:r>
                </w:p>
              </w:tc>
              <w:tc>
                <w:tcPr>
                  <w:tcW w:w="1881" w:type="dxa"/>
                  <w:tcBorders>
                    <w:tl2br w:val="nil"/>
                    <w:tr2bl w:val="nil"/>
                  </w:tcBorders>
                  <w:noWrap w:val="0"/>
                  <w:vAlign w:val="center"/>
                </w:tcPr>
                <w:p w14:paraId="7F80BFF4">
                  <w:pPr>
                    <w:pStyle w:val="60"/>
                    <w:rPr>
                      <w:rFonts w:hint="default"/>
                      <w:color w:val="auto"/>
                      <w:sz w:val="18"/>
                      <w:szCs w:val="18"/>
                      <w:lang w:val="en-US" w:eastAsia="zh-CN"/>
                    </w:rPr>
                  </w:pPr>
                  <w:r>
                    <w:rPr>
                      <w:rFonts w:hint="eastAsia"/>
                      <w:color w:val="auto"/>
                      <w:sz w:val="18"/>
                      <w:szCs w:val="18"/>
                      <w:lang w:val="en-US" w:eastAsia="zh-CN"/>
                    </w:rPr>
                    <w:t>0.1422</w:t>
                  </w:r>
                </w:p>
              </w:tc>
            </w:tr>
            <w:tr w14:paraId="5AF91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restart"/>
                  <w:tcBorders>
                    <w:tl2br w:val="nil"/>
                    <w:tr2bl w:val="nil"/>
                  </w:tcBorders>
                  <w:noWrap w:val="0"/>
                  <w:vAlign w:val="center"/>
                </w:tcPr>
                <w:p w14:paraId="3E4C3C04">
                  <w:pPr>
                    <w:pStyle w:val="60"/>
                    <w:rPr>
                      <w:rFonts w:hint="default"/>
                      <w:color w:val="auto"/>
                      <w:sz w:val="18"/>
                      <w:szCs w:val="18"/>
                      <w:lang w:val="en-US" w:eastAsia="zh-CN"/>
                    </w:rPr>
                  </w:pPr>
                  <w:r>
                    <w:rPr>
                      <w:rFonts w:hint="eastAsia"/>
                      <w:color w:val="auto"/>
                      <w:sz w:val="18"/>
                      <w:szCs w:val="18"/>
                      <w:lang w:val="en-US" w:eastAsia="zh-CN"/>
                    </w:rPr>
                    <w:t>甲醛</w:t>
                  </w:r>
                </w:p>
              </w:tc>
              <w:tc>
                <w:tcPr>
                  <w:tcW w:w="1785" w:type="dxa"/>
                  <w:tcBorders>
                    <w:tl2br w:val="nil"/>
                    <w:tr2bl w:val="nil"/>
                  </w:tcBorders>
                  <w:shd w:val="clear" w:color="auto" w:fill="auto"/>
                  <w:noWrap w:val="0"/>
                  <w:vAlign w:val="center"/>
                </w:tcPr>
                <w:p w14:paraId="66C51F2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2AECD430">
                  <w:pPr>
                    <w:pStyle w:val="60"/>
                    <w:rPr>
                      <w:rFonts w:hint="default"/>
                      <w:color w:val="auto"/>
                      <w:sz w:val="18"/>
                      <w:szCs w:val="18"/>
                      <w:lang w:val="en-US" w:eastAsia="zh-CN"/>
                    </w:rPr>
                  </w:pPr>
                  <w:r>
                    <w:rPr>
                      <w:rFonts w:hint="eastAsia"/>
                      <w:color w:val="auto"/>
                      <w:sz w:val="18"/>
                      <w:szCs w:val="18"/>
                      <w:lang w:val="en-US" w:eastAsia="zh-CN"/>
                    </w:rPr>
                    <w:t>1.25</w:t>
                  </w:r>
                </w:p>
              </w:tc>
              <w:tc>
                <w:tcPr>
                  <w:tcW w:w="1881" w:type="dxa"/>
                  <w:tcBorders>
                    <w:tl2br w:val="nil"/>
                    <w:tr2bl w:val="nil"/>
                  </w:tcBorders>
                  <w:noWrap w:val="0"/>
                  <w:vAlign w:val="center"/>
                </w:tcPr>
                <w:p w14:paraId="651A2877">
                  <w:pPr>
                    <w:pStyle w:val="60"/>
                    <w:rPr>
                      <w:rFonts w:hint="default"/>
                      <w:color w:val="auto"/>
                      <w:sz w:val="18"/>
                      <w:szCs w:val="18"/>
                      <w:lang w:val="en-US" w:eastAsia="zh-CN"/>
                    </w:rPr>
                  </w:pPr>
                  <w:r>
                    <w:rPr>
                      <w:rFonts w:hint="eastAsia"/>
                      <w:color w:val="auto"/>
                      <w:sz w:val="18"/>
                      <w:szCs w:val="18"/>
                      <w:lang w:val="en-US" w:eastAsia="zh-CN"/>
                    </w:rPr>
                    <w:t>1.65</w:t>
                  </w:r>
                </w:p>
              </w:tc>
              <w:tc>
                <w:tcPr>
                  <w:tcW w:w="1881" w:type="dxa"/>
                  <w:tcBorders>
                    <w:tl2br w:val="nil"/>
                    <w:tr2bl w:val="nil"/>
                  </w:tcBorders>
                  <w:noWrap w:val="0"/>
                  <w:vAlign w:val="center"/>
                </w:tcPr>
                <w:p w14:paraId="2C759016">
                  <w:pPr>
                    <w:pStyle w:val="60"/>
                    <w:rPr>
                      <w:rFonts w:hint="default"/>
                      <w:color w:val="auto"/>
                      <w:sz w:val="18"/>
                      <w:szCs w:val="18"/>
                      <w:lang w:val="en-US" w:eastAsia="zh-CN"/>
                    </w:rPr>
                  </w:pPr>
                  <w:r>
                    <w:rPr>
                      <w:rFonts w:hint="eastAsia"/>
                      <w:color w:val="auto"/>
                      <w:sz w:val="18"/>
                      <w:szCs w:val="18"/>
                      <w:lang w:val="en-US" w:eastAsia="zh-CN"/>
                    </w:rPr>
                    <w:t>1.20</w:t>
                  </w:r>
                </w:p>
              </w:tc>
            </w:tr>
            <w:tr w14:paraId="2C893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noWrap w:val="0"/>
                  <w:vAlign w:val="center"/>
                </w:tcPr>
                <w:p w14:paraId="29D1DC1B">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758630C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6F304A59">
                  <w:pPr>
                    <w:pStyle w:val="60"/>
                    <w:rPr>
                      <w:rFonts w:hint="default"/>
                      <w:color w:val="auto"/>
                      <w:sz w:val="18"/>
                      <w:szCs w:val="18"/>
                      <w:lang w:val="en-US" w:eastAsia="zh-CN"/>
                    </w:rPr>
                  </w:pPr>
                  <w:r>
                    <w:rPr>
                      <w:rFonts w:hint="eastAsia"/>
                      <w:color w:val="auto"/>
                      <w:sz w:val="18"/>
                      <w:szCs w:val="18"/>
                      <w:lang w:val="en-US" w:eastAsia="zh-CN"/>
                    </w:rPr>
                    <w:t>1.38</w:t>
                  </w:r>
                </w:p>
              </w:tc>
              <w:tc>
                <w:tcPr>
                  <w:tcW w:w="1881" w:type="dxa"/>
                  <w:tcBorders>
                    <w:tl2br w:val="nil"/>
                    <w:tr2bl w:val="nil"/>
                  </w:tcBorders>
                  <w:noWrap w:val="0"/>
                  <w:vAlign w:val="center"/>
                </w:tcPr>
                <w:p w14:paraId="6AF33EE2">
                  <w:pPr>
                    <w:pStyle w:val="60"/>
                    <w:rPr>
                      <w:rFonts w:hint="default"/>
                      <w:color w:val="auto"/>
                      <w:sz w:val="18"/>
                      <w:szCs w:val="18"/>
                      <w:lang w:val="en-US" w:eastAsia="zh-CN"/>
                    </w:rPr>
                  </w:pPr>
                  <w:r>
                    <w:rPr>
                      <w:rFonts w:hint="eastAsia"/>
                      <w:color w:val="auto"/>
                      <w:sz w:val="18"/>
                      <w:szCs w:val="18"/>
                      <w:lang w:val="en-US" w:eastAsia="zh-CN"/>
                    </w:rPr>
                    <w:t>1.78</w:t>
                  </w:r>
                </w:p>
              </w:tc>
              <w:tc>
                <w:tcPr>
                  <w:tcW w:w="1881" w:type="dxa"/>
                  <w:tcBorders>
                    <w:tl2br w:val="nil"/>
                    <w:tr2bl w:val="nil"/>
                  </w:tcBorders>
                  <w:noWrap w:val="0"/>
                  <w:vAlign w:val="center"/>
                </w:tcPr>
                <w:p w14:paraId="13A60BE7">
                  <w:pPr>
                    <w:pStyle w:val="60"/>
                    <w:rPr>
                      <w:rFonts w:hint="default"/>
                      <w:color w:val="auto"/>
                      <w:sz w:val="18"/>
                      <w:szCs w:val="18"/>
                      <w:lang w:val="en-US" w:eastAsia="zh-CN"/>
                    </w:rPr>
                  </w:pPr>
                  <w:r>
                    <w:rPr>
                      <w:rFonts w:hint="eastAsia"/>
                      <w:color w:val="auto"/>
                      <w:sz w:val="18"/>
                      <w:szCs w:val="18"/>
                      <w:lang w:val="en-US" w:eastAsia="zh-CN"/>
                    </w:rPr>
                    <w:t>1.28</w:t>
                  </w:r>
                </w:p>
              </w:tc>
            </w:tr>
            <w:tr w14:paraId="117AE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5" w:type="dxa"/>
                  <w:vMerge w:val="continue"/>
                  <w:tcBorders>
                    <w:tl2br w:val="nil"/>
                    <w:tr2bl w:val="nil"/>
                  </w:tcBorders>
                  <w:noWrap w:val="0"/>
                  <w:vAlign w:val="center"/>
                </w:tcPr>
                <w:p w14:paraId="763F6FDD">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3271159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noWrap w:val="0"/>
                  <w:vAlign w:val="center"/>
                </w:tcPr>
                <w:p w14:paraId="25C7FFC9">
                  <w:pPr>
                    <w:pStyle w:val="60"/>
                    <w:rPr>
                      <w:rFonts w:hint="default"/>
                      <w:color w:val="auto"/>
                      <w:sz w:val="18"/>
                      <w:szCs w:val="18"/>
                      <w:lang w:val="en-US" w:eastAsia="zh-CN"/>
                    </w:rPr>
                  </w:pPr>
                  <w:r>
                    <w:rPr>
                      <w:rFonts w:hint="eastAsia"/>
                      <w:color w:val="auto"/>
                      <w:sz w:val="18"/>
                      <w:szCs w:val="18"/>
                      <w:lang w:val="en-US" w:eastAsia="zh-CN"/>
                    </w:rPr>
                    <w:t>0.0126</w:t>
                  </w:r>
                </w:p>
              </w:tc>
              <w:tc>
                <w:tcPr>
                  <w:tcW w:w="1881" w:type="dxa"/>
                  <w:tcBorders>
                    <w:tl2br w:val="nil"/>
                    <w:tr2bl w:val="nil"/>
                  </w:tcBorders>
                  <w:noWrap w:val="0"/>
                  <w:vAlign w:val="center"/>
                </w:tcPr>
                <w:p w14:paraId="77FB5F2E">
                  <w:pPr>
                    <w:pStyle w:val="60"/>
                    <w:rPr>
                      <w:rFonts w:hint="default"/>
                      <w:color w:val="auto"/>
                      <w:sz w:val="18"/>
                      <w:szCs w:val="18"/>
                      <w:lang w:val="en-US" w:eastAsia="zh-CN"/>
                    </w:rPr>
                  </w:pPr>
                  <w:r>
                    <w:rPr>
                      <w:rFonts w:hint="eastAsia"/>
                      <w:color w:val="auto"/>
                      <w:sz w:val="18"/>
                      <w:szCs w:val="18"/>
                      <w:lang w:val="en-US" w:eastAsia="zh-CN"/>
                    </w:rPr>
                    <w:t>0.0172</w:t>
                  </w:r>
                </w:p>
              </w:tc>
              <w:tc>
                <w:tcPr>
                  <w:tcW w:w="1881" w:type="dxa"/>
                  <w:tcBorders>
                    <w:tl2br w:val="nil"/>
                    <w:tr2bl w:val="nil"/>
                  </w:tcBorders>
                  <w:noWrap w:val="0"/>
                  <w:vAlign w:val="center"/>
                </w:tcPr>
                <w:p w14:paraId="1943483B">
                  <w:pPr>
                    <w:pStyle w:val="60"/>
                    <w:rPr>
                      <w:rFonts w:hint="default"/>
                      <w:color w:val="auto"/>
                      <w:sz w:val="18"/>
                      <w:szCs w:val="18"/>
                      <w:lang w:val="en-US" w:eastAsia="zh-CN"/>
                    </w:rPr>
                  </w:pPr>
                  <w:r>
                    <w:rPr>
                      <w:rFonts w:hint="eastAsia"/>
                      <w:color w:val="auto"/>
                      <w:sz w:val="18"/>
                      <w:szCs w:val="18"/>
                      <w:lang w:val="en-US" w:eastAsia="zh-CN"/>
                    </w:rPr>
                    <w:t>0.0124</w:t>
                  </w:r>
                </w:p>
              </w:tc>
            </w:tr>
          </w:tbl>
          <w:p w14:paraId="4C4E747B">
            <w:pPr>
              <w:adjustRightInd w:val="0"/>
              <w:snapToGrid w:val="0"/>
              <w:spacing w:before="120" w:beforeLines="50"/>
              <w:jc w:val="center"/>
              <w:rPr>
                <w:rFonts w:hint="eastAsia"/>
                <w:b/>
                <w:color w:val="auto"/>
                <w:szCs w:val="21"/>
              </w:rPr>
            </w:pPr>
            <w:r>
              <w:rPr>
                <w:rFonts w:hint="eastAsia"/>
                <w:b/>
                <w:color w:val="auto"/>
                <w:szCs w:val="21"/>
              </w:rPr>
              <w:t>表2-1</w:t>
            </w:r>
            <w:r>
              <w:rPr>
                <w:rFonts w:hint="eastAsia"/>
                <w:b/>
                <w:color w:val="auto"/>
                <w:szCs w:val="21"/>
                <w:lang w:val="en-US" w:eastAsia="zh-CN"/>
              </w:rPr>
              <w:t>2</w:t>
            </w:r>
            <w:r>
              <w:rPr>
                <w:rFonts w:hint="eastAsia"/>
                <w:b/>
                <w:color w:val="auto"/>
                <w:szCs w:val="21"/>
              </w:rPr>
              <w:t xml:space="preserve">  </w:t>
            </w:r>
            <w:r>
              <w:rPr>
                <w:rFonts w:hint="eastAsia"/>
                <w:b/>
                <w:color w:val="auto"/>
                <w:szCs w:val="21"/>
                <w:lang w:val="en-US" w:eastAsia="zh-CN"/>
              </w:rPr>
              <w:t>DA002</w:t>
            </w:r>
            <w:r>
              <w:rPr>
                <w:rFonts w:hint="eastAsia"/>
                <w:b/>
                <w:color w:val="auto"/>
                <w:szCs w:val="21"/>
              </w:rPr>
              <w:t>排气筒</w:t>
            </w:r>
            <w:r>
              <w:rPr>
                <w:rFonts w:hint="eastAsia"/>
                <w:b/>
                <w:color w:val="auto"/>
                <w:szCs w:val="21"/>
                <w:lang w:val="en-US" w:eastAsia="zh-CN"/>
              </w:rPr>
              <w:t>氮氧化物、非甲烷总烃、甲醇、甲醛</w:t>
            </w:r>
            <w:r>
              <w:rPr>
                <w:rFonts w:hint="eastAsia"/>
                <w:b/>
                <w:color w:val="auto"/>
                <w:szCs w:val="21"/>
              </w:rPr>
              <w:t>例行检测结果统计表</w:t>
            </w:r>
          </w:p>
          <w:tbl>
            <w:tblPr>
              <w:tblStyle w:val="22"/>
              <w:tblW w:w="84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785"/>
              <w:gridCol w:w="1881"/>
              <w:gridCol w:w="1881"/>
              <w:gridCol w:w="1881"/>
            </w:tblGrid>
            <w:tr w14:paraId="6D74B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noWrap w:val="0"/>
                  <w:vAlign w:val="center"/>
                </w:tcPr>
                <w:p w14:paraId="63F0FB74">
                  <w:pPr>
                    <w:pStyle w:val="60"/>
                    <w:rPr>
                      <w:rFonts w:hint="default"/>
                      <w:color w:val="auto"/>
                      <w:sz w:val="18"/>
                      <w:szCs w:val="18"/>
                      <w:lang w:val="en-US" w:eastAsia="zh-CN"/>
                    </w:rPr>
                  </w:pPr>
                  <w:r>
                    <w:rPr>
                      <w:rFonts w:hint="eastAsia"/>
                      <w:color w:val="auto"/>
                      <w:sz w:val="18"/>
                      <w:szCs w:val="18"/>
                      <w:lang w:val="en-US" w:eastAsia="zh-CN"/>
                    </w:rPr>
                    <w:t>检测日期</w:t>
                  </w:r>
                </w:p>
              </w:tc>
              <w:tc>
                <w:tcPr>
                  <w:tcW w:w="5643" w:type="dxa"/>
                  <w:gridSpan w:val="3"/>
                  <w:tcBorders>
                    <w:tl2br w:val="nil"/>
                    <w:tr2bl w:val="nil"/>
                  </w:tcBorders>
                  <w:noWrap w:val="0"/>
                  <w:vAlign w:val="center"/>
                </w:tcPr>
                <w:p w14:paraId="5B1D43EC">
                  <w:pPr>
                    <w:pStyle w:val="60"/>
                    <w:rPr>
                      <w:rFonts w:hint="default"/>
                      <w:color w:val="auto"/>
                      <w:sz w:val="18"/>
                      <w:szCs w:val="18"/>
                      <w:lang w:val="en-US" w:eastAsia="zh-CN"/>
                    </w:rPr>
                  </w:pPr>
                  <w:r>
                    <w:rPr>
                      <w:rFonts w:hint="eastAsia"/>
                      <w:color w:val="auto"/>
                      <w:sz w:val="18"/>
                      <w:szCs w:val="18"/>
                      <w:lang w:val="en-US" w:eastAsia="zh-CN"/>
                    </w:rPr>
                    <w:t>2025年9月5日</w:t>
                  </w:r>
                </w:p>
              </w:tc>
            </w:tr>
            <w:tr w14:paraId="37F7E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2775280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检测点位</w:t>
                  </w:r>
                </w:p>
              </w:tc>
              <w:tc>
                <w:tcPr>
                  <w:tcW w:w="5643" w:type="dxa"/>
                  <w:gridSpan w:val="3"/>
                  <w:tcBorders>
                    <w:tl2br w:val="nil"/>
                    <w:tr2bl w:val="nil"/>
                  </w:tcBorders>
                  <w:shd w:val="clear" w:color="auto" w:fill="auto"/>
                  <w:noWrap w:val="0"/>
                  <w:vAlign w:val="center"/>
                </w:tcPr>
                <w:p w14:paraId="207FD16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DA002排气筒出口</w:t>
                  </w:r>
                </w:p>
              </w:tc>
            </w:tr>
            <w:tr w14:paraId="060F1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748B0A9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排气筒高度/监测断面尺寸（m）</w:t>
                  </w:r>
                </w:p>
              </w:tc>
              <w:tc>
                <w:tcPr>
                  <w:tcW w:w="5643" w:type="dxa"/>
                  <w:gridSpan w:val="3"/>
                  <w:tcBorders>
                    <w:tl2br w:val="nil"/>
                    <w:tr2bl w:val="nil"/>
                  </w:tcBorders>
                  <w:shd w:val="clear" w:color="auto" w:fill="auto"/>
                  <w:noWrap w:val="0"/>
                  <w:vAlign w:val="center"/>
                </w:tcPr>
                <w:p w14:paraId="41736A2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15/0.7</w:t>
                  </w:r>
                </w:p>
              </w:tc>
            </w:tr>
            <w:tr w14:paraId="3802D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24DA25B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监测频次</w:t>
                  </w:r>
                </w:p>
              </w:tc>
              <w:tc>
                <w:tcPr>
                  <w:tcW w:w="1881" w:type="dxa"/>
                  <w:tcBorders>
                    <w:tl2br w:val="nil"/>
                    <w:tr2bl w:val="nil"/>
                  </w:tcBorders>
                  <w:shd w:val="clear" w:color="auto" w:fill="auto"/>
                  <w:noWrap w:val="0"/>
                  <w:vAlign w:val="center"/>
                </w:tcPr>
                <w:p w14:paraId="4FC9697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第一次</w:t>
                  </w:r>
                </w:p>
              </w:tc>
              <w:tc>
                <w:tcPr>
                  <w:tcW w:w="1881" w:type="dxa"/>
                  <w:tcBorders>
                    <w:tl2br w:val="nil"/>
                    <w:tr2bl w:val="nil"/>
                  </w:tcBorders>
                  <w:shd w:val="clear" w:color="auto" w:fill="auto"/>
                  <w:noWrap w:val="0"/>
                  <w:vAlign w:val="center"/>
                </w:tcPr>
                <w:p w14:paraId="2AAA847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第二次</w:t>
                  </w:r>
                </w:p>
              </w:tc>
              <w:tc>
                <w:tcPr>
                  <w:tcW w:w="1881" w:type="dxa"/>
                  <w:tcBorders>
                    <w:tl2br w:val="nil"/>
                    <w:tr2bl w:val="nil"/>
                  </w:tcBorders>
                  <w:shd w:val="clear" w:color="auto" w:fill="auto"/>
                  <w:noWrap w:val="0"/>
                  <w:vAlign w:val="center"/>
                </w:tcPr>
                <w:p w14:paraId="0D95E0C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第三次</w:t>
                  </w:r>
                </w:p>
              </w:tc>
            </w:tr>
            <w:tr w14:paraId="2AB1E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5A0B05E2">
                  <w:pPr>
                    <w:pStyle w:val="60"/>
                    <w:rPr>
                      <w:rFonts w:hint="eastAsia"/>
                      <w:color w:val="auto"/>
                      <w:sz w:val="18"/>
                      <w:szCs w:val="18"/>
                      <w:lang w:val="en-US" w:eastAsia="zh-CN"/>
                    </w:rPr>
                  </w:pPr>
                  <w:r>
                    <w:rPr>
                      <w:rFonts w:hint="eastAsia"/>
                      <w:color w:val="auto"/>
                      <w:sz w:val="18"/>
                      <w:szCs w:val="18"/>
                      <w:lang w:val="en-US" w:eastAsia="zh-CN"/>
                    </w:rPr>
                    <w:t>烟温（℃）</w:t>
                  </w:r>
                </w:p>
              </w:tc>
              <w:tc>
                <w:tcPr>
                  <w:tcW w:w="1881" w:type="dxa"/>
                  <w:tcBorders>
                    <w:tl2br w:val="nil"/>
                    <w:tr2bl w:val="nil"/>
                  </w:tcBorders>
                  <w:shd w:val="clear" w:color="auto" w:fill="auto"/>
                  <w:noWrap w:val="0"/>
                  <w:vAlign w:val="center"/>
                </w:tcPr>
                <w:p w14:paraId="7996746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98.5</w:t>
                  </w:r>
                </w:p>
              </w:tc>
              <w:tc>
                <w:tcPr>
                  <w:tcW w:w="1881" w:type="dxa"/>
                  <w:tcBorders>
                    <w:tl2br w:val="nil"/>
                    <w:tr2bl w:val="nil"/>
                  </w:tcBorders>
                  <w:shd w:val="clear" w:color="auto" w:fill="auto"/>
                  <w:noWrap w:val="0"/>
                  <w:vAlign w:val="center"/>
                </w:tcPr>
                <w:p w14:paraId="4B0F185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104.3</w:t>
                  </w:r>
                </w:p>
              </w:tc>
              <w:tc>
                <w:tcPr>
                  <w:tcW w:w="1881" w:type="dxa"/>
                  <w:tcBorders>
                    <w:tl2br w:val="nil"/>
                    <w:tr2bl w:val="nil"/>
                  </w:tcBorders>
                  <w:shd w:val="clear" w:color="auto" w:fill="auto"/>
                  <w:noWrap w:val="0"/>
                  <w:vAlign w:val="center"/>
                </w:tcPr>
                <w:p w14:paraId="3726945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101.1</w:t>
                  </w:r>
                </w:p>
              </w:tc>
            </w:tr>
            <w:tr w14:paraId="59431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6A03CC2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流速（m/s）</w:t>
                  </w:r>
                </w:p>
              </w:tc>
              <w:tc>
                <w:tcPr>
                  <w:tcW w:w="1881" w:type="dxa"/>
                  <w:tcBorders>
                    <w:tl2br w:val="nil"/>
                    <w:tr2bl w:val="nil"/>
                  </w:tcBorders>
                  <w:shd w:val="clear" w:color="auto" w:fill="auto"/>
                  <w:noWrap w:val="0"/>
                  <w:vAlign w:val="center"/>
                </w:tcPr>
                <w:p w14:paraId="2F27123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6.6</w:t>
                  </w:r>
                </w:p>
              </w:tc>
              <w:tc>
                <w:tcPr>
                  <w:tcW w:w="1881" w:type="dxa"/>
                  <w:tcBorders>
                    <w:tl2br w:val="nil"/>
                    <w:tr2bl w:val="nil"/>
                  </w:tcBorders>
                  <w:shd w:val="clear" w:color="auto" w:fill="auto"/>
                  <w:noWrap w:val="0"/>
                  <w:vAlign w:val="center"/>
                </w:tcPr>
                <w:p w14:paraId="5C20524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7.1</w:t>
                  </w:r>
                </w:p>
              </w:tc>
              <w:tc>
                <w:tcPr>
                  <w:tcW w:w="1881" w:type="dxa"/>
                  <w:tcBorders>
                    <w:tl2br w:val="nil"/>
                    <w:tr2bl w:val="nil"/>
                  </w:tcBorders>
                  <w:shd w:val="clear" w:color="auto" w:fill="auto"/>
                  <w:noWrap w:val="0"/>
                  <w:vAlign w:val="center"/>
                </w:tcPr>
                <w:p w14:paraId="2C46F0A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6.9</w:t>
                  </w:r>
                </w:p>
              </w:tc>
            </w:tr>
            <w:tr w14:paraId="6179C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6840EEC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含氧量（%）</w:t>
                  </w:r>
                </w:p>
              </w:tc>
              <w:tc>
                <w:tcPr>
                  <w:tcW w:w="1881" w:type="dxa"/>
                  <w:tcBorders>
                    <w:tl2br w:val="nil"/>
                    <w:tr2bl w:val="nil"/>
                  </w:tcBorders>
                  <w:shd w:val="clear" w:color="auto" w:fill="auto"/>
                  <w:noWrap w:val="0"/>
                  <w:vAlign w:val="center"/>
                </w:tcPr>
                <w:p w14:paraId="3E8FFFF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1.27</w:t>
                  </w:r>
                </w:p>
              </w:tc>
              <w:tc>
                <w:tcPr>
                  <w:tcW w:w="1881" w:type="dxa"/>
                  <w:tcBorders>
                    <w:tl2br w:val="nil"/>
                    <w:tr2bl w:val="nil"/>
                  </w:tcBorders>
                  <w:shd w:val="clear" w:color="auto" w:fill="auto"/>
                  <w:noWrap w:val="0"/>
                  <w:vAlign w:val="center"/>
                </w:tcPr>
                <w:p w14:paraId="3ED4F8B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1.67</w:t>
                  </w:r>
                </w:p>
              </w:tc>
              <w:tc>
                <w:tcPr>
                  <w:tcW w:w="1881" w:type="dxa"/>
                  <w:tcBorders>
                    <w:tl2br w:val="nil"/>
                    <w:tr2bl w:val="nil"/>
                  </w:tcBorders>
                  <w:shd w:val="clear" w:color="auto" w:fill="auto"/>
                  <w:noWrap w:val="0"/>
                  <w:vAlign w:val="center"/>
                </w:tcPr>
                <w:p w14:paraId="7E96DBD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1.11</w:t>
                  </w:r>
                </w:p>
              </w:tc>
            </w:tr>
            <w:tr w14:paraId="6C9C9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gridSpan w:val="2"/>
                  <w:tcBorders>
                    <w:tl2br w:val="nil"/>
                    <w:tr2bl w:val="nil"/>
                  </w:tcBorders>
                  <w:shd w:val="clear" w:color="auto" w:fill="auto"/>
                  <w:noWrap w:val="0"/>
                  <w:vAlign w:val="center"/>
                </w:tcPr>
                <w:p w14:paraId="2358D94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标干流量（m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1881" w:type="dxa"/>
                  <w:tcBorders>
                    <w:tl2br w:val="nil"/>
                    <w:tr2bl w:val="nil"/>
                  </w:tcBorders>
                  <w:shd w:val="clear" w:color="auto" w:fill="auto"/>
                  <w:noWrap w:val="0"/>
                  <w:vAlign w:val="center"/>
                </w:tcPr>
                <w:p w14:paraId="55AB6EC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6326</w:t>
                  </w:r>
                </w:p>
              </w:tc>
              <w:tc>
                <w:tcPr>
                  <w:tcW w:w="1881" w:type="dxa"/>
                  <w:tcBorders>
                    <w:tl2br w:val="nil"/>
                    <w:tr2bl w:val="nil"/>
                  </w:tcBorders>
                  <w:shd w:val="clear" w:color="auto" w:fill="auto"/>
                  <w:noWrap w:val="0"/>
                  <w:vAlign w:val="center"/>
                </w:tcPr>
                <w:p w14:paraId="1C685C5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6683</w:t>
                  </w:r>
                </w:p>
              </w:tc>
              <w:tc>
                <w:tcPr>
                  <w:tcW w:w="1881" w:type="dxa"/>
                  <w:tcBorders>
                    <w:tl2br w:val="nil"/>
                    <w:tr2bl w:val="nil"/>
                  </w:tcBorders>
                  <w:shd w:val="clear" w:color="auto" w:fill="auto"/>
                  <w:noWrap w:val="0"/>
                  <w:vAlign w:val="center"/>
                </w:tcPr>
                <w:p w14:paraId="2AA15EE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6545</w:t>
                  </w:r>
                </w:p>
              </w:tc>
            </w:tr>
            <w:tr w14:paraId="2C0C4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restart"/>
                  <w:tcBorders>
                    <w:tl2br w:val="nil"/>
                    <w:tr2bl w:val="nil"/>
                  </w:tcBorders>
                  <w:shd w:val="clear" w:color="auto" w:fill="auto"/>
                  <w:noWrap w:val="0"/>
                  <w:vAlign w:val="center"/>
                </w:tcPr>
                <w:p w14:paraId="5B3E0A70">
                  <w:pPr>
                    <w:pStyle w:val="60"/>
                    <w:rPr>
                      <w:rFonts w:hint="default"/>
                      <w:color w:val="auto"/>
                      <w:sz w:val="18"/>
                      <w:szCs w:val="18"/>
                      <w:lang w:val="en-US" w:eastAsia="zh-CN"/>
                    </w:rPr>
                  </w:pPr>
                  <w:r>
                    <w:rPr>
                      <w:rFonts w:hint="eastAsia"/>
                      <w:color w:val="auto"/>
                      <w:sz w:val="18"/>
                      <w:szCs w:val="18"/>
                      <w:lang w:val="en-US" w:eastAsia="zh-CN"/>
                    </w:rPr>
                    <w:t>氮氧化物</w:t>
                  </w:r>
                </w:p>
              </w:tc>
              <w:tc>
                <w:tcPr>
                  <w:tcW w:w="1785" w:type="dxa"/>
                  <w:tcBorders>
                    <w:tl2br w:val="nil"/>
                    <w:tr2bl w:val="nil"/>
                  </w:tcBorders>
                  <w:shd w:val="clear" w:color="auto" w:fill="auto"/>
                  <w:noWrap w:val="0"/>
                  <w:vAlign w:val="center"/>
                </w:tcPr>
                <w:p w14:paraId="34C2B8D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4980371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1881" w:type="dxa"/>
                  <w:tcBorders>
                    <w:tl2br w:val="nil"/>
                    <w:tr2bl w:val="nil"/>
                  </w:tcBorders>
                  <w:shd w:val="clear" w:color="auto" w:fill="auto"/>
                  <w:noWrap w:val="0"/>
                  <w:vAlign w:val="center"/>
                </w:tcPr>
                <w:p w14:paraId="6DB06AA2">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1881" w:type="dxa"/>
                  <w:tcBorders>
                    <w:tl2br w:val="nil"/>
                    <w:tr2bl w:val="nil"/>
                  </w:tcBorders>
                  <w:shd w:val="clear" w:color="auto" w:fill="auto"/>
                  <w:noWrap w:val="0"/>
                  <w:vAlign w:val="center"/>
                </w:tcPr>
                <w:p w14:paraId="39FF6C5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r>
            <w:tr w14:paraId="6FF9C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shd w:val="clear" w:color="auto" w:fill="auto"/>
                  <w:noWrap w:val="0"/>
                  <w:vAlign w:val="center"/>
                </w:tcPr>
                <w:p w14:paraId="32AE63E5">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3BDA7BC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2642DB6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1.8</w:t>
                  </w:r>
                </w:p>
              </w:tc>
              <w:tc>
                <w:tcPr>
                  <w:tcW w:w="1881" w:type="dxa"/>
                  <w:tcBorders>
                    <w:tl2br w:val="nil"/>
                    <w:tr2bl w:val="nil"/>
                  </w:tcBorders>
                  <w:shd w:val="clear" w:color="auto" w:fill="auto"/>
                  <w:noWrap w:val="0"/>
                  <w:vAlign w:val="center"/>
                </w:tcPr>
                <w:p w14:paraId="0273063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1.9</w:t>
                  </w:r>
                </w:p>
              </w:tc>
              <w:tc>
                <w:tcPr>
                  <w:tcW w:w="1881" w:type="dxa"/>
                  <w:tcBorders>
                    <w:tl2br w:val="nil"/>
                    <w:tr2bl w:val="nil"/>
                  </w:tcBorders>
                  <w:shd w:val="clear" w:color="auto" w:fill="auto"/>
                  <w:noWrap w:val="0"/>
                  <w:vAlign w:val="center"/>
                </w:tcPr>
                <w:p w14:paraId="0347490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2.4</w:t>
                  </w:r>
                </w:p>
              </w:tc>
            </w:tr>
            <w:tr w14:paraId="06EA6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shd w:val="clear" w:color="auto" w:fill="auto"/>
                  <w:noWrap w:val="0"/>
                  <w:vAlign w:val="center"/>
                </w:tcPr>
                <w:p w14:paraId="4C08E393">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7945319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shd w:val="clear" w:color="auto" w:fill="auto"/>
                  <w:noWrap w:val="0"/>
                  <w:vAlign w:val="center"/>
                </w:tcPr>
                <w:p w14:paraId="58BDD8A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0.0190</w:t>
                  </w:r>
                </w:p>
              </w:tc>
              <w:tc>
                <w:tcPr>
                  <w:tcW w:w="1881" w:type="dxa"/>
                  <w:tcBorders>
                    <w:tl2br w:val="nil"/>
                    <w:tr2bl w:val="nil"/>
                  </w:tcBorders>
                  <w:shd w:val="clear" w:color="auto" w:fill="auto"/>
                  <w:noWrap w:val="0"/>
                  <w:vAlign w:val="center"/>
                </w:tcPr>
                <w:p w14:paraId="232B6DD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0.0200</w:t>
                  </w:r>
                </w:p>
              </w:tc>
              <w:tc>
                <w:tcPr>
                  <w:tcW w:w="1881" w:type="dxa"/>
                  <w:tcBorders>
                    <w:tl2br w:val="nil"/>
                    <w:tr2bl w:val="nil"/>
                  </w:tcBorders>
                  <w:shd w:val="clear" w:color="auto" w:fill="auto"/>
                  <w:noWrap w:val="0"/>
                  <w:vAlign w:val="center"/>
                </w:tcPr>
                <w:p w14:paraId="1E94B1B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0.0262</w:t>
                  </w:r>
                </w:p>
              </w:tc>
            </w:tr>
            <w:tr w14:paraId="7C96D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restart"/>
                  <w:tcBorders>
                    <w:tl2br w:val="nil"/>
                    <w:tr2bl w:val="nil"/>
                  </w:tcBorders>
                  <w:shd w:val="clear" w:color="auto" w:fill="auto"/>
                  <w:noWrap w:val="0"/>
                  <w:vAlign w:val="center"/>
                </w:tcPr>
                <w:p w14:paraId="4AF183E4">
                  <w:pPr>
                    <w:pStyle w:val="60"/>
                    <w:rPr>
                      <w:rFonts w:hint="default"/>
                      <w:color w:val="auto"/>
                      <w:sz w:val="18"/>
                      <w:szCs w:val="18"/>
                      <w:lang w:val="en-US" w:eastAsia="zh-CN"/>
                    </w:rPr>
                  </w:pPr>
                  <w:r>
                    <w:rPr>
                      <w:rFonts w:hint="eastAsia"/>
                      <w:color w:val="auto"/>
                      <w:sz w:val="18"/>
                      <w:szCs w:val="18"/>
                      <w:lang w:val="en-US" w:eastAsia="zh-CN"/>
                    </w:rPr>
                    <w:t>非甲烷总烃</w:t>
                  </w:r>
                </w:p>
              </w:tc>
              <w:tc>
                <w:tcPr>
                  <w:tcW w:w="1785" w:type="dxa"/>
                  <w:tcBorders>
                    <w:tl2br w:val="nil"/>
                    <w:tr2bl w:val="nil"/>
                  </w:tcBorders>
                  <w:shd w:val="clear" w:color="auto" w:fill="auto"/>
                  <w:noWrap w:val="0"/>
                  <w:vAlign w:val="center"/>
                </w:tcPr>
                <w:p w14:paraId="408FB70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6C2401B4">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30.7</w:t>
                  </w:r>
                </w:p>
              </w:tc>
              <w:tc>
                <w:tcPr>
                  <w:tcW w:w="1881" w:type="dxa"/>
                  <w:tcBorders>
                    <w:tl2br w:val="nil"/>
                    <w:tr2bl w:val="nil"/>
                  </w:tcBorders>
                  <w:shd w:val="clear" w:color="auto" w:fill="auto"/>
                  <w:noWrap w:val="0"/>
                  <w:vAlign w:val="center"/>
                </w:tcPr>
                <w:p w14:paraId="0F806E82">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34.2</w:t>
                  </w:r>
                </w:p>
              </w:tc>
              <w:tc>
                <w:tcPr>
                  <w:tcW w:w="1881" w:type="dxa"/>
                  <w:tcBorders>
                    <w:tl2br w:val="nil"/>
                    <w:tr2bl w:val="nil"/>
                  </w:tcBorders>
                  <w:shd w:val="clear" w:color="auto" w:fill="auto"/>
                  <w:noWrap w:val="0"/>
                  <w:vAlign w:val="center"/>
                </w:tcPr>
                <w:p w14:paraId="42D2564A">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30.5</w:t>
                  </w:r>
                </w:p>
              </w:tc>
            </w:tr>
            <w:tr w14:paraId="2C22D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shd w:val="clear" w:color="auto" w:fill="auto"/>
                  <w:noWrap w:val="0"/>
                  <w:vAlign w:val="center"/>
                </w:tcPr>
                <w:p w14:paraId="156F1944">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6CBDF4C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01642037">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28.0</w:t>
                  </w:r>
                </w:p>
              </w:tc>
              <w:tc>
                <w:tcPr>
                  <w:tcW w:w="1881" w:type="dxa"/>
                  <w:tcBorders>
                    <w:tl2br w:val="nil"/>
                    <w:tr2bl w:val="nil"/>
                  </w:tcBorders>
                  <w:shd w:val="clear" w:color="auto" w:fill="auto"/>
                  <w:noWrap w:val="0"/>
                  <w:vAlign w:val="center"/>
                </w:tcPr>
                <w:p w14:paraId="65D719D2">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31.8</w:t>
                  </w:r>
                </w:p>
              </w:tc>
              <w:tc>
                <w:tcPr>
                  <w:tcW w:w="1881" w:type="dxa"/>
                  <w:tcBorders>
                    <w:tl2br w:val="nil"/>
                    <w:tr2bl w:val="nil"/>
                  </w:tcBorders>
                  <w:shd w:val="clear" w:color="auto" w:fill="auto"/>
                  <w:noWrap w:val="0"/>
                  <w:vAlign w:val="center"/>
                </w:tcPr>
                <w:p w14:paraId="5F03A3D4">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27.6</w:t>
                  </w:r>
                </w:p>
              </w:tc>
            </w:tr>
            <w:tr w14:paraId="2C534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shd w:val="clear" w:color="auto" w:fill="auto"/>
                  <w:noWrap w:val="0"/>
                  <w:vAlign w:val="center"/>
                </w:tcPr>
                <w:p w14:paraId="2944FA08">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5EC68B0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shd w:val="clear" w:color="auto" w:fill="auto"/>
                  <w:noWrap w:val="0"/>
                  <w:vAlign w:val="center"/>
                </w:tcPr>
                <w:p w14:paraId="32A9F92B">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0.1942</w:t>
                  </w:r>
                </w:p>
              </w:tc>
              <w:tc>
                <w:tcPr>
                  <w:tcW w:w="1881" w:type="dxa"/>
                  <w:tcBorders>
                    <w:tl2br w:val="nil"/>
                    <w:tr2bl w:val="nil"/>
                  </w:tcBorders>
                  <w:shd w:val="clear" w:color="auto" w:fill="auto"/>
                  <w:noWrap w:val="0"/>
                  <w:vAlign w:val="center"/>
                </w:tcPr>
                <w:p w14:paraId="1D009C9A">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0.2286</w:t>
                  </w:r>
                </w:p>
              </w:tc>
              <w:tc>
                <w:tcPr>
                  <w:tcW w:w="1881" w:type="dxa"/>
                  <w:tcBorders>
                    <w:tl2br w:val="nil"/>
                    <w:tr2bl w:val="nil"/>
                  </w:tcBorders>
                  <w:shd w:val="clear" w:color="auto" w:fill="auto"/>
                  <w:noWrap w:val="0"/>
                  <w:vAlign w:val="center"/>
                </w:tcPr>
                <w:p w14:paraId="19375605">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0.1996</w:t>
                  </w:r>
                </w:p>
              </w:tc>
            </w:tr>
            <w:tr w14:paraId="177BA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restart"/>
                  <w:tcBorders>
                    <w:tl2br w:val="nil"/>
                    <w:tr2bl w:val="nil"/>
                  </w:tcBorders>
                  <w:noWrap w:val="0"/>
                  <w:vAlign w:val="center"/>
                </w:tcPr>
                <w:p w14:paraId="09561FB0">
                  <w:pPr>
                    <w:pStyle w:val="60"/>
                    <w:rPr>
                      <w:rFonts w:hint="default"/>
                      <w:color w:val="auto"/>
                      <w:sz w:val="18"/>
                      <w:szCs w:val="18"/>
                      <w:lang w:val="en-US" w:eastAsia="zh-CN"/>
                    </w:rPr>
                  </w:pPr>
                  <w:r>
                    <w:rPr>
                      <w:rFonts w:hint="eastAsia"/>
                      <w:color w:val="auto"/>
                      <w:sz w:val="18"/>
                      <w:szCs w:val="18"/>
                      <w:lang w:val="en-US" w:eastAsia="zh-CN"/>
                    </w:rPr>
                    <w:t>甲醇</w:t>
                  </w:r>
                </w:p>
              </w:tc>
              <w:tc>
                <w:tcPr>
                  <w:tcW w:w="1785" w:type="dxa"/>
                  <w:tcBorders>
                    <w:tl2br w:val="nil"/>
                    <w:tr2bl w:val="nil"/>
                  </w:tcBorders>
                  <w:shd w:val="clear" w:color="auto" w:fill="auto"/>
                  <w:noWrap w:val="0"/>
                  <w:vAlign w:val="center"/>
                </w:tcPr>
                <w:p w14:paraId="403F66D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06A02EDB">
                  <w:pPr>
                    <w:pStyle w:val="60"/>
                    <w:rPr>
                      <w:rFonts w:hint="default"/>
                      <w:color w:val="auto"/>
                      <w:sz w:val="18"/>
                      <w:szCs w:val="18"/>
                      <w:lang w:val="en-US" w:eastAsia="zh-CN"/>
                    </w:rPr>
                  </w:pPr>
                  <w:r>
                    <w:rPr>
                      <w:rFonts w:hint="eastAsia"/>
                      <w:color w:val="auto"/>
                      <w:sz w:val="18"/>
                      <w:szCs w:val="18"/>
                      <w:lang w:val="en-US" w:eastAsia="zh-CN"/>
                    </w:rPr>
                    <w:t>12.7</w:t>
                  </w:r>
                </w:p>
              </w:tc>
              <w:tc>
                <w:tcPr>
                  <w:tcW w:w="1881" w:type="dxa"/>
                  <w:tcBorders>
                    <w:tl2br w:val="nil"/>
                    <w:tr2bl w:val="nil"/>
                  </w:tcBorders>
                  <w:noWrap w:val="0"/>
                  <w:vAlign w:val="center"/>
                </w:tcPr>
                <w:p w14:paraId="5AF08170">
                  <w:pPr>
                    <w:pStyle w:val="60"/>
                    <w:rPr>
                      <w:rFonts w:hint="default"/>
                      <w:color w:val="auto"/>
                      <w:sz w:val="18"/>
                      <w:szCs w:val="18"/>
                      <w:lang w:val="en-US" w:eastAsia="zh-CN"/>
                    </w:rPr>
                  </w:pPr>
                  <w:r>
                    <w:rPr>
                      <w:rFonts w:hint="eastAsia"/>
                      <w:color w:val="auto"/>
                      <w:sz w:val="18"/>
                      <w:szCs w:val="18"/>
                      <w:lang w:val="en-US" w:eastAsia="zh-CN"/>
                    </w:rPr>
                    <w:t>14.3</w:t>
                  </w:r>
                </w:p>
              </w:tc>
              <w:tc>
                <w:tcPr>
                  <w:tcW w:w="1881" w:type="dxa"/>
                  <w:tcBorders>
                    <w:tl2br w:val="nil"/>
                    <w:tr2bl w:val="nil"/>
                  </w:tcBorders>
                  <w:noWrap w:val="0"/>
                  <w:vAlign w:val="center"/>
                </w:tcPr>
                <w:p w14:paraId="0D11DD7F">
                  <w:pPr>
                    <w:pStyle w:val="60"/>
                    <w:rPr>
                      <w:rFonts w:hint="default"/>
                      <w:color w:val="auto"/>
                      <w:sz w:val="18"/>
                      <w:szCs w:val="18"/>
                      <w:lang w:val="en-US" w:eastAsia="zh-CN"/>
                    </w:rPr>
                  </w:pPr>
                  <w:r>
                    <w:rPr>
                      <w:rFonts w:hint="eastAsia"/>
                      <w:color w:val="auto"/>
                      <w:sz w:val="18"/>
                      <w:szCs w:val="18"/>
                      <w:lang w:val="en-US" w:eastAsia="zh-CN"/>
                    </w:rPr>
                    <w:t>15.5</w:t>
                  </w:r>
                </w:p>
              </w:tc>
            </w:tr>
            <w:tr w14:paraId="3FAC9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noWrap w:val="0"/>
                  <w:vAlign w:val="center"/>
                </w:tcPr>
                <w:p w14:paraId="4344B72E">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1E74E99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7A7884D9">
                  <w:pPr>
                    <w:pStyle w:val="60"/>
                    <w:rPr>
                      <w:rFonts w:hint="default"/>
                      <w:color w:val="auto"/>
                      <w:sz w:val="18"/>
                      <w:szCs w:val="18"/>
                      <w:lang w:val="en-US" w:eastAsia="zh-CN"/>
                    </w:rPr>
                  </w:pPr>
                  <w:r>
                    <w:rPr>
                      <w:rFonts w:hint="eastAsia"/>
                      <w:color w:val="auto"/>
                      <w:sz w:val="18"/>
                      <w:szCs w:val="18"/>
                      <w:lang w:val="en-US" w:eastAsia="zh-CN"/>
                    </w:rPr>
                    <w:t>11.6</w:t>
                  </w:r>
                </w:p>
              </w:tc>
              <w:tc>
                <w:tcPr>
                  <w:tcW w:w="1881" w:type="dxa"/>
                  <w:tcBorders>
                    <w:tl2br w:val="nil"/>
                    <w:tr2bl w:val="nil"/>
                  </w:tcBorders>
                  <w:noWrap w:val="0"/>
                  <w:vAlign w:val="center"/>
                </w:tcPr>
                <w:p w14:paraId="15E822A8">
                  <w:pPr>
                    <w:pStyle w:val="60"/>
                    <w:rPr>
                      <w:rFonts w:hint="default"/>
                      <w:color w:val="auto"/>
                      <w:sz w:val="18"/>
                      <w:szCs w:val="18"/>
                      <w:lang w:val="en-US" w:eastAsia="zh-CN"/>
                    </w:rPr>
                  </w:pPr>
                  <w:r>
                    <w:rPr>
                      <w:rFonts w:hint="eastAsia"/>
                      <w:color w:val="auto"/>
                      <w:sz w:val="18"/>
                      <w:szCs w:val="18"/>
                      <w:lang w:val="en-US" w:eastAsia="zh-CN"/>
                    </w:rPr>
                    <w:t>13.3</w:t>
                  </w:r>
                </w:p>
              </w:tc>
              <w:tc>
                <w:tcPr>
                  <w:tcW w:w="1881" w:type="dxa"/>
                  <w:tcBorders>
                    <w:tl2br w:val="nil"/>
                    <w:tr2bl w:val="nil"/>
                  </w:tcBorders>
                  <w:noWrap w:val="0"/>
                  <w:vAlign w:val="center"/>
                </w:tcPr>
                <w:p w14:paraId="54462708">
                  <w:pPr>
                    <w:pStyle w:val="60"/>
                    <w:rPr>
                      <w:rFonts w:hint="default"/>
                      <w:color w:val="auto"/>
                      <w:sz w:val="18"/>
                      <w:szCs w:val="18"/>
                      <w:lang w:val="en-US" w:eastAsia="zh-CN"/>
                    </w:rPr>
                  </w:pPr>
                  <w:r>
                    <w:rPr>
                      <w:rFonts w:hint="eastAsia"/>
                      <w:color w:val="auto"/>
                      <w:sz w:val="18"/>
                      <w:szCs w:val="18"/>
                      <w:lang w:val="en-US" w:eastAsia="zh-CN"/>
                    </w:rPr>
                    <w:t>14.0</w:t>
                  </w:r>
                </w:p>
              </w:tc>
            </w:tr>
            <w:tr w14:paraId="026BE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noWrap w:val="0"/>
                  <w:vAlign w:val="center"/>
                </w:tcPr>
                <w:p w14:paraId="0FBAC557">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549951D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noWrap w:val="0"/>
                  <w:vAlign w:val="center"/>
                </w:tcPr>
                <w:p w14:paraId="2785D516">
                  <w:pPr>
                    <w:pStyle w:val="60"/>
                    <w:rPr>
                      <w:rFonts w:hint="default"/>
                      <w:color w:val="auto"/>
                      <w:sz w:val="18"/>
                      <w:szCs w:val="18"/>
                      <w:lang w:val="en-US" w:eastAsia="zh-CN"/>
                    </w:rPr>
                  </w:pPr>
                  <w:r>
                    <w:rPr>
                      <w:rFonts w:hint="eastAsia"/>
                      <w:color w:val="auto"/>
                      <w:sz w:val="18"/>
                      <w:szCs w:val="18"/>
                      <w:lang w:val="en-US" w:eastAsia="zh-CN"/>
                    </w:rPr>
                    <w:t>0.0803</w:t>
                  </w:r>
                </w:p>
              </w:tc>
              <w:tc>
                <w:tcPr>
                  <w:tcW w:w="1881" w:type="dxa"/>
                  <w:tcBorders>
                    <w:tl2br w:val="nil"/>
                    <w:tr2bl w:val="nil"/>
                  </w:tcBorders>
                  <w:noWrap w:val="0"/>
                  <w:vAlign w:val="center"/>
                </w:tcPr>
                <w:p w14:paraId="6ABCB015">
                  <w:pPr>
                    <w:pStyle w:val="60"/>
                    <w:rPr>
                      <w:rFonts w:hint="default"/>
                      <w:color w:val="auto"/>
                      <w:sz w:val="18"/>
                      <w:szCs w:val="18"/>
                      <w:lang w:val="en-US" w:eastAsia="zh-CN"/>
                    </w:rPr>
                  </w:pPr>
                  <w:r>
                    <w:rPr>
                      <w:rFonts w:hint="eastAsia"/>
                      <w:color w:val="auto"/>
                      <w:sz w:val="18"/>
                      <w:szCs w:val="18"/>
                      <w:lang w:val="en-US" w:eastAsia="zh-CN"/>
                    </w:rPr>
                    <w:t>0.0956</w:t>
                  </w:r>
                </w:p>
              </w:tc>
              <w:tc>
                <w:tcPr>
                  <w:tcW w:w="1881" w:type="dxa"/>
                  <w:tcBorders>
                    <w:tl2br w:val="nil"/>
                    <w:tr2bl w:val="nil"/>
                  </w:tcBorders>
                  <w:noWrap w:val="0"/>
                  <w:vAlign w:val="center"/>
                </w:tcPr>
                <w:p w14:paraId="21CDCD91">
                  <w:pPr>
                    <w:pStyle w:val="60"/>
                    <w:rPr>
                      <w:rFonts w:hint="default"/>
                      <w:color w:val="auto"/>
                      <w:sz w:val="18"/>
                      <w:szCs w:val="18"/>
                      <w:lang w:val="en-US" w:eastAsia="zh-CN"/>
                    </w:rPr>
                  </w:pPr>
                  <w:r>
                    <w:rPr>
                      <w:rFonts w:hint="eastAsia"/>
                      <w:color w:val="auto"/>
                      <w:sz w:val="18"/>
                      <w:szCs w:val="18"/>
                      <w:lang w:val="en-US" w:eastAsia="zh-CN"/>
                    </w:rPr>
                    <w:t>0.1014</w:t>
                  </w:r>
                </w:p>
              </w:tc>
            </w:tr>
            <w:tr w14:paraId="075CB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restart"/>
                  <w:tcBorders>
                    <w:tl2br w:val="nil"/>
                    <w:tr2bl w:val="nil"/>
                  </w:tcBorders>
                  <w:noWrap w:val="0"/>
                  <w:vAlign w:val="center"/>
                </w:tcPr>
                <w:p w14:paraId="2C001A2D">
                  <w:pPr>
                    <w:pStyle w:val="60"/>
                    <w:rPr>
                      <w:rFonts w:hint="default"/>
                      <w:color w:val="auto"/>
                      <w:sz w:val="18"/>
                      <w:szCs w:val="18"/>
                      <w:lang w:val="en-US" w:eastAsia="zh-CN"/>
                    </w:rPr>
                  </w:pPr>
                  <w:r>
                    <w:rPr>
                      <w:rFonts w:hint="eastAsia"/>
                      <w:color w:val="auto"/>
                      <w:sz w:val="18"/>
                      <w:szCs w:val="18"/>
                      <w:lang w:val="en-US" w:eastAsia="zh-CN"/>
                    </w:rPr>
                    <w:t>甲醛</w:t>
                  </w:r>
                </w:p>
              </w:tc>
              <w:tc>
                <w:tcPr>
                  <w:tcW w:w="1785" w:type="dxa"/>
                  <w:tcBorders>
                    <w:tl2br w:val="nil"/>
                    <w:tr2bl w:val="nil"/>
                  </w:tcBorders>
                  <w:shd w:val="clear" w:color="auto" w:fill="auto"/>
                  <w:noWrap w:val="0"/>
                  <w:vAlign w:val="center"/>
                </w:tcPr>
                <w:p w14:paraId="58299E6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3A78708D">
                  <w:pPr>
                    <w:pStyle w:val="60"/>
                    <w:rPr>
                      <w:rFonts w:hint="default"/>
                      <w:color w:val="auto"/>
                      <w:sz w:val="18"/>
                      <w:szCs w:val="18"/>
                      <w:lang w:val="en-US" w:eastAsia="zh-CN"/>
                    </w:rPr>
                  </w:pPr>
                  <w:r>
                    <w:rPr>
                      <w:rFonts w:hint="eastAsia"/>
                      <w:color w:val="auto"/>
                      <w:sz w:val="18"/>
                      <w:szCs w:val="18"/>
                      <w:lang w:val="en-US" w:eastAsia="zh-CN"/>
                    </w:rPr>
                    <w:t>1.84</w:t>
                  </w:r>
                </w:p>
              </w:tc>
              <w:tc>
                <w:tcPr>
                  <w:tcW w:w="1881" w:type="dxa"/>
                  <w:tcBorders>
                    <w:tl2br w:val="nil"/>
                    <w:tr2bl w:val="nil"/>
                  </w:tcBorders>
                  <w:noWrap w:val="0"/>
                  <w:vAlign w:val="center"/>
                </w:tcPr>
                <w:p w14:paraId="6D8C3038">
                  <w:pPr>
                    <w:pStyle w:val="60"/>
                    <w:rPr>
                      <w:rFonts w:hint="default"/>
                      <w:color w:val="auto"/>
                      <w:sz w:val="18"/>
                      <w:szCs w:val="18"/>
                      <w:lang w:val="en-US" w:eastAsia="zh-CN"/>
                    </w:rPr>
                  </w:pPr>
                  <w:r>
                    <w:rPr>
                      <w:rFonts w:hint="eastAsia"/>
                      <w:color w:val="auto"/>
                      <w:sz w:val="18"/>
                      <w:szCs w:val="18"/>
                      <w:lang w:val="en-US" w:eastAsia="zh-CN"/>
                    </w:rPr>
                    <w:t>1.74</w:t>
                  </w:r>
                </w:p>
              </w:tc>
              <w:tc>
                <w:tcPr>
                  <w:tcW w:w="1881" w:type="dxa"/>
                  <w:tcBorders>
                    <w:tl2br w:val="nil"/>
                    <w:tr2bl w:val="nil"/>
                  </w:tcBorders>
                  <w:noWrap w:val="0"/>
                  <w:vAlign w:val="center"/>
                </w:tcPr>
                <w:p w14:paraId="21938AA8">
                  <w:pPr>
                    <w:pStyle w:val="60"/>
                    <w:rPr>
                      <w:rFonts w:hint="default"/>
                      <w:color w:val="auto"/>
                      <w:sz w:val="18"/>
                      <w:szCs w:val="18"/>
                      <w:lang w:val="en-US" w:eastAsia="zh-CN"/>
                    </w:rPr>
                  </w:pPr>
                  <w:r>
                    <w:rPr>
                      <w:rFonts w:hint="eastAsia"/>
                      <w:color w:val="auto"/>
                      <w:sz w:val="18"/>
                      <w:szCs w:val="18"/>
                      <w:lang w:val="en-US" w:eastAsia="zh-CN"/>
                    </w:rPr>
                    <w:t>1.97</w:t>
                  </w:r>
                </w:p>
              </w:tc>
            </w:tr>
            <w:tr w14:paraId="3643A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noWrap w:val="0"/>
                  <w:vAlign w:val="center"/>
                </w:tcPr>
                <w:p w14:paraId="1FD7B1EC">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1D73A10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折算浓度（mg/m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210539FF">
                  <w:pPr>
                    <w:pStyle w:val="60"/>
                    <w:rPr>
                      <w:rFonts w:hint="default"/>
                      <w:color w:val="auto"/>
                      <w:sz w:val="18"/>
                      <w:szCs w:val="18"/>
                      <w:lang w:val="en-US" w:eastAsia="zh-CN"/>
                    </w:rPr>
                  </w:pPr>
                  <w:r>
                    <w:rPr>
                      <w:rFonts w:hint="eastAsia"/>
                      <w:color w:val="auto"/>
                      <w:sz w:val="18"/>
                      <w:szCs w:val="18"/>
                      <w:lang w:val="en-US" w:eastAsia="zh-CN"/>
                    </w:rPr>
                    <w:t>1.68</w:t>
                  </w:r>
                </w:p>
              </w:tc>
              <w:tc>
                <w:tcPr>
                  <w:tcW w:w="1881" w:type="dxa"/>
                  <w:tcBorders>
                    <w:tl2br w:val="nil"/>
                    <w:tr2bl w:val="nil"/>
                  </w:tcBorders>
                  <w:noWrap w:val="0"/>
                  <w:vAlign w:val="center"/>
                </w:tcPr>
                <w:p w14:paraId="51E1D4C2">
                  <w:pPr>
                    <w:pStyle w:val="60"/>
                    <w:rPr>
                      <w:rFonts w:hint="default"/>
                      <w:color w:val="auto"/>
                      <w:sz w:val="18"/>
                      <w:szCs w:val="18"/>
                      <w:lang w:val="en-US" w:eastAsia="zh-CN"/>
                    </w:rPr>
                  </w:pPr>
                  <w:r>
                    <w:rPr>
                      <w:rFonts w:hint="eastAsia"/>
                      <w:color w:val="auto"/>
                      <w:sz w:val="18"/>
                      <w:szCs w:val="18"/>
                      <w:lang w:val="en-US" w:eastAsia="zh-CN"/>
                    </w:rPr>
                    <w:t>1.62</w:t>
                  </w:r>
                </w:p>
              </w:tc>
              <w:tc>
                <w:tcPr>
                  <w:tcW w:w="1881" w:type="dxa"/>
                  <w:tcBorders>
                    <w:tl2br w:val="nil"/>
                    <w:tr2bl w:val="nil"/>
                  </w:tcBorders>
                  <w:noWrap w:val="0"/>
                  <w:vAlign w:val="center"/>
                </w:tcPr>
                <w:p w14:paraId="22AD8142">
                  <w:pPr>
                    <w:pStyle w:val="60"/>
                    <w:rPr>
                      <w:rFonts w:hint="default"/>
                      <w:color w:val="auto"/>
                      <w:sz w:val="18"/>
                      <w:szCs w:val="18"/>
                      <w:lang w:val="en-US" w:eastAsia="zh-CN"/>
                    </w:rPr>
                  </w:pPr>
                  <w:r>
                    <w:rPr>
                      <w:rFonts w:hint="eastAsia"/>
                      <w:color w:val="auto"/>
                      <w:sz w:val="18"/>
                      <w:szCs w:val="18"/>
                      <w:lang w:val="en-US" w:eastAsia="zh-CN"/>
                    </w:rPr>
                    <w:t>1.78</w:t>
                  </w:r>
                </w:p>
              </w:tc>
            </w:tr>
            <w:tr w14:paraId="0AEB9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5" w:type="dxa"/>
                  <w:vMerge w:val="continue"/>
                  <w:tcBorders>
                    <w:tl2br w:val="nil"/>
                    <w:tr2bl w:val="nil"/>
                  </w:tcBorders>
                  <w:noWrap w:val="0"/>
                  <w:vAlign w:val="center"/>
                </w:tcPr>
                <w:p w14:paraId="5470476B">
                  <w:pPr>
                    <w:pStyle w:val="60"/>
                    <w:rPr>
                      <w:rFonts w:hint="eastAsia"/>
                      <w:color w:val="auto"/>
                      <w:sz w:val="18"/>
                      <w:szCs w:val="18"/>
                      <w:lang w:val="en-US" w:eastAsia="zh-CN"/>
                    </w:rPr>
                  </w:pPr>
                </w:p>
              </w:tc>
              <w:tc>
                <w:tcPr>
                  <w:tcW w:w="1785" w:type="dxa"/>
                  <w:tcBorders>
                    <w:tl2br w:val="nil"/>
                    <w:tr2bl w:val="nil"/>
                  </w:tcBorders>
                  <w:shd w:val="clear" w:color="auto" w:fill="auto"/>
                  <w:noWrap w:val="0"/>
                  <w:vAlign w:val="center"/>
                </w:tcPr>
                <w:p w14:paraId="56FB7C9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排放速率（kg/h）</w:t>
                  </w:r>
                </w:p>
              </w:tc>
              <w:tc>
                <w:tcPr>
                  <w:tcW w:w="1881" w:type="dxa"/>
                  <w:tcBorders>
                    <w:tl2br w:val="nil"/>
                    <w:tr2bl w:val="nil"/>
                  </w:tcBorders>
                  <w:noWrap w:val="0"/>
                  <w:vAlign w:val="center"/>
                </w:tcPr>
                <w:p w14:paraId="53888DD2">
                  <w:pPr>
                    <w:pStyle w:val="60"/>
                    <w:rPr>
                      <w:rFonts w:hint="default"/>
                      <w:color w:val="auto"/>
                      <w:sz w:val="18"/>
                      <w:szCs w:val="18"/>
                      <w:lang w:val="en-US" w:eastAsia="zh-CN"/>
                    </w:rPr>
                  </w:pPr>
                  <w:r>
                    <w:rPr>
                      <w:rFonts w:hint="eastAsia"/>
                      <w:color w:val="auto"/>
                      <w:sz w:val="18"/>
                      <w:szCs w:val="18"/>
                      <w:lang w:val="en-US" w:eastAsia="zh-CN"/>
                    </w:rPr>
                    <w:t>0.0116</w:t>
                  </w:r>
                </w:p>
              </w:tc>
              <w:tc>
                <w:tcPr>
                  <w:tcW w:w="1881" w:type="dxa"/>
                  <w:tcBorders>
                    <w:tl2br w:val="nil"/>
                    <w:tr2bl w:val="nil"/>
                  </w:tcBorders>
                  <w:noWrap w:val="0"/>
                  <w:vAlign w:val="center"/>
                </w:tcPr>
                <w:p w14:paraId="4E373E6C">
                  <w:pPr>
                    <w:pStyle w:val="60"/>
                    <w:rPr>
                      <w:rFonts w:hint="default"/>
                      <w:color w:val="auto"/>
                      <w:sz w:val="18"/>
                      <w:szCs w:val="18"/>
                      <w:lang w:val="en-US" w:eastAsia="zh-CN"/>
                    </w:rPr>
                  </w:pPr>
                  <w:r>
                    <w:rPr>
                      <w:rFonts w:hint="eastAsia"/>
                      <w:color w:val="auto"/>
                      <w:sz w:val="18"/>
                      <w:szCs w:val="18"/>
                      <w:lang w:val="en-US" w:eastAsia="zh-CN"/>
                    </w:rPr>
                    <w:t>0.0116</w:t>
                  </w:r>
                </w:p>
              </w:tc>
              <w:tc>
                <w:tcPr>
                  <w:tcW w:w="1881" w:type="dxa"/>
                  <w:tcBorders>
                    <w:tl2br w:val="nil"/>
                    <w:tr2bl w:val="nil"/>
                  </w:tcBorders>
                  <w:noWrap w:val="0"/>
                  <w:vAlign w:val="center"/>
                </w:tcPr>
                <w:p w14:paraId="0A434891">
                  <w:pPr>
                    <w:pStyle w:val="60"/>
                    <w:rPr>
                      <w:rFonts w:hint="default"/>
                      <w:color w:val="auto"/>
                      <w:sz w:val="18"/>
                      <w:szCs w:val="18"/>
                      <w:lang w:val="en-US" w:eastAsia="zh-CN"/>
                    </w:rPr>
                  </w:pPr>
                  <w:r>
                    <w:rPr>
                      <w:rFonts w:hint="eastAsia"/>
                      <w:color w:val="auto"/>
                      <w:sz w:val="18"/>
                      <w:szCs w:val="18"/>
                      <w:lang w:val="en-US" w:eastAsia="zh-CN"/>
                    </w:rPr>
                    <w:t>0.0129</w:t>
                  </w:r>
                </w:p>
              </w:tc>
            </w:tr>
          </w:tbl>
          <w:p w14:paraId="5E4342D2">
            <w:pPr>
              <w:adjustRightInd w:val="0"/>
              <w:snapToGrid w:val="0"/>
              <w:spacing w:line="440" w:lineRule="exact"/>
              <w:ind w:firstLine="420" w:firstLineChars="200"/>
              <w:rPr>
                <w:rFonts w:hint="eastAsia"/>
                <w:bCs/>
                <w:color w:val="auto"/>
                <w:szCs w:val="21"/>
                <w:lang w:val="en-US" w:eastAsia="zh-CN"/>
              </w:rPr>
            </w:pPr>
            <w:r>
              <w:rPr>
                <w:rFonts w:hint="eastAsia"/>
                <w:bCs/>
                <w:color w:val="auto"/>
                <w:szCs w:val="21"/>
                <w:lang w:val="en-US" w:eastAsia="zh-CN"/>
              </w:rPr>
              <w:t>综上所述，现有项目各排气筒：</w:t>
            </w:r>
          </w:p>
          <w:p w14:paraId="5B98728D">
            <w:pPr>
              <w:adjustRightInd w:val="0"/>
              <w:snapToGrid w:val="0"/>
              <w:spacing w:line="440" w:lineRule="exact"/>
              <w:ind w:firstLine="420" w:firstLineChars="200"/>
              <w:rPr>
                <w:rFonts w:hint="eastAsia"/>
                <w:bCs/>
                <w:color w:val="auto"/>
                <w:szCs w:val="21"/>
                <w:lang w:eastAsia="zh-CN"/>
              </w:rPr>
            </w:pPr>
            <w:r>
              <w:rPr>
                <w:rFonts w:hint="eastAsia"/>
                <w:bCs/>
                <w:color w:val="auto"/>
                <w:szCs w:val="21"/>
                <w:lang w:val="en-US" w:eastAsia="zh-CN"/>
              </w:rPr>
              <w:t>DA001排气筒外排非甲烷总烃</w:t>
            </w:r>
            <w:r>
              <w:rPr>
                <w:rFonts w:hint="eastAsia"/>
                <w:bCs/>
                <w:color w:val="auto"/>
                <w:szCs w:val="21"/>
              </w:rPr>
              <w:t>最大排放浓度为</w:t>
            </w:r>
            <w:r>
              <w:rPr>
                <w:rFonts w:hint="eastAsia"/>
                <w:bCs/>
                <w:color w:val="auto"/>
                <w:szCs w:val="21"/>
                <w:highlight w:val="none"/>
                <w:lang w:val="en-US" w:eastAsia="zh-CN"/>
              </w:rPr>
              <w:t>30.8</w:t>
            </w:r>
            <w:r>
              <w:rPr>
                <w:rFonts w:hint="eastAsia"/>
                <w:bCs/>
                <w:color w:val="auto"/>
                <w:szCs w:val="21"/>
                <w:highlight w:val="none"/>
              </w:rPr>
              <w:t>mg/m</w:t>
            </w:r>
            <w:r>
              <w:rPr>
                <w:rFonts w:hint="eastAsia"/>
                <w:bCs/>
                <w:color w:val="auto"/>
                <w:szCs w:val="21"/>
                <w:highlight w:val="none"/>
                <w:vertAlign w:val="superscript"/>
              </w:rPr>
              <w:t>3</w:t>
            </w:r>
            <w:r>
              <w:rPr>
                <w:rFonts w:hint="eastAsia"/>
                <w:bCs/>
                <w:color w:val="auto"/>
                <w:szCs w:val="21"/>
                <w:highlight w:val="none"/>
              </w:rPr>
              <w:t>、最大排放速率为</w:t>
            </w:r>
            <w:r>
              <w:rPr>
                <w:rFonts w:hint="eastAsia"/>
                <w:bCs/>
                <w:color w:val="auto"/>
                <w:szCs w:val="21"/>
                <w:highlight w:val="none"/>
                <w:lang w:val="en-US" w:eastAsia="zh-CN"/>
              </w:rPr>
              <w:t>0.271</w:t>
            </w:r>
            <w:r>
              <w:rPr>
                <w:rFonts w:hint="eastAsia"/>
                <w:bCs/>
                <w:color w:val="auto"/>
                <w:szCs w:val="21"/>
                <w:highlight w:val="none"/>
              </w:rPr>
              <w:t>kg/h</w:t>
            </w:r>
            <w:r>
              <w:rPr>
                <w:rFonts w:hint="eastAsia"/>
                <w:bCs/>
                <w:color w:val="auto"/>
                <w:szCs w:val="21"/>
                <w:lang w:eastAsia="zh-CN"/>
              </w:rPr>
              <w:t>，</w:t>
            </w:r>
            <w:r>
              <w:rPr>
                <w:rFonts w:hint="eastAsia"/>
                <w:bCs/>
                <w:color w:val="auto"/>
                <w:szCs w:val="21"/>
                <w:lang w:val="en-US" w:eastAsia="zh-CN"/>
              </w:rPr>
              <w:t>甲醇</w:t>
            </w:r>
            <w:r>
              <w:rPr>
                <w:rFonts w:hint="eastAsia"/>
                <w:bCs/>
                <w:color w:val="auto"/>
                <w:szCs w:val="21"/>
              </w:rPr>
              <w:t>最大排放浓度为</w:t>
            </w:r>
            <w:r>
              <w:rPr>
                <w:rFonts w:hint="eastAsia"/>
                <w:bCs/>
                <w:color w:val="auto"/>
                <w:szCs w:val="21"/>
                <w:lang w:val="en-US" w:eastAsia="zh-CN"/>
              </w:rPr>
              <w:t>14.78</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0.1422</w:t>
            </w:r>
            <w:r>
              <w:rPr>
                <w:rFonts w:hint="eastAsia"/>
                <w:bCs/>
                <w:color w:val="auto"/>
                <w:szCs w:val="21"/>
              </w:rPr>
              <w:t>kg/h</w:t>
            </w:r>
            <w:r>
              <w:rPr>
                <w:rFonts w:hint="eastAsia"/>
                <w:bCs/>
                <w:color w:val="auto"/>
                <w:szCs w:val="21"/>
                <w:lang w:eastAsia="zh-CN"/>
              </w:rPr>
              <w:t>，</w:t>
            </w:r>
            <w:r>
              <w:rPr>
                <w:rFonts w:hint="eastAsia"/>
                <w:bCs/>
                <w:color w:val="auto"/>
                <w:szCs w:val="21"/>
                <w:lang w:val="en-US" w:eastAsia="zh-CN"/>
              </w:rPr>
              <w:t>甲醛</w:t>
            </w:r>
            <w:r>
              <w:rPr>
                <w:rFonts w:hint="eastAsia"/>
                <w:bCs/>
                <w:color w:val="auto"/>
                <w:szCs w:val="21"/>
              </w:rPr>
              <w:t>最大排放浓度为</w:t>
            </w:r>
            <w:r>
              <w:rPr>
                <w:rFonts w:hint="eastAsia"/>
                <w:bCs/>
                <w:color w:val="auto"/>
                <w:szCs w:val="21"/>
                <w:lang w:val="en-US" w:eastAsia="zh-CN"/>
              </w:rPr>
              <w:t>1.78</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0.0172</w:t>
            </w:r>
            <w:r>
              <w:rPr>
                <w:rFonts w:hint="eastAsia"/>
                <w:bCs/>
                <w:color w:val="auto"/>
                <w:szCs w:val="21"/>
              </w:rPr>
              <w:t>kg/h</w:t>
            </w:r>
            <w:r>
              <w:rPr>
                <w:rFonts w:hint="eastAsia"/>
                <w:bCs/>
                <w:color w:val="auto"/>
                <w:szCs w:val="21"/>
                <w:lang w:eastAsia="zh-CN"/>
              </w:rPr>
              <w:t>，</w:t>
            </w:r>
            <w:r>
              <w:rPr>
                <w:color w:val="auto"/>
              </w:rPr>
              <w:t>能够满足《挥发性有机物排放标准 第6部分：有机化工》（DB37/2801.6－2018）表1</w:t>
            </w:r>
            <w:r>
              <w:rPr>
                <w:rFonts w:hint="eastAsia"/>
                <w:color w:val="auto"/>
                <w:lang w:val="en-US" w:eastAsia="zh-CN"/>
              </w:rPr>
              <w:t>限值</w:t>
            </w:r>
            <w:r>
              <w:rPr>
                <w:color w:val="auto"/>
              </w:rPr>
              <w:t>要求</w:t>
            </w:r>
            <w:r>
              <w:rPr>
                <w:rFonts w:hint="eastAsia"/>
                <w:color w:val="auto"/>
                <w:lang w:eastAsia="zh-CN"/>
              </w:rPr>
              <w:t>（</w:t>
            </w:r>
            <w:r>
              <w:rPr>
                <w:color w:val="auto"/>
              </w:rPr>
              <w:t>非甲烷总烃：60mg/m</w:t>
            </w:r>
            <w:r>
              <w:rPr>
                <w:color w:val="auto"/>
                <w:vertAlign w:val="superscript"/>
              </w:rPr>
              <w:t>3</w:t>
            </w:r>
            <w:r>
              <w:rPr>
                <w:rFonts w:hint="eastAsia"/>
                <w:color w:val="auto"/>
              </w:rPr>
              <w:t>/</w:t>
            </w:r>
            <w:r>
              <w:rPr>
                <w:color w:val="auto"/>
              </w:rPr>
              <w:t>3.0kg/h</w:t>
            </w:r>
            <w:r>
              <w:rPr>
                <w:rFonts w:hint="eastAsia"/>
                <w:color w:val="auto"/>
              </w:rPr>
              <w:t>；</w:t>
            </w:r>
            <w:r>
              <w:rPr>
                <w:rFonts w:hint="eastAsia"/>
                <w:color w:val="auto"/>
                <w:lang w:val="en-US" w:eastAsia="zh-CN"/>
              </w:rPr>
              <w:t>甲醇</w:t>
            </w:r>
            <w:r>
              <w:rPr>
                <w:color w:val="auto"/>
              </w:rPr>
              <w:t>：</w:t>
            </w:r>
            <w:r>
              <w:rPr>
                <w:rFonts w:hint="eastAsia"/>
                <w:color w:val="auto"/>
                <w:lang w:val="en-US" w:eastAsia="zh-CN"/>
              </w:rPr>
              <w:t>50</w:t>
            </w:r>
            <w:r>
              <w:rPr>
                <w:color w:val="auto"/>
              </w:rPr>
              <w:t>mg/m</w:t>
            </w:r>
            <w:r>
              <w:rPr>
                <w:color w:val="auto"/>
                <w:vertAlign w:val="superscript"/>
              </w:rPr>
              <w:t>3</w:t>
            </w:r>
            <w:r>
              <w:rPr>
                <w:rFonts w:hint="eastAsia"/>
                <w:color w:val="auto"/>
              </w:rPr>
              <w:t>；</w:t>
            </w:r>
            <w:r>
              <w:rPr>
                <w:rFonts w:hint="eastAsia"/>
                <w:color w:val="auto"/>
                <w:lang w:val="en-US" w:eastAsia="zh-CN"/>
              </w:rPr>
              <w:t>甲醛</w:t>
            </w:r>
            <w:r>
              <w:rPr>
                <w:color w:val="auto"/>
              </w:rPr>
              <w:t>：5mg/m</w:t>
            </w:r>
            <w:r>
              <w:rPr>
                <w:color w:val="auto"/>
                <w:vertAlign w:val="superscript"/>
              </w:rPr>
              <w:t>3</w:t>
            </w:r>
            <w:r>
              <w:rPr>
                <w:rFonts w:hint="eastAsia"/>
                <w:color w:val="auto"/>
                <w:lang w:eastAsia="zh-CN"/>
              </w:rPr>
              <w:t>）；</w:t>
            </w:r>
            <w:r>
              <w:rPr>
                <w:rFonts w:hint="eastAsia"/>
                <w:color w:val="auto"/>
                <w:lang w:val="en-US" w:eastAsia="zh-CN"/>
              </w:rPr>
              <w:t>外排</w:t>
            </w:r>
            <w:r>
              <w:rPr>
                <w:rFonts w:hint="eastAsia"/>
                <w:bCs/>
                <w:color w:val="auto"/>
                <w:szCs w:val="21"/>
                <w:lang w:val="en-US" w:eastAsia="zh-CN"/>
              </w:rPr>
              <w:t>氮氧化物</w:t>
            </w:r>
            <w:r>
              <w:rPr>
                <w:rFonts w:hint="eastAsia"/>
                <w:bCs/>
                <w:color w:val="auto"/>
                <w:szCs w:val="21"/>
              </w:rPr>
              <w:t>未检出</w:t>
            </w:r>
            <w:r>
              <w:rPr>
                <w:rFonts w:hint="eastAsia"/>
                <w:bCs/>
                <w:color w:val="auto"/>
                <w:szCs w:val="21"/>
                <w:lang w:eastAsia="zh-CN"/>
              </w:rPr>
              <w:t>，</w:t>
            </w:r>
            <w:r>
              <w:rPr>
                <w:rFonts w:hint="eastAsia"/>
                <w:bCs/>
                <w:color w:val="auto"/>
                <w:szCs w:val="21"/>
              </w:rPr>
              <w:t>能够满足《区域性大气污染物综合排放标准》（DB37/2376-2019）表1“重点控制区”限值要求</w:t>
            </w:r>
            <w:r>
              <w:rPr>
                <w:rFonts w:hint="eastAsia"/>
                <w:bCs/>
                <w:color w:val="auto"/>
                <w:szCs w:val="21"/>
                <w:lang w:eastAsia="zh-CN"/>
              </w:rPr>
              <w:t>。</w:t>
            </w:r>
          </w:p>
          <w:p w14:paraId="578F6D6E">
            <w:pPr>
              <w:adjustRightInd w:val="0"/>
              <w:snapToGrid w:val="0"/>
              <w:spacing w:line="440" w:lineRule="exact"/>
              <w:ind w:firstLine="420" w:firstLineChars="200"/>
              <w:rPr>
                <w:rFonts w:hint="default" w:eastAsia="宋体"/>
                <w:bCs/>
                <w:color w:val="auto"/>
                <w:szCs w:val="21"/>
                <w:lang w:val="en-US" w:eastAsia="zh-CN"/>
              </w:rPr>
            </w:pPr>
            <w:r>
              <w:rPr>
                <w:rFonts w:hint="eastAsia"/>
                <w:bCs/>
                <w:color w:val="auto"/>
                <w:szCs w:val="21"/>
                <w:lang w:val="en-US" w:eastAsia="zh-CN"/>
              </w:rPr>
              <w:t>DA002排气筒外排非甲烷总烃</w:t>
            </w:r>
            <w:r>
              <w:rPr>
                <w:rFonts w:hint="eastAsia"/>
                <w:bCs/>
                <w:color w:val="auto"/>
                <w:szCs w:val="21"/>
              </w:rPr>
              <w:t>最大排放浓度为</w:t>
            </w:r>
            <w:r>
              <w:rPr>
                <w:rFonts w:hint="eastAsia"/>
                <w:bCs/>
                <w:color w:val="auto"/>
                <w:szCs w:val="21"/>
                <w:lang w:val="en-US" w:eastAsia="zh-CN"/>
              </w:rPr>
              <w:t>31.8</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0.2286</w:t>
            </w:r>
            <w:r>
              <w:rPr>
                <w:rFonts w:hint="eastAsia"/>
                <w:bCs/>
                <w:color w:val="auto"/>
                <w:szCs w:val="21"/>
              </w:rPr>
              <w:t>kg/h</w:t>
            </w:r>
            <w:r>
              <w:rPr>
                <w:rFonts w:hint="eastAsia"/>
                <w:bCs/>
                <w:color w:val="auto"/>
                <w:szCs w:val="21"/>
                <w:lang w:eastAsia="zh-CN"/>
              </w:rPr>
              <w:t>，</w:t>
            </w:r>
            <w:r>
              <w:rPr>
                <w:rFonts w:hint="eastAsia"/>
                <w:bCs/>
                <w:color w:val="auto"/>
                <w:szCs w:val="21"/>
                <w:lang w:val="en-US" w:eastAsia="zh-CN"/>
              </w:rPr>
              <w:t>甲醇</w:t>
            </w:r>
            <w:r>
              <w:rPr>
                <w:rFonts w:hint="eastAsia"/>
                <w:bCs/>
                <w:color w:val="auto"/>
                <w:szCs w:val="21"/>
              </w:rPr>
              <w:t>最大排放浓度为</w:t>
            </w:r>
            <w:r>
              <w:rPr>
                <w:rFonts w:hint="eastAsia"/>
                <w:bCs/>
                <w:color w:val="auto"/>
                <w:szCs w:val="21"/>
                <w:lang w:val="en-US" w:eastAsia="zh-CN"/>
              </w:rPr>
              <w:t>14.0</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0.1014</w:t>
            </w:r>
            <w:r>
              <w:rPr>
                <w:rFonts w:hint="eastAsia"/>
                <w:bCs/>
                <w:color w:val="auto"/>
                <w:szCs w:val="21"/>
              </w:rPr>
              <w:t>kg/h</w:t>
            </w:r>
            <w:r>
              <w:rPr>
                <w:rFonts w:hint="eastAsia"/>
                <w:bCs/>
                <w:color w:val="auto"/>
                <w:szCs w:val="21"/>
                <w:lang w:eastAsia="zh-CN"/>
              </w:rPr>
              <w:t>，</w:t>
            </w:r>
            <w:r>
              <w:rPr>
                <w:rFonts w:hint="eastAsia"/>
                <w:bCs/>
                <w:color w:val="auto"/>
                <w:szCs w:val="21"/>
                <w:lang w:val="en-US" w:eastAsia="zh-CN"/>
              </w:rPr>
              <w:t>甲醛</w:t>
            </w:r>
            <w:r>
              <w:rPr>
                <w:rFonts w:hint="eastAsia"/>
                <w:bCs/>
                <w:color w:val="auto"/>
                <w:szCs w:val="21"/>
              </w:rPr>
              <w:t>最大排放浓度为</w:t>
            </w:r>
            <w:r>
              <w:rPr>
                <w:rFonts w:hint="eastAsia"/>
                <w:bCs/>
                <w:color w:val="auto"/>
                <w:szCs w:val="21"/>
                <w:lang w:val="en-US" w:eastAsia="zh-CN"/>
              </w:rPr>
              <w:t>1.78</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0.0129</w:t>
            </w:r>
            <w:r>
              <w:rPr>
                <w:rFonts w:hint="eastAsia"/>
                <w:bCs/>
                <w:color w:val="auto"/>
                <w:szCs w:val="21"/>
              </w:rPr>
              <w:t>kg/h</w:t>
            </w:r>
            <w:r>
              <w:rPr>
                <w:rFonts w:hint="eastAsia"/>
                <w:bCs/>
                <w:color w:val="auto"/>
                <w:szCs w:val="21"/>
                <w:lang w:eastAsia="zh-CN"/>
              </w:rPr>
              <w:t>，</w:t>
            </w:r>
            <w:r>
              <w:rPr>
                <w:color w:val="auto"/>
              </w:rPr>
              <w:t>能够满足《挥发性有机物排放标准 第6部分：有机化工》（DB37/2801.6－2018）表1</w:t>
            </w:r>
            <w:r>
              <w:rPr>
                <w:rFonts w:hint="eastAsia"/>
                <w:color w:val="auto"/>
                <w:lang w:val="en-US" w:eastAsia="zh-CN"/>
              </w:rPr>
              <w:t>限值</w:t>
            </w:r>
            <w:r>
              <w:rPr>
                <w:color w:val="auto"/>
              </w:rPr>
              <w:t>要求</w:t>
            </w:r>
            <w:r>
              <w:rPr>
                <w:rFonts w:hint="eastAsia"/>
                <w:color w:val="auto"/>
                <w:lang w:eastAsia="zh-CN"/>
              </w:rPr>
              <w:t>（</w:t>
            </w:r>
            <w:r>
              <w:rPr>
                <w:color w:val="auto"/>
              </w:rPr>
              <w:t>非甲烷总烃：60mg/m</w:t>
            </w:r>
            <w:r>
              <w:rPr>
                <w:color w:val="auto"/>
                <w:vertAlign w:val="superscript"/>
              </w:rPr>
              <w:t>3</w:t>
            </w:r>
            <w:r>
              <w:rPr>
                <w:rFonts w:hint="eastAsia"/>
                <w:color w:val="auto"/>
              </w:rPr>
              <w:t>/</w:t>
            </w:r>
            <w:r>
              <w:rPr>
                <w:color w:val="auto"/>
              </w:rPr>
              <w:t>3.0kg/h</w:t>
            </w:r>
            <w:r>
              <w:rPr>
                <w:rFonts w:hint="eastAsia"/>
                <w:color w:val="auto"/>
              </w:rPr>
              <w:t>；</w:t>
            </w:r>
            <w:r>
              <w:rPr>
                <w:rFonts w:hint="eastAsia"/>
                <w:color w:val="auto"/>
                <w:lang w:val="en-US" w:eastAsia="zh-CN"/>
              </w:rPr>
              <w:t>甲醇</w:t>
            </w:r>
            <w:r>
              <w:rPr>
                <w:color w:val="auto"/>
              </w:rPr>
              <w:t>：</w:t>
            </w:r>
            <w:r>
              <w:rPr>
                <w:rFonts w:hint="eastAsia"/>
                <w:color w:val="auto"/>
                <w:lang w:val="en-US" w:eastAsia="zh-CN"/>
              </w:rPr>
              <w:t>50</w:t>
            </w:r>
            <w:r>
              <w:rPr>
                <w:color w:val="auto"/>
              </w:rPr>
              <w:t>mg/m</w:t>
            </w:r>
            <w:r>
              <w:rPr>
                <w:color w:val="auto"/>
                <w:vertAlign w:val="superscript"/>
              </w:rPr>
              <w:t>3</w:t>
            </w:r>
            <w:r>
              <w:rPr>
                <w:rFonts w:hint="eastAsia"/>
                <w:color w:val="auto"/>
              </w:rPr>
              <w:t>；</w:t>
            </w:r>
            <w:r>
              <w:rPr>
                <w:rFonts w:hint="eastAsia"/>
                <w:color w:val="auto"/>
                <w:lang w:val="en-US" w:eastAsia="zh-CN"/>
              </w:rPr>
              <w:t>甲醛</w:t>
            </w:r>
            <w:r>
              <w:rPr>
                <w:color w:val="auto"/>
              </w:rPr>
              <w:t>：5mg/m</w:t>
            </w:r>
            <w:r>
              <w:rPr>
                <w:color w:val="auto"/>
                <w:vertAlign w:val="superscript"/>
              </w:rPr>
              <w:t>3</w:t>
            </w:r>
            <w:r>
              <w:rPr>
                <w:rFonts w:hint="eastAsia"/>
                <w:color w:val="auto"/>
                <w:lang w:eastAsia="zh-CN"/>
              </w:rPr>
              <w:t>）；</w:t>
            </w:r>
            <w:r>
              <w:rPr>
                <w:rFonts w:hint="eastAsia"/>
                <w:color w:val="auto"/>
                <w:lang w:val="en-US" w:eastAsia="zh-CN"/>
              </w:rPr>
              <w:t>外排</w:t>
            </w:r>
            <w:r>
              <w:rPr>
                <w:rFonts w:hint="eastAsia"/>
                <w:bCs/>
                <w:color w:val="auto"/>
                <w:szCs w:val="21"/>
                <w:lang w:val="en-US" w:eastAsia="zh-CN"/>
              </w:rPr>
              <w:t>氮氧化物</w:t>
            </w:r>
            <w:r>
              <w:rPr>
                <w:rFonts w:hint="eastAsia"/>
                <w:bCs/>
                <w:color w:val="auto"/>
                <w:szCs w:val="21"/>
              </w:rPr>
              <w:t>最大排放浓度为</w:t>
            </w:r>
            <w:r>
              <w:rPr>
                <w:rFonts w:hint="eastAsia"/>
                <w:bCs/>
                <w:color w:val="auto"/>
                <w:szCs w:val="21"/>
                <w:lang w:val="en-US" w:eastAsia="zh-CN"/>
              </w:rPr>
              <w:t>4</w:t>
            </w:r>
            <w:r>
              <w:rPr>
                <w:rFonts w:hint="eastAsia"/>
                <w:bCs/>
                <w:color w:val="auto"/>
                <w:szCs w:val="21"/>
              </w:rPr>
              <w:t>mg/m</w:t>
            </w:r>
            <w:r>
              <w:rPr>
                <w:rFonts w:hint="eastAsia"/>
                <w:bCs/>
                <w:color w:val="auto"/>
                <w:szCs w:val="21"/>
                <w:vertAlign w:val="superscript"/>
              </w:rPr>
              <w:t>3</w:t>
            </w:r>
            <w:r>
              <w:rPr>
                <w:rFonts w:hint="eastAsia"/>
                <w:bCs/>
                <w:color w:val="auto"/>
                <w:szCs w:val="21"/>
              </w:rPr>
              <w:t>、最大排放速率为</w:t>
            </w:r>
            <w:r>
              <w:rPr>
                <w:rFonts w:hint="eastAsia"/>
                <w:bCs/>
                <w:color w:val="auto"/>
                <w:szCs w:val="21"/>
                <w:lang w:val="en-US" w:eastAsia="zh-CN"/>
              </w:rPr>
              <w:t>0.0262</w:t>
            </w:r>
            <w:r>
              <w:rPr>
                <w:rFonts w:hint="eastAsia"/>
                <w:bCs/>
                <w:color w:val="auto"/>
                <w:szCs w:val="21"/>
              </w:rPr>
              <w:t>kg/h，能够满足《区域性大气污染物综合排放标准》（DB37/2376-2019）表1“重点控制区”限值要求</w:t>
            </w:r>
            <w:r>
              <w:rPr>
                <w:rFonts w:hint="eastAsia"/>
                <w:bCs/>
                <w:color w:val="auto"/>
                <w:szCs w:val="21"/>
                <w:lang w:eastAsia="zh-CN"/>
              </w:rPr>
              <w:t>。</w:t>
            </w:r>
          </w:p>
          <w:p w14:paraId="250D2EED">
            <w:pPr>
              <w:adjustRightInd w:val="0"/>
              <w:snapToGrid w:val="0"/>
              <w:spacing w:line="440" w:lineRule="exact"/>
              <w:ind w:firstLine="420" w:firstLineChars="200"/>
              <w:rPr>
                <w:rFonts w:hint="default"/>
                <w:bCs/>
                <w:color w:val="auto"/>
                <w:szCs w:val="21"/>
                <w:lang w:val="en-US" w:eastAsia="zh-CN"/>
              </w:rPr>
            </w:pPr>
            <w:r>
              <w:rPr>
                <w:rFonts w:hint="eastAsia"/>
                <w:bCs/>
                <w:color w:val="auto"/>
                <w:szCs w:val="21"/>
                <w:lang w:val="en-US" w:eastAsia="zh-CN"/>
              </w:rPr>
              <w:t>同时，考虑到现有项目废气焚烧过程中可能会有次生颗粒物的产生，本次环评委托</w:t>
            </w:r>
            <w:r>
              <w:rPr>
                <w:rFonts w:hint="eastAsia"/>
                <w:color w:val="auto"/>
                <w:szCs w:val="24"/>
                <w:lang w:val="en-US" w:eastAsia="zh-CN"/>
              </w:rPr>
              <w:t>山东中熙环境检测服务有限公司于2026年5月30日对现有DA001及DA0002排气筒进行了补充监测（报告编号：ZXJC/BG202605331），报告显示DA001及DA0002排气筒外排颗粒物均未检出，具体监测结果如下：</w:t>
            </w:r>
          </w:p>
          <w:p w14:paraId="1607678E">
            <w:pPr>
              <w:adjustRightInd w:val="0"/>
              <w:snapToGrid w:val="0"/>
              <w:spacing w:before="120" w:beforeLines="50"/>
              <w:jc w:val="center"/>
              <w:rPr>
                <w:rFonts w:hint="eastAsia"/>
                <w:b/>
                <w:color w:val="auto"/>
                <w:szCs w:val="21"/>
              </w:rPr>
            </w:pPr>
            <w:r>
              <w:rPr>
                <w:rFonts w:hint="eastAsia"/>
                <w:b/>
                <w:color w:val="auto"/>
                <w:szCs w:val="21"/>
              </w:rPr>
              <w:t>表2-1</w:t>
            </w:r>
            <w:r>
              <w:rPr>
                <w:rFonts w:hint="eastAsia"/>
                <w:b/>
                <w:color w:val="auto"/>
                <w:szCs w:val="21"/>
                <w:lang w:val="en-US" w:eastAsia="zh-CN"/>
              </w:rPr>
              <w:t>3</w:t>
            </w:r>
            <w:r>
              <w:rPr>
                <w:rFonts w:hint="eastAsia"/>
                <w:b/>
                <w:color w:val="auto"/>
                <w:szCs w:val="21"/>
              </w:rPr>
              <w:t xml:space="preserve">  </w:t>
            </w:r>
            <w:r>
              <w:rPr>
                <w:rFonts w:hint="eastAsia"/>
                <w:b/>
                <w:color w:val="auto"/>
                <w:szCs w:val="21"/>
                <w:lang w:val="en-US" w:eastAsia="zh-CN"/>
              </w:rPr>
              <w:t>DA001</w:t>
            </w:r>
            <w:r>
              <w:rPr>
                <w:rFonts w:hint="eastAsia"/>
                <w:b/>
                <w:color w:val="auto"/>
                <w:szCs w:val="21"/>
              </w:rPr>
              <w:t>排气筒</w:t>
            </w:r>
            <w:r>
              <w:rPr>
                <w:rFonts w:hint="eastAsia"/>
                <w:b/>
                <w:color w:val="auto"/>
                <w:szCs w:val="21"/>
                <w:lang w:val="en-US" w:eastAsia="zh-CN"/>
              </w:rPr>
              <w:t>颗粒物</w:t>
            </w:r>
            <w:r>
              <w:rPr>
                <w:rFonts w:hint="eastAsia"/>
                <w:b/>
                <w:color w:val="auto"/>
                <w:szCs w:val="21"/>
              </w:rPr>
              <w:t>例行检测结果统计表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881"/>
              <w:gridCol w:w="1881"/>
              <w:gridCol w:w="1882"/>
            </w:tblGrid>
            <w:tr w14:paraId="02CA0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780" w:type="dxa"/>
                  <w:tcBorders>
                    <w:tl2br w:val="nil"/>
                    <w:tr2bl w:val="nil"/>
                  </w:tcBorders>
                  <w:noWrap w:val="0"/>
                  <w:vAlign w:val="center"/>
                </w:tcPr>
                <w:p w14:paraId="65C8231E">
                  <w:pPr>
                    <w:pStyle w:val="60"/>
                    <w:rPr>
                      <w:rFonts w:hint="default"/>
                      <w:color w:val="auto"/>
                      <w:sz w:val="18"/>
                      <w:szCs w:val="18"/>
                      <w:lang w:val="en-US" w:eastAsia="zh-CN"/>
                    </w:rPr>
                  </w:pPr>
                  <w:r>
                    <w:rPr>
                      <w:rFonts w:hint="eastAsia"/>
                      <w:color w:val="auto"/>
                      <w:sz w:val="18"/>
                      <w:szCs w:val="18"/>
                      <w:lang w:val="en-US" w:eastAsia="zh-CN"/>
                    </w:rPr>
                    <w:t>检测日期</w:t>
                  </w:r>
                </w:p>
              </w:tc>
              <w:tc>
                <w:tcPr>
                  <w:tcW w:w="5644" w:type="dxa"/>
                  <w:gridSpan w:val="3"/>
                  <w:tcBorders>
                    <w:tl2br w:val="nil"/>
                    <w:tr2bl w:val="nil"/>
                  </w:tcBorders>
                  <w:noWrap w:val="0"/>
                  <w:vAlign w:val="center"/>
                </w:tcPr>
                <w:p w14:paraId="27456D03">
                  <w:pPr>
                    <w:pStyle w:val="60"/>
                    <w:rPr>
                      <w:rFonts w:hint="default"/>
                      <w:color w:val="auto"/>
                      <w:sz w:val="18"/>
                      <w:szCs w:val="18"/>
                      <w:lang w:val="en-US" w:eastAsia="zh-CN"/>
                    </w:rPr>
                  </w:pPr>
                  <w:r>
                    <w:rPr>
                      <w:rFonts w:hint="eastAsia"/>
                      <w:color w:val="auto"/>
                      <w:sz w:val="18"/>
                      <w:szCs w:val="18"/>
                      <w:lang w:val="en-US" w:eastAsia="zh-CN"/>
                    </w:rPr>
                    <w:t>2026年5月30日</w:t>
                  </w:r>
                </w:p>
              </w:tc>
            </w:tr>
            <w:tr w14:paraId="24218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shd w:val="clear" w:color="auto" w:fill="auto"/>
                  <w:noWrap w:val="0"/>
                  <w:vAlign w:val="center"/>
                </w:tcPr>
                <w:p w14:paraId="7AEE400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检测点位</w:t>
                  </w:r>
                </w:p>
              </w:tc>
              <w:tc>
                <w:tcPr>
                  <w:tcW w:w="5644" w:type="dxa"/>
                  <w:gridSpan w:val="3"/>
                  <w:tcBorders>
                    <w:tl2br w:val="nil"/>
                    <w:tr2bl w:val="nil"/>
                  </w:tcBorders>
                  <w:shd w:val="clear" w:color="auto" w:fill="auto"/>
                  <w:noWrap w:val="0"/>
                  <w:vAlign w:val="center"/>
                </w:tcPr>
                <w:p w14:paraId="5F7469A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DA001排气筒出口</w:t>
                  </w:r>
                </w:p>
              </w:tc>
            </w:tr>
            <w:tr w14:paraId="4E8F1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shd w:val="clear" w:color="auto" w:fill="auto"/>
                  <w:noWrap w:val="0"/>
                  <w:vAlign w:val="center"/>
                </w:tcPr>
                <w:p w14:paraId="27D6EDCA">
                  <w:pPr>
                    <w:pStyle w:val="60"/>
                    <w:rPr>
                      <w:rFonts w:hint="default"/>
                      <w:color w:val="auto"/>
                      <w:sz w:val="18"/>
                      <w:szCs w:val="18"/>
                      <w:lang w:val="en-US" w:eastAsia="zh-CN"/>
                    </w:rPr>
                  </w:pPr>
                  <w:r>
                    <w:rPr>
                      <w:rFonts w:hint="eastAsia"/>
                      <w:color w:val="auto"/>
                      <w:sz w:val="18"/>
                      <w:szCs w:val="18"/>
                      <w:lang w:val="en-US" w:eastAsia="zh-CN"/>
                    </w:rPr>
                    <w:t>排气筒高度/监测断面尺寸（m）</w:t>
                  </w:r>
                </w:p>
              </w:tc>
              <w:tc>
                <w:tcPr>
                  <w:tcW w:w="5644" w:type="dxa"/>
                  <w:gridSpan w:val="3"/>
                  <w:tcBorders>
                    <w:tl2br w:val="nil"/>
                    <w:tr2bl w:val="nil"/>
                  </w:tcBorders>
                  <w:shd w:val="clear" w:color="auto" w:fill="auto"/>
                  <w:noWrap w:val="0"/>
                  <w:vAlign w:val="center"/>
                </w:tcPr>
                <w:p w14:paraId="37AB4D98">
                  <w:pPr>
                    <w:pStyle w:val="60"/>
                    <w:rPr>
                      <w:rFonts w:hint="default"/>
                      <w:color w:val="auto"/>
                      <w:sz w:val="18"/>
                      <w:szCs w:val="18"/>
                      <w:lang w:val="en-US" w:eastAsia="zh-CN"/>
                    </w:rPr>
                  </w:pPr>
                  <w:r>
                    <w:rPr>
                      <w:rFonts w:hint="eastAsia"/>
                      <w:color w:val="auto"/>
                      <w:sz w:val="18"/>
                      <w:szCs w:val="18"/>
                      <w:lang w:val="en-US" w:eastAsia="zh-CN"/>
                    </w:rPr>
                    <w:t>24/0.8</w:t>
                  </w:r>
                </w:p>
              </w:tc>
            </w:tr>
            <w:tr w14:paraId="52CB2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noWrap w:val="0"/>
                  <w:vAlign w:val="center"/>
                </w:tcPr>
                <w:p w14:paraId="13530018">
                  <w:pPr>
                    <w:pStyle w:val="60"/>
                    <w:rPr>
                      <w:rFonts w:hint="eastAsia"/>
                      <w:color w:val="auto"/>
                      <w:sz w:val="18"/>
                      <w:szCs w:val="18"/>
                      <w:lang w:val="en-US" w:eastAsia="zh-CN"/>
                    </w:rPr>
                  </w:pPr>
                  <w:r>
                    <w:rPr>
                      <w:rFonts w:hint="eastAsia"/>
                      <w:color w:val="auto"/>
                      <w:sz w:val="18"/>
                      <w:szCs w:val="18"/>
                      <w:lang w:val="en-US" w:eastAsia="zh-CN"/>
                    </w:rPr>
                    <w:t>烟温（℃）</w:t>
                  </w:r>
                </w:p>
              </w:tc>
              <w:tc>
                <w:tcPr>
                  <w:tcW w:w="1881" w:type="dxa"/>
                  <w:tcBorders>
                    <w:tl2br w:val="nil"/>
                    <w:tr2bl w:val="nil"/>
                  </w:tcBorders>
                  <w:noWrap w:val="0"/>
                  <w:vAlign w:val="center"/>
                </w:tcPr>
                <w:p w14:paraId="23380D82">
                  <w:pPr>
                    <w:pStyle w:val="60"/>
                    <w:rPr>
                      <w:rFonts w:hint="default"/>
                      <w:color w:val="auto"/>
                      <w:sz w:val="18"/>
                      <w:szCs w:val="18"/>
                      <w:lang w:val="en-US" w:eastAsia="zh-CN"/>
                    </w:rPr>
                  </w:pPr>
                  <w:r>
                    <w:rPr>
                      <w:rFonts w:hint="eastAsia"/>
                      <w:color w:val="auto"/>
                      <w:sz w:val="18"/>
                      <w:szCs w:val="18"/>
                      <w:lang w:val="en-US" w:eastAsia="zh-CN"/>
                    </w:rPr>
                    <w:t>89.5</w:t>
                  </w:r>
                </w:p>
              </w:tc>
              <w:tc>
                <w:tcPr>
                  <w:tcW w:w="1881" w:type="dxa"/>
                  <w:tcBorders>
                    <w:tl2br w:val="nil"/>
                    <w:tr2bl w:val="nil"/>
                  </w:tcBorders>
                  <w:noWrap w:val="0"/>
                  <w:vAlign w:val="center"/>
                </w:tcPr>
                <w:p w14:paraId="49990C69">
                  <w:pPr>
                    <w:pStyle w:val="60"/>
                    <w:rPr>
                      <w:rFonts w:hint="default"/>
                      <w:color w:val="auto"/>
                      <w:sz w:val="18"/>
                      <w:szCs w:val="18"/>
                      <w:lang w:val="en-US" w:eastAsia="zh-CN"/>
                    </w:rPr>
                  </w:pPr>
                  <w:r>
                    <w:rPr>
                      <w:rFonts w:hint="eastAsia"/>
                      <w:color w:val="auto"/>
                      <w:sz w:val="18"/>
                      <w:szCs w:val="18"/>
                      <w:lang w:val="en-US" w:eastAsia="zh-CN"/>
                    </w:rPr>
                    <w:t>90.5</w:t>
                  </w:r>
                </w:p>
              </w:tc>
              <w:tc>
                <w:tcPr>
                  <w:tcW w:w="1882" w:type="dxa"/>
                  <w:tcBorders>
                    <w:tl2br w:val="nil"/>
                    <w:tr2bl w:val="nil"/>
                  </w:tcBorders>
                  <w:noWrap w:val="0"/>
                  <w:vAlign w:val="center"/>
                </w:tcPr>
                <w:p w14:paraId="75D67AB3">
                  <w:pPr>
                    <w:pStyle w:val="60"/>
                    <w:rPr>
                      <w:rFonts w:hint="default"/>
                      <w:color w:val="auto"/>
                      <w:sz w:val="18"/>
                      <w:szCs w:val="18"/>
                      <w:lang w:val="en-US" w:eastAsia="zh-CN"/>
                    </w:rPr>
                  </w:pPr>
                  <w:r>
                    <w:rPr>
                      <w:rFonts w:hint="eastAsia"/>
                      <w:color w:val="auto"/>
                      <w:sz w:val="18"/>
                      <w:szCs w:val="18"/>
                      <w:lang w:val="en-US" w:eastAsia="zh-CN"/>
                    </w:rPr>
                    <w:t>89.9</w:t>
                  </w:r>
                </w:p>
              </w:tc>
            </w:tr>
            <w:tr w14:paraId="2EC39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noWrap w:val="0"/>
                  <w:vAlign w:val="center"/>
                </w:tcPr>
                <w:p w14:paraId="591D10C3">
                  <w:pPr>
                    <w:pStyle w:val="60"/>
                    <w:rPr>
                      <w:rFonts w:hint="eastAsia"/>
                      <w:color w:val="auto"/>
                      <w:sz w:val="18"/>
                      <w:szCs w:val="18"/>
                      <w:lang w:val="en-US" w:eastAsia="zh-CN"/>
                    </w:rPr>
                  </w:pPr>
                  <w:r>
                    <w:rPr>
                      <w:rFonts w:hint="eastAsia"/>
                      <w:color w:val="auto"/>
                      <w:sz w:val="18"/>
                      <w:szCs w:val="18"/>
                      <w:lang w:val="en-US" w:eastAsia="zh-CN"/>
                    </w:rPr>
                    <w:t>流速（m/s）</w:t>
                  </w:r>
                </w:p>
              </w:tc>
              <w:tc>
                <w:tcPr>
                  <w:tcW w:w="1881" w:type="dxa"/>
                  <w:tcBorders>
                    <w:tl2br w:val="nil"/>
                    <w:tr2bl w:val="nil"/>
                  </w:tcBorders>
                  <w:noWrap w:val="0"/>
                  <w:vAlign w:val="center"/>
                </w:tcPr>
                <w:p w14:paraId="7EC925D7">
                  <w:pPr>
                    <w:pStyle w:val="60"/>
                    <w:rPr>
                      <w:rFonts w:hint="default"/>
                      <w:color w:val="auto"/>
                      <w:sz w:val="18"/>
                      <w:szCs w:val="18"/>
                      <w:lang w:val="en-US" w:eastAsia="zh-CN"/>
                    </w:rPr>
                  </w:pPr>
                  <w:r>
                    <w:rPr>
                      <w:rFonts w:hint="eastAsia"/>
                      <w:color w:val="auto"/>
                      <w:sz w:val="18"/>
                      <w:szCs w:val="18"/>
                      <w:lang w:val="en-US" w:eastAsia="zh-CN"/>
                    </w:rPr>
                    <w:t>8.3</w:t>
                  </w:r>
                </w:p>
              </w:tc>
              <w:tc>
                <w:tcPr>
                  <w:tcW w:w="1881" w:type="dxa"/>
                  <w:tcBorders>
                    <w:tl2br w:val="nil"/>
                    <w:tr2bl w:val="nil"/>
                  </w:tcBorders>
                  <w:noWrap w:val="0"/>
                  <w:vAlign w:val="center"/>
                </w:tcPr>
                <w:p w14:paraId="0F13BD0B">
                  <w:pPr>
                    <w:pStyle w:val="60"/>
                    <w:rPr>
                      <w:rFonts w:hint="default"/>
                      <w:color w:val="auto"/>
                      <w:sz w:val="18"/>
                      <w:szCs w:val="18"/>
                      <w:lang w:val="en-US" w:eastAsia="zh-CN"/>
                    </w:rPr>
                  </w:pPr>
                  <w:r>
                    <w:rPr>
                      <w:rFonts w:hint="eastAsia"/>
                      <w:color w:val="auto"/>
                      <w:sz w:val="18"/>
                      <w:szCs w:val="18"/>
                      <w:lang w:val="en-US" w:eastAsia="zh-CN"/>
                    </w:rPr>
                    <w:t>8.9</w:t>
                  </w:r>
                </w:p>
              </w:tc>
              <w:tc>
                <w:tcPr>
                  <w:tcW w:w="1882" w:type="dxa"/>
                  <w:tcBorders>
                    <w:tl2br w:val="nil"/>
                    <w:tr2bl w:val="nil"/>
                  </w:tcBorders>
                  <w:noWrap w:val="0"/>
                  <w:vAlign w:val="center"/>
                </w:tcPr>
                <w:p w14:paraId="51847BE6">
                  <w:pPr>
                    <w:pStyle w:val="60"/>
                    <w:rPr>
                      <w:rFonts w:hint="default"/>
                      <w:color w:val="auto"/>
                      <w:sz w:val="18"/>
                      <w:szCs w:val="18"/>
                      <w:lang w:val="en-US" w:eastAsia="zh-CN"/>
                    </w:rPr>
                  </w:pPr>
                  <w:r>
                    <w:rPr>
                      <w:rFonts w:hint="eastAsia"/>
                      <w:color w:val="auto"/>
                      <w:sz w:val="18"/>
                      <w:szCs w:val="18"/>
                      <w:lang w:val="en-US" w:eastAsia="zh-CN"/>
                    </w:rPr>
                    <w:t>8.6</w:t>
                  </w:r>
                </w:p>
              </w:tc>
            </w:tr>
            <w:tr w14:paraId="1229B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noWrap w:val="0"/>
                  <w:vAlign w:val="center"/>
                </w:tcPr>
                <w:p w14:paraId="5EC589DA">
                  <w:pPr>
                    <w:pStyle w:val="60"/>
                    <w:rPr>
                      <w:rFonts w:hint="eastAsia"/>
                      <w:color w:val="auto"/>
                      <w:sz w:val="18"/>
                      <w:szCs w:val="18"/>
                      <w:lang w:val="en-US" w:eastAsia="zh-CN"/>
                    </w:rPr>
                  </w:pPr>
                  <w:r>
                    <w:rPr>
                      <w:rFonts w:hint="eastAsia"/>
                      <w:color w:val="auto"/>
                      <w:sz w:val="18"/>
                      <w:szCs w:val="18"/>
                      <w:lang w:val="en-US" w:eastAsia="zh-CN"/>
                    </w:rPr>
                    <w:t>标干流量（m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1881" w:type="dxa"/>
                  <w:tcBorders>
                    <w:tl2br w:val="nil"/>
                    <w:tr2bl w:val="nil"/>
                  </w:tcBorders>
                  <w:shd w:val="clear" w:color="auto" w:fill="auto"/>
                  <w:noWrap w:val="0"/>
                  <w:vAlign w:val="center"/>
                </w:tcPr>
                <w:p w14:paraId="3C7BE65B">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10344</w:t>
                  </w:r>
                </w:p>
              </w:tc>
              <w:tc>
                <w:tcPr>
                  <w:tcW w:w="1881" w:type="dxa"/>
                  <w:tcBorders>
                    <w:tl2br w:val="nil"/>
                    <w:tr2bl w:val="nil"/>
                  </w:tcBorders>
                  <w:shd w:val="clear" w:color="auto" w:fill="auto"/>
                  <w:noWrap w:val="0"/>
                  <w:vAlign w:val="center"/>
                </w:tcPr>
                <w:p w14:paraId="12EF039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11021</w:t>
                  </w:r>
                </w:p>
              </w:tc>
              <w:tc>
                <w:tcPr>
                  <w:tcW w:w="1882" w:type="dxa"/>
                  <w:tcBorders>
                    <w:tl2br w:val="nil"/>
                    <w:tr2bl w:val="nil"/>
                  </w:tcBorders>
                  <w:shd w:val="clear" w:color="auto" w:fill="auto"/>
                  <w:noWrap w:val="0"/>
                  <w:vAlign w:val="center"/>
                </w:tcPr>
                <w:p w14:paraId="4F96A2CE">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10750</w:t>
                  </w:r>
                </w:p>
              </w:tc>
            </w:tr>
            <w:tr w14:paraId="2E10B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noWrap w:val="0"/>
                  <w:vAlign w:val="center"/>
                </w:tcPr>
                <w:p w14:paraId="24FDE87B">
                  <w:pPr>
                    <w:pStyle w:val="60"/>
                    <w:rPr>
                      <w:rFonts w:hint="eastAsia"/>
                      <w:color w:val="auto"/>
                      <w:sz w:val="18"/>
                      <w:szCs w:val="18"/>
                      <w:lang w:val="en-US" w:eastAsia="zh-CN"/>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noWrap w:val="0"/>
                  <w:vAlign w:val="center"/>
                </w:tcPr>
                <w:p w14:paraId="4CDEEDD5">
                  <w:pPr>
                    <w:pStyle w:val="60"/>
                    <w:rPr>
                      <w:rFonts w:hint="default"/>
                      <w:color w:val="auto"/>
                      <w:sz w:val="18"/>
                      <w:szCs w:val="18"/>
                      <w:lang w:val="en-US" w:eastAsia="zh-CN"/>
                    </w:rPr>
                  </w:pPr>
                  <w:r>
                    <w:rPr>
                      <w:rFonts w:hint="eastAsia"/>
                      <w:color w:val="auto"/>
                      <w:sz w:val="18"/>
                      <w:szCs w:val="18"/>
                      <w:lang w:val="en-US" w:eastAsia="zh-CN"/>
                    </w:rPr>
                    <w:t>ND</w:t>
                  </w:r>
                </w:p>
              </w:tc>
              <w:tc>
                <w:tcPr>
                  <w:tcW w:w="1881" w:type="dxa"/>
                  <w:tcBorders>
                    <w:tl2br w:val="nil"/>
                    <w:tr2bl w:val="nil"/>
                  </w:tcBorders>
                  <w:noWrap w:val="0"/>
                  <w:vAlign w:val="center"/>
                </w:tcPr>
                <w:p w14:paraId="0CE255B2">
                  <w:pPr>
                    <w:pStyle w:val="60"/>
                    <w:rPr>
                      <w:rFonts w:hint="default"/>
                      <w:color w:val="auto"/>
                      <w:sz w:val="18"/>
                      <w:szCs w:val="18"/>
                      <w:lang w:val="en-US" w:eastAsia="zh-CN"/>
                    </w:rPr>
                  </w:pPr>
                  <w:r>
                    <w:rPr>
                      <w:rFonts w:hint="eastAsia"/>
                      <w:color w:val="auto"/>
                      <w:sz w:val="18"/>
                      <w:szCs w:val="18"/>
                      <w:lang w:val="en-US" w:eastAsia="zh-CN"/>
                    </w:rPr>
                    <w:t>ND</w:t>
                  </w:r>
                </w:p>
              </w:tc>
              <w:tc>
                <w:tcPr>
                  <w:tcW w:w="1882" w:type="dxa"/>
                  <w:tcBorders>
                    <w:tl2br w:val="nil"/>
                    <w:tr2bl w:val="nil"/>
                  </w:tcBorders>
                  <w:noWrap w:val="0"/>
                  <w:vAlign w:val="center"/>
                </w:tcPr>
                <w:p w14:paraId="7AE3887F">
                  <w:pPr>
                    <w:pStyle w:val="60"/>
                    <w:rPr>
                      <w:rFonts w:hint="default"/>
                      <w:color w:val="auto"/>
                      <w:sz w:val="18"/>
                      <w:szCs w:val="18"/>
                      <w:lang w:val="en-US" w:eastAsia="zh-CN"/>
                    </w:rPr>
                  </w:pPr>
                  <w:r>
                    <w:rPr>
                      <w:rFonts w:hint="eastAsia"/>
                      <w:color w:val="auto"/>
                      <w:sz w:val="18"/>
                      <w:szCs w:val="18"/>
                      <w:lang w:val="en-US" w:eastAsia="zh-CN"/>
                    </w:rPr>
                    <w:t>ND</w:t>
                  </w:r>
                </w:p>
              </w:tc>
            </w:tr>
            <w:tr w14:paraId="64BEC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80" w:type="dxa"/>
                  <w:tcBorders>
                    <w:tl2br w:val="nil"/>
                    <w:tr2bl w:val="nil"/>
                  </w:tcBorders>
                  <w:noWrap w:val="0"/>
                  <w:vAlign w:val="center"/>
                </w:tcPr>
                <w:p w14:paraId="1BF00B8E">
                  <w:pPr>
                    <w:pStyle w:val="60"/>
                    <w:rPr>
                      <w:rFonts w:hint="eastAsia"/>
                      <w:color w:val="auto"/>
                      <w:sz w:val="18"/>
                      <w:szCs w:val="18"/>
                      <w:lang w:val="en-US" w:eastAsia="zh-CN"/>
                    </w:rPr>
                  </w:pPr>
                  <w:r>
                    <w:rPr>
                      <w:rFonts w:hint="eastAsia"/>
                      <w:color w:val="auto"/>
                      <w:sz w:val="18"/>
                      <w:szCs w:val="18"/>
                      <w:lang w:val="en-US" w:eastAsia="zh-CN"/>
                    </w:rPr>
                    <w:t>排放速率（kg/h）</w:t>
                  </w:r>
                </w:p>
              </w:tc>
              <w:tc>
                <w:tcPr>
                  <w:tcW w:w="1881" w:type="dxa"/>
                  <w:tcBorders>
                    <w:tl2br w:val="nil"/>
                    <w:tr2bl w:val="nil"/>
                  </w:tcBorders>
                  <w:noWrap w:val="0"/>
                  <w:vAlign w:val="center"/>
                </w:tcPr>
                <w:p w14:paraId="7623C6F3">
                  <w:pPr>
                    <w:pStyle w:val="60"/>
                    <w:rPr>
                      <w:rFonts w:hint="default"/>
                      <w:color w:val="auto"/>
                      <w:sz w:val="18"/>
                      <w:szCs w:val="18"/>
                      <w:lang w:val="en-US" w:eastAsia="zh-CN"/>
                    </w:rPr>
                  </w:pPr>
                  <w:r>
                    <w:rPr>
                      <w:rFonts w:hint="eastAsia"/>
                      <w:color w:val="auto"/>
                      <w:sz w:val="18"/>
                      <w:szCs w:val="18"/>
                      <w:lang w:val="en-US" w:eastAsia="zh-CN"/>
                    </w:rPr>
                    <w:t>--</w:t>
                  </w:r>
                </w:p>
              </w:tc>
              <w:tc>
                <w:tcPr>
                  <w:tcW w:w="1881" w:type="dxa"/>
                  <w:tcBorders>
                    <w:tl2br w:val="nil"/>
                    <w:tr2bl w:val="nil"/>
                  </w:tcBorders>
                  <w:noWrap w:val="0"/>
                  <w:vAlign w:val="center"/>
                </w:tcPr>
                <w:p w14:paraId="0D30593E">
                  <w:pPr>
                    <w:pStyle w:val="60"/>
                    <w:rPr>
                      <w:rFonts w:hint="default"/>
                      <w:color w:val="auto"/>
                      <w:sz w:val="18"/>
                      <w:szCs w:val="18"/>
                      <w:lang w:val="en-US" w:eastAsia="zh-CN"/>
                    </w:rPr>
                  </w:pPr>
                  <w:r>
                    <w:rPr>
                      <w:rFonts w:hint="eastAsia"/>
                      <w:color w:val="auto"/>
                      <w:sz w:val="18"/>
                      <w:szCs w:val="18"/>
                      <w:lang w:val="en-US" w:eastAsia="zh-CN"/>
                    </w:rPr>
                    <w:t>--</w:t>
                  </w:r>
                </w:p>
              </w:tc>
              <w:tc>
                <w:tcPr>
                  <w:tcW w:w="1882" w:type="dxa"/>
                  <w:tcBorders>
                    <w:tl2br w:val="nil"/>
                    <w:tr2bl w:val="nil"/>
                  </w:tcBorders>
                  <w:noWrap w:val="0"/>
                  <w:vAlign w:val="center"/>
                </w:tcPr>
                <w:p w14:paraId="0E16F736">
                  <w:pPr>
                    <w:pStyle w:val="60"/>
                    <w:rPr>
                      <w:rFonts w:hint="default"/>
                      <w:color w:val="auto"/>
                      <w:sz w:val="18"/>
                      <w:szCs w:val="18"/>
                      <w:lang w:val="en-US" w:eastAsia="zh-CN"/>
                    </w:rPr>
                  </w:pPr>
                  <w:r>
                    <w:rPr>
                      <w:rFonts w:hint="eastAsia"/>
                      <w:color w:val="auto"/>
                      <w:sz w:val="18"/>
                      <w:szCs w:val="18"/>
                      <w:lang w:val="en-US" w:eastAsia="zh-CN"/>
                    </w:rPr>
                    <w:t>--</w:t>
                  </w:r>
                </w:p>
              </w:tc>
            </w:tr>
          </w:tbl>
          <w:p w14:paraId="5BA6094B">
            <w:pPr>
              <w:adjustRightInd w:val="0"/>
              <w:snapToGrid w:val="0"/>
              <w:spacing w:before="120" w:beforeLines="50"/>
              <w:jc w:val="center"/>
              <w:rPr>
                <w:rFonts w:hint="eastAsia"/>
                <w:b/>
                <w:color w:val="auto"/>
                <w:szCs w:val="21"/>
              </w:rPr>
            </w:pPr>
            <w:r>
              <w:rPr>
                <w:rFonts w:hint="eastAsia"/>
                <w:b/>
                <w:color w:val="auto"/>
                <w:szCs w:val="21"/>
              </w:rPr>
              <w:t>表2-1</w:t>
            </w:r>
            <w:r>
              <w:rPr>
                <w:rFonts w:hint="eastAsia"/>
                <w:b/>
                <w:color w:val="auto"/>
                <w:szCs w:val="21"/>
                <w:lang w:val="en-US" w:eastAsia="zh-CN"/>
              </w:rPr>
              <w:t>4</w:t>
            </w:r>
            <w:r>
              <w:rPr>
                <w:rFonts w:hint="eastAsia"/>
                <w:b/>
                <w:color w:val="auto"/>
                <w:szCs w:val="21"/>
              </w:rPr>
              <w:t xml:space="preserve">  </w:t>
            </w:r>
            <w:r>
              <w:rPr>
                <w:rFonts w:hint="eastAsia"/>
                <w:b/>
                <w:color w:val="auto"/>
                <w:szCs w:val="21"/>
                <w:lang w:val="en-US" w:eastAsia="zh-CN"/>
              </w:rPr>
              <w:t>DA002</w:t>
            </w:r>
            <w:r>
              <w:rPr>
                <w:rFonts w:hint="eastAsia"/>
                <w:b/>
                <w:color w:val="auto"/>
                <w:szCs w:val="21"/>
              </w:rPr>
              <w:t>排气筒</w:t>
            </w:r>
            <w:r>
              <w:rPr>
                <w:rFonts w:hint="eastAsia"/>
                <w:b/>
                <w:color w:val="auto"/>
                <w:szCs w:val="21"/>
                <w:lang w:val="en-US" w:eastAsia="zh-CN"/>
              </w:rPr>
              <w:t>颗粒物</w:t>
            </w:r>
            <w:r>
              <w:rPr>
                <w:rFonts w:hint="eastAsia"/>
                <w:b/>
                <w:color w:val="auto"/>
                <w:szCs w:val="21"/>
              </w:rPr>
              <w:t>例行检测结果统计表</w:t>
            </w:r>
          </w:p>
          <w:tbl>
            <w:tblPr>
              <w:tblStyle w:val="22"/>
              <w:tblW w:w="84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881"/>
              <w:gridCol w:w="1881"/>
              <w:gridCol w:w="1881"/>
            </w:tblGrid>
            <w:tr w14:paraId="4858F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0319B8E3">
                  <w:pPr>
                    <w:pStyle w:val="60"/>
                    <w:rPr>
                      <w:rFonts w:hint="default"/>
                      <w:color w:val="auto"/>
                      <w:sz w:val="18"/>
                      <w:szCs w:val="18"/>
                      <w:lang w:val="en-US" w:eastAsia="zh-CN"/>
                    </w:rPr>
                  </w:pPr>
                  <w:r>
                    <w:rPr>
                      <w:rFonts w:hint="eastAsia"/>
                      <w:color w:val="auto"/>
                      <w:sz w:val="18"/>
                      <w:szCs w:val="18"/>
                      <w:lang w:val="en-US" w:eastAsia="zh-CN"/>
                    </w:rPr>
                    <w:t>检测日期</w:t>
                  </w:r>
                </w:p>
              </w:tc>
              <w:tc>
                <w:tcPr>
                  <w:tcW w:w="5643" w:type="dxa"/>
                  <w:gridSpan w:val="3"/>
                  <w:tcBorders>
                    <w:tl2br w:val="nil"/>
                    <w:tr2bl w:val="nil"/>
                  </w:tcBorders>
                  <w:noWrap w:val="0"/>
                  <w:vAlign w:val="center"/>
                </w:tcPr>
                <w:p w14:paraId="5634FF65">
                  <w:pPr>
                    <w:pStyle w:val="60"/>
                    <w:rPr>
                      <w:rFonts w:hint="default"/>
                      <w:color w:val="auto"/>
                      <w:sz w:val="18"/>
                      <w:szCs w:val="18"/>
                      <w:lang w:val="en-US" w:eastAsia="zh-CN"/>
                    </w:rPr>
                  </w:pPr>
                  <w:r>
                    <w:rPr>
                      <w:rFonts w:hint="eastAsia"/>
                      <w:color w:val="auto"/>
                      <w:sz w:val="18"/>
                      <w:szCs w:val="18"/>
                      <w:lang w:val="en-US" w:eastAsia="zh-CN"/>
                    </w:rPr>
                    <w:t>2026年5月30日</w:t>
                  </w:r>
                </w:p>
              </w:tc>
            </w:tr>
            <w:tr w14:paraId="365D2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shd w:val="clear" w:color="auto" w:fill="auto"/>
                  <w:noWrap w:val="0"/>
                  <w:vAlign w:val="center"/>
                </w:tcPr>
                <w:p w14:paraId="601BC3D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检测点位</w:t>
                  </w:r>
                </w:p>
              </w:tc>
              <w:tc>
                <w:tcPr>
                  <w:tcW w:w="5643" w:type="dxa"/>
                  <w:gridSpan w:val="3"/>
                  <w:tcBorders>
                    <w:tl2br w:val="nil"/>
                    <w:tr2bl w:val="nil"/>
                  </w:tcBorders>
                  <w:shd w:val="clear" w:color="auto" w:fill="auto"/>
                  <w:noWrap w:val="0"/>
                  <w:vAlign w:val="center"/>
                </w:tcPr>
                <w:p w14:paraId="596F2ED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DA002排气筒出口</w:t>
                  </w:r>
                </w:p>
              </w:tc>
            </w:tr>
            <w:tr w14:paraId="6EFEA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shd w:val="clear" w:color="auto" w:fill="auto"/>
                  <w:noWrap w:val="0"/>
                  <w:vAlign w:val="center"/>
                </w:tcPr>
                <w:p w14:paraId="74836971">
                  <w:pPr>
                    <w:pStyle w:val="60"/>
                    <w:rPr>
                      <w:rFonts w:hint="default"/>
                      <w:color w:val="auto"/>
                      <w:sz w:val="18"/>
                      <w:szCs w:val="18"/>
                      <w:lang w:val="en-US" w:eastAsia="zh-CN"/>
                    </w:rPr>
                  </w:pPr>
                  <w:r>
                    <w:rPr>
                      <w:rFonts w:hint="eastAsia"/>
                      <w:color w:val="auto"/>
                      <w:sz w:val="18"/>
                      <w:szCs w:val="18"/>
                      <w:lang w:val="en-US" w:eastAsia="zh-CN"/>
                    </w:rPr>
                    <w:t>排气筒高度/监测断面尺寸（m）</w:t>
                  </w:r>
                </w:p>
              </w:tc>
              <w:tc>
                <w:tcPr>
                  <w:tcW w:w="5643" w:type="dxa"/>
                  <w:gridSpan w:val="3"/>
                  <w:tcBorders>
                    <w:tl2br w:val="nil"/>
                    <w:tr2bl w:val="nil"/>
                  </w:tcBorders>
                  <w:shd w:val="clear" w:color="auto" w:fill="auto"/>
                  <w:noWrap w:val="0"/>
                  <w:vAlign w:val="center"/>
                </w:tcPr>
                <w:p w14:paraId="439AC4A8">
                  <w:pPr>
                    <w:pStyle w:val="60"/>
                    <w:rPr>
                      <w:rFonts w:hint="default"/>
                      <w:color w:val="auto"/>
                      <w:sz w:val="18"/>
                      <w:szCs w:val="18"/>
                      <w:lang w:val="en-US" w:eastAsia="zh-CN"/>
                    </w:rPr>
                  </w:pPr>
                  <w:r>
                    <w:rPr>
                      <w:rFonts w:hint="eastAsia"/>
                      <w:color w:val="auto"/>
                      <w:sz w:val="18"/>
                      <w:szCs w:val="18"/>
                      <w:lang w:val="en-US" w:eastAsia="zh-CN"/>
                    </w:rPr>
                    <w:t>15/0.7</w:t>
                  </w:r>
                </w:p>
              </w:tc>
            </w:tr>
            <w:tr w14:paraId="252BC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4E0D7113">
                  <w:pPr>
                    <w:pStyle w:val="60"/>
                    <w:rPr>
                      <w:rFonts w:hint="eastAsia"/>
                      <w:color w:val="auto"/>
                      <w:sz w:val="18"/>
                      <w:szCs w:val="18"/>
                      <w:lang w:val="en-US" w:eastAsia="zh-CN"/>
                    </w:rPr>
                  </w:pPr>
                  <w:r>
                    <w:rPr>
                      <w:rFonts w:hint="eastAsia"/>
                      <w:color w:val="auto"/>
                      <w:sz w:val="18"/>
                      <w:szCs w:val="18"/>
                      <w:lang w:val="en-US" w:eastAsia="zh-CN"/>
                    </w:rPr>
                    <w:t>烟温（℃）</w:t>
                  </w:r>
                </w:p>
              </w:tc>
              <w:tc>
                <w:tcPr>
                  <w:tcW w:w="1881" w:type="dxa"/>
                  <w:tcBorders>
                    <w:tl2br w:val="nil"/>
                    <w:tr2bl w:val="nil"/>
                  </w:tcBorders>
                  <w:noWrap w:val="0"/>
                  <w:vAlign w:val="center"/>
                </w:tcPr>
                <w:p w14:paraId="5CBD6D52">
                  <w:pPr>
                    <w:pStyle w:val="60"/>
                    <w:rPr>
                      <w:rFonts w:hint="default"/>
                      <w:color w:val="auto"/>
                      <w:sz w:val="18"/>
                      <w:szCs w:val="18"/>
                      <w:lang w:val="en-US" w:eastAsia="zh-CN"/>
                    </w:rPr>
                  </w:pPr>
                  <w:r>
                    <w:rPr>
                      <w:rFonts w:hint="eastAsia"/>
                      <w:color w:val="auto"/>
                      <w:sz w:val="18"/>
                      <w:szCs w:val="18"/>
                      <w:lang w:val="en-US" w:eastAsia="zh-CN"/>
                    </w:rPr>
                    <w:t>97.2</w:t>
                  </w:r>
                </w:p>
              </w:tc>
              <w:tc>
                <w:tcPr>
                  <w:tcW w:w="1881" w:type="dxa"/>
                  <w:tcBorders>
                    <w:tl2br w:val="nil"/>
                    <w:tr2bl w:val="nil"/>
                  </w:tcBorders>
                  <w:noWrap w:val="0"/>
                  <w:vAlign w:val="center"/>
                </w:tcPr>
                <w:p w14:paraId="471E1097">
                  <w:pPr>
                    <w:pStyle w:val="60"/>
                    <w:rPr>
                      <w:rFonts w:hint="default"/>
                      <w:color w:val="auto"/>
                      <w:sz w:val="18"/>
                      <w:szCs w:val="18"/>
                      <w:lang w:val="en-US" w:eastAsia="zh-CN"/>
                    </w:rPr>
                  </w:pPr>
                  <w:r>
                    <w:rPr>
                      <w:rFonts w:hint="eastAsia"/>
                      <w:color w:val="auto"/>
                      <w:sz w:val="18"/>
                      <w:szCs w:val="18"/>
                      <w:lang w:val="en-US" w:eastAsia="zh-CN"/>
                    </w:rPr>
                    <w:t>95.2</w:t>
                  </w:r>
                </w:p>
              </w:tc>
              <w:tc>
                <w:tcPr>
                  <w:tcW w:w="1881" w:type="dxa"/>
                  <w:tcBorders>
                    <w:tl2br w:val="nil"/>
                    <w:tr2bl w:val="nil"/>
                  </w:tcBorders>
                  <w:noWrap w:val="0"/>
                  <w:vAlign w:val="center"/>
                </w:tcPr>
                <w:p w14:paraId="3E5693B9">
                  <w:pPr>
                    <w:pStyle w:val="60"/>
                    <w:rPr>
                      <w:rFonts w:hint="default"/>
                      <w:color w:val="auto"/>
                      <w:sz w:val="18"/>
                      <w:szCs w:val="18"/>
                      <w:lang w:val="en-US" w:eastAsia="zh-CN"/>
                    </w:rPr>
                  </w:pPr>
                  <w:r>
                    <w:rPr>
                      <w:rFonts w:hint="eastAsia"/>
                      <w:color w:val="auto"/>
                      <w:sz w:val="18"/>
                      <w:szCs w:val="18"/>
                      <w:lang w:val="en-US" w:eastAsia="zh-CN"/>
                    </w:rPr>
                    <w:t>94.5</w:t>
                  </w:r>
                </w:p>
              </w:tc>
            </w:tr>
            <w:tr w14:paraId="74206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2578474F">
                  <w:pPr>
                    <w:pStyle w:val="60"/>
                    <w:rPr>
                      <w:rFonts w:hint="eastAsia"/>
                      <w:color w:val="auto"/>
                      <w:sz w:val="18"/>
                      <w:szCs w:val="18"/>
                      <w:lang w:val="en-US" w:eastAsia="zh-CN"/>
                    </w:rPr>
                  </w:pPr>
                  <w:r>
                    <w:rPr>
                      <w:rFonts w:hint="eastAsia"/>
                      <w:color w:val="auto"/>
                      <w:sz w:val="18"/>
                      <w:szCs w:val="18"/>
                      <w:lang w:val="en-US" w:eastAsia="zh-CN"/>
                    </w:rPr>
                    <w:t>流速（m/s）</w:t>
                  </w:r>
                </w:p>
              </w:tc>
              <w:tc>
                <w:tcPr>
                  <w:tcW w:w="1881" w:type="dxa"/>
                  <w:tcBorders>
                    <w:tl2br w:val="nil"/>
                    <w:tr2bl w:val="nil"/>
                  </w:tcBorders>
                  <w:noWrap w:val="0"/>
                  <w:vAlign w:val="center"/>
                </w:tcPr>
                <w:p w14:paraId="6E3F8FF4">
                  <w:pPr>
                    <w:pStyle w:val="60"/>
                    <w:rPr>
                      <w:rFonts w:hint="default"/>
                      <w:color w:val="auto"/>
                      <w:sz w:val="18"/>
                      <w:szCs w:val="18"/>
                      <w:lang w:val="en-US" w:eastAsia="zh-CN"/>
                    </w:rPr>
                  </w:pPr>
                  <w:r>
                    <w:rPr>
                      <w:rFonts w:hint="eastAsia"/>
                      <w:color w:val="auto"/>
                      <w:sz w:val="18"/>
                      <w:szCs w:val="18"/>
                      <w:lang w:val="en-US" w:eastAsia="zh-CN"/>
                    </w:rPr>
                    <w:t>3.5</w:t>
                  </w:r>
                </w:p>
              </w:tc>
              <w:tc>
                <w:tcPr>
                  <w:tcW w:w="1881" w:type="dxa"/>
                  <w:tcBorders>
                    <w:tl2br w:val="nil"/>
                    <w:tr2bl w:val="nil"/>
                  </w:tcBorders>
                  <w:noWrap w:val="0"/>
                  <w:vAlign w:val="center"/>
                </w:tcPr>
                <w:p w14:paraId="13A97A65">
                  <w:pPr>
                    <w:pStyle w:val="60"/>
                    <w:rPr>
                      <w:rFonts w:hint="default"/>
                      <w:color w:val="auto"/>
                      <w:sz w:val="18"/>
                      <w:szCs w:val="18"/>
                      <w:lang w:val="en-US" w:eastAsia="zh-CN"/>
                    </w:rPr>
                  </w:pPr>
                  <w:r>
                    <w:rPr>
                      <w:rFonts w:hint="eastAsia"/>
                      <w:color w:val="auto"/>
                      <w:sz w:val="18"/>
                      <w:szCs w:val="18"/>
                      <w:lang w:val="en-US" w:eastAsia="zh-CN"/>
                    </w:rPr>
                    <w:t>3.7</w:t>
                  </w:r>
                </w:p>
              </w:tc>
              <w:tc>
                <w:tcPr>
                  <w:tcW w:w="1881" w:type="dxa"/>
                  <w:tcBorders>
                    <w:tl2br w:val="nil"/>
                    <w:tr2bl w:val="nil"/>
                  </w:tcBorders>
                  <w:noWrap w:val="0"/>
                  <w:vAlign w:val="center"/>
                </w:tcPr>
                <w:p w14:paraId="00A0AA97">
                  <w:pPr>
                    <w:pStyle w:val="60"/>
                    <w:rPr>
                      <w:rFonts w:hint="default"/>
                      <w:color w:val="auto"/>
                      <w:sz w:val="18"/>
                      <w:szCs w:val="18"/>
                      <w:lang w:val="en-US" w:eastAsia="zh-CN"/>
                    </w:rPr>
                  </w:pPr>
                  <w:r>
                    <w:rPr>
                      <w:rFonts w:hint="eastAsia"/>
                      <w:color w:val="auto"/>
                      <w:sz w:val="18"/>
                      <w:szCs w:val="18"/>
                      <w:lang w:val="en-US" w:eastAsia="zh-CN"/>
                    </w:rPr>
                    <w:t>3.8</w:t>
                  </w:r>
                </w:p>
              </w:tc>
            </w:tr>
            <w:tr w14:paraId="3D838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4AA92DA5">
                  <w:pPr>
                    <w:pStyle w:val="60"/>
                    <w:rPr>
                      <w:rFonts w:hint="eastAsia"/>
                      <w:color w:val="auto"/>
                      <w:sz w:val="18"/>
                      <w:szCs w:val="18"/>
                      <w:lang w:val="en-US" w:eastAsia="zh-CN"/>
                    </w:rPr>
                  </w:pPr>
                  <w:r>
                    <w:rPr>
                      <w:rFonts w:hint="eastAsia"/>
                      <w:color w:val="auto"/>
                      <w:sz w:val="18"/>
                      <w:szCs w:val="18"/>
                      <w:lang w:val="en-US" w:eastAsia="zh-CN"/>
                    </w:rPr>
                    <w:t>标干流量（m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1881" w:type="dxa"/>
                  <w:tcBorders>
                    <w:tl2br w:val="nil"/>
                    <w:tr2bl w:val="nil"/>
                  </w:tcBorders>
                  <w:noWrap w:val="0"/>
                  <w:vAlign w:val="center"/>
                </w:tcPr>
                <w:p w14:paraId="020D8AD0">
                  <w:pPr>
                    <w:pStyle w:val="60"/>
                    <w:rPr>
                      <w:rFonts w:hint="default"/>
                      <w:color w:val="auto"/>
                      <w:sz w:val="18"/>
                      <w:szCs w:val="18"/>
                      <w:lang w:val="en-US" w:eastAsia="zh-CN"/>
                    </w:rPr>
                  </w:pPr>
                  <w:r>
                    <w:rPr>
                      <w:rFonts w:hint="eastAsia"/>
                      <w:color w:val="auto"/>
                      <w:sz w:val="18"/>
                      <w:szCs w:val="18"/>
                      <w:lang w:val="en-US" w:eastAsia="zh-CN"/>
                    </w:rPr>
                    <w:t>3394</w:t>
                  </w:r>
                </w:p>
              </w:tc>
              <w:tc>
                <w:tcPr>
                  <w:tcW w:w="1881" w:type="dxa"/>
                  <w:tcBorders>
                    <w:tl2br w:val="nil"/>
                    <w:tr2bl w:val="nil"/>
                  </w:tcBorders>
                  <w:noWrap w:val="0"/>
                  <w:vAlign w:val="center"/>
                </w:tcPr>
                <w:p w14:paraId="2F5FE87A">
                  <w:pPr>
                    <w:pStyle w:val="60"/>
                    <w:rPr>
                      <w:rFonts w:hint="default"/>
                      <w:color w:val="auto"/>
                      <w:sz w:val="18"/>
                      <w:szCs w:val="18"/>
                      <w:lang w:val="en-US" w:eastAsia="zh-CN"/>
                    </w:rPr>
                  </w:pPr>
                  <w:r>
                    <w:rPr>
                      <w:rFonts w:hint="eastAsia"/>
                      <w:color w:val="auto"/>
                      <w:sz w:val="18"/>
                      <w:szCs w:val="18"/>
                      <w:lang w:val="en-US" w:eastAsia="zh-CN"/>
                    </w:rPr>
                    <w:t>3601</w:t>
                  </w:r>
                </w:p>
              </w:tc>
              <w:tc>
                <w:tcPr>
                  <w:tcW w:w="1881" w:type="dxa"/>
                  <w:tcBorders>
                    <w:tl2br w:val="nil"/>
                    <w:tr2bl w:val="nil"/>
                  </w:tcBorders>
                  <w:noWrap w:val="0"/>
                  <w:vAlign w:val="center"/>
                </w:tcPr>
                <w:p w14:paraId="3E2AC6F3">
                  <w:pPr>
                    <w:pStyle w:val="60"/>
                    <w:rPr>
                      <w:rFonts w:hint="default"/>
                      <w:color w:val="auto"/>
                      <w:sz w:val="18"/>
                      <w:szCs w:val="18"/>
                      <w:lang w:val="en-US" w:eastAsia="zh-CN"/>
                    </w:rPr>
                  </w:pPr>
                  <w:r>
                    <w:rPr>
                      <w:rFonts w:hint="eastAsia"/>
                      <w:color w:val="auto"/>
                      <w:sz w:val="18"/>
                      <w:szCs w:val="18"/>
                      <w:lang w:val="en-US" w:eastAsia="zh-CN"/>
                    </w:rPr>
                    <w:t>3694</w:t>
                  </w:r>
                </w:p>
              </w:tc>
            </w:tr>
            <w:tr w14:paraId="10F71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50C3B32F">
                  <w:pPr>
                    <w:pStyle w:val="60"/>
                    <w:rPr>
                      <w:rFonts w:hint="eastAsia"/>
                      <w:color w:val="auto"/>
                      <w:sz w:val="18"/>
                      <w:szCs w:val="18"/>
                      <w:lang w:val="en-US" w:eastAsia="zh-CN"/>
                    </w:rPr>
                  </w:pPr>
                  <w:r>
                    <w:rPr>
                      <w:rFonts w:hint="eastAsia"/>
                      <w:color w:val="auto"/>
                      <w:sz w:val="18"/>
                      <w:szCs w:val="18"/>
                      <w:lang w:val="en-US" w:eastAsia="zh-CN"/>
                    </w:rPr>
                    <w:t>排放浓度（mg/m</w:t>
                  </w:r>
                  <w:r>
                    <w:rPr>
                      <w:rFonts w:hint="eastAsia"/>
                      <w:color w:val="auto"/>
                      <w:sz w:val="18"/>
                      <w:szCs w:val="18"/>
                      <w:vertAlign w:val="superscript"/>
                      <w:lang w:val="en-US" w:eastAsia="zh-CN"/>
                    </w:rPr>
                    <w:t>3</w:t>
                  </w: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3A5AA53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c>
                <w:tcPr>
                  <w:tcW w:w="1881" w:type="dxa"/>
                  <w:tcBorders>
                    <w:tl2br w:val="nil"/>
                    <w:tr2bl w:val="nil"/>
                  </w:tcBorders>
                  <w:shd w:val="clear" w:color="auto" w:fill="auto"/>
                  <w:noWrap w:val="0"/>
                  <w:vAlign w:val="center"/>
                </w:tcPr>
                <w:p w14:paraId="7F79DF6C">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c>
                <w:tcPr>
                  <w:tcW w:w="1881" w:type="dxa"/>
                  <w:tcBorders>
                    <w:tl2br w:val="nil"/>
                    <w:tr2bl w:val="nil"/>
                  </w:tcBorders>
                  <w:shd w:val="clear" w:color="auto" w:fill="auto"/>
                  <w:noWrap w:val="0"/>
                  <w:vAlign w:val="center"/>
                </w:tcPr>
                <w:p w14:paraId="4760579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ND</w:t>
                  </w:r>
                </w:p>
              </w:tc>
            </w:tr>
            <w:tr w14:paraId="33C08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0" w:type="dxa"/>
                  <w:tcBorders>
                    <w:tl2br w:val="nil"/>
                    <w:tr2bl w:val="nil"/>
                  </w:tcBorders>
                  <w:noWrap w:val="0"/>
                  <w:vAlign w:val="center"/>
                </w:tcPr>
                <w:p w14:paraId="1346D8DC">
                  <w:pPr>
                    <w:pStyle w:val="60"/>
                    <w:rPr>
                      <w:rFonts w:hint="eastAsia"/>
                      <w:color w:val="auto"/>
                      <w:sz w:val="18"/>
                      <w:szCs w:val="18"/>
                      <w:lang w:val="en-US" w:eastAsia="zh-CN"/>
                    </w:rPr>
                  </w:pPr>
                  <w:r>
                    <w:rPr>
                      <w:rFonts w:hint="eastAsia"/>
                      <w:color w:val="auto"/>
                      <w:sz w:val="18"/>
                      <w:szCs w:val="18"/>
                      <w:lang w:val="en-US" w:eastAsia="zh-CN"/>
                    </w:rPr>
                    <w:t>排放速率（kg/h）</w:t>
                  </w:r>
                </w:p>
              </w:tc>
              <w:tc>
                <w:tcPr>
                  <w:tcW w:w="1881" w:type="dxa"/>
                  <w:tcBorders>
                    <w:tl2br w:val="nil"/>
                    <w:tr2bl w:val="nil"/>
                  </w:tcBorders>
                  <w:shd w:val="clear" w:color="auto" w:fill="auto"/>
                  <w:noWrap w:val="0"/>
                  <w:vAlign w:val="center"/>
                </w:tcPr>
                <w:p w14:paraId="31FFC94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29A513B8">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881" w:type="dxa"/>
                  <w:tcBorders>
                    <w:tl2br w:val="nil"/>
                    <w:tr2bl w:val="nil"/>
                  </w:tcBorders>
                  <w:shd w:val="clear" w:color="auto" w:fill="auto"/>
                  <w:noWrap w:val="0"/>
                  <w:vAlign w:val="center"/>
                </w:tcPr>
                <w:p w14:paraId="05FA8092">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bl>
          <w:p w14:paraId="6A7D41C1">
            <w:pPr>
              <w:adjustRightInd w:val="0"/>
              <w:snapToGrid w:val="0"/>
              <w:spacing w:line="440" w:lineRule="exact"/>
              <w:ind w:firstLine="420" w:firstLineChars="200"/>
              <w:rPr>
                <w:bCs/>
                <w:color w:val="auto"/>
                <w:szCs w:val="21"/>
              </w:rPr>
            </w:pPr>
            <w:r>
              <w:rPr>
                <w:rFonts w:hint="eastAsia"/>
                <w:bCs/>
                <w:color w:val="auto"/>
                <w:szCs w:val="21"/>
                <w:lang w:val="en-US" w:eastAsia="zh-CN"/>
              </w:rPr>
              <w:t>2</w:t>
            </w:r>
            <w:r>
              <w:rPr>
                <w:rFonts w:hint="eastAsia"/>
                <w:bCs/>
                <w:color w:val="auto"/>
                <w:szCs w:val="21"/>
              </w:rPr>
              <w:t>）现有项目有组织废气排放量核算</w:t>
            </w:r>
          </w:p>
          <w:p w14:paraId="517D99AA">
            <w:pPr>
              <w:adjustRightInd w:val="0"/>
              <w:snapToGrid w:val="0"/>
              <w:spacing w:line="440" w:lineRule="exact"/>
              <w:ind w:firstLine="420" w:firstLineChars="200"/>
              <w:rPr>
                <w:bCs/>
                <w:color w:val="auto"/>
                <w:szCs w:val="21"/>
              </w:rPr>
            </w:pPr>
            <w:r>
              <w:rPr>
                <w:rFonts w:hint="eastAsia" w:hAnsi="宋体"/>
                <w:color w:val="auto"/>
              </w:rPr>
              <w:t>本次评价根据企业202</w:t>
            </w:r>
            <w:r>
              <w:rPr>
                <w:rFonts w:hint="eastAsia" w:hAnsi="宋体"/>
                <w:color w:val="auto"/>
                <w:lang w:val="en-US" w:eastAsia="zh-CN"/>
              </w:rPr>
              <w:t>5</w:t>
            </w:r>
            <w:r>
              <w:rPr>
                <w:rFonts w:hint="eastAsia" w:hAnsi="宋体"/>
                <w:color w:val="auto"/>
              </w:rPr>
              <w:t>年度</w:t>
            </w:r>
            <w:r>
              <w:rPr>
                <w:rFonts w:hint="eastAsia" w:hAnsi="宋体"/>
                <w:color w:val="auto"/>
                <w:lang w:val="en-US" w:eastAsia="zh-CN"/>
              </w:rPr>
              <w:t>排污许可执行报告</w:t>
            </w:r>
            <w:r>
              <w:rPr>
                <w:rFonts w:hint="eastAsia" w:hAnsi="宋体"/>
                <w:color w:val="auto"/>
              </w:rPr>
              <w:t>对现有项目有组织废气污染物实际排放量进行核算，相关结果核算如下：</w:t>
            </w:r>
          </w:p>
          <w:p w14:paraId="70DE4393">
            <w:pPr>
              <w:adjustRightInd w:val="0"/>
              <w:snapToGrid w:val="0"/>
              <w:spacing w:before="120" w:beforeLines="50"/>
              <w:jc w:val="center"/>
              <w:rPr>
                <w:rFonts w:hint="eastAsia"/>
                <w:b/>
                <w:color w:val="auto"/>
                <w:szCs w:val="21"/>
                <w:highlight w:val="yellow"/>
              </w:rPr>
            </w:pPr>
            <w:r>
              <w:rPr>
                <w:rFonts w:hint="eastAsia"/>
                <w:b/>
                <w:color w:val="auto"/>
                <w:szCs w:val="21"/>
                <w:highlight w:val="none"/>
              </w:rPr>
              <w:t>表2-1</w:t>
            </w:r>
            <w:r>
              <w:rPr>
                <w:rFonts w:hint="eastAsia"/>
                <w:b/>
                <w:color w:val="auto"/>
                <w:szCs w:val="21"/>
                <w:highlight w:val="none"/>
                <w:lang w:val="en-US" w:eastAsia="zh-CN"/>
              </w:rPr>
              <w:t>5</w:t>
            </w:r>
            <w:r>
              <w:rPr>
                <w:rFonts w:hint="eastAsia"/>
                <w:b/>
                <w:color w:val="auto"/>
                <w:szCs w:val="21"/>
                <w:highlight w:val="none"/>
              </w:rPr>
              <w:t xml:space="preserve">  现有项目有组织废气实际排放量核算结果统计表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5"/>
              <w:gridCol w:w="1184"/>
              <w:gridCol w:w="1044"/>
              <w:gridCol w:w="706"/>
              <w:gridCol w:w="1440"/>
              <w:gridCol w:w="2617"/>
            </w:tblGrid>
            <w:tr w14:paraId="78298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Align w:val="center"/>
                </w:tcPr>
                <w:p w14:paraId="63F4AB49">
                  <w:pPr>
                    <w:pStyle w:val="60"/>
                    <w:rPr>
                      <w:color w:val="auto"/>
                      <w:sz w:val="18"/>
                      <w:szCs w:val="18"/>
                    </w:rPr>
                  </w:pPr>
                  <w:r>
                    <w:rPr>
                      <w:color w:val="auto"/>
                      <w:sz w:val="18"/>
                      <w:szCs w:val="18"/>
                    </w:rPr>
                    <w:t>污染源</w:t>
                  </w:r>
                </w:p>
              </w:tc>
              <w:tc>
                <w:tcPr>
                  <w:tcW w:w="1068" w:type="pct"/>
                  <w:gridSpan w:val="2"/>
                  <w:vAlign w:val="center"/>
                </w:tcPr>
                <w:p w14:paraId="5C4BFC74">
                  <w:pPr>
                    <w:pStyle w:val="60"/>
                    <w:rPr>
                      <w:color w:val="auto"/>
                      <w:sz w:val="18"/>
                      <w:szCs w:val="18"/>
                    </w:rPr>
                  </w:pPr>
                  <w:r>
                    <w:rPr>
                      <w:color w:val="auto"/>
                      <w:sz w:val="18"/>
                      <w:szCs w:val="18"/>
                    </w:rPr>
                    <w:t>污染</w:t>
                  </w:r>
                  <w:r>
                    <w:rPr>
                      <w:rFonts w:hint="eastAsia"/>
                      <w:color w:val="auto"/>
                      <w:sz w:val="18"/>
                      <w:szCs w:val="18"/>
                    </w:rPr>
                    <w:t>物</w:t>
                  </w:r>
                </w:p>
              </w:tc>
              <w:tc>
                <w:tcPr>
                  <w:tcW w:w="620" w:type="pct"/>
                  <w:vAlign w:val="center"/>
                </w:tcPr>
                <w:p w14:paraId="39957900">
                  <w:pPr>
                    <w:pStyle w:val="60"/>
                    <w:rPr>
                      <w:color w:val="auto"/>
                      <w:sz w:val="18"/>
                      <w:szCs w:val="18"/>
                    </w:rPr>
                  </w:pPr>
                  <w:r>
                    <w:rPr>
                      <w:rFonts w:hint="eastAsia"/>
                      <w:color w:val="auto"/>
                      <w:sz w:val="18"/>
                      <w:szCs w:val="18"/>
                    </w:rPr>
                    <w:t>实际排放量</w:t>
                  </w:r>
                  <w:r>
                    <w:rPr>
                      <w:color w:val="auto"/>
                      <w:sz w:val="18"/>
                      <w:szCs w:val="18"/>
                    </w:rPr>
                    <w:t>（t/a）</w:t>
                  </w:r>
                </w:p>
              </w:tc>
              <w:tc>
                <w:tcPr>
                  <w:tcW w:w="419" w:type="pct"/>
                  <w:vAlign w:val="center"/>
                </w:tcPr>
                <w:p w14:paraId="49DCC986">
                  <w:pPr>
                    <w:pStyle w:val="60"/>
                    <w:rPr>
                      <w:color w:val="auto"/>
                      <w:sz w:val="18"/>
                      <w:szCs w:val="18"/>
                    </w:rPr>
                  </w:pPr>
                  <w:r>
                    <w:rPr>
                      <w:rFonts w:hint="eastAsia"/>
                      <w:color w:val="auto"/>
                      <w:sz w:val="18"/>
                      <w:szCs w:val="18"/>
                    </w:rPr>
                    <w:t>生产负荷</w:t>
                  </w:r>
                </w:p>
              </w:tc>
              <w:tc>
                <w:tcPr>
                  <w:tcW w:w="855" w:type="pct"/>
                  <w:vAlign w:val="center"/>
                </w:tcPr>
                <w:p w14:paraId="06EC9966">
                  <w:pPr>
                    <w:pStyle w:val="60"/>
                    <w:rPr>
                      <w:color w:val="auto"/>
                      <w:sz w:val="18"/>
                      <w:szCs w:val="18"/>
                    </w:rPr>
                  </w:pPr>
                  <w:r>
                    <w:rPr>
                      <w:rFonts w:hint="eastAsia"/>
                      <w:color w:val="auto"/>
                      <w:sz w:val="18"/>
                      <w:szCs w:val="18"/>
                    </w:rPr>
                    <w:t>折满负荷后排放量（t/a）</w:t>
                  </w:r>
                </w:p>
              </w:tc>
              <w:tc>
                <w:tcPr>
                  <w:tcW w:w="1554" w:type="pct"/>
                  <w:vAlign w:val="center"/>
                </w:tcPr>
                <w:p w14:paraId="4FD876DC">
                  <w:pPr>
                    <w:pStyle w:val="60"/>
                    <w:rPr>
                      <w:color w:val="auto"/>
                      <w:sz w:val="18"/>
                      <w:szCs w:val="18"/>
                    </w:rPr>
                  </w:pPr>
                  <w:r>
                    <w:rPr>
                      <w:rFonts w:hint="eastAsia"/>
                      <w:color w:val="auto"/>
                      <w:sz w:val="18"/>
                      <w:szCs w:val="18"/>
                    </w:rPr>
                    <w:t>核算依据</w:t>
                  </w:r>
                </w:p>
              </w:tc>
            </w:tr>
            <w:tr w14:paraId="321EC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restart"/>
                  <w:vAlign w:val="center"/>
                </w:tcPr>
                <w:p w14:paraId="6D88159A">
                  <w:pPr>
                    <w:pStyle w:val="60"/>
                    <w:rPr>
                      <w:rFonts w:hint="default" w:eastAsia="宋体"/>
                      <w:color w:val="auto"/>
                      <w:sz w:val="18"/>
                      <w:szCs w:val="18"/>
                      <w:lang w:val="en-US" w:eastAsia="zh-CN"/>
                    </w:rPr>
                  </w:pPr>
                  <w:r>
                    <w:rPr>
                      <w:rFonts w:hint="eastAsia"/>
                      <w:color w:val="auto"/>
                      <w:sz w:val="18"/>
                      <w:szCs w:val="18"/>
                      <w:lang w:val="en-US" w:eastAsia="zh-CN"/>
                    </w:rPr>
                    <w:t>DA001排气筒</w:t>
                  </w:r>
                </w:p>
              </w:tc>
              <w:tc>
                <w:tcPr>
                  <w:tcW w:w="1068" w:type="pct"/>
                  <w:gridSpan w:val="2"/>
                  <w:shd w:val="clear" w:color="auto" w:fill="auto"/>
                  <w:vAlign w:val="center"/>
                </w:tcPr>
                <w:p w14:paraId="31B72A59">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w:t>
                  </w:r>
                </w:p>
              </w:tc>
              <w:tc>
                <w:tcPr>
                  <w:tcW w:w="620" w:type="pct"/>
                  <w:shd w:val="clear" w:color="auto" w:fill="auto"/>
                  <w:vAlign w:val="center"/>
                </w:tcPr>
                <w:p w14:paraId="77070DE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0.626</w:t>
                  </w:r>
                </w:p>
              </w:tc>
              <w:tc>
                <w:tcPr>
                  <w:tcW w:w="419" w:type="pct"/>
                  <w:vMerge w:val="restart"/>
                  <w:vAlign w:val="center"/>
                </w:tcPr>
                <w:p w14:paraId="3463B6DB">
                  <w:pPr>
                    <w:pStyle w:val="60"/>
                    <w:rPr>
                      <w:rFonts w:hint="default" w:eastAsia="宋体"/>
                      <w:color w:val="auto"/>
                      <w:sz w:val="18"/>
                      <w:szCs w:val="18"/>
                      <w:lang w:val="en-US" w:eastAsia="zh-CN"/>
                    </w:rPr>
                  </w:pPr>
                  <w:r>
                    <w:rPr>
                      <w:rFonts w:hint="eastAsia"/>
                      <w:color w:val="auto"/>
                      <w:sz w:val="18"/>
                      <w:szCs w:val="18"/>
                      <w:lang w:val="en-US" w:eastAsia="zh-CN"/>
                    </w:rPr>
                    <w:t>70%</w:t>
                  </w:r>
                </w:p>
              </w:tc>
              <w:tc>
                <w:tcPr>
                  <w:tcW w:w="855" w:type="pct"/>
                  <w:vAlign w:val="center"/>
                </w:tcPr>
                <w:p w14:paraId="711CDBAE">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0.894</w:t>
                  </w:r>
                </w:p>
              </w:tc>
              <w:tc>
                <w:tcPr>
                  <w:tcW w:w="1554" w:type="pct"/>
                  <w:vAlign w:val="center"/>
                </w:tcPr>
                <w:p w14:paraId="1614A5DC">
                  <w:pPr>
                    <w:pStyle w:val="60"/>
                    <w:rPr>
                      <w:rFonts w:hint="default" w:eastAsia="宋体"/>
                      <w:color w:val="auto"/>
                      <w:sz w:val="18"/>
                      <w:szCs w:val="18"/>
                      <w:lang w:val="en-US" w:eastAsia="zh-CN"/>
                    </w:rPr>
                  </w:pPr>
                  <w:r>
                    <w:rPr>
                      <w:rFonts w:hint="eastAsia"/>
                      <w:color w:val="auto"/>
                      <w:sz w:val="18"/>
                      <w:szCs w:val="18"/>
                      <w:lang w:val="en-US" w:eastAsia="zh-CN"/>
                    </w:rPr>
                    <w:t>2025年度在线系统统计数据</w:t>
                  </w:r>
                </w:p>
              </w:tc>
            </w:tr>
            <w:tr w14:paraId="2D68B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4A4CAB33">
                  <w:pPr>
                    <w:pStyle w:val="60"/>
                    <w:rPr>
                      <w:color w:val="auto"/>
                      <w:sz w:val="18"/>
                      <w:szCs w:val="18"/>
                    </w:rPr>
                  </w:pPr>
                </w:p>
              </w:tc>
              <w:tc>
                <w:tcPr>
                  <w:tcW w:w="1068" w:type="pct"/>
                  <w:gridSpan w:val="2"/>
                  <w:shd w:val="clear" w:color="auto" w:fill="auto"/>
                  <w:vAlign w:val="center"/>
                </w:tcPr>
                <w:p w14:paraId="37BF48B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甲醇</w:t>
                  </w:r>
                </w:p>
              </w:tc>
              <w:tc>
                <w:tcPr>
                  <w:tcW w:w="620" w:type="pct"/>
                  <w:shd w:val="clear" w:color="auto" w:fill="auto"/>
                  <w:vAlign w:val="center"/>
                </w:tcPr>
                <w:p w14:paraId="2182B99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0.883</w:t>
                  </w:r>
                </w:p>
              </w:tc>
              <w:tc>
                <w:tcPr>
                  <w:tcW w:w="419" w:type="pct"/>
                  <w:vMerge w:val="continue"/>
                  <w:vAlign w:val="center"/>
                </w:tcPr>
                <w:p w14:paraId="0B606E1D">
                  <w:pPr>
                    <w:pStyle w:val="60"/>
                    <w:rPr>
                      <w:rFonts w:hint="eastAsia"/>
                      <w:color w:val="auto"/>
                      <w:sz w:val="18"/>
                      <w:szCs w:val="18"/>
                      <w:lang w:val="en-US" w:eastAsia="zh-CN"/>
                    </w:rPr>
                  </w:pPr>
                </w:p>
              </w:tc>
              <w:tc>
                <w:tcPr>
                  <w:tcW w:w="855" w:type="pct"/>
                  <w:vAlign w:val="center"/>
                </w:tcPr>
                <w:p w14:paraId="1A67DBC2">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1.261</w:t>
                  </w:r>
                </w:p>
              </w:tc>
              <w:tc>
                <w:tcPr>
                  <w:tcW w:w="1554" w:type="pct"/>
                  <w:vMerge w:val="restart"/>
                  <w:vAlign w:val="center"/>
                </w:tcPr>
                <w:p w14:paraId="7509DA3A">
                  <w:pPr>
                    <w:pStyle w:val="60"/>
                    <w:rPr>
                      <w:rFonts w:hint="default" w:eastAsia="宋体"/>
                      <w:color w:val="auto"/>
                      <w:sz w:val="18"/>
                      <w:szCs w:val="18"/>
                      <w:lang w:val="en-US" w:eastAsia="zh-CN"/>
                    </w:rPr>
                  </w:pPr>
                  <w:r>
                    <w:rPr>
                      <w:rFonts w:hint="eastAsia"/>
                      <w:color w:val="auto"/>
                      <w:sz w:val="18"/>
                      <w:szCs w:val="18"/>
                      <w:lang w:val="en-US" w:eastAsia="zh-CN"/>
                    </w:rPr>
                    <w:t>2025年度全年例行检测数据平均排放速率×年运行时间</w:t>
                  </w:r>
                </w:p>
              </w:tc>
            </w:tr>
            <w:tr w14:paraId="3E63F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55BC6334">
                  <w:pPr>
                    <w:pStyle w:val="60"/>
                    <w:rPr>
                      <w:color w:val="auto"/>
                      <w:sz w:val="18"/>
                      <w:szCs w:val="18"/>
                    </w:rPr>
                  </w:pPr>
                </w:p>
              </w:tc>
              <w:tc>
                <w:tcPr>
                  <w:tcW w:w="1068" w:type="pct"/>
                  <w:gridSpan w:val="2"/>
                  <w:shd w:val="clear" w:color="auto" w:fill="auto"/>
                  <w:vAlign w:val="center"/>
                </w:tcPr>
                <w:p w14:paraId="2FCE90F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甲醛</w:t>
                  </w:r>
                </w:p>
              </w:tc>
              <w:tc>
                <w:tcPr>
                  <w:tcW w:w="620" w:type="pct"/>
                  <w:shd w:val="clear" w:color="auto" w:fill="auto"/>
                  <w:vAlign w:val="center"/>
                </w:tcPr>
                <w:p w14:paraId="71BEC16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0.135</w:t>
                  </w:r>
                </w:p>
              </w:tc>
              <w:tc>
                <w:tcPr>
                  <w:tcW w:w="419" w:type="pct"/>
                  <w:vMerge w:val="continue"/>
                  <w:vAlign w:val="center"/>
                </w:tcPr>
                <w:p w14:paraId="53CFB72B">
                  <w:pPr>
                    <w:pStyle w:val="60"/>
                    <w:rPr>
                      <w:rFonts w:hint="eastAsia"/>
                      <w:color w:val="auto"/>
                      <w:sz w:val="18"/>
                      <w:szCs w:val="18"/>
                      <w:lang w:val="en-US" w:eastAsia="zh-CN"/>
                    </w:rPr>
                  </w:pPr>
                </w:p>
              </w:tc>
              <w:tc>
                <w:tcPr>
                  <w:tcW w:w="855" w:type="pct"/>
                  <w:vAlign w:val="center"/>
                </w:tcPr>
                <w:p w14:paraId="672C8356">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0.193</w:t>
                  </w:r>
                </w:p>
              </w:tc>
              <w:tc>
                <w:tcPr>
                  <w:tcW w:w="1554" w:type="pct"/>
                  <w:vMerge w:val="continue"/>
                  <w:vAlign w:val="center"/>
                </w:tcPr>
                <w:p w14:paraId="6635C738">
                  <w:pPr>
                    <w:pStyle w:val="60"/>
                    <w:rPr>
                      <w:rFonts w:hint="eastAsia"/>
                      <w:color w:val="auto"/>
                      <w:sz w:val="18"/>
                      <w:szCs w:val="18"/>
                    </w:rPr>
                  </w:pPr>
                </w:p>
              </w:tc>
            </w:tr>
            <w:tr w14:paraId="320CD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655C898C">
                  <w:pPr>
                    <w:pStyle w:val="60"/>
                    <w:rPr>
                      <w:color w:val="auto"/>
                      <w:sz w:val="18"/>
                      <w:szCs w:val="18"/>
                    </w:rPr>
                  </w:pPr>
                </w:p>
              </w:tc>
              <w:tc>
                <w:tcPr>
                  <w:tcW w:w="1068" w:type="pct"/>
                  <w:gridSpan w:val="2"/>
                  <w:shd w:val="clear" w:color="auto" w:fill="auto"/>
                  <w:vAlign w:val="center"/>
                </w:tcPr>
                <w:p w14:paraId="5D0ABF1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NOx</w:t>
                  </w:r>
                </w:p>
              </w:tc>
              <w:tc>
                <w:tcPr>
                  <w:tcW w:w="620" w:type="pct"/>
                  <w:shd w:val="clear" w:color="auto" w:fill="auto"/>
                  <w:vAlign w:val="center"/>
                </w:tcPr>
                <w:p w14:paraId="0A1C140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0.199</w:t>
                  </w:r>
                </w:p>
              </w:tc>
              <w:tc>
                <w:tcPr>
                  <w:tcW w:w="419" w:type="pct"/>
                  <w:vMerge w:val="continue"/>
                  <w:vAlign w:val="center"/>
                </w:tcPr>
                <w:p w14:paraId="3C1A03AC">
                  <w:pPr>
                    <w:pStyle w:val="60"/>
                    <w:rPr>
                      <w:rFonts w:hint="eastAsia"/>
                      <w:color w:val="auto"/>
                      <w:sz w:val="18"/>
                      <w:szCs w:val="18"/>
                    </w:rPr>
                  </w:pPr>
                </w:p>
              </w:tc>
              <w:tc>
                <w:tcPr>
                  <w:tcW w:w="855" w:type="pct"/>
                  <w:vAlign w:val="center"/>
                </w:tcPr>
                <w:p w14:paraId="7500BBCD">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0.284</w:t>
                  </w:r>
                </w:p>
              </w:tc>
              <w:tc>
                <w:tcPr>
                  <w:tcW w:w="1554" w:type="pct"/>
                  <w:vMerge w:val="continue"/>
                  <w:vAlign w:val="center"/>
                </w:tcPr>
                <w:p w14:paraId="69F73A25">
                  <w:pPr>
                    <w:pStyle w:val="60"/>
                    <w:rPr>
                      <w:rFonts w:hint="eastAsia"/>
                      <w:color w:val="auto"/>
                      <w:sz w:val="18"/>
                      <w:szCs w:val="18"/>
                    </w:rPr>
                  </w:pPr>
                </w:p>
              </w:tc>
            </w:tr>
            <w:tr w14:paraId="6AAEB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restart"/>
                  <w:vAlign w:val="center"/>
                </w:tcPr>
                <w:p w14:paraId="7CA576B7">
                  <w:pPr>
                    <w:pStyle w:val="60"/>
                    <w:rPr>
                      <w:rFonts w:hint="default" w:eastAsia="宋体"/>
                      <w:color w:val="auto"/>
                      <w:sz w:val="18"/>
                      <w:szCs w:val="18"/>
                      <w:lang w:val="en-US" w:eastAsia="zh-CN"/>
                    </w:rPr>
                  </w:pPr>
                  <w:r>
                    <w:rPr>
                      <w:rFonts w:hint="eastAsia"/>
                      <w:color w:val="auto"/>
                      <w:sz w:val="18"/>
                      <w:szCs w:val="18"/>
                      <w:lang w:val="en-US" w:eastAsia="zh-CN"/>
                    </w:rPr>
                    <w:t>DA002排气筒</w:t>
                  </w:r>
                </w:p>
              </w:tc>
              <w:tc>
                <w:tcPr>
                  <w:tcW w:w="1068" w:type="pct"/>
                  <w:gridSpan w:val="2"/>
                  <w:shd w:val="clear" w:color="auto" w:fill="auto"/>
                  <w:vAlign w:val="center"/>
                </w:tcPr>
                <w:p w14:paraId="102D3A9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w:t>
                  </w:r>
                </w:p>
              </w:tc>
              <w:tc>
                <w:tcPr>
                  <w:tcW w:w="620" w:type="pct"/>
                  <w:shd w:val="clear" w:color="auto" w:fill="auto"/>
                  <w:vAlign w:val="center"/>
                </w:tcPr>
                <w:p w14:paraId="5A4A290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2.149</w:t>
                  </w:r>
                </w:p>
              </w:tc>
              <w:tc>
                <w:tcPr>
                  <w:tcW w:w="419" w:type="pct"/>
                  <w:vMerge w:val="restart"/>
                  <w:vAlign w:val="center"/>
                </w:tcPr>
                <w:p w14:paraId="1EA63E2C">
                  <w:pPr>
                    <w:pStyle w:val="60"/>
                    <w:rPr>
                      <w:rFonts w:hint="default" w:eastAsia="宋体"/>
                      <w:color w:val="auto"/>
                      <w:sz w:val="18"/>
                      <w:szCs w:val="18"/>
                      <w:lang w:val="en-US" w:eastAsia="zh-CN"/>
                    </w:rPr>
                  </w:pPr>
                  <w:r>
                    <w:rPr>
                      <w:rFonts w:hint="eastAsia"/>
                      <w:color w:val="auto"/>
                      <w:sz w:val="18"/>
                      <w:szCs w:val="18"/>
                      <w:lang w:val="en-US" w:eastAsia="zh-CN"/>
                    </w:rPr>
                    <w:t>70%</w:t>
                  </w:r>
                </w:p>
              </w:tc>
              <w:tc>
                <w:tcPr>
                  <w:tcW w:w="855" w:type="pct"/>
                  <w:vAlign w:val="center"/>
                </w:tcPr>
                <w:p w14:paraId="2074AE63">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3.070</w:t>
                  </w:r>
                </w:p>
              </w:tc>
              <w:tc>
                <w:tcPr>
                  <w:tcW w:w="1554" w:type="pct"/>
                  <w:vMerge w:val="continue"/>
                  <w:shd w:val="clear" w:color="auto" w:fill="auto"/>
                  <w:vAlign w:val="center"/>
                </w:tcPr>
                <w:p w14:paraId="47396CD3">
                  <w:pPr>
                    <w:pStyle w:val="60"/>
                    <w:rPr>
                      <w:rFonts w:hint="eastAsia" w:ascii="Times New Roman" w:hAnsi="Times New Roman" w:eastAsia="宋体" w:cs="Times New Roman"/>
                      <w:b/>
                      <w:bCs/>
                      <w:color w:val="auto"/>
                      <w:kern w:val="2"/>
                      <w:sz w:val="18"/>
                      <w:szCs w:val="18"/>
                      <w:lang w:val="en-US" w:eastAsia="zh-CN" w:bidi="ar-SA"/>
                    </w:rPr>
                  </w:pPr>
                </w:p>
              </w:tc>
            </w:tr>
            <w:tr w14:paraId="22C5E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6FB74C20">
                  <w:pPr>
                    <w:pStyle w:val="60"/>
                    <w:rPr>
                      <w:color w:val="auto"/>
                      <w:sz w:val="18"/>
                      <w:szCs w:val="18"/>
                    </w:rPr>
                  </w:pPr>
                </w:p>
              </w:tc>
              <w:tc>
                <w:tcPr>
                  <w:tcW w:w="1068" w:type="pct"/>
                  <w:gridSpan w:val="2"/>
                  <w:shd w:val="clear" w:color="auto" w:fill="auto"/>
                  <w:vAlign w:val="center"/>
                </w:tcPr>
                <w:p w14:paraId="07A02EF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甲醇</w:t>
                  </w:r>
                </w:p>
              </w:tc>
              <w:tc>
                <w:tcPr>
                  <w:tcW w:w="620" w:type="pct"/>
                  <w:shd w:val="clear" w:color="auto" w:fill="auto"/>
                  <w:vAlign w:val="center"/>
                </w:tcPr>
                <w:p w14:paraId="0E7DF2F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0.727</w:t>
                  </w:r>
                </w:p>
              </w:tc>
              <w:tc>
                <w:tcPr>
                  <w:tcW w:w="419" w:type="pct"/>
                  <w:vMerge w:val="continue"/>
                  <w:vAlign w:val="center"/>
                </w:tcPr>
                <w:p w14:paraId="3215A587">
                  <w:pPr>
                    <w:pStyle w:val="60"/>
                    <w:rPr>
                      <w:rFonts w:hint="eastAsia"/>
                      <w:color w:val="auto"/>
                      <w:sz w:val="18"/>
                      <w:szCs w:val="18"/>
                    </w:rPr>
                  </w:pPr>
                </w:p>
              </w:tc>
              <w:tc>
                <w:tcPr>
                  <w:tcW w:w="855" w:type="pct"/>
                  <w:vAlign w:val="center"/>
                </w:tcPr>
                <w:p w14:paraId="4D2461AC">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1.039</w:t>
                  </w:r>
                </w:p>
              </w:tc>
              <w:tc>
                <w:tcPr>
                  <w:tcW w:w="1554" w:type="pct"/>
                  <w:vMerge w:val="continue"/>
                  <w:shd w:val="clear" w:color="auto" w:fill="auto"/>
                  <w:vAlign w:val="center"/>
                </w:tcPr>
                <w:p w14:paraId="1C590F3C">
                  <w:pPr>
                    <w:pStyle w:val="60"/>
                    <w:rPr>
                      <w:rFonts w:hint="eastAsia" w:ascii="Times New Roman" w:hAnsi="Times New Roman" w:eastAsia="宋体" w:cs="Times New Roman"/>
                      <w:b/>
                      <w:bCs/>
                      <w:color w:val="auto"/>
                      <w:kern w:val="2"/>
                      <w:sz w:val="18"/>
                      <w:szCs w:val="18"/>
                      <w:lang w:val="en-US" w:eastAsia="zh-CN" w:bidi="ar-SA"/>
                    </w:rPr>
                  </w:pPr>
                </w:p>
              </w:tc>
            </w:tr>
            <w:tr w14:paraId="1D32C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0D4B94FD">
                  <w:pPr>
                    <w:pStyle w:val="60"/>
                    <w:rPr>
                      <w:color w:val="auto"/>
                      <w:sz w:val="18"/>
                      <w:szCs w:val="18"/>
                    </w:rPr>
                  </w:pPr>
                </w:p>
              </w:tc>
              <w:tc>
                <w:tcPr>
                  <w:tcW w:w="1068" w:type="pct"/>
                  <w:gridSpan w:val="2"/>
                  <w:shd w:val="clear" w:color="auto" w:fill="auto"/>
                  <w:vAlign w:val="center"/>
                </w:tcPr>
                <w:p w14:paraId="1D22ED6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甲醛</w:t>
                  </w:r>
                </w:p>
              </w:tc>
              <w:tc>
                <w:tcPr>
                  <w:tcW w:w="620" w:type="pct"/>
                  <w:shd w:val="clear" w:color="auto" w:fill="auto"/>
                  <w:vAlign w:val="center"/>
                </w:tcPr>
                <w:p w14:paraId="433E665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0.085</w:t>
                  </w:r>
                </w:p>
              </w:tc>
              <w:tc>
                <w:tcPr>
                  <w:tcW w:w="419" w:type="pct"/>
                  <w:vMerge w:val="continue"/>
                  <w:vAlign w:val="center"/>
                </w:tcPr>
                <w:p w14:paraId="06C881A3">
                  <w:pPr>
                    <w:pStyle w:val="60"/>
                    <w:rPr>
                      <w:rFonts w:hint="eastAsia"/>
                      <w:color w:val="auto"/>
                      <w:sz w:val="18"/>
                      <w:szCs w:val="18"/>
                    </w:rPr>
                  </w:pPr>
                </w:p>
              </w:tc>
              <w:tc>
                <w:tcPr>
                  <w:tcW w:w="855" w:type="pct"/>
                  <w:vAlign w:val="center"/>
                </w:tcPr>
                <w:p w14:paraId="45721637">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0.121</w:t>
                  </w:r>
                </w:p>
              </w:tc>
              <w:tc>
                <w:tcPr>
                  <w:tcW w:w="1554" w:type="pct"/>
                  <w:vMerge w:val="continue"/>
                  <w:shd w:val="clear" w:color="auto" w:fill="auto"/>
                  <w:vAlign w:val="center"/>
                </w:tcPr>
                <w:p w14:paraId="1EA81DBF">
                  <w:pPr>
                    <w:pStyle w:val="60"/>
                    <w:rPr>
                      <w:rFonts w:hint="eastAsia" w:ascii="Times New Roman" w:hAnsi="Times New Roman" w:eastAsia="宋体" w:cs="Times New Roman"/>
                      <w:b/>
                      <w:bCs/>
                      <w:color w:val="auto"/>
                      <w:kern w:val="2"/>
                      <w:sz w:val="18"/>
                      <w:szCs w:val="18"/>
                      <w:lang w:val="en-US" w:eastAsia="zh-CN" w:bidi="ar-SA"/>
                    </w:rPr>
                  </w:pPr>
                </w:p>
              </w:tc>
            </w:tr>
            <w:tr w14:paraId="697DE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4AB56D4D">
                  <w:pPr>
                    <w:pStyle w:val="60"/>
                    <w:rPr>
                      <w:color w:val="auto"/>
                      <w:sz w:val="18"/>
                      <w:szCs w:val="18"/>
                    </w:rPr>
                  </w:pPr>
                </w:p>
              </w:tc>
              <w:tc>
                <w:tcPr>
                  <w:tcW w:w="1068" w:type="pct"/>
                  <w:gridSpan w:val="2"/>
                  <w:shd w:val="clear" w:color="auto" w:fill="auto"/>
                  <w:vAlign w:val="center"/>
                </w:tcPr>
                <w:p w14:paraId="6F6E6DA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NOx</w:t>
                  </w:r>
                </w:p>
              </w:tc>
              <w:tc>
                <w:tcPr>
                  <w:tcW w:w="620" w:type="pct"/>
                  <w:shd w:val="clear" w:color="auto" w:fill="auto"/>
                  <w:vAlign w:val="center"/>
                </w:tcPr>
                <w:p w14:paraId="149E3B4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0.138</w:t>
                  </w:r>
                </w:p>
              </w:tc>
              <w:tc>
                <w:tcPr>
                  <w:tcW w:w="419" w:type="pct"/>
                  <w:vMerge w:val="continue"/>
                  <w:vAlign w:val="center"/>
                </w:tcPr>
                <w:p w14:paraId="7F3188C8">
                  <w:pPr>
                    <w:pStyle w:val="60"/>
                    <w:rPr>
                      <w:rFonts w:hint="eastAsia"/>
                      <w:color w:val="auto"/>
                      <w:sz w:val="18"/>
                      <w:szCs w:val="18"/>
                    </w:rPr>
                  </w:pPr>
                </w:p>
              </w:tc>
              <w:tc>
                <w:tcPr>
                  <w:tcW w:w="855" w:type="pct"/>
                  <w:vAlign w:val="center"/>
                </w:tcPr>
                <w:p w14:paraId="6A43FE37">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0.197</w:t>
                  </w:r>
                </w:p>
              </w:tc>
              <w:tc>
                <w:tcPr>
                  <w:tcW w:w="1554" w:type="pct"/>
                  <w:vMerge w:val="continue"/>
                  <w:vAlign w:val="center"/>
                </w:tcPr>
                <w:p w14:paraId="2E50AE4C">
                  <w:pPr>
                    <w:pStyle w:val="60"/>
                    <w:rPr>
                      <w:rFonts w:hint="eastAsia"/>
                      <w:color w:val="auto"/>
                      <w:sz w:val="18"/>
                      <w:szCs w:val="18"/>
                    </w:rPr>
                  </w:pPr>
                </w:p>
              </w:tc>
            </w:tr>
            <w:tr w14:paraId="2C6EE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restart"/>
                  <w:vAlign w:val="center"/>
                </w:tcPr>
                <w:p w14:paraId="6342C2D3">
                  <w:pPr>
                    <w:pStyle w:val="60"/>
                    <w:rPr>
                      <w:rFonts w:hint="default" w:eastAsia="宋体"/>
                      <w:b/>
                      <w:bCs/>
                      <w:color w:val="auto"/>
                      <w:sz w:val="18"/>
                      <w:szCs w:val="18"/>
                      <w:lang w:val="en-US" w:eastAsia="zh-CN"/>
                    </w:rPr>
                  </w:pPr>
                  <w:r>
                    <w:rPr>
                      <w:rFonts w:hint="eastAsia"/>
                      <w:b/>
                      <w:bCs/>
                      <w:color w:val="auto"/>
                      <w:sz w:val="18"/>
                      <w:szCs w:val="18"/>
                      <w:lang w:val="en-US" w:eastAsia="zh-CN"/>
                    </w:rPr>
                    <w:t>合计</w:t>
                  </w:r>
                </w:p>
              </w:tc>
              <w:tc>
                <w:tcPr>
                  <w:tcW w:w="1068" w:type="pct"/>
                  <w:gridSpan w:val="2"/>
                  <w:shd w:val="clear" w:color="auto" w:fill="auto"/>
                  <w:vAlign w:val="center"/>
                </w:tcPr>
                <w:p w14:paraId="0588ECB3">
                  <w:pPr>
                    <w:pStyle w:val="60"/>
                    <w:rPr>
                      <w:rFonts w:hint="eastAsia" w:ascii="Times New Roman" w:hAnsi="Times New Roman" w:eastAsia="宋体"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总VOCs</w:t>
                  </w:r>
                </w:p>
              </w:tc>
              <w:tc>
                <w:tcPr>
                  <w:tcW w:w="620" w:type="pct"/>
                  <w:shd w:val="clear" w:color="auto" w:fill="auto"/>
                  <w:vAlign w:val="center"/>
                </w:tcPr>
                <w:p w14:paraId="2C9058EC">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4.605</w:t>
                  </w:r>
                </w:p>
              </w:tc>
              <w:tc>
                <w:tcPr>
                  <w:tcW w:w="419" w:type="pct"/>
                  <w:vAlign w:val="center"/>
                </w:tcPr>
                <w:p w14:paraId="7CAE2040">
                  <w:pPr>
                    <w:pStyle w:val="60"/>
                    <w:rPr>
                      <w:rFonts w:hint="eastAsia" w:eastAsia="宋体"/>
                      <w:b/>
                      <w:bCs/>
                      <w:color w:val="auto"/>
                      <w:sz w:val="18"/>
                      <w:szCs w:val="18"/>
                      <w:lang w:val="en-US" w:eastAsia="zh-CN"/>
                    </w:rPr>
                  </w:pPr>
                  <w:r>
                    <w:rPr>
                      <w:rFonts w:hint="eastAsia"/>
                      <w:b/>
                      <w:bCs/>
                      <w:color w:val="auto"/>
                      <w:sz w:val="18"/>
                      <w:szCs w:val="18"/>
                      <w:lang w:val="en-US" w:eastAsia="zh-CN"/>
                    </w:rPr>
                    <w:t>/</w:t>
                  </w:r>
                </w:p>
              </w:tc>
              <w:tc>
                <w:tcPr>
                  <w:tcW w:w="2409" w:type="pct"/>
                  <w:gridSpan w:val="2"/>
                  <w:vAlign w:val="center"/>
                </w:tcPr>
                <w:p w14:paraId="1839FC49">
                  <w:pPr>
                    <w:pStyle w:val="60"/>
                    <w:rPr>
                      <w:rFonts w:hint="eastAsia"/>
                      <w:color w:val="auto"/>
                      <w:sz w:val="18"/>
                      <w:szCs w:val="18"/>
                    </w:rPr>
                  </w:pPr>
                  <w:r>
                    <w:rPr>
                      <w:rFonts w:hint="default" w:ascii="Times New Roman" w:hAnsi="Times New Roman" w:eastAsia="宋体" w:cs="Times New Roman"/>
                      <w:b/>
                      <w:bCs/>
                      <w:i w:val="0"/>
                      <w:iCs w:val="0"/>
                      <w:color w:val="auto"/>
                      <w:kern w:val="0"/>
                      <w:sz w:val="18"/>
                      <w:szCs w:val="18"/>
                      <w:u w:val="none"/>
                      <w:lang w:val="en-US" w:eastAsia="zh-CN" w:bidi="ar"/>
                    </w:rPr>
                    <w:t>6.579</w:t>
                  </w:r>
                </w:p>
              </w:tc>
            </w:tr>
            <w:tr w14:paraId="2BFC0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4781DDE8">
                  <w:pPr>
                    <w:pStyle w:val="60"/>
                    <w:rPr>
                      <w:b/>
                      <w:bCs/>
                      <w:color w:val="auto"/>
                      <w:sz w:val="18"/>
                      <w:szCs w:val="18"/>
                    </w:rPr>
                  </w:pPr>
                </w:p>
              </w:tc>
              <w:tc>
                <w:tcPr>
                  <w:tcW w:w="365" w:type="pct"/>
                  <w:vMerge w:val="restart"/>
                  <w:shd w:val="clear" w:color="auto" w:fill="auto"/>
                  <w:vAlign w:val="center"/>
                </w:tcPr>
                <w:p w14:paraId="5CD5E3B2">
                  <w:pPr>
                    <w:pStyle w:val="60"/>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其中</w:t>
                  </w:r>
                </w:p>
              </w:tc>
              <w:tc>
                <w:tcPr>
                  <w:tcW w:w="703" w:type="pct"/>
                  <w:shd w:val="clear" w:color="auto" w:fill="auto"/>
                  <w:vAlign w:val="center"/>
                </w:tcPr>
                <w:p w14:paraId="6CC08445">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非甲烷总烃</w:t>
                  </w:r>
                </w:p>
              </w:tc>
              <w:tc>
                <w:tcPr>
                  <w:tcW w:w="620" w:type="pct"/>
                  <w:shd w:val="clear" w:color="auto" w:fill="auto"/>
                  <w:vAlign w:val="center"/>
                </w:tcPr>
                <w:p w14:paraId="1FA5C39E">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2.775</w:t>
                  </w:r>
                </w:p>
              </w:tc>
              <w:tc>
                <w:tcPr>
                  <w:tcW w:w="419" w:type="pct"/>
                  <w:vAlign w:val="center"/>
                </w:tcPr>
                <w:p w14:paraId="15C8A43D">
                  <w:pPr>
                    <w:pStyle w:val="60"/>
                    <w:rPr>
                      <w:rFonts w:hint="eastAsia" w:eastAsia="宋体"/>
                      <w:b/>
                      <w:bCs/>
                      <w:color w:val="auto"/>
                      <w:sz w:val="18"/>
                      <w:szCs w:val="18"/>
                      <w:lang w:val="en-US" w:eastAsia="zh-CN"/>
                    </w:rPr>
                  </w:pPr>
                  <w:r>
                    <w:rPr>
                      <w:rFonts w:hint="eastAsia"/>
                      <w:b/>
                      <w:bCs/>
                      <w:color w:val="auto"/>
                      <w:sz w:val="18"/>
                      <w:szCs w:val="18"/>
                      <w:lang w:val="en-US" w:eastAsia="zh-CN"/>
                    </w:rPr>
                    <w:t>/</w:t>
                  </w:r>
                </w:p>
              </w:tc>
              <w:tc>
                <w:tcPr>
                  <w:tcW w:w="2409" w:type="pct"/>
                  <w:gridSpan w:val="2"/>
                  <w:vAlign w:val="center"/>
                </w:tcPr>
                <w:p w14:paraId="074D464D">
                  <w:pPr>
                    <w:pStyle w:val="60"/>
                    <w:rPr>
                      <w:rFonts w:hint="eastAsia"/>
                      <w:color w:val="auto"/>
                      <w:sz w:val="18"/>
                      <w:szCs w:val="18"/>
                    </w:rPr>
                  </w:pPr>
                  <w:r>
                    <w:rPr>
                      <w:rFonts w:hint="default" w:ascii="Times New Roman" w:hAnsi="Times New Roman" w:eastAsia="宋体" w:cs="Times New Roman"/>
                      <w:b/>
                      <w:bCs/>
                      <w:i w:val="0"/>
                      <w:iCs w:val="0"/>
                      <w:color w:val="auto"/>
                      <w:kern w:val="0"/>
                      <w:sz w:val="18"/>
                      <w:szCs w:val="18"/>
                      <w:u w:val="none"/>
                      <w:lang w:val="en-US" w:eastAsia="zh-CN" w:bidi="ar"/>
                    </w:rPr>
                    <w:t>3.964</w:t>
                  </w:r>
                </w:p>
              </w:tc>
            </w:tr>
            <w:tr w14:paraId="4A89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45C117A5">
                  <w:pPr>
                    <w:pStyle w:val="60"/>
                    <w:rPr>
                      <w:b/>
                      <w:bCs/>
                      <w:color w:val="auto"/>
                      <w:sz w:val="18"/>
                      <w:szCs w:val="18"/>
                    </w:rPr>
                  </w:pPr>
                </w:p>
              </w:tc>
              <w:tc>
                <w:tcPr>
                  <w:tcW w:w="365" w:type="pct"/>
                  <w:vMerge w:val="continue"/>
                  <w:shd w:val="clear" w:color="auto" w:fill="auto"/>
                  <w:vAlign w:val="center"/>
                </w:tcPr>
                <w:p w14:paraId="2E2D292C">
                  <w:pPr>
                    <w:pStyle w:val="60"/>
                    <w:rPr>
                      <w:rFonts w:hint="eastAsia" w:ascii="Times New Roman" w:hAnsi="Times New Roman" w:eastAsia="宋体" w:cs="Times New Roman"/>
                      <w:b/>
                      <w:bCs/>
                      <w:color w:val="auto"/>
                      <w:kern w:val="2"/>
                      <w:sz w:val="18"/>
                      <w:szCs w:val="18"/>
                      <w:lang w:val="en-US" w:eastAsia="zh-CN" w:bidi="ar-SA"/>
                    </w:rPr>
                  </w:pPr>
                </w:p>
              </w:tc>
              <w:tc>
                <w:tcPr>
                  <w:tcW w:w="703" w:type="pct"/>
                  <w:shd w:val="clear" w:color="auto" w:fill="auto"/>
                  <w:vAlign w:val="center"/>
                </w:tcPr>
                <w:p w14:paraId="383E3E1A">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甲醇</w:t>
                  </w:r>
                </w:p>
              </w:tc>
              <w:tc>
                <w:tcPr>
                  <w:tcW w:w="620" w:type="pct"/>
                  <w:shd w:val="clear" w:color="auto" w:fill="auto"/>
                  <w:vAlign w:val="center"/>
                </w:tcPr>
                <w:p w14:paraId="0C21D016">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1.61</w:t>
                  </w:r>
                </w:p>
              </w:tc>
              <w:tc>
                <w:tcPr>
                  <w:tcW w:w="419" w:type="pct"/>
                  <w:vAlign w:val="center"/>
                </w:tcPr>
                <w:p w14:paraId="6CAA8E1D">
                  <w:pPr>
                    <w:pStyle w:val="60"/>
                    <w:rPr>
                      <w:rFonts w:hint="eastAsia" w:eastAsia="宋体"/>
                      <w:b/>
                      <w:bCs/>
                      <w:color w:val="auto"/>
                      <w:sz w:val="18"/>
                      <w:szCs w:val="18"/>
                      <w:lang w:val="en-US" w:eastAsia="zh-CN"/>
                    </w:rPr>
                  </w:pPr>
                  <w:r>
                    <w:rPr>
                      <w:rFonts w:hint="eastAsia"/>
                      <w:b/>
                      <w:bCs/>
                      <w:color w:val="auto"/>
                      <w:sz w:val="18"/>
                      <w:szCs w:val="18"/>
                      <w:lang w:val="en-US" w:eastAsia="zh-CN"/>
                    </w:rPr>
                    <w:t>/</w:t>
                  </w:r>
                </w:p>
              </w:tc>
              <w:tc>
                <w:tcPr>
                  <w:tcW w:w="2409" w:type="pct"/>
                  <w:gridSpan w:val="2"/>
                  <w:vAlign w:val="center"/>
                </w:tcPr>
                <w:p w14:paraId="406905DE">
                  <w:pPr>
                    <w:pStyle w:val="60"/>
                    <w:rPr>
                      <w:rFonts w:hint="eastAsia"/>
                      <w:color w:val="auto"/>
                      <w:sz w:val="18"/>
                      <w:szCs w:val="18"/>
                    </w:rPr>
                  </w:pPr>
                  <w:r>
                    <w:rPr>
                      <w:rFonts w:hint="default" w:ascii="Times New Roman" w:hAnsi="Times New Roman" w:eastAsia="宋体" w:cs="Times New Roman"/>
                      <w:b/>
                      <w:bCs/>
                      <w:i w:val="0"/>
                      <w:iCs w:val="0"/>
                      <w:color w:val="auto"/>
                      <w:kern w:val="0"/>
                      <w:sz w:val="18"/>
                      <w:szCs w:val="18"/>
                      <w:u w:val="none"/>
                      <w:lang w:val="en-US" w:eastAsia="zh-CN" w:bidi="ar"/>
                    </w:rPr>
                    <w:t>2.300</w:t>
                  </w:r>
                </w:p>
              </w:tc>
            </w:tr>
            <w:tr w14:paraId="45645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2AA03CD1">
                  <w:pPr>
                    <w:pStyle w:val="60"/>
                    <w:rPr>
                      <w:b/>
                      <w:bCs/>
                      <w:color w:val="auto"/>
                      <w:sz w:val="18"/>
                      <w:szCs w:val="18"/>
                    </w:rPr>
                  </w:pPr>
                </w:p>
              </w:tc>
              <w:tc>
                <w:tcPr>
                  <w:tcW w:w="365" w:type="pct"/>
                  <w:vMerge w:val="continue"/>
                  <w:shd w:val="clear" w:color="auto" w:fill="auto"/>
                  <w:vAlign w:val="center"/>
                </w:tcPr>
                <w:p w14:paraId="4787110B">
                  <w:pPr>
                    <w:pStyle w:val="60"/>
                    <w:rPr>
                      <w:rFonts w:hint="default" w:ascii="Times New Roman" w:hAnsi="Times New Roman" w:eastAsia="宋体" w:cs="Times New Roman"/>
                      <w:b/>
                      <w:bCs/>
                      <w:color w:val="auto"/>
                      <w:kern w:val="2"/>
                      <w:sz w:val="18"/>
                      <w:szCs w:val="18"/>
                      <w:lang w:val="en-US" w:eastAsia="zh-CN" w:bidi="ar-SA"/>
                    </w:rPr>
                  </w:pPr>
                </w:p>
              </w:tc>
              <w:tc>
                <w:tcPr>
                  <w:tcW w:w="703" w:type="pct"/>
                  <w:shd w:val="clear" w:color="auto" w:fill="auto"/>
                  <w:vAlign w:val="center"/>
                </w:tcPr>
                <w:p w14:paraId="71702F5F">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甲醛</w:t>
                  </w:r>
                </w:p>
              </w:tc>
              <w:tc>
                <w:tcPr>
                  <w:tcW w:w="620" w:type="pct"/>
                  <w:shd w:val="clear" w:color="auto" w:fill="auto"/>
                  <w:vAlign w:val="center"/>
                </w:tcPr>
                <w:p w14:paraId="69C9FA52">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0.22</w:t>
                  </w:r>
                </w:p>
              </w:tc>
              <w:tc>
                <w:tcPr>
                  <w:tcW w:w="419" w:type="pct"/>
                  <w:vAlign w:val="center"/>
                </w:tcPr>
                <w:p w14:paraId="25220CB2">
                  <w:pPr>
                    <w:pStyle w:val="60"/>
                    <w:rPr>
                      <w:rFonts w:hint="default" w:eastAsia="宋体"/>
                      <w:b/>
                      <w:bCs/>
                      <w:color w:val="auto"/>
                      <w:sz w:val="18"/>
                      <w:szCs w:val="18"/>
                      <w:lang w:val="en-US" w:eastAsia="zh-CN"/>
                    </w:rPr>
                  </w:pPr>
                  <w:r>
                    <w:rPr>
                      <w:rFonts w:hint="eastAsia"/>
                      <w:b/>
                      <w:bCs/>
                      <w:color w:val="auto"/>
                      <w:sz w:val="18"/>
                      <w:szCs w:val="18"/>
                      <w:lang w:val="en-US" w:eastAsia="zh-CN"/>
                    </w:rPr>
                    <w:t>/</w:t>
                  </w:r>
                </w:p>
              </w:tc>
              <w:tc>
                <w:tcPr>
                  <w:tcW w:w="2409" w:type="pct"/>
                  <w:gridSpan w:val="2"/>
                  <w:vAlign w:val="center"/>
                </w:tcPr>
                <w:p w14:paraId="1F0803ED">
                  <w:pPr>
                    <w:pStyle w:val="60"/>
                    <w:rPr>
                      <w:rFonts w:hint="eastAsia"/>
                      <w:color w:val="auto"/>
                      <w:sz w:val="18"/>
                      <w:szCs w:val="18"/>
                    </w:rPr>
                  </w:pPr>
                  <w:r>
                    <w:rPr>
                      <w:rFonts w:hint="default" w:ascii="Times New Roman" w:hAnsi="Times New Roman" w:eastAsia="宋体" w:cs="Times New Roman"/>
                      <w:b/>
                      <w:bCs/>
                      <w:i w:val="0"/>
                      <w:iCs w:val="0"/>
                      <w:color w:val="auto"/>
                      <w:kern w:val="0"/>
                      <w:sz w:val="18"/>
                      <w:szCs w:val="18"/>
                      <w:u w:val="none"/>
                      <w:lang w:val="en-US" w:eastAsia="zh-CN" w:bidi="ar"/>
                    </w:rPr>
                    <w:t>0.314</w:t>
                  </w:r>
                </w:p>
              </w:tc>
            </w:tr>
            <w:tr w14:paraId="15E46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2" w:type="pct"/>
                  <w:vMerge w:val="continue"/>
                  <w:vAlign w:val="center"/>
                </w:tcPr>
                <w:p w14:paraId="5D134AEA">
                  <w:pPr>
                    <w:pStyle w:val="60"/>
                    <w:rPr>
                      <w:b/>
                      <w:bCs/>
                      <w:color w:val="auto"/>
                      <w:sz w:val="18"/>
                      <w:szCs w:val="18"/>
                    </w:rPr>
                  </w:pPr>
                </w:p>
              </w:tc>
              <w:tc>
                <w:tcPr>
                  <w:tcW w:w="1068" w:type="pct"/>
                  <w:gridSpan w:val="2"/>
                  <w:shd w:val="clear" w:color="auto" w:fill="auto"/>
                  <w:vAlign w:val="center"/>
                </w:tcPr>
                <w:p w14:paraId="306EDD19">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NOx</w:t>
                  </w:r>
                </w:p>
              </w:tc>
              <w:tc>
                <w:tcPr>
                  <w:tcW w:w="620" w:type="pct"/>
                  <w:shd w:val="clear" w:color="auto" w:fill="auto"/>
                  <w:vAlign w:val="center"/>
                </w:tcPr>
                <w:p w14:paraId="2A65D5AD">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b/>
                      <w:bCs/>
                      <w:i w:val="0"/>
                      <w:iCs w:val="0"/>
                      <w:color w:val="auto"/>
                      <w:kern w:val="0"/>
                      <w:sz w:val="18"/>
                      <w:szCs w:val="18"/>
                      <w:u w:val="none"/>
                      <w:lang w:val="en-US" w:eastAsia="zh-CN" w:bidi="ar"/>
                    </w:rPr>
                    <w:t>0.337</w:t>
                  </w:r>
                </w:p>
              </w:tc>
              <w:tc>
                <w:tcPr>
                  <w:tcW w:w="419" w:type="pct"/>
                  <w:shd w:val="clear" w:color="auto" w:fill="auto"/>
                  <w:vAlign w:val="center"/>
                </w:tcPr>
                <w:p w14:paraId="0584739C">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b/>
                      <w:bCs/>
                      <w:i w:val="0"/>
                      <w:iCs w:val="0"/>
                      <w:color w:val="auto"/>
                      <w:kern w:val="0"/>
                      <w:sz w:val="18"/>
                      <w:szCs w:val="18"/>
                      <w:u w:val="none"/>
                      <w:lang w:val="en-US" w:eastAsia="zh-CN" w:bidi="ar"/>
                    </w:rPr>
                    <w:t>/</w:t>
                  </w:r>
                </w:p>
              </w:tc>
              <w:tc>
                <w:tcPr>
                  <w:tcW w:w="2409" w:type="pct"/>
                  <w:gridSpan w:val="2"/>
                  <w:shd w:val="clear" w:color="auto" w:fill="auto"/>
                  <w:vAlign w:val="center"/>
                </w:tcPr>
                <w:p w14:paraId="0825983F">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0.481</w:t>
                  </w:r>
                </w:p>
              </w:tc>
            </w:tr>
            <w:tr w14:paraId="7717B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000" w:type="pct"/>
                  <w:gridSpan w:val="7"/>
                  <w:vAlign w:val="center"/>
                </w:tcPr>
                <w:p w14:paraId="724D78AB">
                  <w:pPr>
                    <w:keepNext w:val="0"/>
                    <w:keepLines w:val="0"/>
                    <w:widowControl/>
                    <w:suppressLineNumbers w:val="0"/>
                    <w:jc w:val="both"/>
                    <w:textAlignment w:val="center"/>
                    <w:rPr>
                      <w:rFonts w:hint="default" w:cs="Times New Roman"/>
                      <w:b w:val="0"/>
                      <w:bCs w:val="0"/>
                      <w:i w:val="0"/>
                      <w:iCs w:val="0"/>
                      <w:color w:val="auto"/>
                      <w:kern w:val="0"/>
                      <w:sz w:val="18"/>
                      <w:szCs w:val="18"/>
                      <w:u w:val="none"/>
                      <w:lang w:val="en-US" w:eastAsia="zh-CN" w:bidi="ar"/>
                    </w:rPr>
                  </w:pPr>
                  <w:r>
                    <w:rPr>
                      <w:rFonts w:hint="eastAsia" w:cs="Times New Roman"/>
                      <w:b w:val="0"/>
                      <w:bCs w:val="0"/>
                      <w:i w:val="0"/>
                      <w:iCs w:val="0"/>
                      <w:color w:val="auto"/>
                      <w:kern w:val="0"/>
                      <w:sz w:val="18"/>
                      <w:szCs w:val="18"/>
                      <w:u w:val="none"/>
                      <w:lang w:val="en-US" w:eastAsia="zh-CN" w:bidi="ar"/>
                    </w:rPr>
                    <w:t>备注：由于非甲烷总烃的检测方法中不包含甲醇、甲醛，故现有项目全厂有组织废气排放量为非甲烷总烃、甲醇、甲醛的合计排放量。</w:t>
                  </w:r>
                </w:p>
              </w:tc>
            </w:tr>
          </w:tbl>
          <w:p w14:paraId="09EBE73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b/>
                <w:bCs w:val="0"/>
                <w:color w:val="auto"/>
                <w:szCs w:val="21"/>
                <w:highlight w:val="yellow"/>
                <w:lang w:val="en-US" w:eastAsia="zh-CN"/>
              </w:rPr>
            </w:pPr>
            <w:r>
              <w:rPr>
                <w:rFonts w:hint="eastAsia"/>
                <w:b w:val="0"/>
                <w:bCs/>
                <w:color w:val="auto"/>
                <w:szCs w:val="21"/>
                <w:highlight w:val="none"/>
                <w:lang w:val="en-US" w:eastAsia="zh-CN"/>
              </w:rPr>
              <w:t>为方便后续“三本账”计算，本次环评对现有储罐呼吸废气及灌装废气排放量进行理论核算，具体如下：</w:t>
            </w:r>
          </w:p>
          <w:p w14:paraId="1FEED5D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b w:val="0"/>
                <w:bCs/>
                <w:color w:val="auto"/>
                <w:szCs w:val="21"/>
                <w:lang w:val="en-US" w:eastAsia="zh-CN"/>
              </w:rPr>
            </w:pPr>
            <w:r>
              <w:rPr>
                <w:rFonts w:hint="eastAsia"/>
                <w:b w:val="0"/>
                <w:bCs/>
                <w:color w:val="auto"/>
                <w:szCs w:val="21"/>
                <w:lang w:val="en-US" w:eastAsia="zh-CN"/>
              </w:rPr>
              <w:t>①甲醇原料罐</w:t>
            </w:r>
          </w:p>
          <w:p w14:paraId="6FF0999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b w:val="0"/>
                <w:bCs/>
                <w:color w:val="auto"/>
                <w:szCs w:val="21"/>
                <w:lang w:val="en-US" w:eastAsia="zh-CN"/>
              </w:rPr>
            </w:pPr>
            <w:r>
              <w:rPr>
                <w:rFonts w:hint="eastAsia"/>
                <w:b w:val="0"/>
                <w:bCs/>
                <w:color w:val="auto"/>
                <w:szCs w:val="21"/>
                <w:lang w:val="en-US" w:eastAsia="zh-CN"/>
              </w:rPr>
              <w:t>现有甲醇原料罐为固定顶储罐，</w:t>
            </w:r>
            <w:r>
              <w:rPr>
                <w:rFonts w:hint="eastAsia"/>
                <w:color w:val="auto"/>
              </w:rPr>
              <w:t>固定顶储罐“呼吸”废气的核算采用《石化行业</w:t>
            </w:r>
            <w:r>
              <w:rPr>
                <w:color w:val="auto"/>
              </w:rPr>
              <w:t>VOC</w:t>
            </w:r>
            <w:r>
              <w:rPr>
                <w:color w:val="auto"/>
                <w:vertAlign w:val="subscript"/>
              </w:rPr>
              <w:t>S</w:t>
            </w:r>
            <w:r>
              <w:rPr>
                <w:rFonts w:hint="eastAsia"/>
                <w:color w:val="auto"/>
              </w:rPr>
              <w:t>污染源排查工作指南》中“固定顶罐总损耗”计算方法进行计算</w:t>
            </w:r>
            <w:r>
              <w:rPr>
                <w:rFonts w:hint="eastAsia"/>
                <w:color w:val="auto"/>
                <w:lang w:eastAsia="zh-CN"/>
              </w:rPr>
              <w:t>，</w:t>
            </w:r>
            <w:r>
              <w:rPr>
                <w:rFonts w:hint="eastAsia"/>
                <w:color w:val="auto"/>
                <w:lang w:val="en-US" w:eastAsia="zh-CN"/>
              </w:rPr>
              <w:t>具体公式详见“运营期环境影响和保护措施-有组织废气”。计算结果如下：</w:t>
            </w:r>
          </w:p>
          <w:p w14:paraId="36AFAB3C">
            <w:pPr>
              <w:spacing w:before="120" w:beforeLines="50"/>
              <w:jc w:val="center"/>
              <w:rPr>
                <w:b/>
                <w:bCs/>
                <w:color w:val="auto"/>
              </w:rPr>
            </w:pPr>
          </w:p>
          <w:p w14:paraId="01E4FC10">
            <w:pPr>
              <w:spacing w:before="120" w:beforeLines="50"/>
              <w:jc w:val="center"/>
              <w:rPr>
                <w:b/>
                <w:bCs/>
                <w:color w:val="auto"/>
              </w:rPr>
            </w:pPr>
          </w:p>
          <w:p w14:paraId="1936DB8A">
            <w:pPr>
              <w:spacing w:before="120" w:beforeLines="50"/>
              <w:jc w:val="center"/>
              <w:rPr>
                <w:b/>
                <w:bCs/>
                <w:color w:val="auto"/>
              </w:rPr>
            </w:pPr>
          </w:p>
          <w:p w14:paraId="263DD447">
            <w:pPr>
              <w:spacing w:before="120" w:beforeLines="50"/>
              <w:jc w:val="center"/>
              <w:rPr>
                <w:b/>
                <w:bCs/>
                <w:color w:val="auto"/>
              </w:rPr>
            </w:pPr>
            <w:r>
              <w:rPr>
                <w:b/>
                <w:bCs/>
                <w:color w:val="auto"/>
              </w:rPr>
              <w:t>表</w:t>
            </w:r>
            <w:r>
              <w:rPr>
                <w:rFonts w:hint="eastAsia"/>
                <w:b/>
                <w:bCs/>
                <w:color w:val="auto"/>
                <w:lang w:val="en-US" w:eastAsia="zh-CN"/>
              </w:rPr>
              <w:t>2-16a</w:t>
            </w:r>
            <w:r>
              <w:rPr>
                <w:b/>
                <w:bCs/>
                <w:color w:val="auto"/>
              </w:rPr>
              <w:t xml:space="preserve">  </w:t>
            </w:r>
            <w:r>
              <w:rPr>
                <w:rFonts w:hint="eastAsia"/>
                <w:b/>
                <w:bCs/>
                <w:color w:val="auto"/>
                <w:lang w:val="en-US" w:eastAsia="zh-CN"/>
              </w:rPr>
              <w:t>现有甲醇原料罐</w:t>
            </w:r>
            <w:r>
              <w:rPr>
                <w:rFonts w:hint="eastAsia"/>
                <w:b/>
                <w:bCs/>
                <w:color w:val="auto"/>
              </w:rPr>
              <w:t>呼吸</w:t>
            </w:r>
            <w:r>
              <w:rPr>
                <w:b/>
                <w:bCs/>
                <w:color w:val="auto"/>
              </w:rPr>
              <w:t>废气产生情况计算表</w:t>
            </w:r>
          </w:p>
          <w:tbl>
            <w:tblPr>
              <w:tblStyle w:val="22"/>
              <w:tblW w:w="854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40"/>
              <w:gridCol w:w="335"/>
              <w:gridCol w:w="420"/>
              <w:gridCol w:w="465"/>
              <w:gridCol w:w="435"/>
              <w:gridCol w:w="450"/>
              <w:gridCol w:w="465"/>
              <w:gridCol w:w="450"/>
              <w:gridCol w:w="600"/>
              <w:gridCol w:w="375"/>
              <w:gridCol w:w="389"/>
              <w:gridCol w:w="330"/>
              <w:gridCol w:w="412"/>
              <w:gridCol w:w="413"/>
              <w:gridCol w:w="286"/>
              <w:gridCol w:w="390"/>
              <w:gridCol w:w="555"/>
              <w:gridCol w:w="423"/>
              <w:gridCol w:w="552"/>
              <w:gridCol w:w="555"/>
            </w:tblGrid>
            <w:tr w14:paraId="733E0E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restart"/>
                  <w:vAlign w:val="center"/>
                </w:tcPr>
                <w:p w14:paraId="5CDCC9DB">
                  <w:pPr>
                    <w:pStyle w:val="60"/>
                    <w:rPr>
                      <w:color w:val="auto"/>
                      <w:sz w:val="18"/>
                      <w:szCs w:val="18"/>
                    </w:rPr>
                  </w:pPr>
                  <w:r>
                    <w:rPr>
                      <w:color w:val="auto"/>
                      <w:sz w:val="18"/>
                      <w:szCs w:val="18"/>
                    </w:rPr>
                    <w:t>物料</w:t>
                  </w:r>
                </w:p>
                <w:p w14:paraId="2809D07D">
                  <w:pPr>
                    <w:pStyle w:val="60"/>
                    <w:rPr>
                      <w:color w:val="auto"/>
                      <w:sz w:val="18"/>
                      <w:szCs w:val="18"/>
                    </w:rPr>
                  </w:pPr>
                  <w:r>
                    <w:rPr>
                      <w:color w:val="auto"/>
                      <w:sz w:val="18"/>
                      <w:szCs w:val="18"/>
                    </w:rPr>
                    <w:t>名称</w:t>
                  </w:r>
                </w:p>
              </w:tc>
              <w:tc>
                <w:tcPr>
                  <w:tcW w:w="335" w:type="dxa"/>
                  <w:vMerge w:val="restart"/>
                  <w:vAlign w:val="center"/>
                </w:tcPr>
                <w:p w14:paraId="4C7EC75F">
                  <w:pPr>
                    <w:pStyle w:val="60"/>
                    <w:rPr>
                      <w:color w:val="auto"/>
                      <w:sz w:val="18"/>
                      <w:szCs w:val="18"/>
                    </w:rPr>
                  </w:pPr>
                  <w:r>
                    <w:rPr>
                      <w:rFonts w:hint="eastAsia"/>
                      <w:color w:val="auto"/>
                      <w:sz w:val="18"/>
                      <w:szCs w:val="18"/>
                    </w:rPr>
                    <w:t>储罐数量/座</w:t>
                  </w:r>
                </w:p>
              </w:tc>
              <w:tc>
                <w:tcPr>
                  <w:tcW w:w="1320" w:type="dxa"/>
                  <w:gridSpan w:val="3"/>
                  <w:vAlign w:val="center"/>
                </w:tcPr>
                <w:p w14:paraId="36B3555D">
                  <w:pPr>
                    <w:pStyle w:val="60"/>
                    <w:rPr>
                      <w:color w:val="auto"/>
                      <w:sz w:val="18"/>
                      <w:szCs w:val="18"/>
                    </w:rPr>
                  </w:pPr>
                  <w:r>
                    <w:rPr>
                      <w:color w:val="auto"/>
                      <w:sz w:val="18"/>
                      <w:szCs w:val="18"/>
                    </w:rPr>
                    <w:t>理化参数</w:t>
                  </w:r>
                </w:p>
              </w:tc>
              <w:tc>
                <w:tcPr>
                  <w:tcW w:w="1965" w:type="dxa"/>
                  <w:gridSpan w:val="4"/>
                  <w:vAlign w:val="center"/>
                </w:tcPr>
                <w:p w14:paraId="18DEA010">
                  <w:pPr>
                    <w:pStyle w:val="60"/>
                    <w:rPr>
                      <w:color w:val="auto"/>
                      <w:sz w:val="18"/>
                      <w:szCs w:val="18"/>
                    </w:rPr>
                  </w:pPr>
                  <w:r>
                    <w:rPr>
                      <w:color w:val="auto"/>
                      <w:sz w:val="18"/>
                      <w:szCs w:val="18"/>
                    </w:rPr>
                    <w:t>气象参数</w:t>
                  </w:r>
                </w:p>
              </w:tc>
              <w:tc>
                <w:tcPr>
                  <w:tcW w:w="2595" w:type="dxa"/>
                  <w:gridSpan w:val="7"/>
                  <w:vAlign w:val="center"/>
                </w:tcPr>
                <w:p w14:paraId="2FAF4008">
                  <w:pPr>
                    <w:pStyle w:val="60"/>
                    <w:rPr>
                      <w:color w:val="auto"/>
                      <w:sz w:val="18"/>
                      <w:szCs w:val="18"/>
                    </w:rPr>
                  </w:pPr>
                  <w:r>
                    <w:rPr>
                      <w:color w:val="auto"/>
                      <w:sz w:val="18"/>
                      <w:szCs w:val="18"/>
                    </w:rPr>
                    <w:t>储罐构造参数</w:t>
                  </w:r>
                </w:p>
              </w:tc>
              <w:tc>
                <w:tcPr>
                  <w:tcW w:w="555" w:type="dxa"/>
                  <w:vMerge w:val="restart"/>
                  <w:vAlign w:val="center"/>
                </w:tcPr>
                <w:p w14:paraId="713851EA">
                  <w:pPr>
                    <w:pStyle w:val="60"/>
                    <w:rPr>
                      <w:b/>
                      <w:bCs/>
                      <w:color w:val="auto"/>
                      <w:sz w:val="18"/>
                      <w:szCs w:val="18"/>
                    </w:rPr>
                  </w:pPr>
                  <w:r>
                    <w:rPr>
                      <w:b/>
                      <w:bCs/>
                      <w:color w:val="auto"/>
                      <w:sz w:val="18"/>
                      <w:szCs w:val="18"/>
                    </w:rPr>
                    <w:t>静置</w:t>
                  </w:r>
                </w:p>
                <w:p w14:paraId="18AB6423">
                  <w:pPr>
                    <w:pStyle w:val="60"/>
                    <w:rPr>
                      <w:b/>
                      <w:bCs/>
                      <w:color w:val="auto"/>
                      <w:sz w:val="18"/>
                      <w:szCs w:val="18"/>
                    </w:rPr>
                  </w:pPr>
                  <w:r>
                    <w:rPr>
                      <w:b/>
                      <w:bCs/>
                      <w:color w:val="auto"/>
                      <w:sz w:val="18"/>
                      <w:szCs w:val="18"/>
                    </w:rPr>
                    <w:t>损失</w:t>
                  </w:r>
                </w:p>
                <w:p w14:paraId="022D5C60">
                  <w:pPr>
                    <w:pStyle w:val="60"/>
                    <w:rPr>
                      <w:b/>
                      <w:bCs/>
                      <w:color w:val="auto"/>
                      <w:sz w:val="18"/>
                      <w:szCs w:val="18"/>
                    </w:rPr>
                  </w:pPr>
                  <w:r>
                    <w:rPr>
                      <w:b/>
                      <w:bCs/>
                      <w:color w:val="auto"/>
                      <w:sz w:val="18"/>
                      <w:szCs w:val="18"/>
                    </w:rPr>
                    <w:t>(t/a)</w:t>
                  </w:r>
                </w:p>
              </w:tc>
              <w:tc>
                <w:tcPr>
                  <w:tcW w:w="423" w:type="dxa"/>
                  <w:vMerge w:val="restart"/>
                  <w:vAlign w:val="center"/>
                </w:tcPr>
                <w:p w14:paraId="213D7132">
                  <w:pPr>
                    <w:pStyle w:val="60"/>
                    <w:rPr>
                      <w:color w:val="auto"/>
                      <w:sz w:val="18"/>
                      <w:szCs w:val="18"/>
                    </w:rPr>
                  </w:pPr>
                  <w:r>
                    <w:rPr>
                      <w:color w:val="auto"/>
                      <w:sz w:val="18"/>
                      <w:szCs w:val="18"/>
                    </w:rPr>
                    <w:t>年周转量</w:t>
                  </w:r>
                  <w:r>
                    <w:rPr>
                      <w:rFonts w:hint="eastAsia"/>
                      <w:color w:val="auto"/>
                      <w:sz w:val="18"/>
                      <w:szCs w:val="18"/>
                    </w:rPr>
                    <w:t>/万t</w:t>
                  </w:r>
                </w:p>
              </w:tc>
              <w:tc>
                <w:tcPr>
                  <w:tcW w:w="552" w:type="dxa"/>
                  <w:vMerge w:val="restart"/>
                  <w:vAlign w:val="center"/>
                </w:tcPr>
                <w:p w14:paraId="4D2C45FC">
                  <w:pPr>
                    <w:pStyle w:val="60"/>
                    <w:rPr>
                      <w:b/>
                      <w:bCs/>
                      <w:color w:val="auto"/>
                      <w:sz w:val="18"/>
                      <w:szCs w:val="18"/>
                    </w:rPr>
                  </w:pPr>
                  <w:r>
                    <w:rPr>
                      <w:b/>
                      <w:bCs/>
                      <w:color w:val="auto"/>
                      <w:sz w:val="18"/>
                      <w:szCs w:val="18"/>
                    </w:rPr>
                    <w:t>工作</w:t>
                  </w:r>
                </w:p>
                <w:p w14:paraId="3685B594">
                  <w:pPr>
                    <w:pStyle w:val="60"/>
                    <w:rPr>
                      <w:b/>
                      <w:bCs/>
                      <w:color w:val="auto"/>
                      <w:sz w:val="18"/>
                      <w:szCs w:val="18"/>
                    </w:rPr>
                  </w:pPr>
                  <w:r>
                    <w:rPr>
                      <w:b/>
                      <w:bCs/>
                      <w:color w:val="auto"/>
                      <w:sz w:val="18"/>
                      <w:szCs w:val="18"/>
                    </w:rPr>
                    <w:t>损失</w:t>
                  </w:r>
                </w:p>
                <w:p w14:paraId="4293D139">
                  <w:pPr>
                    <w:pStyle w:val="60"/>
                    <w:rPr>
                      <w:b/>
                      <w:bCs/>
                      <w:color w:val="auto"/>
                      <w:sz w:val="18"/>
                      <w:szCs w:val="18"/>
                    </w:rPr>
                  </w:pPr>
                  <w:r>
                    <w:rPr>
                      <w:b/>
                      <w:bCs/>
                      <w:color w:val="auto"/>
                      <w:sz w:val="18"/>
                      <w:szCs w:val="18"/>
                    </w:rPr>
                    <w:t>(t/a)</w:t>
                  </w:r>
                </w:p>
              </w:tc>
              <w:tc>
                <w:tcPr>
                  <w:tcW w:w="555" w:type="dxa"/>
                  <w:vMerge w:val="restart"/>
                  <w:vAlign w:val="center"/>
                </w:tcPr>
                <w:p w14:paraId="3BCE451C">
                  <w:pPr>
                    <w:pStyle w:val="60"/>
                    <w:rPr>
                      <w:b/>
                      <w:bCs/>
                      <w:color w:val="auto"/>
                      <w:sz w:val="18"/>
                      <w:szCs w:val="18"/>
                    </w:rPr>
                  </w:pPr>
                  <w:r>
                    <w:rPr>
                      <w:b/>
                      <w:bCs/>
                      <w:color w:val="auto"/>
                      <w:sz w:val="18"/>
                      <w:szCs w:val="18"/>
                    </w:rPr>
                    <w:t>合计(t/a)</w:t>
                  </w:r>
                </w:p>
              </w:tc>
            </w:tr>
            <w:tr w14:paraId="74C74C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continue"/>
                  <w:vAlign w:val="center"/>
                </w:tcPr>
                <w:p w14:paraId="1AD7756B">
                  <w:pPr>
                    <w:pStyle w:val="60"/>
                    <w:rPr>
                      <w:color w:val="auto"/>
                      <w:sz w:val="18"/>
                      <w:szCs w:val="18"/>
                    </w:rPr>
                  </w:pPr>
                </w:p>
              </w:tc>
              <w:tc>
                <w:tcPr>
                  <w:tcW w:w="335" w:type="dxa"/>
                  <w:vMerge w:val="continue"/>
                  <w:vAlign w:val="center"/>
                </w:tcPr>
                <w:p w14:paraId="53D231C0">
                  <w:pPr>
                    <w:pStyle w:val="60"/>
                    <w:rPr>
                      <w:color w:val="auto"/>
                      <w:sz w:val="18"/>
                      <w:szCs w:val="18"/>
                    </w:rPr>
                  </w:pPr>
                </w:p>
              </w:tc>
              <w:tc>
                <w:tcPr>
                  <w:tcW w:w="420" w:type="dxa"/>
                  <w:vAlign w:val="center"/>
                </w:tcPr>
                <w:p w14:paraId="41CB6E9D">
                  <w:pPr>
                    <w:pStyle w:val="60"/>
                    <w:rPr>
                      <w:color w:val="auto"/>
                      <w:sz w:val="18"/>
                      <w:szCs w:val="18"/>
                    </w:rPr>
                  </w:pPr>
                  <w:r>
                    <w:rPr>
                      <w:color w:val="auto"/>
                      <w:sz w:val="18"/>
                      <w:szCs w:val="18"/>
                    </w:rPr>
                    <w:t>密度t/m</w:t>
                  </w:r>
                  <w:r>
                    <w:rPr>
                      <w:color w:val="auto"/>
                      <w:sz w:val="18"/>
                      <w:szCs w:val="18"/>
                      <w:vertAlign w:val="superscript"/>
                    </w:rPr>
                    <w:t>3</w:t>
                  </w:r>
                </w:p>
              </w:tc>
              <w:tc>
                <w:tcPr>
                  <w:tcW w:w="465" w:type="dxa"/>
                  <w:vAlign w:val="center"/>
                </w:tcPr>
                <w:p w14:paraId="345F4B09">
                  <w:pPr>
                    <w:pStyle w:val="60"/>
                    <w:rPr>
                      <w:color w:val="auto"/>
                      <w:sz w:val="18"/>
                      <w:szCs w:val="18"/>
                    </w:rPr>
                  </w:pPr>
                  <w:r>
                    <w:rPr>
                      <w:color w:val="auto"/>
                      <w:sz w:val="18"/>
                      <w:szCs w:val="18"/>
                    </w:rPr>
                    <w:t>摩尔质量(g/g-mol)</w:t>
                  </w:r>
                </w:p>
              </w:tc>
              <w:tc>
                <w:tcPr>
                  <w:tcW w:w="435" w:type="dxa"/>
                  <w:vAlign w:val="center"/>
                </w:tcPr>
                <w:p w14:paraId="46CE757B">
                  <w:pPr>
                    <w:pStyle w:val="60"/>
                    <w:rPr>
                      <w:color w:val="auto"/>
                      <w:sz w:val="18"/>
                      <w:szCs w:val="18"/>
                    </w:rPr>
                  </w:pPr>
                  <w:r>
                    <w:rPr>
                      <w:color w:val="auto"/>
                      <w:sz w:val="18"/>
                      <w:szCs w:val="18"/>
                    </w:rPr>
                    <w:t>真实蒸汽压(kpa)</w:t>
                  </w:r>
                </w:p>
              </w:tc>
              <w:tc>
                <w:tcPr>
                  <w:tcW w:w="450" w:type="dxa"/>
                  <w:vAlign w:val="center"/>
                </w:tcPr>
                <w:p w14:paraId="797DC805">
                  <w:pPr>
                    <w:pStyle w:val="60"/>
                    <w:rPr>
                      <w:color w:val="auto"/>
                      <w:sz w:val="18"/>
                      <w:szCs w:val="18"/>
                    </w:rPr>
                  </w:pPr>
                  <w:r>
                    <w:rPr>
                      <w:color w:val="auto"/>
                      <w:sz w:val="18"/>
                      <w:szCs w:val="18"/>
                    </w:rPr>
                    <w:t>大气压(kPa)</w:t>
                  </w:r>
                </w:p>
              </w:tc>
              <w:tc>
                <w:tcPr>
                  <w:tcW w:w="465" w:type="dxa"/>
                  <w:vAlign w:val="center"/>
                </w:tcPr>
                <w:p w14:paraId="696F6DF0">
                  <w:pPr>
                    <w:pStyle w:val="60"/>
                    <w:rPr>
                      <w:color w:val="auto"/>
                      <w:sz w:val="18"/>
                      <w:szCs w:val="18"/>
                    </w:rPr>
                  </w:pPr>
                  <w:r>
                    <w:rPr>
                      <w:color w:val="auto"/>
                      <w:sz w:val="18"/>
                      <w:szCs w:val="18"/>
                    </w:rPr>
                    <w:t>日平均最高环境温度(℃)</w:t>
                  </w:r>
                </w:p>
              </w:tc>
              <w:tc>
                <w:tcPr>
                  <w:tcW w:w="450" w:type="dxa"/>
                  <w:vAlign w:val="center"/>
                </w:tcPr>
                <w:p w14:paraId="72D96F6B">
                  <w:pPr>
                    <w:pStyle w:val="60"/>
                    <w:rPr>
                      <w:color w:val="auto"/>
                      <w:sz w:val="18"/>
                      <w:szCs w:val="18"/>
                    </w:rPr>
                  </w:pPr>
                  <w:r>
                    <w:rPr>
                      <w:color w:val="auto"/>
                      <w:sz w:val="18"/>
                      <w:szCs w:val="18"/>
                    </w:rPr>
                    <w:t>日平均最低环境温度(℃)</w:t>
                  </w:r>
                </w:p>
              </w:tc>
              <w:tc>
                <w:tcPr>
                  <w:tcW w:w="600" w:type="dxa"/>
                  <w:vAlign w:val="center"/>
                </w:tcPr>
                <w:p w14:paraId="1A9456E8">
                  <w:pPr>
                    <w:pStyle w:val="60"/>
                    <w:rPr>
                      <w:color w:val="auto"/>
                      <w:sz w:val="18"/>
                      <w:szCs w:val="18"/>
                    </w:rPr>
                  </w:pPr>
                  <w:r>
                    <w:rPr>
                      <w:color w:val="auto"/>
                      <w:sz w:val="18"/>
                      <w:szCs w:val="18"/>
                    </w:rPr>
                    <w:t>水平面太阳能总辐射(Btu/ft</w:t>
                  </w:r>
                  <w:r>
                    <w:rPr>
                      <w:color w:val="auto"/>
                      <w:sz w:val="18"/>
                      <w:szCs w:val="18"/>
                      <w:vertAlign w:val="superscript"/>
                    </w:rPr>
                    <w:t>2</w:t>
                  </w:r>
                  <w:r>
                    <w:rPr>
                      <w:color w:val="auto"/>
                      <w:sz w:val="18"/>
                      <w:szCs w:val="18"/>
                    </w:rPr>
                    <w:t>.day)</w:t>
                  </w:r>
                </w:p>
              </w:tc>
              <w:tc>
                <w:tcPr>
                  <w:tcW w:w="375" w:type="dxa"/>
                  <w:vAlign w:val="center"/>
                </w:tcPr>
                <w:p w14:paraId="47D6BFA6">
                  <w:pPr>
                    <w:pStyle w:val="60"/>
                    <w:rPr>
                      <w:color w:val="auto"/>
                      <w:sz w:val="18"/>
                      <w:szCs w:val="18"/>
                    </w:rPr>
                  </w:pPr>
                  <w:r>
                    <w:rPr>
                      <w:color w:val="auto"/>
                      <w:sz w:val="18"/>
                      <w:szCs w:val="18"/>
                    </w:rPr>
                    <w:t>容积(m</w:t>
                  </w:r>
                  <w:r>
                    <w:rPr>
                      <w:color w:val="auto"/>
                      <w:sz w:val="18"/>
                      <w:szCs w:val="18"/>
                      <w:vertAlign w:val="superscript"/>
                    </w:rPr>
                    <w:t>3</w:t>
                  </w:r>
                  <w:r>
                    <w:rPr>
                      <w:color w:val="auto"/>
                      <w:sz w:val="18"/>
                      <w:szCs w:val="18"/>
                    </w:rPr>
                    <w:t>)</w:t>
                  </w:r>
                </w:p>
              </w:tc>
              <w:tc>
                <w:tcPr>
                  <w:tcW w:w="389" w:type="dxa"/>
                  <w:vAlign w:val="center"/>
                </w:tcPr>
                <w:p w14:paraId="14831415">
                  <w:pPr>
                    <w:pStyle w:val="60"/>
                    <w:rPr>
                      <w:color w:val="auto"/>
                      <w:sz w:val="18"/>
                      <w:szCs w:val="18"/>
                    </w:rPr>
                  </w:pPr>
                  <w:r>
                    <w:rPr>
                      <w:color w:val="auto"/>
                      <w:sz w:val="18"/>
                      <w:szCs w:val="18"/>
                    </w:rPr>
                    <w:t>直径(m)</w:t>
                  </w:r>
                </w:p>
              </w:tc>
              <w:tc>
                <w:tcPr>
                  <w:tcW w:w="330" w:type="dxa"/>
                  <w:vAlign w:val="center"/>
                </w:tcPr>
                <w:p w14:paraId="03A615C4">
                  <w:pPr>
                    <w:pStyle w:val="60"/>
                    <w:rPr>
                      <w:color w:val="auto"/>
                      <w:sz w:val="18"/>
                      <w:szCs w:val="18"/>
                    </w:rPr>
                  </w:pPr>
                  <w:r>
                    <w:rPr>
                      <w:color w:val="auto"/>
                      <w:sz w:val="18"/>
                      <w:szCs w:val="18"/>
                    </w:rPr>
                    <w:t>罐壁/顶颜色</w:t>
                  </w:r>
                </w:p>
              </w:tc>
              <w:tc>
                <w:tcPr>
                  <w:tcW w:w="412" w:type="dxa"/>
                  <w:vAlign w:val="center"/>
                </w:tcPr>
                <w:p w14:paraId="159DB328">
                  <w:pPr>
                    <w:pStyle w:val="60"/>
                    <w:rPr>
                      <w:color w:val="auto"/>
                      <w:sz w:val="18"/>
                      <w:szCs w:val="18"/>
                    </w:rPr>
                  </w:pPr>
                  <w:r>
                    <w:rPr>
                      <w:color w:val="auto"/>
                      <w:sz w:val="18"/>
                      <w:szCs w:val="18"/>
                    </w:rPr>
                    <w:t>呼吸阀压力设定</w:t>
                  </w:r>
                  <w:r>
                    <w:rPr>
                      <w:color w:val="auto"/>
                      <w:sz w:val="18"/>
                      <w:szCs w:val="18"/>
                      <w:vertAlign w:val="subscript"/>
                    </w:rPr>
                    <w:t xml:space="preserve"> </w:t>
                  </w:r>
                  <w:r>
                    <w:rPr>
                      <w:color w:val="auto"/>
                      <w:sz w:val="18"/>
                      <w:szCs w:val="18"/>
                    </w:rPr>
                    <w:t>(pa)</w:t>
                  </w:r>
                </w:p>
              </w:tc>
              <w:tc>
                <w:tcPr>
                  <w:tcW w:w="413" w:type="dxa"/>
                  <w:vAlign w:val="center"/>
                </w:tcPr>
                <w:p w14:paraId="5DEECCC9">
                  <w:pPr>
                    <w:pStyle w:val="60"/>
                    <w:rPr>
                      <w:color w:val="auto"/>
                      <w:sz w:val="18"/>
                      <w:szCs w:val="18"/>
                    </w:rPr>
                  </w:pPr>
                  <w:r>
                    <w:rPr>
                      <w:color w:val="auto"/>
                      <w:sz w:val="18"/>
                      <w:szCs w:val="18"/>
                    </w:rPr>
                    <w:t>呼吸阀真空设定(pa)</w:t>
                  </w:r>
                </w:p>
              </w:tc>
              <w:tc>
                <w:tcPr>
                  <w:tcW w:w="286" w:type="dxa"/>
                  <w:vAlign w:val="center"/>
                </w:tcPr>
                <w:p w14:paraId="2D333142">
                  <w:pPr>
                    <w:pStyle w:val="60"/>
                    <w:rPr>
                      <w:color w:val="auto"/>
                      <w:sz w:val="18"/>
                      <w:szCs w:val="18"/>
                    </w:rPr>
                  </w:pPr>
                  <w:r>
                    <w:rPr>
                      <w:color w:val="auto"/>
                      <w:sz w:val="18"/>
                      <w:szCs w:val="18"/>
                    </w:rPr>
                    <w:t>罐体高度(m)</w:t>
                  </w:r>
                </w:p>
              </w:tc>
              <w:tc>
                <w:tcPr>
                  <w:tcW w:w="390" w:type="dxa"/>
                  <w:vAlign w:val="center"/>
                </w:tcPr>
                <w:p w14:paraId="1FF57C95">
                  <w:pPr>
                    <w:pStyle w:val="60"/>
                    <w:rPr>
                      <w:color w:val="auto"/>
                      <w:sz w:val="18"/>
                      <w:szCs w:val="18"/>
                    </w:rPr>
                  </w:pPr>
                  <w:r>
                    <w:rPr>
                      <w:color w:val="auto"/>
                      <w:sz w:val="18"/>
                      <w:szCs w:val="18"/>
                    </w:rPr>
                    <w:t>年平均储存高度</w:t>
                  </w:r>
                  <w:r>
                    <w:rPr>
                      <w:rFonts w:hint="eastAsia"/>
                      <w:color w:val="auto"/>
                      <w:sz w:val="18"/>
                      <w:szCs w:val="18"/>
                    </w:rPr>
                    <w:t>(</w:t>
                  </w:r>
                  <w:r>
                    <w:rPr>
                      <w:color w:val="auto"/>
                      <w:sz w:val="18"/>
                      <w:szCs w:val="18"/>
                    </w:rPr>
                    <w:t>m</w:t>
                  </w:r>
                  <w:r>
                    <w:rPr>
                      <w:rFonts w:hint="eastAsia"/>
                      <w:color w:val="auto"/>
                      <w:sz w:val="18"/>
                      <w:szCs w:val="18"/>
                    </w:rPr>
                    <w:t>)</w:t>
                  </w:r>
                </w:p>
              </w:tc>
              <w:tc>
                <w:tcPr>
                  <w:tcW w:w="555" w:type="dxa"/>
                  <w:vMerge w:val="continue"/>
                  <w:vAlign w:val="center"/>
                </w:tcPr>
                <w:p w14:paraId="27B91E2C">
                  <w:pPr>
                    <w:pStyle w:val="60"/>
                    <w:rPr>
                      <w:b/>
                      <w:bCs/>
                      <w:color w:val="auto"/>
                      <w:sz w:val="18"/>
                      <w:szCs w:val="18"/>
                    </w:rPr>
                  </w:pPr>
                </w:p>
              </w:tc>
              <w:tc>
                <w:tcPr>
                  <w:tcW w:w="423" w:type="dxa"/>
                  <w:vMerge w:val="continue"/>
                  <w:vAlign w:val="center"/>
                </w:tcPr>
                <w:p w14:paraId="03C740C0">
                  <w:pPr>
                    <w:pStyle w:val="60"/>
                    <w:rPr>
                      <w:color w:val="auto"/>
                      <w:sz w:val="18"/>
                      <w:szCs w:val="18"/>
                    </w:rPr>
                  </w:pPr>
                </w:p>
              </w:tc>
              <w:tc>
                <w:tcPr>
                  <w:tcW w:w="552" w:type="dxa"/>
                  <w:vMerge w:val="continue"/>
                  <w:vAlign w:val="center"/>
                </w:tcPr>
                <w:p w14:paraId="0E0BB329">
                  <w:pPr>
                    <w:pStyle w:val="60"/>
                    <w:rPr>
                      <w:b/>
                      <w:bCs/>
                      <w:color w:val="auto"/>
                      <w:sz w:val="18"/>
                      <w:szCs w:val="18"/>
                    </w:rPr>
                  </w:pPr>
                </w:p>
              </w:tc>
              <w:tc>
                <w:tcPr>
                  <w:tcW w:w="555" w:type="dxa"/>
                  <w:vMerge w:val="continue"/>
                  <w:vAlign w:val="center"/>
                </w:tcPr>
                <w:p w14:paraId="71E4E237">
                  <w:pPr>
                    <w:pStyle w:val="60"/>
                    <w:rPr>
                      <w:b/>
                      <w:bCs/>
                      <w:color w:val="auto"/>
                      <w:sz w:val="18"/>
                      <w:szCs w:val="18"/>
                    </w:rPr>
                  </w:pPr>
                </w:p>
              </w:tc>
            </w:tr>
            <w:tr w14:paraId="442574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Align w:val="center"/>
                </w:tcPr>
                <w:p w14:paraId="6DFC0CC6">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335" w:type="dxa"/>
                  <w:vAlign w:val="center"/>
                </w:tcPr>
                <w:p w14:paraId="6AC8B83C">
                  <w:pPr>
                    <w:pStyle w:val="60"/>
                    <w:rPr>
                      <w:color w:val="auto"/>
                      <w:sz w:val="18"/>
                      <w:szCs w:val="18"/>
                    </w:rPr>
                  </w:pPr>
                  <w:r>
                    <w:rPr>
                      <w:rFonts w:hint="eastAsia"/>
                      <w:color w:val="auto"/>
                      <w:sz w:val="18"/>
                      <w:szCs w:val="18"/>
                    </w:rPr>
                    <w:t>1</w:t>
                  </w:r>
                </w:p>
              </w:tc>
              <w:tc>
                <w:tcPr>
                  <w:tcW w:w="420" w:type="dxa"/>
                  <w:vAlign w:val="center"/>
                </w:tcPr>
                <w:p w14:paraId="3150BC26">
                  <w:pPr>
                    <w:pStyle w:val="60"/>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79</w:t>
                  </w:r>
                </w:p>
              </w:tc>
              <w:tc>
                <w:tcPr>
                  <w:tcW w:w="465" w:type="dxa"/>
                  <w:vAlign w:val="center"/>
                </w:tcPr>
                <w:p w14:paraId="014EDC71">
                  <w:pPr>
                    <w:pStyle w:val="60"/>
                    <w:rPr>
                      <w:rFonts w:hint="default" w:eastAsia="宋体"/>
                      <w:color w:val="auto"/>
                      <w:sz w:val="18"/>
                      <w:szCs w:val="18"/>
                      <w:lang w:val="en-US" w:eastAsia="zh-CN"/>
                    </w:rPr>
                  </w:pPr>
                  <w:r>
                    <w:rPr>
                      <w:rFonts w:hint="eastAsia"/>
                      <w:color w:val="auto"/>
                      <w:sz w:val="18"/>
                      <w:szCs w:val="18"/>
                      <w:lang w:val="en-US" w:eastAsia="zh-CN"/>
                    </w:rPr>
                    <w:t>32</w:t>
                  </w:r>
                </w:p>
              </w:tc>
              <w:tc>
                <w:tcPr>
                  <w:tcW w:w="435" w:type="dxa"/>
                  <w:vAlign w:val="center"/>
                </w:tcPr>
                <w:p w14:paraId="496B9E56">
                  <w:pPr>
                    <w:pStyle w:val="60"/>
                    <w:rPr>
                      <w:rFonts w:hint="default" w:eastAsia="宋体"/>
                      <w:color w:val="auto"/>
                      <w:sz w:val="18"/>
                      <w:szCs w:val="18"/>
                      <w:lang w:val="en-US" w:eastAsia="zh-CN"/>
                    </w:rPr>
                  </w:pPr>
                  <w:r>
                    <w:rPr>
                      <w:rFonts w:hint="eastAsia"/>
                      <w:color w:val="auto"/>
                      <w:sz w:val="18"/>
                      <w:szCs w:val="18"/>
                      <w:lang w:val="en-US" w:eastAsia="zh-CN"/>
                    </w:rPr>
                    <w:t>12.91</w:t>
                  </w:r>
                </w:p>
              </w:tc>
              <w:tc>
                <w:tcPr>
                  <w:tcW w:w="450" w:type="dxa"/>
                  <w:vAlign w:val="center"/>
                </w:tcPr>
                <w:p w14:paraId="40A6276E">
                  <w:pPr>
                    <w:pStyle w:val="60"/>
                    <w:rPr>
                      <w:color w:val="auto"/>
                      <w:sz w:val="18"/>
                      <w:szCs w:val="18"/>
                    </w:rPr>
                  </w:pPr>
                  <w:r>
                    <w:rPr>
                      <w:rFonts w:hint="eastAsia"/>
                      <w:color w:val="auto"/>
                      <w:sz w:val="18"/>
                      <w:szCs w:val="18"/>
                    </w:rPr>
                    <w:t>101.3</w:t>
                  </w:r>
                </w:p>
              </w:tc>
              <w:tc>
                <w:tcPr>
                  <w:tcW w:w="465" w:type="dxa"/>
                  <w:vAlign w:val="center"/>
                </w:tcPr>
                <w:p w14:paraId="41437244">
                  <w:pPr>
                    <w:pStyle w:val="60"/>
                    <w:rPr>
                      <w:color w:val="auto"/>
                      <w:sz w:val="18"/>
                      <w:szCs w:val="18"/>
                      <w:highlight w:val="none"/>
                    </w:rPr>
                  </w:pPr>
                  <w:r>
                    <w:rPr>
                      <w:rFonts w:hint="eastAsia"/>
                      <w:color w:val="auto"/>
                      <w:sz w:val="18"/>
                      <w:szCs w:val="18"/>
                      <w:highlight w:val="none"/>
                    </w:rPr>
                    <w:t>26.7</w:t>
                  </w:r>
                </w:p>
              </w:tc>
              <w:tc>
                <w:tcPr>
                  <w:tcW w:w="450" w:type="dxa"/>
                  <w:vAlign w:val="center"/>
                </w:tcPr>
                <w:p w14:paraId="5383633C">
                  <w:pPr>
                    <w:pStyle w:val="60"/>
                    <w:rPr>
                      <w:color w:val="auto"/>
                      <w:sz w:val="18"/>
                      <w:szCs w:val="18"/>
                      <w:highlight w:val="none"/>
                    </w:rPr>
                  </w:pPr>
                  <w:r>
                    <w:rPr>
                      <w:rFonts w:hint="eastAsia"/>
                      <w:color w:val="auto"/>
                      <w:sz w:val="18"/>
                      <w:szCs w:val="18"/>
                      <w:highlight w:val="none"/>
                    </w:rPr>
                    <w:t>-2.2</w:t>
                  </w:r>
                </w:p>
              </w:tc>
              <w:tc>
                <w:tcPr>
                  <w:tcW w:w="600" w:type="dxa"/>
                  <w:vAlign w:val="center"/>
                </w:tcPr>
                <w:p w14:paraId="7282C80A">
                  <w:pPr>
                    <w:pStyle w:val="60"/>
                    <w:rPr>
                      <w:color w:val="auto"/>
                      <w:sz w:val="18"/>
                      <w:szCs w:val="18"/>
                    </w:rPr>
                  </w:pPr>
                  <w:r>
                    <w:rPr>
                      <w:rFonts w:hint="eastAsia"/>
                      <w:color w:val="auto"/>
                      <w:sz w:val="18"/>
                      <w:szCs w:val="18"/>
                    </w:rPr>
                    <w:t>1305</w:t>
                  </w:r>
                </w:p>
              </w:tc>
              <w:tc>
                <w:tcPr>
                  <w:tcW w:w="375" w:type="dxa"/>
                  <w:vAlign w:val="center"/>
                </w:tcPr>
                <w:p w14:paraId="1E412045">
                  <w:pPr>
                    <w:pStyle w:val="60"/>
                    <w:rPr>
                      <w:rFonts w:hint="default" w:eastAsia="宋体"/>
                      <w:color w:val="auto"/>
                      <w:sz w:val="18"/>
                      <w:szCs w:val="18"/>
                      <w:lang w:val="en-US" w:eastAsia="zh-CN"/>
                    </w:rPr>
                  </w:pPr>
                  <w:r>
                    <w:rPr>
                      <w:rFonts w:hint="eastAsia"/>
                      <w:color w:val="auto"/>
                      <w:sz w:val="18"/>
                      <w:szCs w:val="18"/>
                      <w:lang w:val="en-US" w:eastAsia="zh-CN"/>
                    </w:rPr>
                    <w:t>1000</w:t>
                  </w:r>
                </w:p>
              </w:tc>
              <w:tc>
                <w:tcPr>
                  <w:tcW w:w="389" w:type="dxa"/>
                  <w:vAlign w:val="center"/>
                </w:tcPr>
                <w:p w14:paraId="437FBBA0">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330" w:type="dxa"/>
                  <w:vAlign w:val="center"/>
                </w:tcPr>
                <w:p w14:paraId="164DCAAF">
                  <w:pPr>
                    <w:pStyle w:val="60"/>
                    <w:rPr>
                      <w:color w:val="auto"/>
                      <w:sz w:val="18"/>
                      <w:szCs w:val="18"/>
                      <w:highlight w:val="none"/>
                    </w:rPr>
                  </w:pPr>
                  <w:r>
                    <w:rPr>
                      <w:rFonts w:hint="eastAsia"/>
                      <w:color w:val="auto"/>
                      <w:sz w:val="18"/>
                      <w:szCs w:val="18"/>
                      <w:highlight w:val="none"/>
                    </w:rPr>
                    <w:t>白色</w:t>
                  </w:r>
                </w:p>
              </w:tc>
              <w:tc>
                <w:tcPr>
                  <w:tcW w:w="412" w:type="dxa"/>
                  <w:vAlign w:val="center"/>
                </w:tcPr>
                <w:p w14:paraId="41656215">
                  <w:pPr>
                    <w:pStyle w:val="60"/>
                    <w:rPr>
                      <w:color w:val="auto"/>
                      <w:sz w:val="18"/>
                      <w:szCs w:val="18"/>
                      <w:highlight w:val="none"/>
                    </w:rPr>
                  </w:pPr>
                  <w:r>
                    <w:rPr>
                      <w:rFonts w:hint="eastAsia"/>
                      <w:color w:val="auto"/>
                      <w:sz w:val="18"/>
                      <w:szCs w:val="18"/>
                      <w:highlight w:val="none"/>
                      <w:lang w:val="en-US" w:eastAsia="zh-CN"/>
                    </w:rPr>
                    <w:t>355</w:t>
                  </w:r>
                </w:p>
              </w:tc>
              <w:tc>
                <w:tcPr>
                  <w:tcW w:w="413" w:type="dxa"/>
                  <w:vAlign w:val="center"/>
                </w:tcPr>
                <w:p w14:paraId="6970968B">
                  <w:pPr>
                    <w:pStyle w:val="60"/>
                    <w:rPr>
                      <w:color w:val="auto"/>
                      <w:sz w:val="18"/>
                      <w:szCs w:val="18"/>
                      <w:highlight w:val="none"/>
                    </w:rPr>
                  </w:pPr>
                  <w:r>
                    <w:rPr>
                      <w:rFonts w:hint="eastAsia"/>
                      <w:color w:val="auto"/>
                      <w:sz w:val="18"/>
                      <w:szCs w:val="18"/>
                      <w:highlight w:val="none"/>
                      <w:lang w:val="en-US" w:eastAsia="zh-CN"/>
                    </w:rPr>
                    <w:t>-295</w:t>
                  </w:r>
                </w:p>
              </w:tc>
              <w:tc>
                <w:tcPr>
                  <w:tcW w:w="286" w:type="dxa"/>
                  <w:vAlign w:val="center"/>
                </w:tcPr>
                <w:p w14:paraId="1F4C4750">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390" w:type="dxa"/>
                  <w:vAlign w:val="center"/>
                </w:tcPr>
                <w:p w14:paraId="4C58825B">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8.8</w:t>
                  </w:r>
                </w:p>
              </w:tc>
              <w:tc>
                <w:tcPr>
                  <w:tcW w:w="555" w:type="dxa"/>
                  <w:vAlign w:val="center"/>
                </w:tcPr>
                <w:p w14:paraId="7A8DC308">
                  <w:pPr>
                    <w:pStyle w:val="60"/>
                    <w:rPr>
                      <w:bCs/>
                      <w:color w:val="auto"/>
                      <w:sz w:val="18"/>
                      <w:szCs w:val="18"/>
                      <w:highlight w:val="none"/>
                    </w:rPr>
                  </w:pPr>
                  <w:r>
                    <w:rPr>
                      <w:rFonts w:hint="eastAsia"/>
                      <w:bCs/>
                      <w:color w:val="auto"/>
                      <w:sz w:val="18"/>
                      <w:szCs w:val="18"/>
                      <w:highlight w:val="none"/>
                      <w:lang w:val="en-US" w:eastAsia="zh-CN"/>
                    </w:rPr>
                    <w:t>0.795</w:t>
                  </w:r>
                </w:p>
              </w:tc>
              <w:tc>
                <w:tcPr>
                  <w:tcW w:w="423" w:type="dxa"/>
                  <w:vAlign w:val="center"/>
                </w:tcPr>
                <w:p w14:paraId="2B801247">
                  <w:pPr>
                    <w:pStyle w:val="60"/>
                    <w:rPr>
                      <w:rFonts w:hint="eastAsia" w:eastAsia="宋体"/>
                      <w:color w:val="auto"/>
                      <w:sz w:val="18"/>
                      <w:szCs w:val="18"/>
                      <w:highlight w:val="none"/>
                      <w:lang w:eastAsia="zh-CN"/>
                    </w:rPr>
                  </w:pPr>
                  <w:r>
                    <w:rPr>
                      <w:rFonts w:hint="eastAsia"/>
                      <w:color w:val="auto"/>
                      <w:sz w:val="18"/>
                      <w:szCs w:val="18"/>
                      <w:highlight w:val="none"/>
                      <w:lang w:val="en-US" w:eastAsia="zh-CN"/>
                    </w:rPr>
                    <w:t>4.8</w:t>
                  </w:r>
                </w:p>
              </w:tc>
              <w:tc>
                <w:tcPr>
                  <w:tcW w:w="552" w:type="dxa"/>
                  <w:vAlign w:val="center"/>
                </w:tcPr>
                <w:p w14:paraId="6B49F7BF">
                  <w:pPr>
                    <w:pStyle w:val="60"/>
                    <w:rPr>
                      <w:bCs/>
                      <w:color w:val="auto"/>
                      <w:sz w:val="18"/>
                      <w:szCs w:val="18"/>
                      <w:highlight w:val="none"/>
                    </w:rPr>
                  </w:pPr>
                  <w:r>
                    <w:rPr>
                      <w:rFonts w:hint="eastAsia"/>
                      <w:bCs/>
                      <w:color w:val="auto"/>
                      <w:sz w:val="18"/>
                      <w:szCs w:val="18"/>
                      <w:highlight w:val="none"/>
                      <w:lang w:val="en-US" w:eastAsia="zh-CN"/>
                    </w:rPr>
                    <w:t>10.892</w:t>
                  </w:r>
                </w:p>
              </w:tc>
              <w:tc>
                <w:tcPr>
                  <w:tcW w:w="555" w:type="dxa"/>
                  <w:vAlign w:val="center"/>
                </w:tcPr>
                <w:p w14:paraId="0FB23EF2">
                  <w:pPr>
                    <w:pStyle w:val="60"/>
                    <w:rPr>
                      <w:rFonts w:hint="default" w:eastAsia="宋体"/>
                      <w:bCs/>
                      <w:color w:val="auto"/>
                      <w:sz w:val="18"/>
                      <w:szCs w:val="18"/>
                      <w:highlight w:val="none"/>
                      <w:lang w:val="en-US" w:eastAsia="zh-CN"/>
                    </w:rPr>
                  </w:pPr>
                  <w:r>
                    <w:rPr>
                      <w:rFonts w:hint="eastAsia"/>
                      <w:bCs/>
                      <w:color w:val="auto"/>
                      <w:sz w:val="18"/>
                      <w:szCs w:val="18"/>
                      <w:highlight w:val="none"/>
                      <w:lang w:val="en-US" w:eastAsia="zh-CN"/>
                    </w:rPr>
                    <w:t>11.687</w:t>
                  </w:r>
                </w:p>
              </w:tc>
            </w:tr>
          </w:tbl>
          <w:p w14:paraId="68D4FFBF">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eastAsia="宋体"/>
                <w:b w:val="0"/>
                <w:bCs/>
                <w:color w:val="auto"/>
                <w:szCs w:val="21"/>
                <w:lang w:val="en-US" w:eastAsia="zh-CN"/>
              </w:rPr>
            </w:pPr>
            <w:r>
              <w:rPr>
                <w:rFonts w:hint="eastAsia"/>
                <w:b w:val="0"/>
                <w:bCs/>
                <w:color w:val="auto"/>
                <w:szCs w:val="21"/>
                <w:lang w:val="en-US" w:eastAsia="zh-CN"/>
              </w:rPr>
              <w:t>②叔丁醇产品暂存罐</w:t>
            </w:r>
          </w:p>
          <w:p w14:paraId="64282FD4">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rFonts w:hint="eastAsia"/>
                <w:b w:val="0"/>
                <w:bCs/>
                <w:color w:val="auto"/>
                <w:szCs w:val="21"/>
                <w:lang w:val="en-US" w:eastAsia="zh-CN"/>
              </w:rPr>
              <w:t>现有叔丁醇产品暂存罐为卧式固定顶储罐，</w:t>
            </w:r>
            <w:r>
              <w:rPr>
                <w:rFonts w:hint="eastAsia"/>
                <w:color w:val="auto"/>
              </w:rPr>
              <w:t>固定顶储罐“呼吸”废气的核算采用《石化行业</w:t>
            </w:r>
            <w:r>
              <w:rPr>
                <w:color w:val="auto"/>
              </w:rPr>
              <w:t>VOC</w:t>
            </w:r>
            <w:r>
              <w:rPr>
                <w:color w:val="auto"/>
                <w:vertAlign w:val="subscript"/>
              </w:rPr>
              <w:t>S</w:t>
            </w:r>
            <w:r>
              <w:rPr>
                <w:rFonts w:hint="eastAsia"/>
                <w:color w:val="auto"/>
              </w:rPr>
              <w:t>污染源排查工作指南》中“固定顶罐总损耗”计算方法进行计算</w:t>
            </w:r>
            <w:r>
              <w:rPr>
                <w:rFonts w:hint="eastAsia"/>
                <w:color w:val="auto"/>
                <w:lang w:eastAsia="zh-CN"/>
              </w:rPr>
              <w:t>，</w:t>
            </w:r>
            <w:r>
              <w:rPr>
                <w:rFonts w:hint="eastAsia"/>
                <w:color w:val="auto"/>
                <w:lang w:val="en-US" w:eastAsia="zh-CN"/>
              </w:rPr>
              <w:t>具体公式详见“运营期环境影响和保护措施-有组织废气”。计算结果如下：</w:t>
            </w:r>
          </w:p>
          <w:p w14:paraId="57D77A62">
            <w:pPr>
              <w:spacing w:before="120" w:beforeLines="50"/>
              <w:jc w:val="center"/>
              <w:rPr>
                <w:b/>
                <w:bCs/>
                <w:color w:val="auto"/>
              </w:rPr>
            </w:pPr>
            <w:r>
              <w:rPr>
                <w:b/>
                <w:bCs/>
                <w:color w:val="auto"/>
              </w:rPr>
              <w:t>表</w:t>
            </w:r>
            <w:r>
              <w:rPr>
                <w:rFonts w:hint="eastAsia"/>
                <w:b/>
                <w:bCs/>
                <w:color w:val="auto"/>
                <w:lang w:val="en-US" w:eastAsia="zh-CN"/>
              </w:rPr>
              <w:t>2-16b</w:t>
            </w:r>
            <w:r>
              <w:rPr>
                <w:b/>
                <w:bCs/>
                <w:color w:val="auto"/>
              </w:rPr>
              <w:t xml:space="preserve">  </w:t>
            </w:r>
            <w:r>
              <w:rPr>
                <w:rFonts w:hint="eastAsia"/>
                <w:b/>
                <w:bCs/>
                <w:color w:val="auto"/>
                <w:lang w:val="en-US" w:eastAsia="zh-CN"/>
              </w:rPr>
              <w:t>现有叔丁醇产品暂存罐</w:t>
            </w:r>
            <w:r>
              <w:rPr>
                <w:rFonts w:hint="eastAsia"/>
                <w:b/>
                <w:bCs/>
                <w:color w:val="auto"/>
              </w:rPr>
              <w:t>呼吸</w:t>
            </w:r>
            <w:r>
              <w:rPr>
                <w:b/>
                <w:bCs/>
                <w:color w:val="auto"/>
              </w:rPr>
              <w:t>废气产生情况计算表</w:t>
            </w:r>
          </w:p>
          <w:tbl>
            <w:tblPr>
              <w:tblStyle w:val="22"/>
              <w:tblW w:w="847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40"/>
              <w:gridCol w:w="335"/>
              <w:gridCol w:w="420"/>
              <w:gridCol w:w="465"/>
              <w:gridCol w:w="435"/>
              <w:gridCol w:w="450"/>
              <w:gridCol w:w="465"/>
              <w:gridCol w:w="450"/>
              <w:gridCol w:w="600"/>
              <w:gridCol w:w="375"/>
              <w:gridCol w:w="389"/>
              <w:gridCol w:w="411"/>
              <w:gridCol w:w="540"/>
              <w:gridCol w:w="480"/>
              <w:gridCol w:w="400"/>
              <w:gridCol w:w="555"/>
              <w:gridCol w:w="423"/>
              <w:gridCol w:w="552"/>
              <w:gridCol w:w="493"/>
            </w:tblGrid>
            <w:tr w14:paraId="459797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restart"/>
                  <w:vAlign w:val="center"/>
                </w:tcPr>
                <w:p w14:paraId="6B96E32C">
                  <w:pPr>
                    <w:pStyle w:val="60"/>
                    <w:rPr>
                      <w:color w:val="auto"/>
                      <w:sz w:val="18"/>
                      <w:szCs w:val="18"/>
                    </w:rPr>
                  </w:pPr>
                  <w:r>
                    <w:rPr>
                      <w:color w:val="auto"/>
                      <w:sz w:val="18"/>
                      <w:szCs w:val="18"/>
                    </w:rPr>
                    <w:t>物料</w:t>
                  </w:r>
                </w:p>
                <w:p w14:paraId="79ABCB72">
                  <w:pPr>
                    <w:pStyle w:val="60"/>
                    <w:rPr>
                      <w:color w:val="auto"/>
                      <w:sz w:val="18"/>
                      <w:szCs w:val="18"/>
                    </w:rPr>
                  </w:pPr>
                  <w:r>
                    <w:rPr>
                      <w:color w:val="auto"/>
                      <w:sz w:val="18"/>
                      <w:szCs w:val="18"/>
                    </w:rPr>
                    <w:t>名称</w:t>
                  </w:r>
                </w:p>
              </w:tc>
              <w:tc>
                <w:tcPr>
                  <w:tcW w:w="335" w:type="dxa"/>
                  <w:vMerge w:val="restart"/>
                  <w:vAlign w:val="center"/>
                </w:tcPr>
                <w:p w14:paraId="0452C7BF">
                  <w:pPr>
                    <w:pStyle w:val="60"/>
                    <w:rPr>
                      <w:color w:val="auto"/>
                      <w:sz w:val="18"/>
                      <w:szCs w:val="18"/>
                    </w:rPr>
                  </w:pPr>
                  <w:r>
                    <w:rPr>
                      <w:rFonts w:hint="eastAsia"/>
                      <w:color w:val="auto"/>
                      <w:sz w:val="18"/>
                      <w:szCs w:val="18"/>
                    </w:rPr>
                    <w:t>储罐数量/座</w:t>
                  </w:r>
                </w:p>
              </w:tc>
              <w:tc>
                <w:tcPr>
                  <w:tcW w:w="1320" w:type="dxa"/>
                  <w:gridSpan w:val="3"/>
                  <w:vAlign w:val="center"/>
                </w:tcPr>
                <w:p w14:paraId="7A796342">
                  <w:pPr>
                    <w:pStyle w:val="60"/>
                    <w:rPr>
                      <w:color w:val="auto"/>
                      <w:sz w:val="18"/>
                      <w:szCs w:val="18"/>
                    </w:rPr>
                  </w:pPr>
                  <w:r>
                    <w:rPr>
                      <w:color w:val="auto"/>
                      <w:sz w:val="18"/>
                      <w:szCs w:val="18"/>
                    </w:rPr>
                    <w:t>理化参数</w:t>
                  </w:r>
                </w:p>
              </w:tc>
              <w:tc>
                <w:tcPr>
                  <w:tcW w:w="1965" w:type="dxa"/>
                  <w:gridSpan w:val="4"/>
                  <w:vAlign w:val="center"/>
                </w:tcPr>
                <w:p w14:paraId="1D1BE5B3">
                  <w:pPr>
                    <w:pStyle w:val="60"/>
                    <w:rPr>
                      <w:color w:val="auto"/>
                      <w:sz w:val="18"/>
                      <w:szCs w:val="18"/>
                    </w:rPr>
                  </w:pPr>
                  <w:r>
                    <w:rPr>
                      <w:color w:val="auto"/>
                      <w:sz w:val="18"/>
                      <w:szCs w:val="18"/>
                    </w:rPr>
                    <w:t>气象参数</w:t>
                  </w:r>
                </w:p>
              </w:tc>
              <w:tc>
                <w:tcPr>
                  <w:tcW w:w="2595" w:type="dxa"/>
                  <w:gridSpan w:val="6"/>
                  <w:vAlign w:val="center"/>
                </w:tcPr>
                <w:p w14:paraId="482EC7D1">
                  <w:pPr>
                    <w:pStyle w:val="60"/>
                    <w:rPr>
                      <w:color w:val="auto"/>
                      <w:sz w:val="18"/>
                      <w:szCs w:val="18"/>
                    </w:rPr>
                  </w:pPr>
                  <w:r>
                    <w:rPr>
                      <w:color w:val="auto"/>
                      <w:sz w:val="18"/>
                      <w:szCs w:val="18"/>
                    </w:rPr>
                    <w:t>储罐构造参数</w:t>
                  </w:r>
                </w:p>
              </w:tc>
              <w:tc>
                <w:tcPr>
                  <w:tcW w:w="555" w:type="dxa"/>
                  <w:vMerge w:val="restart"/>
                  <w:vAlign w:val="center"/>
                </w:tcPr>
                <w:p w14:paraId="65645744">
                  <w:pPr>
                    <w:pStyle w:val="60"/>
                    <w:rPr>
                      <w:b/>
                      <w:bCs/>
                      <w:color w:val="auto"/>
                      <w:sz w:val="18"/>
                      <w:szCs w:val="18"/>
                    </w:rPr>
                  </w:pPr>
                  <w:r>
                    <w:rPr>
                      <w:b/>
                      <w:bCs/>
                      <w:color w:val="auto"/>
                      <w:sz w:val="18"/>
                      <w:szCs w:val="18"/>
                    </w:rPr>
                    <w:t>静置</w:t>
                  </w:r>
                </w:p>
                <w:p w14:paraId="6CC9D0A9">
                  <w:pPr>
                    <w:pStyle w:val="60"/>
                    <w:rPr>
                      <w:b/>
                      <w:bCs/>
                      <w:color w:val="auto"/>
                      <w:sz w:val="18"/>
                      <w:szCs w:val="18"/>
                    </w:rPr>
                  </w:pPr>
                  <w:r>
                    <w:rPr>
                      <w:b/>
                      <w:bCs/>
                      <w:color w:val="auto"/>
                      <w:sz w:val="18"/>
                      <w:szCs w:val="18"/>
                    </w:rPr>
                    <w:t>损失</w:t>
                  </w:r>
                </w:p>
                <w:p w14:paraId="55C287FF">
                  <w:pPr>
                    <w:pStyle w:val="60"/>
                    <w:rPr>
                      <w:b/>
                      <w:bCs/>
                      <w:color w:val="auto"/>
                      <w:sz w:val="18"/>
                      <w:szCs w:val="18"/>
                    </w:rPr>
                  </w:pPr>
                  <w:r>
                    <w:rPr>
                      <w:b/>
                      <w:bCs/>
                      <w:color w:val="auto"/>
                      <w:sz w:val="18"/>
                      <w:szCs w:val="18"/>
                    </w:rPr>
                    <w:t>(t/a)</w:t>
                  </w:r>
                </w:p>
              </w:tc>
              <w:tc>
                <w:tcPr>
                  <w:tcW w:w="423" w:type="dxa"/>
                  <w:vMerge w:val="restart"/>
                  <w:vAlign w:val="center"/>
                </w:tcPr>
                <w:p w14:paraId="2DB1C1F6">
                  <w:pPr>
                    <w:pStyle w:val="60"/>
                    <w:rPr>
                      <w:color w:val="auto"/>
                      <w:sz w:val="18"/>
                      <w:szCs w:val="18"/>
                    </w:rPr>
                  </w:pPr>
                  <w:r>
                    <w:rPr>
                      <w:color w:val="auto"/>
                      <w:sz w:val="18"/>
                      <w:szCs w:val="18"/>
                    </w:rPr>
                    <w:t>年周转量</w:t>
                  </w:r>
                  <w:r>
                    <w:rPr>
                      <w:rFonts w:hint="eastAsia"/>
                      <w:color w:val="auto"/>
                      <w:sz w:val="18"/>
                      <w:szCs w:val="18"/>
                    </w:rPr>
                    <w:t>/万t</w:t>
                  </w:r>
                </w:p>
              </w:tc>
              <w:tc>
                <w:tcPr>
                  <w:tcW w:w="552" w:type="dxa"/>
                  <w:vMerge w:val="restart"/>
                  <w:vAlign w:val="center"/>
                </w:tcPr>
                <w:p w14:paraId="1786D1DC">
                  <w:pPr>
                    <w:pStyle w:val="60"/>
                    <w:rPr>
                      <w:b/>
                      <w:bCs/>
                      <w:color w:val="auto"/>
                      <w:sz w:val="18"/>
                      <w:szCs w:val="18"/>
                    </w:rPr>
                  </w:pPr>
                  <w:r>
                    <w:rPr>
                      <w:b/>
                      <w:bCs/>
                      <w:color w:val="auto"/>
                      <w:sz w:val="18"/>
                      <w:szCs w:val="18"/>
                    </w:rPr>
                    <w:t>工作</w:t>
                  </w:r>
                </w:p>
                <w:p w14:paraId="2157D9E4">
                  <w:pPr>
                    <w:pStyle w:val="60"/>
                    <w:rPr>
                      <w:b/>
                      <w:bCs/>
                      <w:color w:val="auto"/>
                      <w:sz w:val="18"/>
                      <w:szCs w:val="18"/>
                    </w:rPr>
                  </w:pPr>
                  <w:r>
                    <w:rPr>
                      <w:b/>
                      <w:bCs/>
                      <w:color w:val="auto"/>
                      <w:sz w:val="18"/>
                      <w:szCs w:val="18"/>
                    </w:rPr>
                    <w:t>损失</w:t>
                  </w:r>
                </w:p>
                <w:p w14:paraId="5ED6D811">
                  <w:pPr>
                    <w:pStyle w:val="60"/>
                    <w:rPr>
                      <w:b/>
                      <w:bCs/>
                      <w:color w:val="auto"/>
                      <w:sz w:val="18"/>
                      <w:szCs w:val="18"/>
                    </w:rPr>
                  </w:pPr>
                  <w:r>
                    <w:rPr>
                      <w:b/>
                      <w:bCs/>
                      <w:color w:val="auto"/>
                      <w:sz w:val="18"/>
                      <w:szCs w:val="18"/>
                    </w:rPr>
                    <w:t>(t/a)</w:t>
                  </w:r>
                </w:p>
              </w:tc>
              <w:tc>
                <w:tcPr>
                  <w:tcW w:w="493" w:type="dxa"/>
                  <w:vMerge w:val="restart"/>
                  <w:vAlign w:val="center"/>
                </w:tcPr>
                <w:p w14:paraId="38E40314">
                  <w:pPr>
                    <w:pStyle w:val="60"/>
                    <w:rPr>
                      <w:b/>
                      <w:bCs/>
                      <w:color w:val="auto"/>
                      <w:sz w:val="18"/>
                      <w:szCs w:val="18"/>
                    </w:rPr>
                  </w:pPr>
                  <w:r>
                    <w:rPr>
                      <w:b/>
                      <w:bCs/>
                      <w:color w:val="auto"/>
                      <w:sz w:val="18"/>
                      <w:szCs w:val="18"/>
                    </w:rPr>
                    <w:t>合计(t/a)</w:t>
                  </w:r>
                </w:p>
              </w:tc>
            </w:tr>
            <w:tr w14:paraId="505962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continue"/>
                  <w:vAlign w:val="center"/>
                </w:tcPr>
                <w:p w14:paraId="28699C7C">
                  <w:pPr>
                    <w:pStyle w:val="60"/>
                    <w:rPr>
                      <w:color w:val="auto"/>
                      <w:sz w:val="18"/>
                      <w:szCs w:val="18"/>
                    </w:rPr>
                  </w:pPr>
                </w:p>
              </w:tc>
              <w:tc>
                <w:tcPr>
                  <w:tcW w:w="335" w:type="dxa"/>
                  <w:vMerge w:val="continue"/>
                  <w:vAlign w:val="center"/>
                </w:tcPr>
                <w:p w14:paraId="1F7C968E">
                  <w:pPr>
                    <w:pStyle w:val="60"/>
                    <w:rPr>
                      <w:color w:val="auto"/>
                      <w:sz w:val="18"/>
                      <w:szCs w:val="18"/>
                    </w:rPr>
                  </w:pPr>
                </w:p>
              </w:tc>
              <w:tc>
                <w:tcPr>
                  <w:tcW w:w="420" w:type="dxa"/>
                  <w:vAlign w:val="center"/>
                </w:tcPr>
                <w:p w14:paraId="52A1D41A">
                  <w:pPr>
                    <w:pStyle w:val="60"/>
                    <w:rPr>
                      <w:color w:val="auto"/>
                      <w:sz w:val="18"/>
                      <w:szCs w:val="18"/>
                    </w:rPr>
                  </w:pPr>
                  <w:r>
                    <w:rPr>
                      <w:color w:val="auto"/>
                      <w:sz w:val="18"/>
                      <w:szCs w:val="18"/>
                    </w:rPr>
                    <w:t>密度t/m</w:t>
                  </w:r>
                  <w:r>
                    <w:rPr>
                      <w:color w:val="auto"/>
                      <w:sz w:val="18"/>
                      <w:szCs w:val="18"/>
                      <w:vertAlign w:val="superscript"/>
                    </w:rPr>
                    <w:t>3</w:t>
                  </w:r>
                </w:p>
              </w:tc>
              <w:tc>
                <w:tcPr>
                  <w:tcW w:w="465" w:type="dxa"/>
                  <w:vAlign w:val="center"/>
                </w:tcPr>
                <w:p w14:paraId="1C92F233">
                  <w:pPr>
                    <w:pStyle w:val="60"/>
                    <w:rPr>
                      <w:color w:val="auto"/>
                      <w:sz w:val="18"/>
                      <w:szCs w:val="18"/>
                    </w:rPr>
                  </w:pPr>
                  <w:r>
                    <w:rPr>
                      <w:color w:val="auto"/>
                      <w:sz w:val="18"/>
                      <w:szCs w:val="18"/>
                    </w:rPr>
                    <w:t>摩尔质量(g/g-mol)</w:t>
                  </w:r>
                </w:p>
              </w:tc>
              <w:tc>
                <w:tcPr>
                  <w:tcW w:w="435" w:type="dxa"/>
                  <w:vAlign w:val="center"/>
                </w:tcPr>
                <w:p w14:paraId="51F860DF">
                  <w:pPr>
                    <w:pStyle w:val="60"/>
                    <w:rPr>
                      <w:color w:val="auto"/>
                      <w:sz w:val="18"/>
                      <w:szCs w:val="18"/>
                    </w:rPr>
                  </w:pPr>
                  <w:r>
                    <w:rPr>
                      <w:color w:val="auto"/>
                      <w:sz w:val="18"/>
                      <w:szCs w:val="18"/>
                    </w:rPr>
                    <w:t>真实蒸汽压(kpa)</w:t>
                  </w:r>
                </w:p>
              </w:tc>
              <w:tc>
                <w:tcPr>
                  <w:tcW w:w="450" w:type="dxa"/>
                  <w:vAlign w:val="center"/>
                </w:tcPr>
                <w:p w14:paraId="71560184">
                  <w:pPr>
                    <w:pStyle w:val="60"/>
                    <w:rPr>
                      <w:color w:val="auto"/>
                      <w:sz w:val="18"/>
                      <w:szCs w:val="18"/>
                    </w:rPr>
                  </w:pPr>
                  <w:r>
                    <w:rPr>
                      <w:color w:val="auto"/>
                      <w:sz w:val="18"/>
                      <w:szCs w:val="18"/>
                    </w:rPr>
                    <w:t>大气压(kPa)</w:t>
                  </w:r>
                </w:p>
              </w:tc>
              <w:tc>
                <w:tcPr>
                  <w:tcW w:w="465" w:type="dxa"/>
                  <w:vAlign w:val="center"/>
                </w:tcPr>
                <w:p w14:paraId="01697332">
                  <w:pPr>
                    <w:pStyle w:val="60"/>
                    <w:rPr>
                      <w:color w:val="auto"/>
                      <w:sz w:val="18"/>
                      <w:szCs w:val="18"/>
                    </w:rPr>
                  </w:pPr>
                  <w:r>
                    <w:rPr>
                      <w:color w:val="auto"/>
                      <w:sz w:val="18"/>
                      <w:szCs w:val="18"/>
                    </w:rPr>
                    <w:t>日平均最高环境温度(℃)</w:t>
                  </w:r>
                </w:p>
              </w:tc>
              <w:tc>
                <w:tcPr>
                  <w:tcW w:w="450" w:type="dxa"/>
                  <w:vAlign w:val="center"/>
                </w:tcPr>
                <w:p w14:paraId="79725746">
                  <w:pPr>
                    <w:pStyle w:val="60"/>
                    <w:rPr>
                      <w:color w:val="auto"/>
                      <w:sz w:val="18"/>
                      <w:szCs w:val="18"/>
                    </w:rPr>
                  </w:pPr>
                  <w:r>
                    <w:rPr>
                      <w:color w:val="auto"/>
                      <w:sz w:val="18"/>
                      <w:szCs w:val="18"/>
                    </w:rPr>
                    <w:t>日平均最低环境温度(℃)</w:t>
                  </w:r>
                </w:p>
              </w:tc>
              <w:tc>
                <w:tcPr>
                  <w:tcW w:w="600" w:type="dxa"/>
                  <w:vAlign w:val="center"/>
                </w:tcPr>
                <w:p w14:paraId="283D27CD">
                  <w:pPr>
                    <w:pStyle w:val="60"/>
                    <w:rPr>
                      <w:color w:val="auto"/>
                      <w:sz w:val="18"/>
                      <w:szCs w:val="18"/>
                    </w:rPr>
                  </w:pPr>
                  <w:r>
                    <w:rPr>
                      <w:color w:val="auto"/>
                      <w:sz w:val="18"/>
                      <w:szCs w:val="18"/>
                    </w:rPr>
                    <w:t>水平面太阳能总辐射(Btu/ft</w:t>
                  </w:r>
                  <w:r>
                    <w:rPr>
                      <w:color w:val="auto"/>
                      <w:sz w:val="18"/>
                      <w:szCs w:val="18"/>
                      <w:vertAlign w:val="superscript"/>
                    </w:rPr>
                    <w:t>2</w:t>
                  </w:r>
                  <w:r>
                    <w:rPr>
                      <w:color w:val="auto"/>
                      <w:sz w:val="18"/>
                      <w:szCs w:val="18"/>
                    </w:rPr>
                    <w:t>.day)</w:t>
                  </w:r>
                </w:p>
              </w:tc>
              <w:tc>
                <w:tcPr>
                  <w:tcW w:w="375" w:type="dxa"/>
                  <w:vAlign w:val="center"/>
                </w:tcPr>
                <w:p w14:paraId="49C1AF41">
                  <w:pPr>
                    <w:pStyle w:val="60"/>
                    <w:rPr>
                      <w:color w:val="auto"/>
                      <w:sz w:val="18"/>
                      <w:szCs w:val="18"/>
                    </w:rPr>
                  </w:pPr>
                  <w:r>
                    <w:rPr>
                      <w:color w:val="auto"/>
                      <w:sz w:val="18"/>
                      <w:szCs w:val="18"/>
                    </w:rPr>
                    <w:t>容积(m</w:t>
                  </w:r>
                  <w:r>
                    <w:rPr>
                      <w:color w:val="auto"/>
                      <w:sz w:val="18"/>
                      <w:szCs w:val="18"/>
                      <w:vertAlign w:val="superscript"/>
                    </w:rPr>
                    <w:t>3</w:t>
                  </w:r>
                  <w:r>
                    <w:rPr>
                      <w:color w:val="auto"/>
                      <w:sz w:val="18"/>
                      <w:szCs w:val="18"/>
                    </w:rPr>
                    <w:t>)</w:t>
                  </w:r>
                </w:p>
              </w:tc>
              <w:tc>
                <w:tcPr>
                  <w:tcW w:w="389" w:type="dxa"/>
                  <w:vAlign w:val="center"/>
                </w:tcPr>
                <w:p w14:paraId="1F90DF3F">
                  <w:pPr>
                    <w:pStyle w:val="60"/>
                    <w:rPr>
                      <w:color w:val="auto"/>
                      <w:sz w:val="18"/>
                      <w:szCs w:val="18"/>
                    </w:rPr>
                  </w:pPr>
                  <w:r>
                    <w:rPr>
                      <w:color w:val="auto"/>
                      <w:sz w:val="18"/>
                      <w:szCs w:val="18"/>
                    </w:rPr>
                    <w:t>直径(m)</w:t>
                  </w:r>
                </w:p>
              </w:tc>
              <w:tc>
                <w:tcPr>
                  <w:tcW w:w="411" w:type="dxa"/>
                  <w:vAlign w:val="center"/>
                </w:tcPr>
                <w:p w14:paraId="1BF722C7">
                  <w:pPr>
                    <w:pStyle w:val="60"/>
                    <w:rPr>
                      <w:color w:val="auto"/>
                      <w:sz w:val="18"/>
                      <w:szCs w:val="18"/>
                    </w:rPr>
                  </w:pPr>
                  <w:r>
                    <w:rPr>
                      <w:color w:val="auto"/>
                      <w:sz w:val="18"/>
                      <w:szCs w:val="18"/>
                    </w:rPr>
                    <w:t>罐壁/顶颜色</w:t>
                  </w:r>
                </w:p>
              </w:tc>
              <w:tc>
                <w:tcPr>
                  <w:tcW w:w="540" w:type="dxa"/>
                  <w:vAlign w:val="center"/>
                </w:tcPr>
                <w:p w14:paraId="55874659">
                  <w:pPr>
                    <w:pStyle w:val="60"/>
                    <w:rPr>
                      <w:color w:val="auto"/>
                      <w:sz w:val="18"/>
                      <w:szCs w:val="18"/>
                    </w:rPr>
                  </w:pPr>
                  <w:r>
                    <w:rPr>
                      <w:color w:val="auto"/>
                      <w:sz w:val="18"/>
                      <w:szCs w:val="18"/>
                    </w:rPr>
                    <w:t>呼吸阀压力设定(pa)</w:t>
                  </w:r>
                </w:p>
              </w:tc>
              <w:tc>
                <w:tcPr>
                  <w:tcW w:w="480" w:type="dxa"/>
                  <w:vAlign w:val="center"/>
                </w:tcPr>
                <w:p w14:paraId="3F637D31">
                  <w:pPr>
                    <w:pStyle w:val="60"/>
                    <w:rPr>
                      <w:color w:val="auto"/>
                      <w:sz w:val="18"/>
                      <w:szCs w:val="18"/>
                    </w:rPr>
                  </w:pPr>
                  <w:r>
                    <w:rPr>
                      <w:color w:val="auto"/>
                      <w:sz w:val="18"/>
                      <w:szCs w:val="18"/>
                    </w:rPr>
                    <w:t>呼吸阀真空设定(pa)</w:t>
                  </w:r>
                </w:p>
              </w:tc>
              <w:tc>
                <w:tcPr>
                  <w:tcW w:w="400" w:type="dxa"/>
                  <w:vAlign w:val="center"/>
                </w:tcPr>
                <w:p w14:paraId="6765372B">
                  <w:pPr>
                    <w:pStyle w:val="60"/>
                    <w:rPr>
                      <w:color w:val="auto"/>
                      <w:sz w:val="18"/>
                      <w:szCs w:val="18"/>
                    </w:rPr>
                  </w:pPr>
                  <w:r>
                    <w:rPr>
                      <w:color w:val="auto"/>
                      <w:sz w:val="18"/>
                      <w:szCs w:val="18"/>
                    </w:rPr>
                    <w:t>罐体</w:t>
                  </w:r>
                  <w:r>
                    <w:rPr>
                      <w:rFonts w:hint="eastAsia"/>
                      <w:color w:val="auto"/>
                      <w:sz w:val="18"/>
                      <w:szCs w:val="18"/>
                      <w:lang w:val="en-US" w:eastAsia="zh-CN"/>
                    </w:rPr>
                    <w:t>长</w:t>
                  </w:r>
                  <w:r>
                    <w:rPr>
                      <w:color w:val="auto"/>
                      <w:sz w:val="18"/>
                      <w:szCs w:val="18"/>
                    </w:rPr>
                    <w:t>度(m)</w:t>
                  </w:r>
                </w:p>
              </w:tc>
              <w:tc>
                <w:tcPr>
                  <w:tcW w:w="555" w:type="dxa"/>
                  <w:vMerge w:val="continue"/>
                  <w:vAlign w:val="center"/>
                </w:tcPr>
                <w:p w14:paraId="53514888">
                  <w:pPr>
                    <w:pStyle w:val="60"/>
                    <w:rPr>
                      <w:b/>
                      <w:bCs/>
                      <w:color w:val="auto"/>
                      <w:sz w:val="18"/>
                      <w:szCs w:val="18"/>
                    </w:rPr>
                  </w:pPr>
                </w:p>
              </w:tc>
              <w:tc>
                <w:tcPr>
                  <w:tcW w:w="423" w:type="dxa"/>
                  <w:vMerge w:val="continue"/>
                  <w:vAlign w:val="center"/>
                </w:tcPr>
                <w:p w14:paraId="49AD7695">
                  <w:pPr>
                    <w:pStyle w:val="60"/>
                    <w:rPr>
                      <w:color w:val="auto"/>
                      <w:sz w:val="18"/>
                      <w:szCs w:val="18"/>
                    </w:rPr>
                  </w:pPr>
                </w:p>
              </w:tc>
              <w:tc>
                <w:tcPr>
                  <w:tcW w:w="552" w:type="dxa"/>
                  <w:vMerge w:val="continue"/>
                  <w:vAlign w:val="center"/>
                </w:tcPr>
                <w:p w14:paraId="0477942B">
                  <w:pPr>
                    <w:pStyle w:val="60"/>
                    <w:rPr>
                      <w:b/>
                      <w:bCs/>
                      <w:color w:val="auto"/>
                      <w:sz w:val="18"/>
                      <w:szCs w:val="18"/>
                    </w:rPr>
                  </w:pPr>
                </w:p>
              </w:tc>
              <w:tc>
                <w:tcPr>
                  <w:tcW w:w="493" w:type="dxa"/>
                  <w:vMerge w:val="continue"/>
                  <w:vAlign w:val="center"/>
                </w:tcPr>
                <w:p w14:paraId="681809F4">
                  <w:pPr>
                    <w:pStyle w:val="60"/>
                    <w:rPr>
                      <w:b/>
                      <w:bCs/>
                      <w:color w:val="auto"/>
                      <w:sz w:val="18"/>
                      <w:szCs w:val="18"/>
                    </w:rPr>
                  </w:pPr>
                </w:p>
              </w:tc>
            </w:tr>
            <w:tr w14:paraId="73513E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restart"/>
                  <w:vAlign w:val="center"/>
                </w:tcPr>
                <w:p w14:paraId="18C6CAAB">
                  <w:pPr>
                    <w:pStyle w:val="60"/>
                    <w:rPr>
                      <w:rFonts w:hint="default" w:eastAsia="宋体"/>
                      <w:color w:val="auto"/>
                      <w:sz w:val="18"/>
                      <w:szCs w:val="18"/>
                      <w:lang w:val="en-US" w:eastAsia="zh-CN"/>
                    </w:rPr>
                  </w:pPr>
                  <w:r>
                    <w:rPr>
                      <w:rFonts w:hint="eastAsia"/>
                      <w:color w:val="auto"/>
                      <w:sz w:val="18"/>
                      <w:szCs w:val="18"/>
                      <w:lang w:val="en-US" w:eastAsia="zh-CN"/>
                    </w:rPr>
                    <w:t>叔丁醇</w:t>
                  </w:r>
                </w:p>
              </w:tc>
              <w:tc>
                <w:tcPr>
                  <w:tcW w:w="335" w:type="dxa"/>
                  <w:vAlign w:val="center"/>
                </w:tcPr>
                <w:p w14:paraId="75F4416E">
                  <w:pPr>
                    <w:pStyle w:val="60"/>
                    <w:rPr>
                      <w:color w:val="auto"/>
                      <w:sz w:val="18"/>
                      <w:szCs w:val="18"/>
                    </w:rPr>
                  </w:pPr>
                  <w:r>
                    <w:rPr>
                      <w:rFonts w:hint="eastAsia"/>
                      <w:color w:val="auto"/>
                      <w:sz w:val="18"/>
                      <w:szCs w:val="18"/>
                    </w:rPr>
                    <w:t>1</w:t>
                  </w:r>
                </w:p>
              </w:tc>
              <w:tc>
                <w:tcPr>
                  <w:tcW w:w="420" w:type="dxa"/>
                  <w:vAlign w:val="center"/>
                </w:tcPr>
                <w:p w14:paraId="440DD669">
                  <w:pPr>
                    <w:pStyle w:val="60"/>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78</w:t>
                  </w:r>
                </w:p>
              </w:tc>
              <w:tc>
                <w:tcPr>
                  <w:tcW w:w="465" w:type="dxa"/>
                  <w:vAlign w:val="center"/>
                </w:tcPr>
                <w:p w14:paraId="7B4EDCFB">
                  <w:pPr>
                    <w:pStyle w:val="60"/>
                    <w:rPr>
                      <w:rFonts w:hint="default" w:eastAsia="宋体"/>
                      <w:color w:val="auto"/>
                      <w:sz w:val="18"/>
                      <w:szCs w:val="18"/>
                      <w:lang w:val="en-US" w:eastAsia="zh-CN"/>
                    </w:rPr>
                  </w:pPr>
                  <w:r>
                    <w:rPr>
                      <w:rFonts w:hint="eastAsia"/>
                      <w:color w:val="auto"/>
                      <w:sz w:val="18"/>
                      <w:szCs w:val="18"/>
                      <w:lang w:val="en-US" w:eastAsia="zh-CN"/>
                    </w:rPr>
                    <w:t>74</w:t>
                  </w:r>
                </w:p>
              </w:tc>
              <w:tc>
                <w:tcPr>
                  <w:tcW w:w="435" w:type="dxa"/>
                  <w:vAlign w:val="center"/>
                </w:tcPr>
                <w:p w14:paraId="7A408715">
                  <w:pPr>
                    <w:pStyle w:val="60"/>
                    <w:rPr>
                      <w:rFonts w:hint="default" w:eastAsia="宋体"/>
                      <w:color w:val="auto"/>
                      <w:sz w:val="18"/>
                      <w:szCs w:val="18"/>
                      <w:lang w:val="en-US" w:eastAsia="zh-CN"/>
                    </w:rPr>
                  </w:pPr>
                  <w:r>
                    <w:rPr>
                      <w:rFonts w:hint="eastAsia"/>
                      <w:color w:val="auto"/>
                      <w:sz w:val="18"/>
                      <w:szCs w:val="18"/>
                      <w:lang w:val="en-US" w:eastAsia="zh-CN"/>
                    </w:rPr>
                    <w:t>4.05</w:t>
                  </w:r>
                </w:p>
              </w:tc>
              <w:tc>
                <w:tcPr>
                  <w:tcW w:w="450" w:type="dxa"/>
                  <w:vAlign w:val="center"/>
                </w:tcPr>
                <w:p w14:paraId="43E2DDF0">
                  <w:pPr>
                    <w:pStyle w:val="60"/>
                    <w:rPr>
                      <w:color w:val="auto"/>
                      <w:sz w:val="18"/>
                      <w:szCs w:val="18"/>
                    </w:rPr>
                  </w:pPr>
                  <w:r>
                    <w:rPr>
                      <w:rFonts w:hint="eastAsia"/>
                      <w:color w:val="auto"/>
                      <w:sz w:val="18"/>
                      <w:szCs w:val="18"/>
                    </w:rPr>
                    <w:t>101.3</w:t>
                  </w:r>
                </w:p>
              </w:tc>
              <w:tc>
                <w:tcPr>
                  <w:tcW w:w="465" w:type="dxa"/>
                  <w:shd w:val="clear" w:color="auto" w:fill="auto"/>
                  <w:vAlign w:val="center"/>
                </w:tcPr>
                <w:p w14:paraId="53E23920">
                  <w:pPr>
                    <w:pStyle w:val="60"/>
                    <w:rPr>
                      <w:rFonts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26.7</w:t>
                  </w:r>
                </w:p>
              </w:tc>
              <w:tc>
                <w:tcPr>
                  <w:tcW w:w="450" w:type="dxa"/>
                  <w:shd w:val="clear" w:color="auto" w:fill="auto"/>
                  <w:vAlign w:val="center"/>
                </w:tcPr>
                <w:p w14:paraId="20A47F93">
                  <w:pPr>
                    <w:pStyle w:val="60"/>
                    <w:rPr>
                      <w:rFonts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-2.2</w:t>
                  </w:r>
                </w:p>
              </w:tc>
              <w:tc>
                <w:tcPr>
                  <w:tcW w:w="600" w:type="dxa"/>
                  <w:shd w:val="clear" w:color="auto" w:fill="auto"/>
                  <w:vAlign w:val="center"/>
                </w:tcPr>
                <w:p w14:paraId="5259A762">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1305</w:t>
                  </w:r>
                </w:p>
              </w:tc>
              <w:tc>
                <w:tcPr>
                  <w:tcW w:w="375" w:type="dxa"/>
                  <w:shd w:val="clear" w:color="auto" w:fill="auto"/>
                  <w:vAlign w:val="center"/>
                </w:tcPr>
                <w:p w14:paraId="0238E68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389" w:type="dxa"/>
                  <w:shd w:val="clear" w:color="auto" w:fill="auto"/>
                  <w:vAlign w:val="center"/>
                </w:tcPr>
                <w:p w14:paraId="74D212A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2.8</w:t>
                  </w:r>
                </w:p>
              </w:tc>
              <w:tc>
                <w:tcPr>
                  <w:tcW w:w="411" w:type="dxa"/>
                  <w:shd w:val="clear" w:color="auto" w:fill="auto"/>
                  <w:vAlign w:val="center"/>
                </w:tcPr>
                <w:p w14:paraId="0DBDC26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白色</w:t>
                  </w:r>
                </w:p>
              </w:tc>
              <w:tc>
                <w:tcPr>
                  <w:tcW w:w="540" w:type="dxa"/>
                  <w:shd w:val="clear" w:color="auto" w:fill="auto"/>
                  <w:vAlign w:val="center"/>
                </w:tcPr>
                <w:p w14:paraId="363D05CC">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355</w:t>
                  </w:r>
                </w:p>
              </w:tc>
              <w:tc>
                <w:tcPr>
                  <w:tcW w:w="480" w:type="dxa"/>
                  <w:shd w:val="clear" w:color="auto" w:fill="auto"/>
                  <w:vAlign w:val="center"/>
                </w:tcPr>
                <w:p w14:paraId="0C7D6B90">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-295</w:t>
                  </w:r>
                </w:p>
              </w:tc>
              <w:tc>
                <w:tcPr>
                  <w:tcW w:w="400" w:type="dxa"/>
                  <w:shd w:val="clear" w:color="auto" w:fill="auto"/>
                  <w:vAlign w:val="center"/>
                </w:tcPr>
                <w:p w14:paraId="288809F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555" w:type="dxa"/>
                  <w:shd w:val="clear" w:color="auto" w:fill="auto"/>
                  <w:vAlign w:val="center"/>
                </w:tcPr>
                <w:p w14:paraId="466DA800">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0.165</w:t>
                  </w:r>
                </w:p>
              </w:tc>
              <w:tc>
                <w:tcPr>
                  <w:tcW w:w="423" w:type="dxa"/>
                  <w:vMerge w:val="restart"/>
                  <w:shd w:val="clear" w:color="auto" w:fill="auto"/>
                  <w:vAlign w:val="center"/>
                </w:tcPr>
                <w:p w14:paraId="10BF485C">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52" w:type="dxa"/>
                  <w:vMerge w:val="restart"/>
                  <w:shd w:val="clear" w:color="auto" w:fill="auto"/>
                  <w:vAlign w:val="center"/>
                </w:tcPr>
                <w:p w14:paraId="15D0B674">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0.382</w:t>
                  </w:r>
                </w:p>
              </w:tc>
              <w:tc>
                <w:tcPr>
                  <w:tcW w:w="493" w:type="dxa"/>
                  <w:vMerge w:val="restart"/>
                  <w:shd w:val="clear" w:color="auto" w:fill="auto"/>
                  <w:vAlign w:val="center"/>
                </w:tcPr>
                <w:p w14:paraId="609F6EBA">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0.877</w:t>
                  </w:r>
                </w:p>
              </w:tc>
            </w:tr>
            <w:tr w14:paraId="0DFDCD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continue"/>
                  <w:vAlign w:val="center"/>
                </w:tcPr>
                <w:p w14:paraId="4125A658">
                  <w:pPr>
                    <w:pStyle w:val="60"/>
                    <w:rPr>
                      <w:rFonts w:hint="eastAsia"/>
                      <w:color w:val="auto"/>
                      <w:sz w:val="18"/>
                      <w:szCs w:val="18"/>
                      <w:lang w:val="en-US" w:eastAsia="zh-CN"/>
                    </w:rPr>
                  </w:pPr>
                </w:p>
              </w:tc>
              <w:tc>
                <w:tcPr>
                  <w:tcW w:w="335" w:type="dxa"/>
                  <w:vAlign w:val="center"/>
                </w:tcPr>
                <w:p w14:paraId="73CAA8D5">
                  <w:pPr>
                    <w:pStyle w:val="60"/>
                    <w:rPr>
                      <w:rFonts w:hint="eastAsia" w:eastAsia="宋体"/>
                      <w:color w:val="auto"/>
                      <w:sz w:val="18"/>
                      <w:szCs w:val="18"/>
                      <w:lang w:val="en-US" w:eastAsia="zh-CN"/>
                    </w:rPr>
                  </w:pPr>
                  <w:r>
                    <w:rPr>
                      <w:rFonts w:hint="eastAsia"/>
                      <w:color w:val="auto"/>
                      <w:sz w:val="18"/>
                      <w:szCs w:val="18"/>
                      <w:lang w:val="en-US" w:eastAsia="zh-CN"/>
                    </w:rPr>
                    <w:t>1</w:t>
                  </w:r>
                </w:p>
              </w:tc>
              <w:tc>
                <w:tcPr>
                  <w:tcW w:w="420" w:type="dxa"/>
                  <w:vAlign w:val="center"/>
                </w:tcPr>
                <w:p w14:paraId="31E85B70">
                  <w:pPr>
                    <w:pStyle w:val="60"/>
                    <w:rPr>
                      <w:rFonts w:hint="default" w:eastAsia="宋体"/>
                      <w:color w:val="auto"/>
                      <w:sz w:val="18"/>
                      <w:szCs w:val="18"/>
                      <w:lang w:val="en-US" w:eastAsia="zh-CN"/>
                    </w:rPr>
                  </w:pPr>
                  <w:r>
                    <w:rPr>
                      <w:rFonts w:hint="eastAsia"/>
                      <w:color w:val="auto"/>
                      <w:sz w:val="18"/>
                      <w:szCs w:val="18"/>
                      <w:lang w:val="en-US" w:eastAsia="zh-CN"/>
                    </w:rPr>
                    <w:t>0.78</w:t>
                  </w:r>
                </w:p>
              </w:tc>
              <w:tc>
                <w:tcPr>
                  <w:tcW w:w="465" w:type="dxa"/>
                  <w:shd w:val="clear" w:color="auto" w:fill="auto"/>
                  <w:vAlign w:val="center"/>
                </w:tcPr>
                <w:p w14:paraId="3CF3393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74</w:t>
                  </w:r>
                </w:p>
              </w:tc>
              <w:tc>
                <w:tcPr>
                  <w:tcW w:w="435" w:type="dxa"/>
                  <w:shd w:val="clear" w:color="auto" w:fill="auto"/>
                  <w:vAlign w:val="center"/>
                </w:tcPr>
                <w:p w14:paraId="5315596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4.05</w:t>
                  </w:r>
                </w:p>
              </w:tc>
              <w:tc>
                <w:tcPr>
                  <w:tcW w:w="450" w:type="dxa"/>
                  <w:shd w:val="clear" w:color="auto" w:fill="auto"/>
                  <w:vAlign w:val="center"/>
                </w:tcPr>
                <w:p w14:paraId="00EADD2C">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101.3</w:t>
                  </w:r>
                </w:p>
              </w:tc>
              <w:tc>
                <w:tcPr>
                  <w:tcW w:w="465" w:type="dxa"/>
                  <w:shd w:val="clear" w:color="auto" w:fill="auto"/>
                  <w:vAlign w:val="center"/>
                </w:tcPr>
                <w:p w14:paraId="4FF33502">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26.7</w:t>
                  </w:r>
                </w:p>
              </w:tc>
              <w:tc>
                <w:tcPr>
                  <w:tcW w:w="450" w:type="dxa"/>
                  <w:shd w:val="clear" w:color="auto" w:fill="auto"/>
                  <w:vAlign w:val="center"/>
                </w:tcPr>
                <w:p w14:paraId="4F8933F5">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-2.2</w:t>
                  </w:r>
                </w:p>
              </w:tc>
              <w:tc>
                <w:tcPr>
                  <w:tcW w:w="600" w:type="dxa"/>
                  <w:shd w:val="clear" w:color="auto" w:fill="auto"/>
                  <w:vAlign w:val="center"/>
                </w:tcPr>
                <w:p w14:paraId="5E4AC59F">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1305</w:t>
                  </w:r>
                </w:p>
              </w:tc>
              <w:tc>
                <w:tcPr>
                  <w:tcW w:w="375" w:type="dxa"/>
                  <w:shd w:val="clear" w:color="auto" w:fill="auto"/>
                  <w:vAlign w:val="center"/>
                </w:tcPr>
                <w:p w14:paraId="50AA43E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389" w:type="dxa"/>
                  <w:shd w:val="clear" w:color="auto" w:fill="auto"/>
                  <w:vAlign w:val="center"/>
                </w:tcPr>
                <w:p w14:paraId="6EE51E0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2.8</w:t>
                  </w:r>
                </w:p>
              </w:tc>
              <w:tc>
                <w:tcPr>
                  <w:tcW w:w="411" w:type="dxa"/>
                  <w:shd w:val="clear" w:color="auto" w:fill="auto"/>
                  <w:vAlign w:val="center"/>
                </w:tcPr>
                <w:p w14:paraId="00BAC5B3">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白色</w:t>
                  </w:r>
                </w:p>
              </w:tc>
              <w:tc>
                <w:tcPr>
                  <w:tcW w:w="540" w:type="dxa"/>
                  <w:shd w:val="clear" w:color="auto" w:fill="auto"/>
                  <w:vAlign w:val="center"/>
                </w:tcPr>
                <w:p w14:paraId="57BACA89">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355</w:t>
                  </w:r>
                </w:p>
              </w:tc>
              <w:tc>
                <w:tcPr>
                  <w:tcW w:w="480" w:type="dxa"/>
                  <w:shd w:val="clear" w:color="auto" w:fill="auto"/>
                  <w:vAlign w:val="center"/>
                </w:tcPr>
                <w:p w14:paraId="2FB3FE38">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-295</w:t>
                  </w:r>
                </w:p>
              </w:tc>
              <w:tc>
                <w:tcPr>
                  <w:tcW w:w="400" w:type="dxa"/>
                  <w:shd w:val="clear" w:color="auto" w:fill="auto"/>
                  <w:vAlign w:val="center"/>
                </w:tcPr>
                <w:p w14:paraId="4BB535D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555" w:type="dxa"/>
                  <w:shd w:val="clear" w:color="auto" w:fill="auto"/>
                  <w:vAlign w:val="center"/>
                </w:tcPr>
                <w:p w14:paraId="57822929">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0.165</w:t>
                  </w:r>
                </w:p>
              </w:tc>
              <w:tc>
                <w:tcPr>
                  <w:tcW w:w="423" w:type="dxa"/>
                  <w:vMerge w:val="continue"/>
                  <w:shd w:val="clear" w:color="auto" w:fill="auto"/>
                  <w:vAlign w:val="center"/>
                </w:tcPr>
                <w:p w14:paraId="56AC050B">
                  <w:pPr>
                    <w:pStyle w:val="60"/>
                    <w:rPr>
                      <w:rFonts w:hint="eastAsia" w:ascii="Times New Roman" w:hAnsi="Times New Roman" w:eastAsia="宋体" w:cs="Times New Roman"/>
                      <w:color w:val="auto"/>
                      <w:kern w:val="2"/>
                      <w:sz w:val="18"/>
                      <w:szCs w:val="18"/>
                      <w:lang w:val="en-US" w:eastAsia="zh-CN" w:bidi="ar-SA"/>
                    </w:rPr>
                  </w:pPr>
                </w:p>
              </w:tc>
              <w:tc>
                <w:tcPr>
                  <w:tcW w:w="552" w:type="dxa"/>
                  <w:vMerge w:val="continue"/>
                  <w:shd w:val="clear" w:color="auto" w:fill="auto"/>
                  <w:vAlign w:val="center"/>
                </w:tcPr>
                <w:p w14:paraId="54E91D40">
                  <w:pPr>
                    <w:pStyle w:val="60"/>
                    <w:rPr>
                      <w:rFonts w:hint="eastAsia" w:ascii="Times New Roman" w:hAnsi="Times New Roman" w:eastAsia="宋体" w:cs="Times New Roman"/>
                      <w:bCs/>
                      <w:color w:val="auto"/>
                      <w:kern w:val="2"/>
                      <w:sz w:val="18"/>
                      <w:szCs w:val="18"/>
                      <w:lang w:val="zh-CN" w:eastAsia="zh-CN" w:bidi="ar-SA"/>
                    </w:rPr>
                  </w:pPr>
                </w:p>
              </w:tc>
              <w:tc>
                <w:tcPr>
                  <w:tcW w:w="493" w:type="dxa"/>
                  <w:vMerge w:val="continue"/>
                  <w:shd w:val="clear" w:color="auto" w:fill="auto"/>
                  <w:vAlign w:val="center"/>
                </w:tcPr>
                <w:p w14:paraId="6F17D081">
                  <w:pPr>
                    <w:pStyle w:val="60"/>
                    <w:rPr>
                      <w:rFonts w:hint="eastAsia" w:ascii="Times New Roman" w:hAnsi="Times New Roman" w:eastAsia="宋体" w:cs="Times New Roman"/>
                      <w:bCs/>
                      <w:color w:val="auto"/>
                      <w:kern w:val="2"/>
                      <w:sz w:val="18"/>
                      <w:szCs w:val="18"/>
                      <w:lang w:val="en-US" w:eastAsia="zh-CN" w:bidi="ar-SA"/>
                    </w:rPr>
                  </w:pPr>
                </w:p>
              </w:tc>
            </w:tr>
            <w:tr w14:paraId="5F6AB8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continue"/>
                  <w:vAlign w:val="center"/>
                </w:tcPr>
                <w:p w14:paraId="3E0A32C1">
                  <w:pPr>
                    <w:pStyle w:val="60"/>
                    <w:rPr>
                      <w:rFonts w:hint="eastAsia"/>
                      <w:color w:val="auto"/>
                      <w:sz w:val="18"/>
                      <w:szCs w:val="18"/>
                      <w:lang w:val="en-US" w:eastAsia="zh-CN"/>
                    </w:rPr>
                  </w:pPr>
                </w:p>
              </w:tc>
              <w:tc>
                <w:tcPr>
                  <w:tcW w:w="335" w:type="dxa"/>
                  <w:vAlign w:val="center"/>
                </w:tcPr>
                <w:p w14:paraId="145A46FF">
                  <w:pPr>
                    <w:pStyle w:val="60"/>
                    <w:rPr>
                      <w:rFonts w:hint="eastAsia" w:eastAsia="宋体"/>
                      <w:color w:val="auto"/>
                      <w:sz w:val="18"/>
                      <w:szCs w:val="18"/>
                      <w:lang w:val="en-US" w:eastAsia="zh-CN"/>
                    </w:rPr>
                  </w:pPr>
                  <w:r>
                    <w:rPr>
                      <w:rFonts w:hint="eastAsia"/>
                      <w:color w:val="auto"/>
                      <w:sz w:val="18"/>
                      <w:szCs w:val="18"/>
                      <w:lang w:val="en-US" w:eastAsia="zh-CN"/>
                    </w:rPr>
                    <w:t>1</w:t>
                  </w:r>
                </w:p>
              </w:tc>
              <w:tc>
                <w:tcPr>
                  <w:tcW w:w="420" w:type="dxa"/>
                  <w:vAlign w:val="center"/>
                </w:tcPr>
                <w:p w14:paraId="76B6E767">
                  <w:pPr>
                    <w:pStyle w:val="60"/>
                    <w:rPr>
                      <w:rFonts w:hint="default" w:eastAsia="宋体"/>
                      <w:color w:val="auto"/>
                      <w:sz w:val="18"/>
                      <w:szCs w:val="18"/>
                      <w:lang w:val="en-US" w:eastAsia="zh-CN"/>
                    </w:rPr>
                  </w:pPr>
                  <w:r>
                    <w:rPr>
                      <w:rFonts w:hint="eastAsia"/>
                      <w:color w:val="auto"/>
                      <w:sz w:val="18"/>
                      <w:szCs w:val="18"/>
                      <w:lang w:val="en-US" w:eastAsia="zh-CN"/>
                    </w:rPr>
                    <w:t>0.78</w:t>
                  </w:r>
                </w:p>
              </w:tc>
              <w:tc>
                <w:tcPr>
                  <w:tcW w:w="465" w:type="dxa"/>
                  <w:shd w:val="clear" w:color="auto" w:fill="auto"/>
                  <w:vAlign w:val="center"/>
                </w:tcPr>
                <w:p w14:paraId="6720805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74</w:t>
                  </w:r>
                </w:p>
              </w:tc>
              <w:tc>
                <w:tcPr>
                  <w:tcW w:w="435" w:type="dxa"/>
                  <w:shd w:val="clear" w:color="auto" w:fill="auto"/>
                  <w:vAlign w:val="center"/>
                </w:tcPr>
                <w:p w14:paraId="3A07EB2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4.05</w:t>
                  </w:r>
                </w:p>
              </w:tc>
              <w:tc>
                <w:tcPr>
                  <w:tcW w:w="450" w:type="dxa"/>
                  <w:shd w:val="clear" w:color="auto" w:fill="auto"/>
                  <w:vAlign w:val="center"/>
                </w:tcPr>
                <w:p w14:paraId="541CF89A">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101.3</w:t>
                  </w:r>
                </w:p>
              </w:tc>
              <w:tc>
                <w:tcPr>
                  <w:tcW w:w="465" w:type="dxa"/>
                  <w:shd w:val="clear" w:color="auto" w:fill="auto"/>
                  <w:vAlign w:val="center"/>
                </w:tcPr>
                <w:p w14:paraId="35FCFEA7">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26.7</w:t>
                  </w:r>
                </w:p>
              </w:tc>
              <w:tc>
                <w:tcPr>
                  <w:tcW w:w="450" w:type="dxa"/>
                  <w:shd w:val="clear" w:color="auto" w:fill="auto"/>
                  <w:vAlign w:val="center"/>
                </w:tcPr>
                <w:p w14:paraId="0CFEAF7C">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-2.2</w:t>
                  </w:r>
                </w:p>
              </w:tc>
              <w:tc>
                <w:tcPr>
                  <w:tcW w:w="600" w:type="dxa"/>
                  <w:shd w:val="clear" w:color="auto" w:fill="auto"/>
                  <w:vAlign w:val="center"/>
                </w:tcPr>
                <w:p w14:paraId="07055E3D">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1305</w:t>
                  </w:r>
                </w:p>
              </w:tc>
              <w:tc>
                <w:tcPr>
                  <w:tcW w:w="375" w:type="dxa"/>
                  <w:shd w:val="clear" w:color="auto" w:fill="auto"/>
                  <w:vAlign w:val="center"/>
                </w:tcPr>
                <w:p w14:paraId="01A002D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389" w:type="dxa"/>
                  <w:shd w:val="clear" w:color="auto" w:fill="auto"/>
                  <w:vAlign w:val="center"/>
                </w:tcPr>
                <w:p w14:paraId="45632AE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2.8</w:t>
                  </w:r>
                </w:p>
              </w:tc>
              <w:tc>
                <w:tcPr>
                  <w:tcW w:w="411" w:type="dxa"/>
                  <w:shd w:val="clear" w:color="auto" w:fill="auto"/>
                  <w:vAlign w:val="center"/>
                </w:tcPr>
                <w:p w14:paraId="539F9D6C">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白色</w:t>
                  </w:r>
                </w:p>
              </w:tc>
              <w:tc>
                <w:tcPr>
                  <w:tcW w:w="540" w:type="dxa"/>
                  <w:shd w:val="clear" w:color="auto" w:fill="auto"/>
                  <w:vAlign w:val="center"/>
                </w:tcPr>
                <w:p w14:paraId="14490CF9">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355</w:t>
                  </w:r>
                </w:p>
              </w:tc>
              <w:tc>
                <w:tcPr>
                  <w:tcW w:w="480" w:type="dxa"/>
                  <w:shd w:val="clear" w:color="auto" w:fill="auto"/>
                  <w:vAlign w:val="center"/>
                </w:tcPr>
                <w:p w14:paraId="6F31D2A3">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-295</w:t>
                  </w:r>
                </w:p>
              </w:tc>
              <w:tc>
                <w:tcPr>
                  <w:tcW w:w="400" w:type="dxa"/>
                  <w:shd w:val="clear" w:color="auto" w:fill="auto"/>
                  <w:vAlign w:val="center"/>
                </w:tcPr>
                <w:p w14:paraId="7B72C78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555" w:type="dxa"/>
                  <w:shd w:val="clear" w:color="auto" w:fill="auto"/>
                  <w:vAlign w:val="center"/>
                </w:tcPr>
                <w:p w14:paraId="51B6219D">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0.165</w:t>
                  </w:r>
                </w:p>
              </w:tc>
              <w:tc>
                <w:tcPr>
                  <w:tcW w:w="423" w:type="dxa"/>
                  <w:vMerge w:val="continue"/>
                  <w:shd w:val="clear" w:color="auto" w:fill="auto"/>
                  <w:vAlign w:val="center"/>
                </w:tcPr>
                <w:p w14:paraId="70DD4861">
                  <w:pPr>
                    <w:pStyle w:val="60"/>
                    <w:rPr>
                      <w:rFonts w:hint="eastAsia" w:ascii="Times New Roman" w:hAnsi="Times New Roman" w:eastAsia="宋体" w:cs="Times New Roman"/>
                      <w:color w:val="auto"/>
                      <w:kern w:val="2"/>
                      <w:sz w:val="18"/>
                      <w:szCs w:val="18"/>
                      <w:lang w:val="en-US" w:eastAsia="zh-CN" w:bidi="ar-SA"/>
                    </w:rPr>
                  </w:pPr>
                </w:p>
              </w:tc>
              <w:tc>
                <w:tcPr>
                  <w:tcW w:w="552" w:type="dxa"/>
                  <w:vMerge w:val="continue"/>
                  <w:shd w:val="clear" w:color="auto" w:fill="auto"/>
                  <w:vAlign w:val="center"/>
                </w:tcPr>
                <w:p w14:paraId="198CE663">
                  <w:pPr>
                    <w:pStyle w:val="60"/>
                    <w:rPr>
                      <w:rFonts w:hint="eastAsia" w:ascii="Times New Roman" w:hAnsi="Times New Roman" w:eastAsia="宋体" w:cs="Times New Roman"/>
                      <w:bCs/>
                      <w:color w:val="auto"/>
                      <w:kern w:val="2"/>
                      <w:sz w:val="18"/>
                      <w:szCs w:val="18"/>
                      <w:lang w:val="zh-CN" w:eastAsia="zh-CN" w:bidi="ar-SA"/>
                    </w:rPr>
                  </w:pPr>
                </w:p>
              </w:tc>
              <w:tc>
                <w:tcPr>
                  <w:tcW w:w="493" w:type="dxa"/>
                  <w:vMerge w:val="continue"/>
                  <w:shd w:val="clear" w:color="auto" w:fill="auto"/>
                  <w:vAlign w:val="center"/>
                </w:tcPr>
                <w:p w14:paraId="0A654D55">
                  <w:pPr>
                    <w:pStyle w:val="60"/>
                    <w:rPr>
                      <w:rFonts w:hint="eastAsia" w:ascii="Times New Roman" w:hAnsi="Times New Roman" w:eastAsia="宋体" w:cs="Times New Roman"/>
                      <w:bCs/>
                      <w:color w:val="auto"/>
                      <w:kern w:val="2"/>
                      <w:sz w:val="18"/>
                      <w:szCs w:val="18"/>
                      <w:lang w:val="en-US" w:eastAsia="zh-CN" w:bidi="ar-SA"/>
                    </w:rPr>
                  </w:pPr>
                </w:p>
              </w:tc>
            </w:tr>
          </w:tbl>
          <w:p w14:paraId="6E5C4F4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③灌装废气</w:t>
            </w:r>
          </w:p>
          <w:p w14:paraId="4066CAE2">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rFonts w:hint="eastAsia"/>
                <w:b w:val="0"/>
                <w:bCs w:val="0"/>
                <w:color w:val="auto"/>
                <w:lang w:val="en-US" w:eastAsia="zh-CN"/>
              </w:rPr>
              <w:t>根据项目实际运行经验并类比同类建设项目，项目叔丁醇产品灌装过程中产污系数为0.5</w:t>
            </w:r>
            <w:r>
              <w:rPr>
                <w:rFonts w:hint="default" w:ascii="Times New Roman" w:hAnsi="Times New Roman" w:cs="Times New Roman"/>
                <w:b w:val="0"/>
                <w:bCs w:val="0"/>
                <w:color w:val="auto"/>
                <w:lang w:val="en-US" w:eastAsia="zh-CN"/>
              </w:rPr>
              <w:t>‰</w:t>
            </w:r>
            <w:r>
              <w:rPr>
                <w:rFonts w:hint="eastAsia"/>
                <w:b w:val="0"/>
                <w:bCs w:val="0"/>
                <w:color w:val="auto"/>
                <w:lang w:val="en-US" w:eastAsia="zh-CN"/>
              </w:rPr>
              <w:t>-吨产品。根据前述，本项目需灌装的叔丁醇产品量</w:t>
            </w:r>
            <w:r>
              <w:rPr>
                <w:rFonts w:hint="eastAsia"/>
                <w:b w:val="0"/>
                <w:bCs w:val="0"/>
                <w:color w:val="auto"/>
                <w:highlight w:val="none"/>
                <w:lang w:val="en-US" w:eastAsia="zh-CN"/>
              </w:rPr>
              <w:t>为10000吨</w:t>
            </w:r>
            <w:r>
              <w:rPr>
                <w:rFonts w:hint="eastAsia"/>
                <w:b w:val="0"/>
                <w:bCs w:val="0"/>
                <w:color w:val="auto"/>
                <w:lang w:val="en-US" w:eastAsia="zh-CN"/>
              </w:rPr>
              <w:t>，则本项目灌装过程中VOCs产生量为5t/a。</w:t>
            </w:r>
          </w:p>
          <w:p w14:paraId="1542C207">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color w:val="auto"/>
                <w:lang w:val="en-US" w:eastAsia="zh-CN"/>
              </w:rPr>
            </w:pPr>
            <w:r>
              <w:rPr>
                <w:rFonts w:hint="eastAsia"/>
                <w:color w:val="auto"/>
                <w:lang w:val="en-US" w:eastAsia="zh-CN"/>
              </w:rPr>
              <w:t>④呼吸废气及灌装废气汇总</w:t>
            </w:r>
          </w:p>
          <w:p w14:paraId="68557F5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color w:val="auto"/>
                <w:lang w:val="en-US" w:eastAsia="zh-CN"/>
              </w:rPr>
            </w:pPr>
            <w:r>
              <w:rPr>
                <w:rFonts w:hint="eastAsia"/>
                <w:color w:val="auto"/>
                <w:lang w:val="en-US" w:eastAsia="zh-CN"/>
              </w:rPr>
              <w:t>根据前述，现有项目储罐呼吸废气及灌装废气</w:t>
            </w:r>
            <w:r>
              <w:rPr>
                <w:rFonts w:hint="eastAsia"/>
                <w:b w:val="0"/>
                <w:bCs w:val="0"/>
                <w:color w:val="auto"/>
                <w:sz w:val="21"/>
                <w:szCs w:val="21"/>
                <w:lang w:val="en-US" w:eastAsia="zh-CN"/>
              </w:rPr>
              <w:t>经水洗塔预处理后送西厂区2台尾气炉焚烧处理后经配套DA001/DA002排气筒排放。“水洗+焚烧”综合处理效率取96.5%，则处理后现有甲醇原料罐、叔丁醇产品暂存罐呼吸废气及灌装废气排放量具体如下：</w:t>
            </w:r>
          </w:p>
          <w:p w14:paraId="50AAD77F">
            <w:pPr>
              <w:spacing w:before="120" w:beforeLines="50"/>
              <w:jc w:val="center"/>
              <w:rPr>
                <w:rFonts w:hint="default"/>
                <w:b/>
                <w:bCs/>
                <w:color w:val="auto"/>
                <w:highlight w:val="none"/>
                <w:lang w:val="en-US"/>
              </w:rPr>
            </w:pPr>
            <w:r>
              <w:rPr>
                <w:b/>
                <w:bCs/>
                <w:color w:val="auto"/>
                <w:highlight w:val="none"/>
              </w:rPr>
              <w:t>表</w:t>
            </w:r>
            <w:r>
              <w:rPr>
                <w:rFonts w:hint="eastAsia"/>
                <w:b/>
                <w:bCs/>
                <w:color w:val="auto"/>
                <w:highlight w:val="none"/>
                <w:lang w:val="en-US" w:eastAsia="zh-CN"/>
              </w:rPr>
              <w:t>2-17</w:t>
            </w:r>
            <w:r>
              <w:rPr>
                <w:b/>
                <w:bCs/>
                <w:color w:val="auto"/>
                <w:highlight w:val="none"/>
              </w:rPr>
              <w:t xml:space="preserve">  </w:t>
            </w:r>
            <w:r>
              <w:rPr>
                <w:rFonts w:hint="eastAsia"/>
                <w:b/>
                <w:bCs/>
                <w:color w:val="auto"/>
                <w:highlight w:val="none"/>
                <w:lang w:val="en-US" w:eastAsia="zh-CN"/>
              </w:rPr>
              <w:t>现有储罐呼吸废气及灌装废气产排情况表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622"/>
              <w:gridCol w:w="623"/>
              <w:gridCol w:w="1125"/>
              <w:gridCol w:w="2483"/>
              <w:gridCol w:w="1414"/>
              <w:gridCol w:w="1417"/>
            </w:tblGrid>
            <w:tr w14:paraId="3BB70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Align w:val="center"/>
                </w:tcPr>
                <w:p w14:paraId="284BC733">
                  <w:pPr>
                    <w:jc w:val="center"/>
                    <w:rPr>
                      <w:rFonts w:hint="eastAsia"/>
                      <w:color w:val="auto"/>
                      <w:kern w:val="0"/>
                      <w:sz w:val="18"/>
                      <w:szCs w:val="18"/>
                      <w:highlight w:val="none"/>
                    </w:rPr>
                  </w:pPr>
                  <w:r>
                    <w:rPr>
                      <w:rFonts w:hint="eastAsia"/>
                      <w:color w:val="auto"/>
                      <w:kern w:val="0"/>
                      <w:sz w:val="18"/>
                      <w:szCs w:val="18"/>
                      <w:highlight w:val="none"/>
                    </w:rPr>
                    <w:t>序号</w:t>
                  </w:r>
                </w:p>
              </w:tc>
              <w:tc>
                <w:tcPr>
                  <w:tcW w:w="1245" w:type="dxa"/>
                  <w:gridSpan w:val="2"/>
                  <w:tcBorders>
                    <w:left w:val="single" w:color="auto" w:sz="2" w:space="0"/>
                  </w:tcBorders>
                  <w:vAlign w:val="center"/>
                </w:tcPr>
                <w:p w14:paraId="2F8B2B63">
                  <w:pPr>
                    <w:jc w:val="center"/>
                    <w:rPr>
                      <w:rFonts w:hint="eastAsia"/>
                      <w:color w:val="auto"/>
                      <w:kern w:val="0"/>
                      <w:sz w:val="18"/>
                      <w:szCs w:val="18"/>
                      <w:highlight w:val="none"/>
                    </w:rPr>
                  </w:pPr>
                  <w:r>
                    <w:rPr>
                      <w:rFonts w:hint="eastAsia"/>
                      <w:color w:val="auto"/>
                      <w:kern w:val="0"/>
                      <w:sz w:val="18"/>
                      <w:szCs w:val="18"/>
                      <w:highlight w:val="none"/>
                    </w:rPr>
                    <w:t>污染物名称</w:t>
                  </w:r>
                </w:p>
              </w:tc>
              <w:tc>
                <w:tcPr>
                  <w:tcW w:w="1125" w:type="dxa"/>
                  <w:vAlign w:val="center"/>
                </w:tcPr>
                <w:p w14:paraId="20F79C37">
                  <w:pPr>
                    <w:jc w:val="center"/>
                    <w:rPr>
                      <w:rFonts w:hint="eastAsia"/>
                      <w:color w:val="auto"/>
                      <w:kern w:val="0"/>
                      <w:sz w:val="18"/>
                      <w:szCs w:val="18"/>
                      <w:highlight w:val="none"/>
                    </w:rPr>
                  </w:pPr>
                  <w:r>
                    <w:rPr>
                      <w:rFonts w:hint="eastAsia"/>
                      <w:color w:val="auto"/>
                      <w:kern w:val="0"/>
                      <w:sz w:val="18"/>
                      <w:szCs w:val="18"/>
                      <w:highlight w:val="none"/>
                      <w:lang w:val="en-US" w:eastAsia="zh-CN"/>
                    </w:rPr>
                    <w:t>产生</w:t>
                  </w:r>
                  <w:r>
                    <w:rPr>
                      <w:rFonts w:hint="eastAsia"/>
                      <w:color w:val="auto"/>
                      <w:kern w:val="0"/>
                      <w:sz w:val="18"/>
                      <w:szCs w:val="18"/>
                      <w:highlight w:val="none"/>
                    </w:rPr>
                    <w:t>量（t/a）</w:t>
                  </w:r>
                </w:p>
              </w:tc>
              <w:tc>
                <w:tcPr>
                  <w:tcW w:w="2483" w:type="dxa"/>
                  <w:vAlign w:val="center"/>
                </w:tcPr>
                <w:p w14:paraId="44CF0E77">
                  <w:pPr>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治理设施</w:t>
                  </w:r>
                </w:p>
              </w:tc>
              <w:tc>
                <w:tcPr>
                  <w:tcW w:w="1414" w:type="dxa"/>
                  <w:vAlign w:val="center"/>
                </w:tcPr>
                <w:p w14:paraId="2E91C76A">
                  <w:pPr>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处理效率</w:t>
                  </w:r>
                </w:p>
              </w:tc>
              <w:tc>
                <w:tcPr>
                  <w:tcW w:w="1417" w:type="dxa"/>
                  <w:vAlign w:val="center"/>
                </w:tcPr>
                <w:p w14:paraId="6C7AB528">
                  <w:pPr>
                    <w:jc w:val="center"/>
                    <w:rPr>
                      <w:rFonts w:hint="eastAsia"/>
                      <w:color w:val="auto"/>
                      <w:kern w:val="0"/>
                      <w:sz w:val="18"/>
                      <w:szCs w:val="18"/>
                      <w:highlight w:val="none"/>
                    </w:rPr>
                  </w:pPr>
                  <w:r>
                    <w:rPr>
                      <w:rFonts w:hint="eastAsia"/>
                      <w:color w:val="auto"/>
                      <w:kern w:val="0"/>
                      <w:sz w:val="18"/>
                      <w:szCs w:val="18"/>
                      <w:highlight w:val="none"/>
                    </w:rPr>
                    <w:t>排放量（t/a）</w:t>
                  </w:r>
                </w:p>
              </w:tc>
            </w:tr>
            <w:tr w14:paraId="6E392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Align w:val="center"/>
                </w:tcPr>
                <w:p w14:paraId="5CC66126">
                  <w:pPr>
                    <w:jc w:val="center"/>
                    <w:rPr>
                      <w:rFonts w:hint="eastAsia"/>
                      <w:color w:val="auto"/>
                      <w:kern w:val="0"/>
                      <w:sz w:val="18"/>
                      <w:szCs w:val="18"/>
                      <w:highlight w:val="none"/>
                    </w:rPr>
                  </w:pPr>
                  <w:r>
                    <w:rPr>
                      <w:rFonts w:hint="eastAsia"/>
                      <w:color w:val="auto"/>
                      <w:kern w:val="0"/>
                      <w:sz w:val="18"/>
                      <w:szCs w:val="18"/>
                      <w:highlight w:val="none"/>
                    </w:rPr>
                    <w:t>1</w:t>
                  </w:r>
                </w:p>
              </w:tc>
              <w:tc>
                <w:tcPr>
                  <w:tcW w:w="1245" w:type="dxa"/>
                  <w:gridSpan w:val="2"/>
                  <w:tcBorders>
                    <w:left w:val="single" w:color="auto" w:sz="2" w:space="0"/>
                  </w:tcBorders>
                  <w:shd w:val="clear" w:color="auto" w:fill="auto"/>
                  <w:vAlign w:val="center"/>
                </w:tcPr>
                <w:p w14:paraId="7AF331AE">
                  <w:pPr>
                    <w:jc w:val="center"/>
                    <w:rPr>
                      <w:rFonts w:hint="default"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lang w:val="en-US" w:eastAsia="zh-CN"/>
                    </w:rPr>
                    <w:t>总VOCs</w:t>
                  </w:r>
                </w:p>
              </w:tc>
              <w:tc>
                <w:tcPr>
                  <w:tcW w:w="1125" w:type="dxa"/>
                  <w:shd w:val="clear" w:color="auto" w:fill="auto"/>
                  <w:vAlign w:val="center"/>
                </w:tcPr>
                <w:p w14:paraId="281AC470">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17.564</w:t>
                  </w:r>
                </w:p>
              </w:tc>
              <w:tc>
                <w:tcPr>
                  <w:tcW w:w="2483" w:type="dxa"/>
                  <w:vMerge w:val="restart"/>
                  <w:shd w:val="clear" w:color="auto" w:fill="auto"/>
                  <w:vAlign w:val="center"/>
                </w:tcPr>
                <w:p w14:paraId="79E88BE0">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水洗（30%）+焚烧（95%）</w:t>
                  </w:r>
                </w:p>
              </w:tc>
              <w:tc>
                <w:tcPr>
                  <w:tcW w:w="1414" w:type="dxa"/>
                  <w:vMerge w:val="restart"/>
                  <w:shd w:val="clear" w:color="auto" w:fill="auto"/>
                  <w:vAlign w:val="center"/>
                </w:tcPr>
                <w:p w14:paraId="308C46D4">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96.5%</w:t>
                  </w:r>
                </w:p>
              </w:tc>
              <w:tc>
                <w:tcPr>
                  <w:tcW w:w="1417" w:type="dxa"/>
                  <w:shd w:val="clear" w:color="auto" w:fill="auto"/>
                  <w:vAlign w:val="center"/>
                </w:tcPr>
                <w:p w14:paraId="680C8075">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0.615</w:t>
                  </w:r>
                </w:p>
              </w:tc>
            </w:tr>
            <w:tr w14:paraId="552A6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Align w:val="center"/>
                </w:tcPr>
                <w:p w14:paraId="286BA2D9">
                  <w:pPr>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622" w:type="dxa"/>
                  <w:tcBorders>
                    <w:left w:val="single" w:color="auto" w:sz="2" w:space="0"/>
                  </w:tcBorders>
                  <w:shd w:val="clear" w:color="auto" w:fill="auto"/>
                  <w:vAlign w:val="center"/>
                </w:tcPr>
                <w:p w14:paraId="43848F43">
                  <w:pPr>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其中</w:t>
                  </w:r>
                </w:p>
              </w:tc>
              <w:tc>
                <w:tcPr>
                  <w:tcW w:w="623" w:type="dxa"/>
                  <w:tcBorders>
                    <w:left w:val="single" w:color="auto" w:sz="2" w:space="0"/>
                  </w:tcBorders>
                  <w:shd w:val="clear" w:color="auto" w:fill="auto"/>
                  <w:vAlign w:val="center"/>
                </w:tcPr>
                <w:p w14:paraId="076B0CFF">
                  <w:pPr>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甲醇</w:t>
                  </w:r>
                </w:p>
              </w:tc>
              <w:tc>
                <w:tcPr>
                  <w:tcW w:w="1125" w:type="dxa"/>
                  <w:shd w:val="clear" w:color="auto" w:fill="auto"/>
                  <w:vAlign w:val="center"/>
                </w:tcPr>
                <w:p w14:paraId="5AAF192C">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11.687</w:t>
                  </w:r>
                </w:p>
              </w:tc>
              <w:tc>
                <w:tcPr>
                  <w:tcW w:w="2483" w:type="dxa"/>
                  <w:vMerge w:val="continue"/>
                  <w:shd w:val="clear" w:color="auto" w:fill="auto"/>
                  <w:vAlign w:val="center"/>
                </w:tcPr>
                <w:p w14:paraId="42EFC491">
                  <w:pPr>
                    <w:pStyle w:val="60"/>
                    <w:rPr>
                      <w:rFonts w:hint="eastAsia" w:ascii="Times New Roman" w:hAnsi="Times New Roman" w:eastAsia="宋体" w:cs="Times New Roman"/>
                      <w:color w:val="auto"/>
                      <w:kern w:val="2"/>
                      <w:sz w:val="18"/>
                      <w:szCs w:val="18"/>
                      <w:highlight w:val="none"/>
                      <w:lang w:val="en-US" w:eastAsia="zh-CN" w:bidi="ar-SA"/>
                    </w:rPr>
                  </w:pPr>
                </w:p>
              </w:tc>
              <w:tc>
                <w:tcPr>
                  <w:tcW w:w="1414" w:type="dxa"/>
                  <w:vMerge w:val="continue"/>
                  <w:shd w:val="clear" w:color="auto" w:fill="auto"/>
                  <w:vAlign w:val="center"/>
                </w:tcPr>
                <w:p w14:paraId="66085460">
                  <w:pPr>
                    <w:pStyle w:val="60"/>
                    <w:rPr>
                      <w:rFonts w:hint="eastAsia" w:ascii="Times New Roman" w:hAnsi="Times New Roman" w:eastAsia="宋体" w:cs="Times New Roman"/>
                      <w:color w:val="auto"/>
                      <w:kern w:val="2"/>
                      <w:sz w:val="18"/>
                      <w:szCs w:val="18"/>
                      <w:highlight w:val="none"/>
                      <w:lang w:val="en-US" w:eastAsia="zh-CN" w:bidi="ar-SA"/>
                    </w:rPr>
                  </w:pPr>
                </w:p>
              </w:tc>
              <w:tc>
                <w:tcPr>
                  <w:tcW w:w="1417" w:type="dxa"/>
                  <w:shd w:val="clear" w:color="auto" w:fill="auto"/>
                  <w:vAlign w:val="center"/>
                </w:tcPr>
                <w:p w14:paraId="33F0B715">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0.409</w:t>
                  </w:r>
                </w:p>
              </w:tc>
            </w:tr>
          </w:tbl>
          <w:p w14:paraId="02211E5D">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b/>
                <w:color w:val="auto"/>
                <w:szCs w:val="21"/>
              </w:rPr>
            </w:pPr>
            <w:r>
              <w:rPr>
                <w:rFonts w:hint="eastAsia"/>
                <w:b/>
                <w:color w:val="auto"/>
                <w:szCs w:val="21"/>
              </w:rPr>
              <w:t>（2）无组织废气</w:t>
            </w:r>
          </w:p>
          <w:p w14:paraId="29DE9A0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bCs/>
                <w:color w:val="auto"/>
                <w:szCs w:val="21"/>
                <w:lang w:val="en-US"/>
              </w:rPr>
            </w:pPr>
            <w:r>
              <w:rPr>
                <w:color w:val="auto"/>
              </w:rPr>
              <w:t>现有项目无组织废气产生环节主要</w:t>
            </w:r>
            <w:r>
              <w:rPr>
                <w:rFonts w:hint="eastAsia"/>
                <w:color w:val="auto"/>
              </w:rPr>
              <w:t>为</w:t>
            </w:r>
            <w:r>
              <w:rPr>
                <w:color w:val="auto"/>
              </w:rPr>
              <w:t>设备动静密封点废气</w:t>
            </w:r>
            <w:r>
              <w:rPr>
                <w:rFonts w:hint="eastAsia"/>
                <w:bCs/>
                <w:color w:val="auto"/>
                <w:szCs w:val="21"/>
              </w:rPr>
              <w:t>。</w:t>
            </w:r>
            <w:r>
              <w:rPr>
                <w:rFonts w:hint="eastAsia"/>
                <w:bCs/>
                <w:color w:val="auto"/>
                <w:szCs w:val="21"/>
                <w:lang w:val="en-US" w:eastAsia="zh-CN"/>
              </w:rPr>
              <w:t>根据</w:t>
            </w:r>
            <w:r>
              <w:rPr>
                <w:rFonts w:hint="eastAsia"/>
                <w:color w:val="auto"/>
                <w:szCs w:val="24"/>
                <w:lang w:val="en-US" w:eastAsia="zh-CN"/>
              </w:rPr>
              <w:t>2025年9月8日山东中熙环境检测服务有限公司出具的山东诚光工贸有限公司现有项目例行检测报告“ZXJC/BG202509081”显示，现有项目无组织废气排放情况见下表：</w:t>
            </w:r>
          </w:p>
          <w:p w14:paraId="324A0C52">
            <w:pPr>
              <w:adjustRightInd w:val="0"/>
              <w:snapToGrid w:val="0"/>
              <w:spacing w:before="120" w:beforeLines="50"/>
              <w:jc w:val="center"/>
              <w:rPr>
                <w:rFonts w:hint="eastAsia"/>
                <w:b/>
                <w:color w:val="auto"/>
                <w:szCs w:val="21"/>
                <w:highlight w:val="none"/>
              </w:rPr>
            </w:pPr>
            <w:r>
              <w:rPr>
                <w:rFonts w:hint="eastAsia"/>
                <w:b/>
                <w:color w:val="auto"/>
                <w:szCs w:val="21"/>
                <w:highlight w:val="none"/>
              </w:rPr>
              <w:t>表2-</w:t>
            </w:r>
            <w:r>
              <w:rPr>
                <w:rFonts w:hint="eastAsia"/>
                <w:b/>
                <w:color w:val="auto"/>
                <w:szCs w:val="21"/>
                <w:highlight w:val="none"/>
                <w:lang w:val="en-US" w:eastAsia="zh-CN"/>
              </w:rPr>
              <w:t>18</w:t>
            </w:r>
            <w:r>
              <w:rPr>
                <w:rFonts w:hint="eastAsia"/>
                <w:b/>
                <w:color w:val="auto"/>
                <w:szCs w:val="21"/>
                <w:highlight w:val="none"/>
              </w:rPr>
              <w:t xml:space="preserve">  现有项目厂界无组织废气监测结果一览表</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57" w:type="dxa"/>
                <w:bottom w:w="0" w:type="dxa"/>
                <w:right w:w="57" w:type="dxa"/>
              </w:tblCellMar>
            </w:tblPr>
            <w:tblGrid>
              <w:gridCol w:w="964"/>
              <w:gridCol w:w="1041"/>
              <w:gridCol w:w="1299"/>
              <w:gridCol w:w="1300"/>
              <w:gridCol w:w="1299"/>
              <w:gridCol w:w="1300"/>
              <w:gridCol w:w="1220"/>
            </w:tblGrid>
            <w:tr w14:paraId="0C2C53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tblHeader/>
                <w:jc w:val="center"/>
              </w:trPr>
              <w:tc>
                <w:tcPr>
                  <w:tcW w:w="964" w:type="dxa"/>
                  <w:vMerge w:val="restart"/>
                  <w:vAlign w:val="center"/>
                </w:tcPr>
                <w:p w14:paraId="63509274">
                  <w:pPr>
                    <w:jc w:val="center"/>
                    <w:rPr>
                      <w:color w:val="auto"/>
                      <w:kern w:val="0"/>
                      <w:sz w:val="18"/>
                      <w:szCs w:val="18"/>
                    </w:rPr>
                  </w:pPr>
                  <w:r>
                    <w:rPr>
                      <w:rFonts w:hint="eastAsia"/>
                      <w:color w:val="auto"/>
                      <w:kern w:val="0"/>
                      <w:sz w:val="18"/>
                      <w:szCs w:val="18"/>
                    </w:rPr>
                    <w:t>监测项目</w:t>
                  </w:r>
                </w:p>
              </w:tc>
              <w:tc>
                <w:tcPr>
                  <w:tcW w:w="1041" w:type="dxa"/>
                  <w:vMerge w:val="restart"/>
                  <w:vAlign w:val="center"/>
                </w:tcPr>
                <w:p w14:paraId="615A76B1">
                  <w:pPr>
                    <w:jc w:val="center"/>
                    <w:rPr>
                      <w:color w:val="auto"/>
                      <w:kern w:val="0"/>
                      <w:sz w:val="18"/>
                      <w:szCs w:val="18"/>
                    </w:rPr>
                  </w:pPr>
                  <w:r>
                    <w:rPr>
                      <w:rFonts w:hint="eastAsia"/>
                      <w:color w:val="auto"/>
                      <w:kern w:val="0"/>
                      <w:sz w:val="18"/>
                      <w:szCs w:val="18"/>
                    </w:rPr>
                    <w:t>监测时间</w:t>
                  </w:r>
                </w:p>
              </w:tc>
              <w:tc>
                <w:tcPr>
                  <w:tcW w:w="5198" w:type="dxa"/>
                  <w:gridSpan w:val="4"/>
                  <w:vAlign w:val="center"/>
                </w:tcPr>
                <w:p w14:paraId="7403A166">
                  <w:pPr>
                    <w:jc w:val="center"/>
                    <w:rPr>
                      <w:color w:val="auto"/>
                      <w:kern w:val="0"/>
                      <w:sz w:val="18"/>
                      <w:szCs w:val="18"/>
                    </w:rPr>
                  </w:pPr>
                  <w:r>
                    <w:rPr>
                      <w:rFonts w:hint="eastAsia"/>
                      <w:color w:val="auto"/>
                      <w:kern w:val="0"/>
                      <w:sz w:val="18"/>
                      <w:szCs w:val="18"/>
                    </w:rPr>
                    <w:t>监测结果（mg/m</w:t>
                  </w:r>
                  <w:r>
                    <w:rPr>
                      <w:rFonts w:hint="eastAsia"/>
                      <w:color w:val="auto"/>
                      <w:kern w:val="0"/>
                      <w:sz w:val="18"/>
                      <w:szCs w:val="18"/>
                      <w:vertAlign w:val="superscript"/>
                    </w:rPr>
                    <w:t>3</w:t>
                  </w:r>
                  <w:r>
                    <w:rPr>
                      <w:rFonts w:hint="eastAsia"/>
                      <w:color w:val="auto"/>
                      <w:kern w:val="0"/>
                      <w:sz w:val="18"/>
                      <w:szCs w:val="18"/>
                    </w:rPr>
                    <w:t>）</w:t>
                  </w:r>
                </w:p>
              </w:tc>
              <w:tc>
                <w:tcPr>
                  <w:tcW w:w="1220" w:type="dxa"/>
                  <w:vMerge w:val="restart"/>
                  <w:vAlign w:val="center"/>
                </w:tcPr>
                <w:p w14:paraId="5E0D0C92">
                  <w:pPr>
                    <w:jc w:val="center"/>
                    <w:rPr>
                      <w:color w:val="auto"/>
                      <w:kern w:val="0"/>
                      <w:sz w:val="18"/>
                      <w:szCs w:val="18"/>
                    </w:rPr>
                  </w:pPr>
                  <w:r>
                    <w:rPr>
                      <w:rFonts w:hint="eastAsia"/>
                      <w:color w:val="auto"/>
                      <w:kern w:val="0"/>
                      <w:sz w:val="18"/>
                      <w:szCs w:val="18"/>
                    </w:rPr>
                    <w:t>最大值（mg/m</w:t>
                  </w:r>
                  <w:r>
                    <w:rPr>
                      <w:rFonts w:hint="eastAsia"/>
                      <w:color w:val="auto"/>
                      <w:kern w:val="0"/>
                      <w:sz w:val="18"/>
                      <w:szCs w:val="18"/>
                      <w:vertAlign w:val="superscript"/>
                    </w:rPr>
                    <w:t>3</w:t>
                  </w:r>
                  <w:r>
                    <w:rPr>
                      <w:rFonts w:hint="eastAsia"/>
                      <w:color w:val="auto"/>
                      <w:kern w:val="0"/>
                      <w:sz w:val="18"/>
                      <w:szCs w:val="18"/>
                    </w:rPr>
                    <w:t>）</w:t>
                  </w:r>
                </w:p>
              </w:tc>
            </w:tr>
            <w:tr w14:paraId="6AFD06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tblHeader/>
                <w:jc w:val="center"/>
              </w:trPr>
              <w:tc>
                <w:tcPr>
                  <w:tcW w:w="964" w:type="dxa"/>
                  <w:vMerge w:val="continue"/>
                  <w:vAlign w:val="center"/>
                </w:tcPr>
                <w:p w14:paraId="686503FD">
                  <w:pPr>
                    <w:jc w:val="center"/>
                    <w:rPr>
                      <w:color w:val="auto"/>
                      <w:kern w:val="0"/>
                      <w:sz w:val="18"/>
                      <w:szCs w:val="18"/>
                    </w:rPr>
                  </w:pPr>
                </w:p>
              </w:tc>
              <w:tc>
                <w:tcPr>
                  <w:tcW w:w="1041" w:type="dxa"/>
                  <w:vMerge w:val="continue"/>
                  <w:vAlign w:val="center"/>
                </w:tcPr>
                <w:p w14:paraId="63EB748B">
                  <w:pPr>
                    <w:jc w:val="center"/>
                    <w:rPr>
                      <w:color w:val="auto"/>
                      <w:kern w:val="0"/>
                      <w:sz w:val="18"/>
                      <w:szCs w:val="18"/>
                    </w:rPr>
                  </w:pPr>
                </w:p>
              </w:tc>
              <w:tc>
                <w:tcPr>
                  <w:tcW w:w="1299" w:type="dxa"/>
                  <w:vAlign w:val="center"/>
                </w:tcPr>
                <w:p w14:paraId="55AB29F3">
                  <w:pPr>
                    <w:jc w:val="center"/>
                    <w:rPr>
                      <w:color w:val="auto"/>
                      <w:kern w:val="0"/>
                      <w:sz w:val="18"/>
                      <w:szCs w:val="18"/>
                    </w:rPr>
                  </w:pPr>
                  <w:r>
                    <w:rPr>
                      <w:rFonts w:hint="eastAsia"/>
                      <w:color w:val="auto"/>
                      <w:kern w:val="0"/>
                      <w:sz w:val="18"/>
                      <w:szCs w:val="18"/>
                    </w:rPr>
                    <w:t>1#厂界上风向</w:t>
                  </w:r>
                </w:p>
              </w:tc>
              <w:tc>
                <w:tcPr>
                  <w:tcW w:w="1300" w:type="dxa"/>
                  <w:vAlign w:val="center"/>
                </w:tcPr>
                <w:p w14:paraId="3AF78FAE">
                  <w:pPr>
                    <w:jc w:val="center"/>
                    <w:rPr>
                      <w:color w:val="auto"/>
                      <w:kern w:val="0"/>
                      <w:sz w:val="18"/>
                      <w:szCs w:val="18"/>
                    </w:rPr>
                  </w:pPr>
                  <w:r>
                    <w:rPr>
                      <w:rFonts w:hint="eastAsia"/>
                      <w:color w:val="auto"/>
                      <w:kern w:val="0"/>
                      <w:sz w:val="18"/>
                      <w:szCs w:val="18"/>
                    </w:rPr>
                    <w:t>2#厂界下风向</w:t>
                  </w:r>
                </w:p>
              </w:tc>
              <w:tc>
                <w:tcPr>
                  <w:tcW w:w="1299" w:type="dxa"/>
                  <w:vAlign w:val="center"/>
                </w:tcPr>
                <w:p w14:paraId="741573C1">
                  <w:pPr>
                    <w:jc w:val="center"/>
                    <w:rPr>
                      <w:color w:val="auto"/>
                      <w:kern w:val="0"/>
                      <w:sz w:val="18"/>
                      <w:szCs w:val="18"/>
                    </w:rPr>
                  </w:pPr>
                  <w:r>
                    <w:rPr>
                      <w:rFonts w:hint="eastAsia"/>
                      <w:color w:val="auto"/>
                      <w:kern w:val="0"/>
                      <w:sz w:val="18"/>
                      <w:szCs w:val="18"/>
                    </w:rPr>
                    <w:t>3#厂界下风向</w:t>
                  </w:r>
                </w:p>
              </w:tc>
              <w:tc>
                <w:tcPr>
                  <w:tcW w:w="1300" w:type="dxa"/>
                  <w:vAlign w:val="center"/>
                </w:tcPr>
                <w:p w14:paraId="3D5FDB80">
                  <w:pPr>
                    <w:jc w:val="center"/>
                    <w:rPr>
                      <w:color w:val="auto"/>
                      <w:kern w:val="0"/>
                      <w:sz w:val="18"/>
                      <w:szCs w:val="18"/>
                    </w:rPr>
                  </w:pPr>
                  <w:r>
                    <w:rPr>
                      <w:rFonts w:hint="eastAsia"/>
                      <w:color w:val="auto"/>
                      <w:kern w:val="0"/>
                      <w:sz w:val="18"/>
                      <w:szCs w:val="18"/>
                    </w:rPr>
                    <w:t>4#厂界下风向</w:t>
                  </w:r>
                </w:p>
              </w:tc>
              <w:tc>
                <w:tcPr>
                  <w:tcW w:w="1220" w:type="dxa"/>
                  <w:vMerge w:val="continue"/>
                  <w:vAlign w:val="center"/>
                </w:tcPr>
                <w:p w14:paraId="00DA3A8A">
                  <w:pPr>
                    <w:jc w:val="center"/>
                    <w:rPr>
                      <w:color w:val="auto"/>
                      <w:kern w:val="0"/>
                      <w:sz w:val="18"/>
                      <w:szCs w:val="18"/>
                    </w:rPr>
                  </w:pPr>
                </w:p>
              </w:tc>
            </w:tr>
            <w:tr w14:paraId="1150DF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964" w:type="dxa"/>
                  <w:vAlign w:val="center"/>
                </w:tcPr>
                <w:p w14:paraId="4290E2E2">
                  <w:pPr>
                    <w:jc w:val="center"/>
                    <w:rPr>
                      <w:rFonts w:hint="eastAsia" w:eastAsia="宋体"/>
                      <w:color w:val="auto"/>
                      <w:kern w:val="0"/>
                      <w:sz w:val="18"/>
                      <w:szCs w:val="18"/>
                      <w:lang w:eastAsia="zh-CN"/>
                    </w:rPr>
                  </w:pPr>
                  <w:r>
                    <w:rPr>
                      <w:rFonts w:hint="eastAsia"/>
                      <w:color w:val="auto"/>
                      <w:kern w:val="0"/>
                      <w:sz w:val="18"/>
                      <w:szCs w:val="18"/>
                    </w:rPr>
                    <w:t>VOC</w:t>
                  </w:r>
                  <w:r>
                    <w:rPr>
                      <w:rFonts w:hint="eastAsia"/>
                      <w:color w:val="auto"/>
                      <w:kern w:val="0"/>
                      <w:sz w:val="18"/>
                      <w:szCs w:val="18"/>
                      <w:lang w:val="en-US" w:eastAsia="zh-CN"/>
                    </w:rPr>
                    <w:t>s</w:t>
                  </w:r>
                </w:p>
              </w:tc>
              <w:tc>
                <w:tcPr>
                  <w:tcW w:w="1041" w:type="dxa"/>
                  <w:vAlign w:val="center"/>
                </w:tcPr>
                <w:p w14:paraId="720601AD">
                  <w:pPr>
                    <w:jc w:val="center"/>
                    <w:rPr>
                      <w:rFonts w:hint="default" w:eastAsia="宋体"/>
                      <w:color w:val="auto"/>
                      <w:kern w:val="0"/>
                      <w:sz w:val="18"/>
                      <w:szCs w:val="18"/>
                      <w:lang w:val="en-US" w:eastAsia="zh-CN"/>
                    </w:rPr>
                  </w:pPr>
                  <w:r>
                    <w:rPr>
                      <w:rFonts w:hint="eastAsia"/>
                      <w:color w:val="auto"/>
                      <w:kern w:val="0"/>
                      <w:sz w:val="18"/>
                      <w:szCs w:val="18"/>
                    </w:rPr>
                    <w:t>202</w:t>
                  </w:r>
                  <w:r>
                    <w:rPr>
                      <w:rFonts w:hint="eastAsia"/>
                      <w:color w:val="auto"/>
                      <w:kern w:val="0"/>
                      <w:sz w:val="18"/>
                      <w:szCs w:val="18"/>
                      <w:lang w:val="en-US" w:eastAsia="zh-CN"/>
                    </w:rPr>
                    <w:t>5.08.01</w:t>
                  </w:r>
                </w:p>
              </w:tc>
              <w:tc>
                <w:tcPr>
                  <w:tcW w:w="1299" w:type="dxa"/>
                  <w:vAlign w:val="center"/>
                </w:tcPr>
                <w:p w14:paraId="568DD2C7">
                  <w:pPr>
                    <w:jc w:val="center"/>
                    <w:rPr>
                      <w:rFonts w:hint="default" w:eastAsia="宋体"/>
                      <w:color w:val="auto"/>
                      <w:kern w:val="0"/>
                      <w:sz w:val="18"/>
                      <w:szCs w:val="18"/>
                      <w:lang w:val="en-US" w:eastAsia="zh-CN"/>
                    </w:rPr>
                  </w:pPr>
                  <w:r>
                    <w:rPr>
                      <w:rFonts w:hint="eastAsia"/>
                      <w:color w:val="auto"/>
                      <w:kern w:val="0"/>
                      <w:sz w:val="18"/>
                      <w:szCs w:val="18"/>
                      <w:lang w:val="en-US" w:eastAsia="zh-CN"/>
                    </w:rPr>
                    <w:t>1.07~1.17</w:t>
                  </w:r>
                </w:p>
              </w:tc>
              <w:tc>
                <w:tcPr>
                  <w:tcW w:w="1300" w:type="dxa"/>
                  <w:vAlign w:val="center"/>
                </w:tcPr>
                <w:p w14:paraId="3AD3DF91">
                  <w:pPr>
                    <w:jc w:val="center"/>
                    <w:rPr>
                      <w:rFonts w:hint="default" w:eastAsia="宋体"/>
                      <w:color w:val="auto"/>
                      <w:kern w:val="0"/>
                      <w:sz w:val="18"/>
                      <w:szCs w:val="18"/>
                      <w:lang w:val="en-US" w:eastAsia="zh-CN"/>
                    </w:rPr>
                  </w:pPr>
                  <w:r>
                    <w:rPr>
                      <w:rFonts w:hint="eastAsia"/>
                      <w:color w:val="auto"/>
                      <w:kern w:val="0"/>
                      <w:sz w:val="18"/>
                      <w:szCs w:val="18"/>
                      <w:lang w:val="en-US" w:eastAsia="zh-CN"/>
                    </w:rPr>
                    <w:t>1.37~1.89</w:t>
                  </w:r>
                </w:p>
              </w:tc>
              <w:tc>
                <w:tcPr>
                  <w:tcW w:w="1299" w:type="dxa"/>
                  <w:vAlign w:val="center"/>
                </w:tcPr>
                <w:p w14:paraId="0970619D">
                  <w:pPr>
                    <w:jc w:val="center"/>
                    <w:rPr>
                      <w:rFonts w:hint="default" w:eastAsia="宋体"/>
                      <w:color w:val="auto"/>
                      <w:kern w:val="0"/>
                      <w:sz w:val="18"/>
                      <w:szCs w:val="18"/>
                      <w:lang w:val="en-US" w:eastAsia="zh-CN"/>
                    </w:rPr>
                  </w:pPr>
                  <w:r>
                    <w:rPr>
                      <w:rFonts w:hint="eastAsia"/>
                      <w:color w:val="auto"/>
                      <w:kern w:val="0"/>
                      <w:sz w:val="18"/>
                      <w:szCs w:val="18"/>
                      <w:lang w:val="en-US" w:eastAsia="zh-CN"/>
                    </w:rPr>
                    <w:t>1.52~1.91</w:t>
                  </w:r>
                </w:p>
              </w:tc>
              <w:tc>
                <w:tcPr>
                  <w:tcW w:w="1300" w:type="dxa"/>
                  <w:vAlign w:val="center"/>
                </w:tcPr>
                <w:p w14:paraId="4763A071">
                  <w:pPr>
                    <w:jc w:val="center"/>
                    <w:rPr>
                      <w:rFonts w:hint="default" w:eastAsia="宋体"/>
                      <w:color w:val="auto"/>
                      <w:kern w:val="0"/>
                      <w:sz w:val="18"/>
                      <w:szCs w:val="18"/>
                      <w:lang w:val="en-US" w:eastAsia="zh-CN"/>
                    </w:rPr>
                  </w:pPr>
                  <w:r>
                    <w:rPr>
                      <w:rFonts w:hint="eastAsia"/>
                      <w:color w:val="auto"/>
                      <w:kern w:val="0"/>
                      <w:sz w:val="18"/>
                      <w:szCs w:val="18"/>
                      <w:lang w:val="en-US" w:eastAsia="zh-CN"/>
                    </w:rPr>
                    <w:t>1.35~1.93</w:t>
                  </w:r>
                </w:p>
              </w:tc>
              <w:tc>
                <w:tcPr>
                  <w:tcW w:w="1220" w:type="dxa"/>
                  <w:vAlign w:val="center"/>
                </w:tcPr>
                <w:p w14:paraId="1530021D">
                  <w:pPr>
                    <w:jc w:val="center"/>
                    <w:rPr>
                      <w:rFonts w:hint="default" w:eastAsia="宋体"/>
                      <w:color w:val="auto"/>
                      <w:kern w:val="0"/>
                      <w:sz w:val="18"/>
                      <w:szCs w:val="18"/>
                      <w:lang w:val="en-US" w:eastAsia="zh-CN"/>
                    </w:rPr>
                  </w:pPr>
                  <w:r>
                    <w:rPr>
                      <w:rFonts w:hint="eastAsia"/>
                      <w:color w:val="auto"/>
                      <w:kern w:val="0"/>
                      <w:sz w:val="18"/>
                      <w:szCs w:val="18"/>
                      <w:lang w:val="en-US" w:eastAsia="zh-CN"/>
                    </w:rPr>
                    <w:t>1.93</w:t>
                  </w:r>
                </w:p>
              </w:tc>
            </w:tr>
          </w:tbl>
          <w:p w14:paraId="0521A96E">
            <w:pPr>
              <w:topLinePunct/>
              <w:adjustRightInd w:val="0"/>
              <w:snapToGrid w:val="0"/>
              <w:spacing w:line="420" w:lineRule="exact"/>
              <w:ind w:firstLine="420" w:firstLineChars="200"/>
              <w:rPr>
                <w:bCs/>
                <w:color w:val="auto"/>
                <w:szCs w:val="21"/>
              </w:rPr>
            </w:pPr>
            <w:r>
              <w:rPr>
                <w:rFonts w:hint="eastAsia"/>
                <w:bCs/>
                <w:color w:val="auto"/>
                <w:szCs w:val="21"/>
              </w:rPr>
              <w:t>根据</w:t>
            </w:r>
            <w:r>
              <w:rPr>
                <w:rFonts w:hint="eastAsia"/>
                <w:bCs/>
                <w:color w:val="auto"/>
                <w:szCs w:val="21"/>
                <w:lang w:val="en-US" w:eastAsia="zh-CN"/>
              </w:rPr>
              <w:t>上表可知</w:t>
            </w:r>
            <w:r>
              <w:rPr>
                <w:rFonts w:hint="eastAsia"/>
                <w:bCs/>
                <w:color w:val="auto"/>
                <w:szCs w:val="21"/>
              </w:rPr>
              <w:t>，现有项目厂界</w:t>
            </w:r>
            <w:r>
              <w:rPr>
                <w:rFonts w:cs="Times New Roman"/>
                <w:color w:val="auto"/>
              </w:rPr>
              <w:t>VOCs（非甲烷总烃）</w:t>
            </w:r>
            <w:r>
              <w:rPr>
                <w:rFonts w:cs="Times New Roman"/>
                <w:color w:val="auto"/>
                <w:kern w:val="0"/>
                <w:lang w:bidi="ar"/>
              </w:rPr>
              <w:t>浓度最大值为</w:t>
            </w:r>
            <w:r>
              <w:rPr>
                <w:rFonts w:hint="eastAsia" w:cs="Times New Roman"/>
                <w:color w:val="auto"/>
                <w:lang w:val="en-US" w:eastAsia="zh-CN"/>
              </w:rPr>
              <w:t>1.93</w:t>
            </w:r>
            <w:r>
              <w:rPr>
                <w:rFonts w:cs="Times New Roman"/>
                <w:color w:val="auto"/>
              </w:rPr>
              <w:t>mg/m</w:t>
            </w:r>
            <w:r>
              <w:rPr>
                <w:rFonts w:cs="Times New Roman"/>
                <w:color w:val="auto"/>
                <w:vertAlign w:val="superscript"/>
              </w:rPr>
              <w:t>3</w:t>
            </w:r>
            <w:r>
              <w:rPr>
                <w:rFonts w:cs="Times New Roman"/>
                <w:color w:val="auto"/>
              </w:rPr>
              <w:t>，能够满足《挥发性有机物排放标准 第6部分：有机化工企业》（DB37/2801.6-2018）表3中标准要求</w:t>
            </w:r>
            <w:r>
              <w:rPr>
                <w:rFonts w:hint="eastAsia"/>
                <w:bCs/>
                <w:color w:val="auto"/>
                <w:szCs w:val="21"/>
              </w:rPr>
              <w:t>。</w:t>
            </w:r>
          </w:p>
          <w:p w14:paraId="6331F018">
            <w:pPr>
              <w:adjustRightInd w:val="0"/>
              <w:snapToGrid w:val="0"/>
              <w:spacing w:line="420" w:lineRule="exact"/>
              <w:ind w:firstLine="420" w:firstLineChars="200"/>
              <w:rPr>
                <w:bCs/>
                <w:color w:val="auto"/>
                <w:szCs w:val="21"/>
              </w:rPr>
            </w:pPr>
            <w:r>
              <w:rPr>
                <w:rFonts w:hint="eastAsia"/>
                <w:bCs/>
                <w:color w:val="auto"/>
                <w:szCs w:val="21"/>
              </w:rPr>
              <w:t>3）现有项目无组织废气排放量核算</w:t>
            </w:r>
          </w:p>
          <w:p w14:paraId="7FC97E2F">
            <w:pPr>
              <w:adjustRightInd w:val="0"/>
              <w:snapToGrid w:val="0"/>
              <w:spacing w:line="420" w:lineRule="exact"/>
              <w:ind w:firstLine="420" w:firstLineChars="200"/>
              <w:rPr>
                <w:bCs/>
                <w:color w:val="auto"/>
                <w:szCs w:val="21"/>
              </w:rPr>
            </w:pPr>
            <w:r>
              <w:rPr>
                <w:rFonts w:hint="eastAsia"/>
                <w:bCs/>
                <w:color w:val="auto"/>
                <w:szCs w:val="21"/>
              </w:rPr>
              <w:t>现有项目无组织废气主要从设备动静密封处泄漏进行核算。根据现有</w:t>
            </w:r>
            <w:r>
              <w:rPr>
                <w:rFonts w:hint="eastAsia"/>
                <w:bCs/>
                <w:color w:val="auto"/>
                <w:szCs w:val="21"/>
                <w:lang w:val="en-US" w:eastAsia="zh-CN"/>
              </w:rPr>
              <w:t>项目2025年度挥发性有机物泄漏检测与修复（LDAR）检测报告</w:t>
            </w:r>
            <w:r>
              <w:rPr>
                <w:rFonts w:hint="eastAsia"/>
                <w:bCs/>
                <w:color w:val="auto"/>
                <w:szCs w:val="21"/>
              </w:rPr>
              <w:t>，</w:t>
            </w:r>
            <w:r>
              <w:rPr>
                <w:rFonts w:hint="eastAsia"/>
                <w:bCs/>
                <w:color w:val="auto"/>
                <w:szCs w:val="21"/>
                <w:lang w:val="en-US" w:eastAsia="zh-CN"/>
              </w:rPr>
              <w:t>现有项目无组织</w:t>
            </w:r>
            <w:r>
              <w:rPr>
                <w:rFonts w:hint="eastAsia"/>
                <w:bCs/>
                <w:color w:val="auto"/>
                <w:szCs w:val="21"/>
              </w:rPr>
              <w:t>VOCs</w:t>
            </w:r>
            <w:r>
              <w:rPr>
                <w:rFonts w:hint="eastAsia"/>
                <w:bCs/>
                <w:color w:val="auto"/>
                <w:szCs w:val="21"/>
                <w:lang w:val="en-US" w:eastAsia="zh-CN"/>
              </w:rPr>
              <w:t>排放量汇总</w:t>
            </w:r>
            <w:r>
              <w:rPr>
                <w:rFonts w:hint="eastAsia"/>
                <w:bCs/>
                <w:color w:val="auto"/>
                <w:szCs w:val="21"/>
              </w:rPr>
              <w:t>如下：</w:t>
            </w:r>
          </w:p>
          <w:p w14:paraId="465BD33C">
            <w:pPr>
              <w:adjustRightInd w:val="0"/>
              <w:snapToGrid w:val="0"/>
              <w:spacing w:before="120" w:beforeLines="50"/>
              <w:jc w:val="center"/>
              <w:rPr>
                <w:rFonts w:hint="eastAsia"/>
                <w:b/>
                <w:color w:val="auto"/>
                <w:szCs w:val="21"/>
              </w:rPr>
            </w:pPr>
            <w:r>
              <w:rPr>
                <w:rFonts w:hint="eastAsia"/>
                <w:b/>
                <w:color w:val="auto"/>
                <w:szCs w:val="21"/>
              </w:rPr>
              <w:t>表2-</w:t>
            </w:r>
            <w:r>
              <w:rPr>
                <w:rFonts w:hint="eastAsia"/>
                <w:b/>
                <w:color w:val="auto"/>
                <w:szCs w:val="21"/>
                <w:lang w:val="en-US" w:eastAsia="zh-CN"/>
              </w:rPr>
              <w:t>19</w:t>
            </w:r>
            <w:r>
              <w:rPr>
                <w:rFonts w:hint="eastAsia"/>
                <w:b/>
                <w:color w:val="auto"/>
                <w:szCs w:val="21"/>
              </w:rPr>
              <w:t xml:space="preserve">  现有项目无组织废气排放量核算汇总表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645"/>
              <w:gridCol w:w="758"/>
              <w:gridCol w:w="975"/>
              <w:gridCol w:w="975"/>
              <w:gridCol w:w="975"/>
              <w:gridCol w:w="975"/>
              <w:gridCol w:w="975"/>
              <w:gridCol w:w="1186"/>
            </w:tblGrid>
            <w:tr w14:paraId="349FF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7" w:type="pct"/>
                  <w:vMerge w:val="restart"/>
                  <w:vAlign w:val="center"/>
                </w:tcPr>
                <w:p w14:paraId="644D550C">
                  <w:pPr>
                    <w:jc w:val="center"/>
                    <w:rPr>
                      <w:rFonts w:hint="eastAsia"/>
                      <w:color w:val="auto"/>
                      <w:kern w:val="0"/>
                      <w:sz w:val="18"/>
                      <w:szCs w:val="18"/>
                    </w:rPr>
                  </w:pPr>
                  <w:r>
                    <w:rPr>
                      <w:rFonts w:hint="eastAsia"/>
                      <w:color w:val="auto"/>
                      <w:kern w:val="0"/>
                      <w:sz w:val="18"/>
                      <w:szCs w:val="18"/>
                    </w:rPr>
                    <w:t>排放源</w:t>
                  </w:r>
                </w:p>
              </w:tc>
              <w:tc>
                <w:tcPr>
                  <w:tcW w:w="833" w:type="pct"/>
                  <w:gridSpan w:val="2"/>
                  <w:vMerge w:val="restart"/>
                  <w:vAlign w:val="center"/>
                </w:tcPr>
                <w:p w14:paraId="40E78642">
                  <w:pPr>
                    <w:jc w:val="center"/>
                    <w:rPr>
                      <w:rFonts w:hint="eastAsia"/>
                      <w:color w:val="auto"/>
                      <w:kern w:val="0"/>
                      <w:sz w:val="18"/>
                      <w:szCs w:val="18"/>
                    </w:rPr>
                  </w:pPr>
                  <w:r>
                    <w:rPr>
                      <w:rFonts w:hint="eastAsia"/>
                      <w:color w:val="auto"/>
                      <w:kern w:val="0"/>
                      <w:sz w:val="18"/>
                      <w:szCs w:val="18"/>
                    </w:rPr>
                    <w:t>污染物</w:t>
                  </w:r>
                </w:p>
              </w:tc>
              <w:tc>
                <w:tcPr>
                  <w:tcW w:w="2895" w:type="pct"/>
                  <w:gridSpan w:val="5"/>
                  <w:vAlign w:val="center"/>
                </w:tcPr>
                <w:p w14:paraId="66D9B302">
                  <w:pPr>
                    <w:jc w:val="center"/>
                    <w:rPr>
                      <w:rFonts w:hint="eastAsia"/>
                      <w:color w:val="auto"/>
                      <w:kern w:val="0"/>
                      <w:sz w:val="18"/>
                      <w:szCs w:val="18"/>
                    </w:rPr>
                  </w:pPr>
                  <w:r>
                    <w:rPr>
                      <w:rFonts w:hint="eastAsia"/>
                      <w:color w:val="auto"/>
                      <w:kern w:val="0"/>
                      <w:sz w:val="18"/>
                      <w:szCs w:val="18"/>
                    </w:rPr>
                    <w:t>排放量（t/a）</w:t>
                  </w:r>
                </w:p>
              </w:tc>
              <w:tc>
                <w:tcPr>
                  <w:tcW w:w="704" w:type="pct"/>
                  <w:vMerge w:val="restart"/>
                  <w:vAlign w:val="center"/>
                </w:tcPr>
                <w:p w14:paraId="1FE90AE4">
                  <w:pPr>
                    <w:jc w:val="center"/>
                    <w:rPr>
                      <w:rFonts w:hint="eastAsia"/>
                      <w:color w:val="auto"/>
                      <w:kern w:val="0"/>
                      <w:sz w:val="18"/>
                      <w:szCs w:val="18"/>
                    </w:rPr>
                  </w:pPr>
                  <w:r>
                    <w:rPr>
                      <w:rFonts w:hint="eastAsia"/>
                      <w:color w:val="auto"/>
                      <w:kern w:val="0"/>
                      <w:sz w:val="18"/>
                      <w:szCs w:val="18"/>
                    </w:rPr>
                    <w:t>排放形式</w:t>
                  </w:r>
                </w:p>
              </w:tc>
            </w:tr>
            <w:tr w14:paraId="4F709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7" w:type="pct"/>
                  <w:vMerge w:val="continue"/>
                  <w:vAlign w:val="center"/>
                </w:tcPr>
                <w:p w14:paraId="7F9EED32">
                  <w:pPr>
                    <w:jc w:val="center"/>
                    <w:rPr>
                      <w:rFonts w:hint="eastAsia"/>
                      <w:color w:val="auto"/>
                      <w:kern w:val="0"/>
                      <w:sz w:val="18"/>
                      <w:szCs w:val="18"/>
                    </w:rPr>
                  </w:pPr>
                </w:p>
              </w:tc>
              <w:tc>
                <w:tcPr>
                  <w:tcW w:w="833" w:type="pct"/>
                  <w:gridSpan w:val="2"/>
                  <w:vMerge w:val="continue"/>
                  <w:vAlign w:val="center"/>
                </w:tcPr>
                <w:p w14:paraId="4C764EF5">
                  <w:pPr>
                    <w:jc w:val="center"/>
                    <w:rPr>
                      <w:rFonts w:hint="eastAsia"/>
                      <w:color w:val="auto"/>
                      <w:kern w:val="0"/>
                      <w:sz w:val="18"/>
                      <w:szCs w:val="18"/>
                    </w:rPr>
                  </w:pPr>
                </w:p>
              </w:tc>
              <w:tc>
                <w:tcPr>
                  <w:tcW w:w="579" w:type="pct"/>
                  <w:vAlign w:val="center"/>
                </w:tcPr>
                <w:p w14:paraId="7C16C06A">
                  <w:pPr>
                    <w:jc w:val="center"/>
                    <w:rPr>
                      <w:rFonts w:hint="eastAsia" w:eastAsia="宋体"/>
                      <w:color w:val="auto"/>
                      <w:kern w:val="0"/>
                      <w:sz w:val="18"/>
                      <w:szCs w:val="18"/>
                      <w:lang w:val="en-US" w:eastAsia="zh-CN"/>
                    </w:rPr>
                  </w:pPr>
                  <w:r>
                    <w:rPr>
                      <w:rFonts w:hint="eastAsia"/>
                      <w:color w:val="auto"/>
                      <w:kern w:val="0"/>
                      <w:sz w:val="18"/>
                      <w:szCs w:val="18"/>
                      <w:lang w:val="en-US" w:eastAsia="zh-CN"/>
                    </w:rPr>
                    <w:t>一季度</w:t>
                  </w:r>
                </w:p>
              </w:tc>
              <w:tc>
                <w:tcPr>
                  <w:tcW w:w="579" w:type="pct"/>
                  <w:vAlign w:val="center"/>
                </w:tcPr>
                <w:p w14:paraId="7DE9F592">
                  <w:pPr>
                    <w:jc w:val="center"/>
                    <w:rPr>
                      <w:rFonts w:hint="eastAsia" w:eastAsia="宋体"/>
                      <w:color w:val="auto"/>
                      <w:kern w:val="0"/>
                      <w:sz w:val="18"/>
                      <w:szCs w:val="18"/>
                      <w:lang w:val="en-US" w:eastAsia="zh-CN"/>
                    </w:rPr>
                  </w:pPr>
                  <w:r>
                    <w:rPr>
                      <w:rFonts w:hint="eastAsia"/>
                      <w:color w:val="auto"/>
                      <w:kern w:val="0"/>
                      <w:sz w:val="18"/>
                      <w:szCs w:val="18"/>
                      <w:lang w:val="en-US" w:eastAsia="zh-CN"/>
                    </w:rPr>
                    <w:t>二季度</w:t>
                  </w:r>
                </w:p>
              </w:tc>
              <w:tc>
                <w:tcPr>
                  <w:tcW w:w="579" w:type="pct"/>
                  <w:vAlign w:val="center"/>
                </w:tcPr>
                <w:p w14:paraId="29EA388A">
                  <w:pPr>
                    <w:jc w:val="center"/>
                    <w:rPr>
                      <w:rFonts w:hint="eastAsia" w:eastAsia="宋体"/>
                      <w:color w:val="auto"/>
                      <w:kern w:val="0"/>
                      <w:sz w:val="18"/>
                      <w:szCs w:val="18"/>
                      <w:lang w:val="en-US" w:eastAsia="zh-CN"/>
                    </w:rPr>
                  </w:pPr>
                  <w:r>
                    <w:rPr>
                      <w:rFonts w:hint="eastAsia"/>
                      <w:color w:val="auto"/>
                      <w:kern w:val="0"/>
                      <w:sz w:val="18"/>
                      <w:szCs w:val="18"/>
                      <w:lang w:val="en-US" w:eastAsia="zh-CN"/>
                    </w:rPr>
                    <w:t>三季度</w:t>
                  </w:r>
                </w:p>
              </w:tc>
              <w:tc>
                <w:tcPr>
                  <w:tcW w:w="579" w:type="pct"/>
                  <w:vAlign w:val="center"/>
                </w:tcPr>
                <w:p w14:paraId="705C3834">
                  <w:pPr>
                    <w:jc w:val="center"/>
                    <w:rPr>
                      <w:rFonts w:hint="eastAsia" w:eastAsia="宋体"/>
                      <w:color w:val="auto"/>
                      <w:kern w:val="0"/>
                      <w:sz w:val="18"/>
                      <w:szCs w:val="18"/>
                      <w:lang w:val="en-US" w:eastAsia="zh-CN"/>
                    </w:rPr>
                  </w:pPr>
                  <w:r>
                    <w:rPr>
                      <w:rFonts w:hint="eastAsia"/>
                      <w:color w:val="auto"/>
                      <w:kern w:val="0"/>
                      <w:sz w:val="18"/>
                      <w:szCs w:val="18"/>
                      <w:lang w:val="en-US" w:eastAsia="zh-CN"/>
                    </w:rPr>
                    <w:t>四季度</w:t>
                  </w:r>
                </w:p>
              </w:tc>
              <w:tc>
                <w:tcPr>
                  <w:tcW w:w="579" w:type="pct"/>
                  <w:vAlign w:val="center"/>
                </w:tcPr>
                <w:p w14:paraId="120469BA">
                  <w:pPr>
                    <w:jc w:val="center"/>
                    <w:rPr>
                      <w:rFonts w:hint="default"/>
                      <w:color w:val="auto"/>
                      <w:kern w:val="0"/>
                      <w:sz w:val="18"/>
                      <w:szCs w:val="18"/>
                      <w:lang w:val="en-US" w:eastAsia="zh-CN"/>
                    </w:rPr>
                  </w:pPr>
                  <w:r>
                    <w:rPr>
                      <w:rFonts w:hint="eastAsia"/>
                      <w:color w:val="auto"/>
                      <w:kern w:val="0"/>
                      <w:sz w:val="18"/>
                      <w:szCs w:val="18"/>
                      <w:lang w:val="en-US" w:eastAsia="zh-CN"/>
                    </w:rPr>
                    <w:t>合计</w:t>
                  </w:r>
                </w:p>
              </w:tc>
              <w:tc>
                <w:tcPr>
                  <w:tcW w:w="704" w:type="pct"/>
                  <w:vMerge w:val="continue"/>
                  <w:vAlign w:val="center"/>
                </w:tcPr>
                <w:p w14:paraId="6E8D2BB6">
                  <w:pPr>
                    <w:jc w:val="center"/>
                    <w:rPr>
                      <w:rFonts w:hint="eastAsia"/>
                      <w:color w:val="auto"/>
                      <w:kern w:val="0"/>
                      <w:sz w:val="18"/>
                      <w:szCs w:val="18"/>
                    </w:rPr>
                  </w:pPr>
                </w:p>
              </w:tc>
            </w:tr>
            <w:tr w14:paraId="5DAEE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67" w:type="pct"/>
                  <w:vMerge w:val="restart"/>
                  <w:vAlign w:val="center"/>
                </w:tcPr>
                <w:p w14:paraId="1D7C2BB1">
                  <w:pPr>
                    <w:jc w:val="center"/>
                    <w:rPr>
                      <w:rFonts w:hint="eastAsia"/>
                      <w:color w:val="auto"/>
                      <w:kern w:val="0"/>
                      <w:sz w:val="18"/>
                      <w:szCs w:val="18"/>
                    </w:rPr>
                  </w:pPr>
                  <w:r>
                    <w:rPr>
                      <w:rFonts w:hint="eastAsia"/>
                      <w:color w:val="auto"/>
                      <w:kern w:val="0"/>
                      <w:sz w:val="18"/>
                      <w:szCs w:val="18"/>
                    </w:rPr>
                    <w:t>设备动静密封点泄漏</w:t>
                  </w:r>
                </w:p>
              </w:tc>
              <w:tc>
                <w:tcPr>
                  <w:tcW w:w="833" w:type="pct"/>
                  <w:gridSpan w:val="2"/>
                  <w:vAlign w:val="center"/>
                </w:tcPr>
                <w:p w14:paraId="3A16D2CA">
                  <w:pPr>
                    <w:jc w:val="center"/>
                    <w:rPr>
                      <w:rFonts w:hint="eastAsia" w:eastAsia="宋体"/>
                      <w:color w:val="auto"/>
                      <w:kern w:val="0"/>
                      <w:sz w:val="18"/>
                      <w:szCs w:val="18"/>
                      <w:lang w:val="en-US" w:eastAsia="zh-CN"/>
                    </w:rPr>
                  </w:pPr>
                  <w:r>
                    <w:rPr>
                      <w:rFonts w:hint="eastAsia"/>
                      <w:color w:val="auto"/>
                      <w:kern w:val="0"/>
                      <w:sz w:val="18"/>
                      <w:szCs w:val="18"/>
                    </w:rPr>
                    <w:t>VOCs</w:t>
                  </w:r>
                  <w:r>
                    <w:rPr>
                      <w:rFonts w:hint="eastAsia"/>
                      <w:color w:val="auto"/>
                      <w:kern w:val="0"/>
                      <w:sz w:val="18"/>
                      <w:szCs w:val="18"/>
                      <w:lang w:val="en-US" w:eastAsia="zh-CN"/>
                    </w:rPr>
                    <w:t>合计</w:t>
                  </w:r>
                </w:p>
              </w:tc>
              <w:tc>
                <w:tcPr>
                  <w:tcW w:w="579" w:type="pct"/>
                  <w:vAlign w:val="center"/>
                </w:tcPr>
                <w:p w14:paraId="609C6C87">
                  <w:pPr>
                    <w:jc w:val="center"/>
                    <w:rPr>
                      <w:rFonts w:hint="default" w:eastAsia="宋体"/>
                      <w:color w:val="auto"/>
                      <w:kern w:val="0"/>
                      <w:sz w:val="18"/>
                      <w:szCs w:val="18"/>
                      <w:lang w:val="en-US" w:eastAsia="zh-CN"/>
                    </w:rPr>
                  </w:pPr>
                  <w:r>
                    <w:rPr>
                      <w:rFonts w:hint="eastAsia"/>
                      <w:color w:val="auto"/>
                      <w:kern w:val="0"/>
                      <w:sz w:val="18"/>
                      <w:szCs w:val="18"/>
                      <w:lang w:val="en-US" w:eastAsia="zh-CN"/>
                    </w:rPr>
                    <w:t>0.125</w:t>
                  </w:r>
                </w:p>
              </w:tc>
              <w:tc>
                <w:tcPr>
                  <w:tcW w:w="579" w:type="pct"/>
                  <w:vAlign w:val="center"/>
                </w:tcPr>
                <w:p w14:paraId="67A5AA71">
                  <w:pPr>
                    <w:jc w:val="center"/>
                    <w:rPr>
                      <w:rFonts w:hint="default" w:eastAsia="宋体"/>
                      <w:color w:val="auto"/>
                      <w:kern w:val="0"/>
                      <w:sz w:val="18"/>
                      <w:szCs w:val="18"/>
                      <w:lang w:val="en-US" w:eastAsia="zh-CN"/>
                    </w:rPr>
                  </w:pPr>
                  <w:r>
                    <w:rPr>
                      <w:rFonts w:hint="eastAsia"/>
                      <w:color w:val="auto"/>
                      <w:kern w:val="0"/>
                      <w:sz w:val="18"/>
                      <w:szCs w:val="18"/>
                      <w:lang w:val="en-US" w:eastAsia="zh-CN"/>
                    </w:rPr>
                    <w:t>0.458</w:t>
                  </w:r>
                </w:p>
              </w:tc>
              <w:tc>
                <w:tcPr>
                  <w:tcW w:w="579" w:type="pct"/>
                  <w:vAlign w:val="center"/>
                </w:tcPr>
                <w:p w14:paraId="4A4B88A3">
                  <w:pPr>
                    <w:jc w:val="center"/>
                    <w:rPr>
                      <w:rFonts w:hint="default" w:eastAsia="宋体"/>
                      <w:color w:val="auto"/>
                      <w:kern w:val="0"/>
                      <w:sz w:val="18"/>
                      <w:szCs w:val="18"/>
                      <w:lang w:val="en-US" w:eastAsia="zh-CN"/>
                    </w:rPr>
                  </w:pPr>
                  <w:r>
                    <w:rPr>
                      <w:rFonts w:hint="eastAsia"/>
                      <w:color w:val="auto"/>
                      <w:kern w:val="0"/>
                      <w:sz w:val="18"/>
                      <w:szCs w:val="18"/>
                      <w:lang w:val="en-US" w:eastAsia="zh-CN"/>
                    </w:rPr>
                    <w:t>0.128</w:t>
                  </w:r>
                </w:p>
              </w:tc>
              <w:tc>
                <w:tcPr>
                  <w:tcW w:w="579" w:type="pct"/>
                  <w:vAlign w:val="center"/>
                </w:tcPr>
                <w:p w14:paraId="7601C820">
                  <w:pPr>
                    <w:jc w:val="center"/>
                    <w:rPr>
                      <w:rFonts w:hint="default" w:eastAsia="宋体"/>
                      <w:color w:val="auto"/>
                      <w:kern w:val="0"/>
                      <w:sz w:val="18"/>
                      <w:szCs w:val="18"/>
                      <w:lang w:val="en-US" w:eastAsia="zh-CN"/>
                    </w:rPr>
                  </w:pPr>
                  <w:r>
                    <w:rPr>
                      <w:rFonts w:hint="eastAsia"/>
                      <w:color w:val="auto"/>
                      <w:kern w:val="0"/>
                      <w:sz w:val="18"/>
                      <w:szCs w:val="18"/>
                      <w:lang w:val="en-US" w:eastAsia="zh-CN"/>
                    </w:rPr>
                    <w:t>0.431</w:t>
                  </w:r>
                </w:p>
              </w:tc>
              <w:tc>
                <w:tcPr>
                  <w:tcW w:w="579" w:type="pct"/>
                  <w:vAlign w:val="center"/>
                </w:tcPr>
                <w:p w14:paraId="4EC21EA0">
                  <w:pPr>
                    <w:jc w:val="center"/>
                    <w:rPr>
                      <w:rFonts w:hint="default" w:eastAsia="宋体"/>
                      <w:color w:val="auto"/>
                      <w:kern w:val="0"/>
                      <w:sz w:val="18"/>
                      <w:szCs w:val="18"/>
                      <w:lang w:val="en-US" w:eastAsia="zh-CN"/>
                    </w:rPr>
                  </w:pPr>
                  <w:r>
                    <w:rPr>
                      <w:rFonts w:hint="eastAsia"/>
                      <w:color w:val="auto"/>
                      <w:kern w:val="0"/>
                      <w:sz w:val="18"/>
                      <w:szCs w:val="18"/>
                      <w:lang w:val="en-US" w:eastAsia="zh-CN"/>
                    </w:rPr>
                    <w:t>1.142</w:t>
                  </w:r>
                </w:p>
              </w:tc>
              <w:tc>
                <w:tcPr>
                  <w:tcW w:w="704" w:type="pct"/>
                  <w:vMerge w:val="restart"/>
                  <w:vAlign w:val="center"/>
                </w:tcPr>
                <w:p w14:paraId="36AB4171">
                  <w:pPr>
                    <w:jc w:val="center"/>
                    <w:rPr>
                      <w:rFonts w:hint="eastAsia"/>
                      <w:color w:val="auto"/>
                      <w:kern w:val="0"/>
                      <w:sz w:val="18"/>
                      <w:szCs w:val="18"/>
                    </w:rPr>
                  </w:pPr>
                  <w:r>
                    <w:rPr>
                      <w:rFonts w:hint="eastAsia"/>
                      <w:color w:val="auto"/>
                      <w:kern w:val="0"/>
                      <w:sz w:val="18"/>
                      <w:szCs w:val="18"/>
                    </w:rPr>
                    <w:t>无组织排放</w:t>
                  </w:r>
                </w:p>
              </w:tc>
            </w:tr>
            <w:tr w14:paraId="0167F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7" w:type="pct"/>
                  <w:vMerge w:val="continue"/>
                  <w:vAlign w:val="center"/>
                </w:tcPr>
                <w:p w14:paraId="7FD81506">
                  <w:pPr>
                    <w:jc w:val="center"/>
                    <w:rPr>
                      <w:rFonts w:hint="eastAsia"/>
                      <w:color w:val="auto"/>
                      <w:kern w:val="0"/>
                      <w:sz w:val="18"/>
                      <w:szCs w:val="18"/>
                    </w:rPr>
                  </w:pPr>
                </w:p>
              </w:tc>
              <w:tc>
                <w:tcPr>
                  <w:tcW w:w="383" w:type="pct"/>
                  <w:vMerge w:val="restart"/>
                  <w:vAlign w:val="center"/>
                </w:tcPr>
                <w:p w14:paraId="33E2E8CB">
                  <w:pPr>
                    <w:jc w:val="center"/>
                    <w:rPr>
                      <w:rFonts w:hint="eastAsia" w:eastAsia="宋体"/>
                      <w:color w:val="auto"/>
                      <w:kern w:val="0"/>
                      <w:sz w:val="18"/>
                      <w:szCs w:val="18"/>
                      <w:lang w:val="en-US" w:eastAsia="zh-CN"/>
                    </w:rPr>
                  </w:pPr>
                  <w:r>
                    <w:rPr>
                      <w:rFonts w:hint="eastAsia"/>
                      <w:color w:val="auto"/>
                      <w:kern w:val="0"/>
                      <w:sz w:val="18"/>
                      <w:szCs w:val="18"/>
                      <w:lang w:val="en-US" w:eastAsia="zh-CN"/>
                    </w:rPr>
                    <w:t>其中</w:t>
                  </w:r>
                </w:p>
              </w:tc>
              <w:tc>
                <w:tcPr>
                  <w:tcW w:w="450" w:type="pct"/>
                  <w:vAlign w:val="center"/>
                </w:tcPr>
                <w:p w14:paraId="442A9509">
                  <w:pPr>
                    <w:jc w:val="center"/>
                    <w:rPr>
                      <w:rFonts w:hint="eastAsia" w:eastAsia="宋体"/>
                      <w:color w:val="auto"/>
                      <w:kern w:val="0"/>
                      <w:sz w:val="18"/>
                      <w:szCs w:val="18"/>
                      <w:lang w:val="en-US" w:eastAsia="zh-CN"/>
                    </w:rPr>
                  </w:pPr>
                  <w:r>
                    <w:rPr>
                      <w:rFonts w:hint="eastAsia"/>
                      <w:color w:val="auto"/>
                      <w:kern w:val="0"/>
                      <w:sz w:val="18"/>
                      <w:szCs w:val="18"/>
                      <w:lang w:val="en-US" w:eastAsia="zh-CN"/>
                    </w:rPr>
                    <w:t>甲醇</w:t>
                  </w:r>
                </w:p>
              </w:tc>
              <w:tc>
                <w:tcPr>
                  <w:tcW w:w="579" w:type="pct"/>
                  <w:vAlign w:val="center"/>
                </w:tcPr>
                <w:p w14:paraId="782C8A80">
                  <w:pPr>
                    <w:jc w:val="center"/>
                    <w:rPr>
                      <w:rFonts w:hint="default"/>
                      <w:color w:val="auto"/>
                      <w:kern w:val="0"/>
                      <w:sz w:val="18"/>
                      <w:szCs w:val="18"/>
                      <w:lang w:val="en-US" w:eastAsia="zh-CN"/>
                    </w:rPr>
                  </w:pPr>
                  <w:r>
                    <w:rPr>
                      <w:rFonts w:hint="eastAsia"/>
                      <w:color w:val="auto"/>
                      <w:kern w:val="0"/>
                      <w:sz w:val="18"/>
                      <w:szCs w:val="18"/>
                      <w:lang w:val="en-US" w:eastAsia="zh-CN"/>
                    </w:rPr>
                    <w:t>0.063</w:t>
                  </w:r>
                </w:p>
              </w:tc>
              <w:tc>
                <w:tcPr>
                  <w:tcW w:w="579" w:type="pct"/>
                  <w:vAlign w:val="center"/>
                </w:tcPr>
                <w:p w14:paraId="65E2F42A">
                  <w:pPr>
                    <w:jc w:val="center"/>
                    <w:rPr>
                      <w:rFonts w:hint="default"/>
                      <w:color w:val="auto"/>
                      <w:kern w:val="0"/>
                      <w:sz w:val="18"/>
                      <w:szCs w:val="18"/>
                      <w:lang w:val="en-US" w:eastAsia="zh-CN"/>
                    </w:rPr>
                  </w:pPr>
                  <w:r>
                    <w:rPr>
                      <w:rFonts w:hint="eastAsia"/>
                      <w:color w:val="auto"/>
                      <w:kern w:val="0"/>
                      <w:sz w:val="18"/>
                      <w:szCs w:val="18"/>
                      <w:lang w:val="en-US" w:eastAsia="zh-CN"/>
                    </w:rPr>
                    <w:t>0.229</w:t>
                  </w:r>
                </w:p>
              </w:tc>
              <w:tc>
                <w:tcPr>
                  <w:tcW w:w="579" w:type="pct"/>
                  <w:vAlign w:val="center"/>
                </w:tcPr>
                <w:p w14:paraId="0F6C866F">
                  <w:pPr>
                    <w:jc w:val="center"/>
                    <w:rPr>
                      <w:rFonts w:hint="default"/>
                      <w:color w:val="auto"/>
                      <w:kern w:val="0"/>
                      <w:sz w:val="18"/>
                      <w:szCs w:val="18"/>
                      <w:lang w:val="en-US" w:eastAsia="zh-CN"/>
                    </w:rPr>
                  </w:pPr>
                  <w:r>
                    <w:rPr>
                      <w:rFonts w:hint="eastAsia"/>
                      <w:color w:val="auto"/>
                      <w:kern w:val="0"/>
                      <w:sz w:val="18"/>
                      <w:szCs w:val="18"/>
                      <w:lang w:val="en-US" w:eastAsia="zh-CN"/>
                    </w:rPr>
                    <w:t>0.064</w:t>
                  </w:r>
                </w:p>
              </w:tc>
              <w:tc>
                <w:tcPr>
                  <w:tcW w:w="579" w:type="pct"/>
                  <w:vAlign w:val="center"/>
                </w:tcPr>
                <w:p w14:paraId="089E4DB8">
                  <w:pPr>
                    <w:jc w:val="center"/>
                    <w:rPr>
                      <w:rFonts w:hint="default"/>
                      <w:color w:val="auto"/>
                      <w:kern w:val="0"/>
                      <w:sz w:val="18"/>
                      <w:szCs w:val="18"/>
                      <w:lang w:val="en-US" w:eastAsia="zh-CN"/>
                    </w:rPr>
                  </w:pPr>
                  <w:r>
                    <w:rPr>
                      <w:rFonts w:hint="eastAsia"/>
                      <w:color w:val="auto"/>
                      <w:kern w:val="0"/>
                      <w:sz w:val="18"/>
                      <w:szCs w:val="18"/>
                      <w:lang w:val="en-US" w:eastAsia="zh-CN"/>
                    </w:rPr>
                    <w:t>0.216</w:t>
                  </w:r>
                </w:p>
              </w:tc>
              <w:tc>
                <w:tcPr>
                  <w:tcW w:w="579" w:type="pct"/>
                  <w:vAlign w:val="center"/>
                </w:tcPr>
                <w:p w14:paraId="2A73680D">
                  <w:pPr>
                    <w:jc w:val="center"/>
                    <w:rPr>
                      <w:rFonts w:hint="default"/>
                      <w:color w:val="auto"/>
                      <w:kern w:val="0"/>
                      <w:sz w:val="18"/>
                      <w:szCs w:val="18"/>
                      <w:lang w:val="en-US" w:eastAsia="zh-CN"/>
                    </w:rPr>
                  </w:pPr>
                  <w:r>
                    <w:rPr>
                      <w:rFonts w:hint="eastAsia"/>
                      <w:color w:val="auto"/>
                      <w:kern w:val="0"/>
                      <w:sz w:val="18"/>
                      <w:szCs w:val="18"/>
                      <w:lang w:val="en-US" w:eastAsia="zh-CN"/>
                    </w:rPr>
                    <w:t>0.572</w:t>
                  </w:r>
                </w:p>
              </w:tc>
              <w:tc>
                <w:tcPr>
                  <w:tcW w:w="704" w:type="pct"/>
                  <w:vMerge w:val="continue"/>
                  <w:vAlign w:val="center"/>
                </w:tcPr>
                <w:p w14:paraId="7D9F1A67">
                  <w:pPr>
                    <w:jc w:val="center"/>
                    <w:rPr>
                      <w:rFonts w:hint="eastAsia"/>
                      <w:color w:val="auto"/>
                      <w:kern w:val="0"/>
                      <w:sz w:val="18"/>
                      <w:szCs w:val="18"/>
                    </w:rPr>
                  </w:pPr>
                </w:p>
              </w:tc>
            </w:tr>
            <w:tr w14:paraId="71D30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7" w:type="pct"/>
                  <w:vMerge w:val="continue"/>
                  <w:vAlign w:val="center"/>
                </w:tcPr>
                <w:p w14:paraId="561BD3A9">
                  <w:pPr>
                    <w:jc w:val="center"/>
                    <w:rPr>
                      <w:rFonts w:hint="eastAsia"/>
                      <w:color w:val="auto"/>
                      <w:kern w:val="0"/>
                      <w:sz w:val="18"/>
                      <w:szCs w:val="18"/>
                    </w:rPr>
                  </w:pPr>
                </w:p>
              </w:tc>
              <w:tc>
                <w:tcPr>
                  <w:tcW w:w="383" w:type="pct"/>
                  <w:vMerge w:val="continue"/>
                  <w:vAlign w:val="center"/>
                </w:tcPr>
                <w:p w14:paraId="6DE24B23">
                  <w:pPr>
                    <w:jc w:val="center"/>
                    <w:rPr>
                      <w:rFonts w:hint="eastAsia"/>
                      <w:color w:val="auto"/>
                      <w:kern w:val="0"/>
                      <w:sz w:val="18"/>
                      <w:szCs w:val="18"/>
                    </w:rPr>
                  </w:pPr>
                </w:p>
              </w:tc>
              <w:tc>
                <w:tcPr>
                  <w:tcW w:w="450" w:type="pct"/>
                  <w:vAlign w:val="center"/>
                </w:tcPr>
                <w:p w14:paraId="36A946F0">
                  <w:pPr>
                    <w:jc w:val="center"/>
                    <w:rPr>
                      <w:rFonts w:hint="eastAsia" w:eastAsia="宋体"/>
                      <w:color w:val="auto"/>
                      <w:kern w:val="0"/>
                      <w:sz w:val="18"/>
                      <w:szCs w:val="18"/>
                      <w:lang w:val="en-US" w:eastAsia="zh-CN"/>
                    </w:rPr>
                  </w:pPr>
                  <w:r>
                    <w:rPr>
                      <w:rFonts w:hint="eastAsia"/>
                      <w:color w:val="auto"/>
                      <w:kern w:val="0"/>
                      <w:sz w:val="18"/>
                      <w:szCs w:val="18"/>
                      <w:lang w:val="en-US" w:eastAsia="zh-CN"/>
                    </w:rPr>
                    <w:t>甲醛</w:t>
                  </w:r>
                </w:p>
              </w:tc>
              <w:tc>
                <w:tcPr>
                  <w:tcW w:w="579" w:type="pct"/>
                  <w:vAlign w:val="center"/>
                </w:tcPr>
                <w:p w14:paraId="07A7FAC1">
                  <w:pPr>
                    <w:jc w:val="center"/>
                    <w:rPr>
                      <w:rFonts w:hint="default"/>
                      <w:color w:val="auto"/>
                      <w:kern w:val="0"/>
                      <w:sz w:val="18"/>
                      <w:szCs w:val="18"/>
                      <w:lang w:val="en-US" w:eastAsia="zh-CN"/>
                    </w:rPr>
                  </w:pPr>
                  <w:r>
                    <w:rPr>
                      <w:rFonts w:hint="eastAsia"/>
                      <w:color w:val="auto"/>
                      <w:kern w:val="0"/>
                      <w:sz w:val="18"/>
                      <w:szCs w:val="18"/>
                      <w:lang w:val="en-US" w:eastAsia="zh-CN"/>
                    </w:rPr>
                    <w:t>0.050</w:t>
                  </w:r>
                </w:p>
              </w:tc>
              <w:tc>
                <w:tcPr>
                  <w:tcW w:w="579" w:type="pct"/>
                  <w:vAlign w:val="center"/>
                </w:tcPr>
                <w:p w14:paraId="22A58F4C">
                  <w:pPr>
                    <w:jc w:val="center"/>
                    <w:rPr>
                      <w:rFonts w:hint="default"/>
                      <w:color w:val="auto"/>
                      <w:kern w:val="0"/>
                      <w:sz w:val="18"/>
                      <w:szCs w:val="18"/>
                      <w:lang w:val="en-US" w:eastAsia="zh-CN"/>
                    </w:rPr>
                  </w:pPr>
                  <w:r>
                    <w:rPr>
                      <w:rFonts w:hint="eastAsia"/>
                      <w:color w:val="auto"/>
                      <w:kern w:val="0"/>
                      <w:sz w:val="18"/>
                      <w:szCs w:val="18"/>
                      <w:lang w:val="en-US" w:eastAsia="zh-CN"/>
                    </w:rPr>
                    <w:t>0.183</w:t>
                  </w:r>
                </w:p>
              </w:tc>
              <w:tc>
                <w:tcPr>
                  <w:tcW w:w="579" w:type="pct"/>
                  <w:vAlign w:val="center"/>
                </w:tcPr>
                <w:p w14:paraId="2D92372E">
                  <w:pPr>
                    <w:jc w:val="center"/>
                    <w:rPr>
                      <w:rFonts w:hint="default"/>
                      <w:color w:val="auto"/>
                      <w:kern w:val="0"/>
                      <w:sz w:val="18"/>
                      <w:szCs w:val="18"/>
                      <w:lang w:val="en-US" w:eastAsia="zh-CN"/>
                    </w:rPr>
                  </w:pPr>
                  <w:r>
                    <w:rPr>
                      <w:rFonts w:hint="eastAsia"/>
                      <w:color w:val="auto"/>
                      <w:kern w:val="0"/>
                      <w:sz w:val="18"/>
                      <w:szCs w:val="18"/>
                      <w:lang w:val="en-US" w:eastAsia="zh-CN"/>
                    </w:rPr>
                    <w:t>0.051</w:t>
                  </w:r>
                </w:p>
              </w:tc>
              <w:tc>
                <w:tcPr>
                  <w:tcW w:w="579" w:type="pct"/>
                  <w:vAlign w:val="center"/>
                </w:tcPr>
                <w:p w14:paraId="0E3C3A2C">
                  <w:pPr>
                    <w:jc w:val="center"/>
                    <w:rPr>
                      <w:rFonts w:hint="default"/>
                      <w:color w:val="auto"/>
                      <w:kern w:val="0"/>
                      <w:sz w:val="18"/>
                      <w:szCs w:val="18"/>
                      <w:lang w:val="en-US" w:eastAsia="zh-CN"/>
                    </w:rPr>
                  </w:pPr>
                  <w:r>
                    <w:rPr>
                      <w:rFonts w:hint="eastAsia"/>
                      <w:color w:val="auto"/>
                      <w:kern w:val="0"/>
                      <w:sz w:val="18"/>
                      <w:szCs w:val="18"/>
                      <w:lang w:val="en-US" w:eastAsia="zh-CN"/>
                    </w:rPr>
                    <w:t>0.172</w:t>
                  </w:r>
                </w:p>
              </w:tc>
              <w:tc>
                <w:tcPr>
                  <w:tcW w:w="579" w:type="pct"/>
                  <w:vAlign w:val="center"/>
                </w:tcPr>
                <w:p w14:paraId="5CFE2F81">
                  <w:pPr>
                    <w:jc w:val="center"/>
                    <w:rPr>
                      <w:rFonts w:hint="default"/>
                      <w:color w:val="auto"/>
                      <w:kern w:val="0"/>
                      <w:sz w:val="18"/>
                      <w:szCs w:val="18"/>
                      <w:lang w:val="en-US" w:eastAsia="zh-CN"/>
                    </w:rPr>
                  </w:pPr>
                  <w:r>
                    <w:rPr>
                      <w:rFonts w:hint="eastAsia"/>
                      <w:color w:val="auto"/>
                      <w:kern w:val="0"/>
                      <w:sz w:val="18"/>
                      <w:szCs w:val="18"/>
                      <w:lang w:val="en-US" w:eastAsia="zh-CN"/>
                    </w:rPr>
                    <w:t>0.456</w:t>
                  </w:r>
                </w:p>
              </w:tc>
              <w:tc>
                <w:tcPr>
                  <w:tcW w:w="704" w:type="pct"/>
                  <w:vMerge w:val="continue"/>
                  <w:vAlign w:val="center"/>
                </w:tcPr>
                <w:p w14:paraId="22DF104A">
                  <w:pPr>
                    <w:jc w:val="center"/>
                    <w:rPr>
                      <w:rFonts w:hint="eastAsia"/>
                      <w:color w:val="auto"/>
                      <w:kern w:val="0"/>
                      <w:sz w:val="18"/>
                      <w:szCs w:val="18"/>
                    </w:rPr>
                  </w:pPr>
                </w:p>
              </w:tc>
            </w:tr>
          </w:tbl>
          <w:p w14:paraId="12908915">
            <w:pPr>
              <w:adjustRightInd w:val="0"/>
              <w:snapToGrid w:val="0"/>
              <w:spacing w:line="440" w:lineRule="exact"/>
              <w:ind w:firstLine="422" w:firstLineChars="200"/>
              <w:rPr>
                <w:rFonts w:hint="default" w:eastAsia="宋体"/>
                <w:b/>
                <w:color w:val="auto"/>
                <w:szCs w:val="21"/>
                <w:lang w:val="en-US" w:eastAsia="zh-CN"/>
              </w:rPr>
            </w:pPr>
            <w:r>
              <w:rPr>
                <w:rFonts w:hint="eastAsia"/>
                <w:b/>
                <w:color w:val="auto"/>
                <w:szCs w:val="21"/>
                <w:lang w:val="en-US" w:eastAsia="zh-CN"/>
              </w:rPr>
              <w:t>附注——现有甲醇原料罐、叔丁醇产品暂存罐及装卸车区动静密封点泄漏量核算</w:t>
            </w:r>
          </w:p>
          <w:p w14:paraId="70B5F9D7">
            <w:pPr>
              <w:adjustRightInd w:val="0"/>
              <w:snapToGrid w:val="0"/>
              <w:spacing w:line="440" w:lineRule="exact"/>
              <w:ind w:firstLine="420" w:firstLineChars="200"/>
              <w:rPr>
                <w:rFonts w:hint="default"/>
                <w:b/>
                <w:color w:val="auto"/>
                <w:szCs w:val="21"/>
                <w:lang w:val="en-US"/>
              </w:rPr>
            </w:pPr>
            <w:r>
              <w:rPr>
                <w:rFonts w:hint="eastAsia"/>
                <w:color w:val="auto"/>
              </w:rPr>
              <w:t>现有项目</w:t>
            </w:r>
            <w:r>
              <w:rPr>
                <w:color w:val="auto"/>
              </w:rPr>
              <w:t>设备动静密封点泄漏</w:t>
            </w:r>
            <w:r>
              <w:rPr>
                <w:rFonts w:hint="eastAsia"/>
                <w:color w:val="auto"/>
              </w:rPr>
              <w:t>量</w:t>
            </w:r>
            <w:r>
              <w:rPr>
                <w:color w:val="auto"/>
              </w:rPr>
              <w:t>计算</w:t>
            </w:r>
            <w:r>
              <w:rPr>
                <w:rFonts w:hint="eastAsia"/>
                <w:color w:val="auto"/>
              </w:rPr>
              <w:t>参照</w:t>
            </w:r>
            <w:r>
              <w:rPr>
                <w:color w:val="auto"/>
              </w:rPr>
              <w:t>《排污许可证申请与核发技术规范 石化行业》（HJ853-2017）中废气年许可排放量计算方法。</w:t>
            </w:r>
            <w:r>
              <w:rPr>
                <w:rFonts w:hint="eastAsia"/>
                <w:color w:val="auto"/>
                <w:lang w:val="en-US" w:eastAsia="zh-CN"/>
              </w:rPr>
              <w:t>具体公式详见“运营期环境影响和保护措施-无组织废气”。计算结果具体如下：</w:t>
            </w:r>
          </w:p>
          <w:p w14:paraId="316BFCA6">
            <w:pPr>
              <w:adjustRightInd w:val="0"/>
              <w:snapToGrid w:val="0"/>
              <w:spacing w:before="120" w:beforeLines="50"/>
              <w:jc w:val="center"/>
              <w:rPr>
                <w:rFonts w:hint="eastAsia"/>
                <w:b/>
                <w:color w:val="auto"/>
                <w:szCs w:val="21"/>
              </w:rPr>
            </w:pPr>
            <w:r>
              <w:rPr>
                <w:rFonts w:hint="eastAsia"/>
                <w:b/>
                <w:color w:val="auto"/>
                <w:szCs w:val="21"/>
              </w:rPr>
              <w:t>表2-</w:t>
            </w:r>
            <w:r>
              <w:rPr>
                <w:rFonts w:hint="eastAsia"/>
                <w:b/>
                <w:color w:val="auto"/>
                <w:szCs w:val="21"/>
                <w:lang w:val="en-US" w:eastAsia="zh-CN"/>
              </w:rPr>
              <w:t>20</w:t>
            </w:r>
            <w:r>
              <w:rPr>
                <w:rFonts w:hint="eastAsia"/>
                <w:b/>
                <w:color w:val="auto"/>
                <w:szCs w:val="21"/>
              </w:rPr>
              <w:t xml:space="preserve">  现有</w:t>
            </w:r>
            <w:r>
              <w:rPr>
                <w:rFonts w:hint="eastAsia"/>
                <w:b/>
                <w:color w:val="auto"/>
                <w:szCs w:val="21"/>
                <w:lang w:val="en-US" w:eastAsia="zh-CN"/>
              </w:rPr>
              <w:t>甲醇原料罐、叔丁醇产品暂存罐及装卸车区动静密封点泄漏量核算</w:t>
            </w:r>
            <w:r>
              <w:rPr>
                <w:rFonts w:hint="eastAsia"/>
                <w:b/>
                <w:color w:val="auto"/>
                <w:szCs w:val="21"/>
              </w:rPr>
              <w:t>汇总表</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50"/>
              <w:gridCol w:w="878"/>
              <w:gridCol w:w="1829"/>
              <w:gridCol w:w="810"/>
              <w:gridCol w:w="1035"/>
              <w:gridCol w:w="975"/>
              <w:gridCol w:w="1946"/>
            </w:tblGrid>
            <w:tr w14:paraId="655C7A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tcBorders>
                    <w:top w:val="single" w:color="auto" w:sz="12" w:space="0"/>
                    <w:left w:val="nil"/>
                    <w:bottom w:val="single" w:color="auto" w:sz="8" w:space="0"/>
                    <w:right w:val="single" w:color="auto" w:sz="8" w:space="0"/>
                  </w:tcBorders>
                  <w:vAlign w:val="center"/>
                </w:tcPr>
                <w:p w14:paraId="1071BA8F">
                  <w:pPr>
                    <w:jc w:val="center"/>
                    <w:rPr>
                      <w:rFonts w:hint="eastAsia"/>
                      <w:color w:val="auto"/>
                      <w:kern w:val="0"/>
                      <w:sz w:val="18"/>
                      <w:szCs w:val="18"/>
                    </w:rPr>
                  </w:pPr>
                  <w:r>
                    <w:rPr>
                      <w:rFonts w:hint="eastAsia"/>
                      <w:color w:val="auto"/>
                      <w:kern w:val="0"/>
                      <w:sz w:val="18"/>
                      <w:szCs w:val="18"/>
                    </w:rPr>
                    <w:t>类别</w:t>
                  </w:r>
                </w:p>
              </w:tc>
              <w:tc>
                <w:tcPr>
                  <w:tcW w:w="1606" w:type="pct"/>
                  <w:gridSpan w:val="2"/>
                  <w:tcBorders>
                    <w:top w:val="single" w:color="auto" w:sz="12" w:space="0"/>
                    <w:left w:val="single" w:color="auto" w:sz="8" w:space="0"/>
                    <w:bottom w:val="single" w:color="auto" w:sz="8" w:space="0"/>
                    <w:right w:val="single" w:color="auto" w:sz="8" w:space="0"/>
                  </w:tcBorders>
                  <w:noWrap/>
                  <w:vAlign w:val="center"/>
                </w:tcPr>
                <w:p w14:paraId="760EC93A">
                  <w:pPr>
                    <w:jc w:val="center"/>
                    <w:rPr>
                      <w:rFonts w:hint="eastAsia"/>
                      <w:color w:val="auto"/>
                      <w:kern w:val="0"/>
                      <w:sz w:val="18"/>
                      <w:szCs w:val="18"/>
                    </w:rPr>
                  </w:pPr>
                  <w:r>
                    <w:rPr>
                      <w:rFonts w:hint="eastAsia"/>
                      <w:color w:val="auto"/>
                      <w:kern w:val="0"/>
                      <w:sz w:val="18"/>
                      <w:szCs w:val="18"/>
                    </w:rPr>
                    <w:t>名称</w:t>
                  </w:r>
                </w:p>
              </w:tc>
              <w:tc>
                <w:tcPr>
                  <w:tcW w:w="480" w:type="pct"/>
                  <w:tcBorders>
                    <w:top w:val="single" w:color="auto" w:sz="12" w:space="0"/>
                    <w:left w:val="single" w:color="auto" w:sz="8" w:space="0"/>
                    <w:bottom w:val="single" w:color="auto" w:sz="8" w:space="0"/>
                    <w:right w:val="single" w:color="auto" w:sz="8" w:space="0"/>
                  </w:tcBorders>
                  <w:noWrap/>
                  <w:vAlign w:val="center"/>
                </w:tcPr>
                <w:p w14:paraId="304AA8A3">
                  <w:pPr>
                    <w:jc w:val="center"/>
                    <w:rPr>
                      <w:rFonts w:hint="default" w:eastAsia="宋体"/>
                      <w:color w:val="auto"/>
                      <w:kern w:val="0"/>
                      <w:sz w:val="18"/>
                      <w:szCs w:val="18"/>
                      <w:lang w:val="en-US" w:eastAsia="zh-CN"/>
                    </w:rPr>
                  </w:pPr>
                  <w:r>
                    <w:rPr>
                      <w:rFonts w:hint="eastAsia"/>
                      <w:color w:val="auto"/>
                      <w:kern w:val="0"/>
                      <w:sz w:val="18"/>
                      <w:szCs w:val="18"/>
                    </w:rPr>
                    <w:t>数量</w:t>
                  </w:r>
                  <w:r>
                    <w:rPr>
                      <w:rFonts w:hint="eastAsia"/>
                      <w:color w:val="auto"/>
                      <w:kern w:val="0"/>
                      <w:sz w:val="18"/>
                      <w:szCs w:val="18"/>
                      <w:lang w:val="en-US" w:eastAsia="zh-CN"/>
                    </w:rPr>
                    <w:t>/个</w:t>
                  </w:r>
                </w:p>
              </w:tc>
              <w:tc>
                <w:tcPr>
                  <w:tcW w:w="614" w:type="pct"/>
                  <w:tcBorders>
                    <w:top w:val="single" w:color="auto" w:sz="12" w:space="0"/>
                    <w:left w:val="single" w:color="auto" w:sz="8" w:space="0"/>
                    <w:bottom w:val="single" w:color="auto" w:sz="8" w:space="0"/>
                    <w:right w:val="single" w:color="auto" w:sz="8" w:space="0"/>
                  </w:tcBorders>
                  <w:noWrap/>
                  <w:vAlign w:val="center"/>
                </w:tcPr>
                <w:p w14:paraId="3B3444B7">
                  <w:pPr>
                    <w:jc w:val="center"/>
                    <w:rPr>
                      <w:rFonts w:hint="eastAsia"/>
                      <w:color w:val="auto"/>
                      <w:kern w:val="0"/>
                      <w:sz w:val="18"/>
                      <w:szCs w:val="18"/>
                    </w:rPr>
                  </w:pPr>
                  <w:r>
                    <w:rPr>
                      <w:rFonts w:hint="eastAsia"/>
                      <w:color w:val="auto"/>
                      <w:kern w:val="0"/>
                      <w:sz w:val="18"/>
                      <w:szCs w:val="18"/>
                    </w:rPr>
                    <w:t>排放速率（kg/h）</w:t>
                  </w:r>
                </w:p>
              </w:tc>
              <w:tc>
                <w:tcPr>
                  <w:tcW w:w="578" w:type="pct"/>
                  <w:tcBorders>
                    <w:top w:val="single" w:color="auto" w:sz="12" w:space="0"/>
                    <w:left w:val="single" w:color="auto" w:sz="8" w:space="0"/>
                    <w:bottom w:val="single" w:color="auto" w:sz="8" w:space="0"/>
                    <w:right w:val="single" w:color="auto" w:sz="8" w:space="0"/>
                  </w:tcBorders>
                  <w:noWrap/>
                  <w:vAlign w:val="center"/>
                </w:tcPr>
                <w:p w14:paraId="5F3CEF9A">
                  <w:pPr>
                    <w:jc w:val="center"/>
                    <w:rPr>
                      <w:rFonts w:hint="eastAsia"/>
                      <w:color w:val="auto"/>
                      <w:kern w:val="0"/>
                      <w:sz w:val="18"/>
                      <w:szCs w:val="18"/>
                    </w:rPr>
                  </w:pPr>
                  <w:r>
                    <w:rPr>
                      <w:rFonts w:hint="eastAsia"/>
                      <w:color w:val="auto"/>
                      <w:kern w:val="0"/>
                      <w:sz w:val="18"/>
                      <w:szCs w:val="18"/>
                    </w:rPr>
                    <w:t>运行时间（h/a）</w:t>
                  </w:r>
                </w:p>
              </w:tc>
              <w:tc>
                <w:tcPr>
                  <w:tcW w:w="1155" w:type="pct"/>
                  <w:tcBorders>
                    <w:top w:val="single" w:color="auto" w:sz="12" w:space="0"/>
                    <w:left w:val="single" w:color="auto" w:sz="8" w:space="0"/>
                    <w:bottom w:val="single" w:color="auto" w:sz="8" w:space="0"/>
                    <w:right w:val="nil"/>
                  </w:tcBorders>
                  <w:noWrap/>
                  <w:vAlign w:val="center"/>
                </w:tcPr>
                <w:p w14:paraId="3FC0DFF4">
                  <w:pPr>
                    <w:jc w:val="center"/>
                    <w:rPr>
                      <w:rFonts w:hint="eastAsia"/>
                      <w:color w:val="auto"/>
                      <w:kern w:val="0"/>
                      <w:sz w:val="18"/>
                      <w:szCs w:val="18"/>
                    </w:rPr>
                  </w:pPr>
                  <w:r>
                    <w:rPr>
                      <w:rFonts w:hint="eastAsia"/>
                      <w:color w:val="auto"/>
                      <w:kern w:val="0"/>
                      <w:sz w:val="18"/>
                      <w:szCs w:val="18"/>
                    </w:rPr>
                    <w:t>排放量（t/a）</w:t>
                  </w:r>
                </w:p>
              </w:tc>
            </w:tr>
            <w:tr w14:paraId="1CC406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restart"/>
                  <w:tcBorders>
                    <w:top w:val="single" w:color="auto" w:sz="8" w:space="0"/>
                    <w:left w:val="nil"/>
                    <w:bottom w:val="single" w:color="auto" w:sz="8" w:space="0"/>
                    <w:right w:val="single" w:color="auto" w:sz="8" w:space="0"/>
                  </w:tcBorders>
                  <w:vAlign w:val="center"/>
                </w:tcPr>
                <w:p w14:paraId="27E36235">
                  <w:pPr>
                    <w:jc w:val="center"/>
                    <w:rPr>
                      <w:rFonts w:hint="eastAsia"/>
                      <w:color w:val="auto"/>
                      <w:kern w:val="0"/>
                      <w:sz w:val="18"/>
                      <w:szCs w:val="18"/>
                    </w:rPr>
                  </w:pPr>
                  <w:r>
                    <w:rPr>
                      <w:rFonts w:hint="eastAsia"/>
                      <w:color w:val="auto"/>
                      <w:kern w:val="0"/>
                      <w:sz w:val="18"/>
                      <w:szCs w:val="18"/>
                    </w:rPr>
                    <w:t>现有甲醇原料罐、叔丁醇产品暂存罐及装卸车区</w:t>
                  </w: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593B5BE0">
                  <w:pPr>
                    <w:jc w:val="center"/>
                    <w:rPr>
                      <w:rFonts w:hint="eastAsia"/>
                      <w:color w:val="auto"/>
                      <w:kern w:val="0"/>
                      <w:sz w:val="18"/>
                      <w:szCs w:val="18"/>
                    </w:rPr>
                  </w:pPr>
                  <w:r>
                    <w:rPr>
                      <w:rFonts w:hint="eastAsia"/>
                      <w:color w:val="auto"/>
                      <w:kern w:val="0"/>
                      <w:sz w:val="18"/>
                      <w:szCs w:val="18"/>
                      <w:lang w:val="zh-CN"/>
                    </w:rPr>
                    <w:t>气体阀门</w:t>
                  </w:r>
                </w:p>
              </w:tc>
              <w:tc>
                <w:tcPr>
                  <w:tcW w:w="480" w:type="pct"/>
                  <w:tcBorders>
                    <w:top w:val="single" w:color="auto" w:sz="8" w:space="0"/>
                    <w:left w:val="single" w:color="auto" w:sz="8" w:space="0"/>
                    <w:bottom w:val="single" w:color="auto" w:sz="8" w:space="0"/>
                    <w:right w:val="single" w:color="auto" w:sz="8" w:space="0"/>
                  </w:tcBorders>
                  <w:noWrap/>
                  <w:vAlign w:val="center"/>
                </w:tcPr>
                <w:p w14:paraId="55408B4C">
                  <w:pPr>
                    <w:jc w:val="center"/>
                    <w:rPr>
                      <w:rFonts w:hint="eastAsia"/>
                      <w:color w:val="auto"/>
                      <w:kern w:val="0"/>
                      <w:sz w:val="18"/>
                      <w:szCs w:val="18"/>
                    </w:rPr>
                  </w:pPr>
                  <w:r>
                    <w:rPr>
                      <w:rFonts w:hint="eastAsia"/>
                      <w:color w:val="auto"/>
                      <w:kern w:val="0"/>
                      <w:sz w:val="18"/>
                      <w:szCs w:val="18"/>
                    </w:rPr>
                    <w:t>0</w:t>
                  </w:r>
                </w:p>
              </w:tc>
              <w:tc>
                <w:tcPr>
                  <w:tcW w:w="614" w:type="pct"/>
                  <w:tcBorders>
                    <w:top w:val="single" w:color="auto" w:sz="8" w:space="0"/>
                    <w:left w:val="single" w:color="auto" w:sz="8" w:space="0"/>
                    <w:bottom w:val="single" w:color="auto" w:sz="8" w:space="0"/>
                    <w:right w:val="single" w:color="auto" w:sz="8" w:space="0"/>
                  </w:tcBorders>
                  <w:noWrap/>
                  <w:vAlign w:val="center"/>
                </w:tcPr>
                <w:p w14:paraId="282CC42B">
                  <w:pPr>
                    <w:jc w:val="center"/>
                    <w:rPr>
                      <w:rFonts w:hint="eastAsia"/>
                      <w:color w:val="auto"/>
                      <w:kern w:val="0"/>
                      <w:sz w:val="18"/>
                      <w:szCs w:val="18"/>
                    </w:rPr>
                  </w:pPr>
                  <w:r>
                    <w:rPr>
                      <w:rFonts w:hint="eastAsia"/>
                      <w:color w:val="auto"/>
                      <w:kern w:val="0"/>
                      <w:sz w:val="18"/>
                      <w:szCs w:val="18"/>
                    </w:rPr>
                    <w:t>0.024</w:t>
                  </w:r>
                </w:p>
              </w:tc>
              <w:tc>
                <w:tcPr>
                  <w:tcW w:w="578" w:type="pct"/>
                  <w:tcBorders>
                    <w:top w:val="single" w:color="auto" w:sz="8" w:space="0"/>
                    <w:left w:val="single" w:color="auto" w:sz="8" w:space="0"/>
                    <w:bottom w:val="single" w:color="auto" w:sz="8" w:space="0"/>
                    <w:right w:val="single" w:color="auto" w:sz="8" w:space="0"/>
                  </w:tcBorders>
                  <w:noWrap/>
                  <w:vAlign w:val="center"/>
                </w:tcPr>
                <w:p w14:paraId="586E6C21">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1F3704E8">
                  <w:pPr>
                    <w:jc w:val="center"/>
                    <w:rPr>
                      <w:rFonts w:hint="eastAsia"/>
                      <w:color w:val="auto"/>
                      <w:kern w:val="0"/>
                      <w:sz w:val="18"/>
                      <w:szCs w:val="18"/>
                    </w:rPr>
                  </w:pPr>
                  <w:r>
                    <w:rPr>
                      <w:rFonts w:hint="eastAsia"/>
                      <w:color w:val="auto"/>
                      <w:kern w:val="0"/>
                      <w:sz w:val="18"/>
                      <w:szCs w:val="18"/>
                    </w:rPr>
                    <w:t>0</w:t>
                  </w:r>
                </w:p>
              </w:tc>
            </w:tr>
            <w:tr w14:paraId="304106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continue"/>
                  <w:tcBorders>
                    <w:top w:val="single" w:color="auto" w:sz="8" w:space="0"/>
                    <w:left w:val="nil"/>
                    <w:bottom w:val="single" w:color="auto" w:sz="8" w:space="0"/>
                    <w:right w:val="single" w:color="auto" w:sz="8" w:space="0"/>
                  </w:tcBorders>
                  <w:vAlign w:val="center"/>
                </w:tcPr>
                <w:p w14:paraId="27431498">
                  <w:pPr>
                    <w:jc w:val="center"/>
                    <w:rPr>
                      <w:rFonts w:hint="eastAsia"/>
                      <w:color w:val="auto"/>
                      <w:kern w:val="0"/>
                      <w:sz w:val="18"/>
                      <w:szCs w:val="18"/>
                    </w:rPr>
                  </w:pP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5379CAD5">
                  <w:pPr>
                    <w:jc w:val="center"/>
                    <w:rPr>
                      <w:rFonts w:hint="eastAsia"/>
                      <w:color w:val="auto"/>
                      <w:kern w:val="0"/>
                      <w:sz w:val="18"/>
                      <w:szCs w:val="18"/>
                    </w:rPr>
                  </w:pPr>
                  <w:r>
                    <w:rPr>
                      <w:rFonts w:hint="eastAsia"/>
                      <w:color w:val="auto"/>
                      <w:kern w:val="0"/>
                      <w:sz w:val="18"/>
                      <w:szCs w:val="18"/>
                      <w:lang w:val="zh-CN"/>
                    </w:rPr>
                    <w:t>开口阀或开口管线</w:t>
                  </w:r>
                </w:p>
              </w:tc>
              <w:tc>
                <w:tcPr>
                  <w:tcW w:w="480" w:type="pct"/>
                  <w:tcBorders>
                    <w:top w:val="single" w:color="auto" w:sz="8" w:space="0"/>
                    <w:left w:val="single" w:color="auto" w:sz="8" w:space="0"/>
                    <w:bottom w:val="single" w:color="auto" w:sz="8" w:space="0"/>
                    <w:right w:val="single" w:color="auto" w:sz="8" w:space="0"/>
                  </w:tcBorders>
                  <w:noWrap/>
                  <w:vAlign w:val="center"/>
                </w:tcPr>
                <w:p w14:paraId="02672F64">
                  <w:pPr>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614" w:type="pct"/>
                  <w:tcBorders>
                    <w:top w:val="single" w:color="auto" w:sz="8" w:space="0"/>
                    <w:left w:val="single" w:color="auto" w:sz="8" w:space="0"/>
                    <w:bottom w:val="single" w:color="auto" w:sz="8" w:space="0"/>
                    <w:right w:val="single" w:color="auto" w:sz="8" w:space="0"/>
                  </w:tcBorders>
                  <w:noWrap/>
                  <w:vAlign w:val="center"/>
                </w:tcPr>
                <w:p w14:paraId="4B91B2EB">
                  <w:pPr>
                    <w:jc w:val="center"/>
                    <w:rPr>
                      <w:rFonts w:hint="eastAsia"/>
                      <w:color w:val="auto"/>
                      <w:kern w:val="0"/>
                      <w:sz w:val="18"/>
                      <w:szCs w:val="18"/>
                    </w:rPr>
                  </w:pPr>
                  <w:r>
                    <w:rPr>
                      <w:rFonts w:hint="eastAsia"/>
                      <w:color w:val="auto"/>
                      <w:kern w:val="0"/>
                      <w:sz w:val="18"/>
                      <w:szCs w:val="18"/>
                    </w:rPr>
                    <w:t>0.03</w:t>
                  </w:r>
                </w:p>
              </w:tc>
              <w:tc>
                <w:tcPr>
                  <w:tcW w:w="578" w:type="pct"/>
                  <w:tcBorders>
                    <w:top w:val="single" w:color="auto" w:sz="8" w:space="0"/>
                    <w:left w:val="single" w:color="auto" w:sz="8" w:space="0"/>
                    <w:bottom w:val="single" w:color="auto" w:sz="8" w:space="0"/>
                    <w:right w:val="single" w:color="auto" w:sz="8" w:space="0"/>
                  </w:tcBorders>
                  <w:noWrap/>
                  <w:vAlign w:val="center"/>
                </w:tcPr>
                <w:p w14:paraId="2F89C5EE">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537AFCCC">
                  <w:pPr>
                    <w:jc w:val="center"/>
                    <w:rPr>
                      <w:rFonts w:hint="default" w:eastAsia="宋体"/>
                      <w:color w:val="auto"/>
                      <w:kern w:val="0"/>
                      <w:sz w:val="18"/>
                      <w:szCs w:val="18"/>
                      <w:lang w:val="en-US" w:eastAsia="zh-CN"/>
                    </w:rPr>
                  </w:pPr>
                  <w:r>
                    <w:rPr>
                      <w:rFonts w:hint="eastAsia"/>
                      <w:color w:val="auto"/>
                      <w:kern w:val="0"/>
                      <w:sz w:val="18"/>
                      <w:szCs w:val="18"/>
                      <w:lang w:val="en-US" w:eastAsia="zh-CN"/>
                    </w:rPr>
                    <w:t>0.020</w:t>
                  </w:r>
                </w:p>
              </w:tc>
            </w:tr>
            <w:tr w14:paraId="648799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continue"/>
                  <w:tcBorders>
                    <w:top w:val="single" w:color="auto" w:sz="8" w:space="0"/>
                    <w:left w:val="nil"/>
                    <w:bottom w:val="single" w:color="auto" w:sz="8" w:space="0"/>
                    <w:right w:val="single" w:color="auto" w:sz="8" w:space="0"/>
                  </w:tcBorders>
                  <w:vAlign w:val="center"/>
                </w:tcPr>
                <w:p w14:paraId="49B3DD15">
                  <w:pPr>
                    <w:jc w:val="center"/>
                    <w:rPr>
                      <w:rFonts w:hint="eastAsia"/>
                      <w:color w:val="auto"/>
                      <w:kern w:val="0"/>
                      <w:sz w:val="18"/>
                      <w:szCs w:val="18"/>
                    </w:rPr>
                  </w:pP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14355BCD">
                  <w:pPr>
                    <w:jc w:val="center"/>
                    <w:rPr>
                      <w:rFonts w:hint="eastAsia"/>
                      <w:color w:val="auto"/>
                      <w:kern w:val="0"/>
                      <w:sz w:val="18"/>
                      <w:szCs w:val="18"/>
                    </w:rPr>
                  </w:pPr>
                  <w:r>
                    <w:rPr>
                      <w:rFonts w:hint="eastAsia"/>
                      <w:color w:val="auto"/>
                      <w:kern w:val="0"/>
                      <w:sz w:val="18"/>
                      <w:szCs w:val="18"/>
                      <w:lang w:val="zh-CN"/>
                    </w:rPr>
                    <w:t>有机液体阀门</w:t>
                  </w:r>
                </w:p>
              </w:tc>
              <w:tc>
                <w:tcPr>
                  <w:tcW w:w="480" w:type="pct"/>
                  <w:tcBorders>
                    <w:top w:val="single" w:color="auto" w:sz="8" w:space="0"/>
                    <w:left w:val="single" w:color="auto" w:sz="8" w:space="0"/>
                    <w:bottom w:val="single" w:color="auto" w:sz="8" w:space="0"/>
                    <w:right w:val="single" w:color="auto" w:sz="8" w:space="0"/>
                  </w:tcBorders>
                  <w:noWrap/>
                  <w:vAlign w:val="center"/>
                </w:tcPr>
                <w:p w14:paraId="5E0F93E6">
                  <w:pPr>
                    <w:jc w:val="center"/>
                    <w:rPr>
                      <w:rFonts w:hint="default" w:eastAsia="宋体"/>
                      <w:color w:val="auto"/>
                      <w:kern w:val="0"/>
                      <w:sz w:val="18"/>
                      <w:szCs w:val="18"/>
                      <w:lang w:val="en-US" w:eastAsia="zh-CN"/>
                    </w:rPr>
                  </w:pPr>
                  <w:r>
                    <w:rPr>
                      <w:rFonts w:hint="eastAsia"/>
                      <w:color w:val="auto"/>
                      <w:kern w:val="0"/>
                      <w:sz w:val="18"/>
                      <w:szCs w:val="18"/>
                      <w:lang w:val="en-US" w:eastAsia="zh-CN"/>
                    </w:rPr>
                    <w:t>150</w:t>
                  </w:r>
                </w:p>
              </w:tc>
              <w:tc>
                <w:tcPr>
                  <w:tcW w:w="614" w:type="pct"/>
                  <w:tcBorders>
                    <w:top w:val="single" w:color="auto" w:sz="8" w:space="0"/>
                    <w:left w:val="single" w:color="auto" w:sz="8" w:space="0"/>
                    <w:bottom w:val="single" w:color="auto" w:sz="8" w:space="0"/>
                    <w:right w:val="single" w:color="auto" w:sz="8" w:space="0"/>
                  </w:tcBorders>
                  <w:noWrap/>
                  <w:vAlign w:val="center"/>
                </w:tcPr>
                <w:p w14:paraId="16A9C2E3">
                  <w:pPr>
                    <w:jc w:val="center"/>
                    <w:rPr>
                      <w:rFonts w:hint="eastAsia"/>
                      <w:color w:val="auto"/>
                      <w:kern w:val="0"/>
                      <w:sz w:val="18"/>
                      <w:szCs w:val="18"/>
                    </w:rPr>
                  </w:pPr>
                  <w:r>
                    <w:rPr>
                      <w:rFonts w:hint="eastAsia"/>
                      <w:color w:val="auto"/>
                      <w:kern w:val="0"/>
                      <w:sz w:val="18"/>
                      <w:szCs w:val="18"/>
                    </w:rPr>
                    <w:t>0.036</w:t>
                  </w:r>
                </w:p>
              </w:tc>
              <w:tc>
                <w:tcPr>
                  <w:tcW w:w="578" w:type="pct"/>
                  <w:tcBorders>
                    <w:top w:val="single" w:color="auto" w:sz="8" w:space="0"/>
                    <w:left w:val="single" w:color="auto" w:sz="8" w:space="0"/>
                    <w:bottom w:val="single" w:color="auto" w:sz="8" w:space="0"/>
                    <w:right w:val="single" w:color="auto" w:sz="8" w:space="0"/>
                  </w:tcBorders>
                  <w:noWrap/>
                  <w:vAlign w:val="center"/>
                </w:tcPr>
                <w:p w14:paraId="09A63A43">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4915CDDE">
                  <w:pPr>
                    <w:jc w:val="center"/>
                    <w:rPr>
                      <w:rFonts w:hint="default" w:eastAsia="宋体"/>
                      <w:color w:val="auto"/>
                      <w:kern w:val="0"/>
                      <w:sz w:val="18"/>
                      <w:szCs w:val="18"/>
                      <w:lang w:val="en-US" w:eastAsia="zh-CN"/>
                    </w:rPr>
                  </w:pPr>
                  <w:r>
                    <w:rPr>
                      <w:rFonts w:hint="eastAsia"/>
                      <w:color w:val="auto"/>
                      <w:kern w:val="0"/>
                      <w:sz w:val="18"/>
                      <w:szCs w:val="18"/>
                      <w:lang w:val="en-US" w:eastAsia="zh-CN"/>
                    </w:rPr>
                    <w:t>0.142</w:t>
                  </w:r>
                </w:p>
              </w:tc>
            </w:tr>
            <w:tr w14:paraId="61548F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continue"/>
                  <w:tcBorders>
                    <w:top w:val="single" w:color="auto" w:sz="8" w:space="0"/>
                    <w:left w:val="nil"/>
                    <w:bottom w:val="single" w:color="auto" w:sz="8" w:space="0"/>
                    <w:right w:val="single" w:color="auto" w:sz="8" w:space="0"/>
                  </w:tcBorders>
                  <w:vAlign w:val="center"/>
                </w:tcPr>
                <w:p w14:paraId="412A43D1">
                  <w:pPr>
                    <w:jc w:val="center"/>
                    <w:rPr>
                      <w:rFonts w:hint="eastAsia"/>
                      <w:color w:val="auto"/>
                      <w:kern w:val="0"/>
                      <w:sz w:val="18"/>
                      <w:szCs w:val="18"/>
                    </w:rPr>
                  </w:pP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0D786D6A">
                  <w:pPr>
                    <w:jc w:val="center"/>
                    <w:rPr>
                      <w:rFonts w:hint="eastAsia"/>
                      <w:color w:val="auto"/>
                      <w:kern w:val="0"/>
                      <w:sz w:val="18"/>
                      <w:szCs w:val="18"/>
                    </w:rPr>
                  </w:pPr>
                  <w:r>
                    <w:rPr>
                      <w:rFonts w:hint="eastAsia"/>
                      <w:color w:val="auto"/>
                      <w:kern w:val="0"/>
                      <w:sz w:val="18"/>
                      <w:szCs w:val="18"/>
                      <w:lang w:val="zh-CN"/>
                    </w:rPr>
                    <w:t>法兰或连接件</w:t>
                  </w:r>
                </w:p>
              </w:tc>
              <w:tc>
                <w:tcPr>
                  <w:tcW w:w="480" w:type="pct"/>
                  <w:tcBorders>
                    <w:top w:val="single" w:color="auto" w:sz="8" w:space="0"/>
                    <w:left w:val="single" w:color="auto" w:sz="8" w:space="0"/>
                    <w:bottom w:val="single" w:color="auto" w:sz="8" w:space="0"/>
                    <w:right w:val="single" w:color="auto" w:sz="8" w:space="0"/>
                  </w:tcBorders>
                  <w:noWrap/>
                  <w:vAlign w:val="center"/>
                </w:tcPr>
                <w:p w14:paraId="600A2FBB">
                  <w:pPr>
                    <w:jc w:val="center"/>
                    <w:rPr>
                      <w:rFonts w:hint="default" w:eastAsia="宋体"/>
                      <w:color w:val="auto"/>
                      <w:kern w:val="0"/>
                      <w:sz w:val="18"/>
                      <w:szCs w:val="18"/>
                      <w:lang w:val="en-US" w:eastAsia="zh-CN"/>
                    </w:rPr>
                  </w:pPr>
                  <w:r>
                    <w:rPr>
                      <w:rFonts w:hint="eastAsia"/>
                      <w:color w:val="auto"/>
                      <w:kern w:val="0"/>
                      <w:sz w:val="18"/>
                      <w:szCs w:val="18"/>
                      <w:lang w:val="en-US" w:eastAsia="zh-CN"/>
                    </w:rPr>
                    <w:t>420</w:t>
                  </w:r>
                </w:p>
              </w:tc>
              <w:tc>
                <w:tcPr>
                  <w:tcW w:w="614" w:type="pct"/>
                  <w:tcBorders>
                    <w:top w:val="single" w:color="auto" w:sz="8" w:space="0"/>
                    <w:left w:val="single" w:color="auto" w:sz="8" w:space="0"/>
                    <w:bottom w:val="single" w:color="auto" w:sz="8" w:space="0"/>
                    <w:right w:val="single" w:color="auto" w:sz="8" w:space="0"/>
                  </w:tcBorders>
                  <w:noWrap/>
                  <w:vAlign w:val="center"/>
                </w:tcPr>
                <w:p w14:paraId="01D609EE">
                  <w:pPr>
                    <w:jc w:val="center"/>
                    <w:rPr>
                      <w:rFonts w:hint="eastAsia"/>
                      <w:color w:val="auto"/>
                      <w:kern w:val="0"/>
                      <w:sz w:val="18"/>
                      <w:szCs w:val="18"/>
                    </w:rPr>
                  </w:pPr>
                  <w:r>
                    <w:rPr>
                      <w:rFonts w:hint="eastAsia"/>
                      <w:color w:val="auto"/>
                      <w:kern w:val="0"/>
                      <w:sz w:val="18"/>
                      <w:szCs w:val="18"/>
                    </w:rPr>
                    <w:t>0.044</w:t>
                  </w:r>
                </w:p>
              </w:tc>
              <w:tc>
                <w:tcPr>
                  <w:tcW w:w="578" w:type="pct"/>
                  <w:tcBorders>
                    <w:top w:val="single" w:color="auto" w:sz="8" w:space="0"/>
                    <w:left w:val="single" w:color="auto" w:sz="8" w:space="0"/>
                    <w:bottom w:val="single" w:color="auto" w:sz="8" w:space="0"/>
                    <w:right w:val="single" w:color="auto" w:sz="8" w:space="0"/>
                  </w:tcBorders>
                  <w:noWrap/>
                  <w:vAlign w:val="center"/>
                </w:tcPr>
                <w:p w14:paraId="0B479FA5">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55C4288D">
                  <w:pPr>
                    <w:jc w:val="center"/>
                    <w:rPr>
                      <w:rFonts w:hint="default" w:eastAsia="宋体"/>
                      <w:color w:val="auto"/>
                      <w:kern w:val="0"/>
                      <w:sz w:val="18"/>
                      <w:szCs w:val="18"/>
                      <w:lang w:val="en-US" w:eastAsia="zh-CN"/>
                    </w:rPr>
                  </w:pPr>
                  <w:r>
                    <w:rPr>
                      <w:rFonts w:hint="eastAsia"/>
                      <w:color w:val="auto"/>
                      <w:kern w:val="0"/>
                      <w:sz w:val="18"/>
                      <w:szCs w:val="18"/>
                      <w:lang w:val="en-US" w:eastAsia="zh-CN"/>
                    </w:rPr>
                    <w:t>0.486</w:t>
                  </w:r>
                </w:p>
              </w:tc>
            </w:tr>
            <w:tr w14:paraId="4FA2E0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continue"/>
                  <w:tcBorders>
                    <w:top w:val="single" w:color="auto" w:sz="8" w:space="0"/>
                    <w:left w:val="nil"/>
                    <w:bottom w:val="single" w:color="auto" w:sz="8" w:space="0"/>
                    <w:right w:val="single" w:color="auto" w:sz="8" w:space="0"/>
                  </w:tcBorders>
                  <w:vAlign w:val="center"/>
                </w:tcPr>
                <w:p w14:paraId="04033DA8">
                  <w:pPr>
                    <w:jc w:val="center"/>
                    <w:rPr>
                      <w:rFonts w:hint="eastAsia"/>
                      <w:color w:val="auto"/>
                      <w:kern w:val="0"/>
                      <w:sz w:val="18"/>
                      <w:szCs w:val="18"/>
                    </w:rPr>
                  </w:pP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0B60FBA6">
                  <w:pPr>
                    <w:jc w:val="center"/>
                    <w:rPr>
                      <w:rFonts w:hint="eastAsia"/>
                      <w:color w:val="auto"/>
                      <w:kern w:val="0"/>
                      <w:sz w:val="18"/>
                      <w:szCs w:val="18"/>
                    </w:rPr>
                  </w:pPr>
                  <w:r>
                    <w:rPr>
                      <w:rFonts w:hint="eastAsia"/>
                      <w:color w:val="auto"/>
                      <w:kern w:val="0"/>
                      <w:sz w:val="18"/>
                      <w:szCs w:val="18"/>
                      <w:lang w:val="zh-CN"/>
                    </w:rPr>
                    <w:t>泵、压缩机、搅拌器、泄压设备</w:t>
                  </w:r>
                </w:p>
              </w:tc>
              <w:tc>
                <w:tcPr>
                  <w:tcW w:w="480" w:type="pct"/>
                  <w:tcBorders>
                    <w:top w:val="single" w:color="auto" w:sz="8" w:space="0"/>
                    <w:left w:val="single" w:color="auto" w:sz="8" w:space="0"/>
                    <w:bottom w:val="single" w:color="auto" w:sz="8" w:space="0"/>
                    <w:right w:val="single" w:color="auto" w:sz="8" w:space="0"/>
                  </w:tcBorders>
                  <w:noWrap/>
                  <w:vAlign w:val="center"/>
                </w:tcPr>
                <w:p w14:paraId="22A2C9D3">
                  <w:pPr>
                    <w:jc w:val="center"/>
                    <w:rPr>
                      <w:rFonts w:hint="eastAsia" w:eastAsia="宋体"/>
                      <w:color w:val="auto"/>
                      <w:kern w:val="0"/>
                      <w:sz w:val="18"/>
                      <w:szCs w:val="18"/>
                      <w:lang w:val="en-US" w:eastAsia="zh-CN"/>
                    </w:rPr>
                  </w:pPr>
                  <w:r>
                    <w:rPr>
                      <w:rFonts w:hint="eastAsia"/>
                      <w:color w:val="auto"/>
                      <w:kern w:val="0"/>
                      <w:sz w:val="18"/>
                      <w:szCs w:val="18"/>
                      <w:lang w:val="en-US" w:eastAsia="zh-CN"/>
                    </w:rPr>
                    <w:t>8</w:t>
                  </w:r>
                </w:p>
              </w:tc>
              <w:tc>
                <w:tcPr>
                  <w:tcW w:w="614" w:type="pct"/>
                  <w:tcBorders>
                    <w:top w:val="single" w:color="auto" w:sz="8" w:space="0"/>
                    <w:left w:val="single" w:color="auto" w:sz="8" w:space="0"/>
                    <w:bottom w:val="single" w:color="auto" w:sz="8" w:space="0"/>
                    <w:right w:val="single" w:color="auto" w:sz="8" w:space="0"/>
                  </w:tcBorders>
                  <w:noWrap/>
                  <w:vAlign w:val="center"/>
                </w:tcPr>
                <w:p w14:paraId="5A25782C">
                  <w:pPr>
                    <w:jc w:val="center"/>
                    <w:rPr>
                      <w:rFonts w:hint="eastAsia"/>
                      <w:color w:val="auto"/>
                      <w:kern w:val="0"/>
                      <w:sz w:val="18"/>
                      <w:szCs w:val="18"/>
                    </w:rPr>
                  </w:pPr>
                  <w:r>
                    <w:rPr>
                      <w:rFonts w:hint="eastAsia"/>
                      <w:color w:val="auto"/>
                      <w:kern w:val="0"/>
                      <w:sz w:val="18"/>
                      <w:szCs w:val="18"/>
                    </w:rPr>
                    <w:t>0.14</w:t>
                  </w:r>
                </w:p>
              </w:tc>
              <w:tc>
                <w:tcPr>
                  <w:tcW w:w="578" w:type="pct"/>
                  <w:tcBorders>
                    <w:top w:val="single" w:color="auto" w:sz="8" w:space="0"/>
                    <w:left w:val="single" w:color="auto" w:sz="8" w:space="0"/>
                    <w:bottom w:val="single" w:color="auto" w:sz="8" w:space="0"/>
                    <w:right w:val="single" w:color="auto" w:sz="8" w:space="0"/>
                  </w:tcBorders>
                  <w:noWrap/>
                  <w:vAlign w:val="center"/>
                </w:tcPr>
                <w:p w14:paraId="6A8005A0">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4C64BC91">
                  <w:pPr>
                    <w:jc w:val="center"/>
                    <w:rPr>
                      <w:rFonts w:hint="default" w:eastAsia="宋体"/>
                      <w:color w:val="auto"/>
                      <w:kern w:val="0"/>
                      <w:sz w:val="18"/>
                      <w:szCs w:val="18"/>
                      <w:lang w:val="en-US" w:eastAsia="zh-CN"/>
                    </w:rPr>
                  </w:pPr>
                  <w:r>
                    <w:rPr>
                      <w:rFonts w:hint="eastAsia"/>
                      <w:color w:val="auto"/>
                      <w:kern w:val="0"/>
                      <w:sz w:val="18"/>
                      <w:szCs w:val="18"/>
                      <w:lang w:val="en-US" w:eastAsia="zh-CN"/>
                    </w:rPr>
                    <w:t>0.029</w:t>
                  </w:r>
                </w:p>
              </w:tc>
            </w:tr>
            <w:tr w14:paraId="21B4AE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63" w:type="pct"/>
                  <w:vMerge w:val="continue"/>
                  <w:tcBorders>
                    <w:top w:val="single" w:color="auto" w:sz="8" w:space="0"/>
                    <w:left w:val="nil"/>
                    <w:bottom w:val="single" w:color="auto" w:sz="8" w:space="0"/>
                    <w:right w:val="single" w:color="auto" w:sz="8" w:space="0"/>
                  </w:tcBorders>
                  <w:vAlign w:val="center"/>
                </w:tcPr>
                <w:p w14:paraId="3691B95E">
                  <w:pPr>
                    <w:jc w:val="center"/>
                    <w:rPr>
                      <w:rFonts w:hint="eastAsia"/>
                      <w:color w:val="auto"/>
                      <w:kern w:val="0"/>
                      <w:sz w:val="18"/>
                      <w:szCs w:val="18"/>
                    </w:rPr>
                  </w:pPr>
                </w:p>
              </w:tc>
              <w:tc>
                <w:tcPr>
                  <w:tcW w:w="1606" w:type="pct"/>
                  <w:gridSpan w:val="2"/>
                  <w:tcBorders>
                    <w:top w:val="single" w:color="auto" w:sz="8" w:space="0"/>
                    <w:left w:val="single" w:color="auto" w:sz="8" w:space="0"/>
                    <w:bottom w:val="single" w:color="auto" w:sz="8" w:space="0"/>
                    <w:right w:val="single" w:color="auto" w:sz="8" w:space="0"/>
                  </w:tcBorders>
                  <w:noWrap/>
                  <w:vAlign w:val="center"/>
                </w:tcPr>
                <w:p w14:paraId="0F811C4D">
                  <w:pPr>
                    <w:jc w:val="center"/>
                    <w:rPr>
                      <w:rFonts w:hint="eastAsia"/>
                      <w:color w:val="auto"/>
                      <w:kern w:val="0"/>
                      <w:sz w:val="18"/>
                      <w:szCs w:val="18"/>
                    </w:rPr>
                  </w:pPr>
                  <w:r>
                    <w:rPr>
                      <w:rFonts w:hint="eastAsia"/>
                      <w:color w:val="auto"/>
                      <w:kern w:val="0"/>
                      <w:sz w:val="18"/>
                      <w:szCs w:val="18"/>
                      <w:lang w:val="zh-CN"/>
                    </w:rPr>
                    <w:t>其他</w:t>
                  </w:r>
                </w:p>
              </w:tc>
              <w:tc>
                <w:tcPr>
                  <w:tcW w:w="480" w:type="pct"/>
                  <w:tcBorders>
                    <w:top w:val="single" w:color="auto" w:sz="8" w:space="0"/>
                    <w:left w:val="single" w:color="auto" w:sz="8" w:space="0"/>
                    <w:bottom w:val="single" w:color="auto" w:sz="8" w:space="0"/>
                    <w:right w:val="single" w:color="auto" w:sz="8" w:space="0"/>
                  </w:tcBorders>
                  <w:noWrap/>
                  <w:vAlign w:val="center"/>
                </w:tcPr>
                <w:p w14:paraId="67275E95">
                  <w:pPr>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614" w:type="pct"/>
                  <w:tcBorders>
                    <w:top w:val="single" w:color="auto" w:sz="8" w:space="0"/>
                    <w:left w:val="single" w:color="auto" w:sz="8" w:space="0"/>
                    <w:bottom w:val="single" w:color="auto" w:sz="8" w:space="0"/>
                    <w:right w:val="single" w:color="auto" w:sz="8" w:space="0"/>
                  </w:tcBorders>
                  <w:noWrap/>
                  <w:vAlign w:val="center"/>
                </w:tcPr>
                <w:p w14:paraId="6C646533">
                  <w:pPr>
                    <w:jc w:val="center"/>
                    <w:rPr>
                      <w:rFonts w:hint="eastAsia"/>
                      <w:color w:val="auto"/>
                      <w:kern w:val="0"/>
                      <w:sz w:val="18"/>
                      <w:szCs w:val="18"/>
                    </w:rPr>
                  </w:pPr>
                  <w:r>
                    <w:rPr>
                      <w:rFonts w:hint="eastAsia"/>
                      <w:color w:val="auto"/>
                      <w:kern w:val="0"/>
                      <w:sz w:val="18"/>
                      <w:szCs w:val="18"/>
                    </w:rPr>
                    <w:t>0.073</w:t>
                  </w:r>
                </w:p>
              </w:tc>
              <w:tc>
                <w:tcPr>
                  <w:tcW w:w="578" w:type="pct"/>
                  <w:tcBorders>
                    <w:top w:val="single" w:color="auto" w:sz="8" w:space="0"/>
                    <w:left w:val="single" w:color="auto" w:sz="8" w:space="0"/>
                    <w:bottom w:val="single" w:color="auto" w:sz="8" w:space="0"/>
                    <w:right w:val="single" w:color="auto" w:sz="8" w:space="0"/>
                  </w:tcBorders>
                  <w:noWrap/>
                  <w:vAlign w:val="center"/>
                </w:tcPr>
                <w:p w14:paraId="628B4505">
                  <w:pPr>
                    <w:jc w:val="center"/>
                    <w:rPr>
                      <w:rFonts w:hint="eastAsia"/>
                      <w:color w:val="auto"/>
                      <w:kern w:val="0"/>
                      <w:sz w:val="18"/>
                      <w:szCs w:val="18"/>
                    </w:rPr>
                  </w:pPr>
                  <w:r>
                    <w:rPr>
                      <w:rFonts w:hint="eastAsia"/>
                      <w:color w:val="auto"/>
                      <w:kern w:val="0"/>
                      <w:sz w:val="18"/>
                      <w:szCs w:val="18"/>
                    </w:rPr>
                    <w:t>8760</w:t>
                  </w:r>
                </w:p>
              </w:tc>
              <w:tc>
                <w:tcPr>
                  <w:tcW w:w="1155" w:type="pct"/>
                  <w:tcBorders>
                    <w:top w:val="single" w:color="auto" w:sz="8" w:space="0"/>
                    <w:left w:val="single" w:color="auto" w:sz="8" w:space="0"/>
                    <w:bottom w:val="single" w:color="auto" w:sz="8" w:space="0"/>
                    <w:right w:val="nil"/>
                  </w:tcBorders>
                  <w:noWrap/>
                  <w:vAlign w:val="center"/>
                </w:tcPr>
                <w:p w14:paraId="13E3B573">
                  <w:pPr>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r>
            <w:tr w14:paraId="51D1B5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170" w:type="pct"/>
                  <w:gridSpan w:val="3"/>
                  <w:tcBorders>
                    <w:top w:val="single" w:color="auto" w:sz="8" w:space="0"/>
                    <w:left w:val="nil"/>
                    <w:right w:val="single" w:color="auto" w:sz="8" w:space="0"/>
                  </w:tcBorders>
                  <w:vAlign w:val="center"/>
                </w:tcPr>
                <w:p w14:paraId="546838B1">
                  <w:pPr>
                    <w:jc w:val="center"/>
                    <w:rPr>
                      <w:rFonts w:hint="eastAsia"/>
                      <w:color w:val="auto"/>
                      <w:kern w:val="0"/>
                      <w:sz w:val="18"/>
                      <w:szCs w:val="18"/>
                    </w:rPr>
                  </w:pPr>
                  <w:r>
                    <w:rPr>
                      <w:rFonts w:hint="eastAsia"/>
                      <w:color w:val="auto"/>
                      <w:kern w:val="0"/>
                      <w:sz w:val="18"/>
                      <w:szCs w:val="18"/>
                      <w:lang w:val="en-US" w:eastAsia="zh-CN"/>
                    </w:rPr>
                    <w:t>VOCs</w:t>
                  </w:r>
                  <w:r>
                    <w:rPr>
                      <w:rFonts w:hint="eastAsia"/>
                      <w:color w:val="auto"/>
                      <w:kern w:val="0"/>
                      <w:sz w:val="18"/>
                      <w:szCs w:val="18"/>
                    </w:rPr>
                    <w:t>合计</w:t>
                  </w:r>
                </w:p>
              </w:tc>
              <w:tc>
                <w:tcPr>
                  <w:tcW w:w="480" w:type="pct"/>
                  <w:vMerge w:val="restart"/>
                  <w:tcBorders>
                    <w:top w:val="single" w:color="auto" w:sz="8" w:space="0"/>
                    <w:left w:val="single" w:color="auto" w:sz="8" w:space="0"/>
                    <w:right w:val="single" w:color="auto" w:sz="8" w:space="0"/>
                  </w:tcBorders>
                  <w:noWrap/>
                  <w:vAlign w:val="center"/>
                </w:tcPr>
                <w:p w14:paraId="3D53ADF3">
                  <w:pPr>
                    <w:jc w:val="center"/>
                    <w:rPr>
                      <w:rFonts w:hint="default" w:eastAsia="宋体"/>
                      <w:color w:val="auto"/>
                      <w:kern w:val="0"/>
                      <w:sz w:val="18"/>
                      <w:szCs w:val="18"/>
                      <w:lang w:val="en-US" w:eastAsia="zh-CN"/>
                    </w:rPr>
                  </w:pPr>
                  <w:r>
                    <w:rPr>
                      <w:rFonts w:hint="eastAsia"/>
                      <w:color w:val="auto"/>
                      <w:kern w:val="0"/>
                      <w:sz w:val="18"/>
                      <w:szCs w:val="18"/>
                      <w:lang w:val="en-US" w:eastAsia="zh-CN"/>
                    </w:rPr>
                    <w:t>603</w:t>
                  </w:r>
                </w:p>
              </w:tc>
              <w:tc>
                <w:tcPr>
                  <w:tcW w:w="614" w:type="pct"/>
                  <w:vMerge w:val="restart"/>
                  <w:tcBorders>
                    <w:top w:val="single" w:color="auto" w:sz="8" w:space="0"/>
                    <w:left w:val="single" w:color="auto" w:sz="8" w:space="0"/>
                    <w:right w:val="single" w:color="auto" w:sz="8" w:space="0"/>
                  </w:tcBorders>
                  <w:noWrap/>
                  <w:vAlign w:val="center"/>
                </w:tcPr>
                <w:p w14:paraId="4E452056">
                  <w:pPr>
                    <w:jc w:val="center"/>
                    <w:rPr>
                      <w:rFonts w:hint="eastAsia"/>
                      <w:color w:val="auto"/>
                      <w:kern w:val="0"/>
                      <w:sz w:val="18"/>
                      <w:szCs w:val="18"/>
                    </w:rPr>
                  </w:pPr>
                  <w:r>
                    <w:rPr>
                      <w:rFonts w:hint="eastAsia"/>
                      <w:color w:val="auto"/>
                      <w:kern w:val="0"/>
                      <w:sz w:val="18"/>
                      <w:szCs w:val="18"/>
                    </w:rPr>
                    <w:t>--</w:t>
                  </w:r>
                </w:p>
              </w:tc>
              <w:tc>
                <w:tcPr>
                  <w:tcW w:w="578" w:type="pct"/>
                  <w:vMerge w:val="restart"/>
                  <w:tcBorders>
                    <w:top w:val="single" w:color="auto" w:sz="8" w:space="0"/>
                    <w:left w:val="single" w:color="auto" w:sz="8" w:space="0"/>
                    <w:right w:val="single" w:color="auto" w:sz="8" w:space="0"/>
                  </w:tcBorders>
                  <w:noWrap/>
                  <w:vAlign w:val="center"/>
                </w:tcPr>
                <w:p w14:paraId="4CF67402">
                  <w:pPr>
                    <w:jc w:val="center"/>
                    <w:rPr>
                      <w:rFonts w:hint="eastAsia"/>
                      <w:color w:val="auto"/>
                      <w:kern w:val="0"/>
                      <w:sz w:val="18"/>
                      <w:szCs w:val="18"/>
                    </w:rPr>
                  </w:pPr>
                  <w:r>
                    <w:rPr>
                      <w:rFonts w:hint="eastAsia"/>
                      <w:color w:val="auto"/>
                      <w:kern w:val="0"/>
                      <w:sz w:val="18"/>
                      <w:szCs w:val="18"/>
                    </w:rPr>
                    <w:t>--</w:t>
                  </w:r>
                </w:p>
              </w:tc>
              <w:tc>
                <w:tcPr>
                  <w:tcW w:w="1155" w:type="pct"/>
                  <w:tcBorders>
                    <w:top w:val="single" w:color="auto" w:sz="8" w:space="0"/>
                    <w:left w:val="single" w:color="auto" w:sz="8" w:space="0"/>
                    <w:bottom w:val="single" w:color="auto" w:sz="8" w:space="0"/>
                    <w:right w:val="nil"/>
                  </w:tcBorders>
                  <w:noWrap/>
                  <w:vAlign w:val="center"/>
                </w:tcPr>
                <w:p w14:paraId="25CD58BB">
                  <w:pPr>
                    <w:jc w:val="center"/>
                    <w:rPr>
                      <w:rFonts w:hint="default" w:eastAsia="宋体"/>
                      <w:color w:val="auto"/>
                      <w:kern w:val="0"/>
                      <w:sz w:val="18"/>
                      <w:szCs w:val="18"/>
                      <w:lang w:val="en-US" w:eastAsia="zh-CN"/>
                    </w:rPr>
                  </w:pPr>
                  <w:r>
                    <w:rPr>
                      <w:rFonts w:hint="eastAsia"/>
                      <w:color w:val="auto"/>
                      <w:kern w:val="0"/>
                      <w:sz w:val="18"/>
                      <w:szCs w:val="18"/>
                      <w:lang w:val="en-US" w:eastAsia="zh-CN"/>
                    </w:rPr>
                    <w:t>0.677</w:t>
                  </w:r>
                </w:p>
              </w:tc>
            </w:tr>
            <w:tr w14:paraId="3E20A1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085" w:type="pct"/>
                  <w:gridSpan w:val="2"/>
                  <w:tcBorders>
                    <w:left w:val="nil"/>
                    <w:bottom w:val="single" w:color="auto" w:sz="8" w:space="0"/>
                    <w:right w:val="single" w:color="auto" w:sz="8" w:space="0"/>
                  </w:tcBorders>
                  <w:vAlign w:val="center"/>
                </w:tcPr>
                <w:p w14:paraId="3CB5D1FF">
                  <w:pPr>
                    <w:jc w:val="center"/>
                    <w:rPr>
                      <w:rFonts w:hint="default"/>
                      <w:color w:val="auto"/>
                      <w:kern w:val="0"/>
                      <w:sz w:val="18"/>
                      <w:szCs w:val="18"/>
                      <w:lang w:val="en-US" w:eastAsia="zh-CN"/>
                    </w:rPr>
                  </w:pPr>
                  <w:r>
                    <w:rPr>
                      <w:rFonts w:hint="eastAsia"/>
                      <w:color w:val="auto"/>
                      <w:kern w:val="0"/>
                      <w:sz w:val="18"/>
                      <w:szCs w:val="18"/>
                      <w:lang w:val="en-US" w:eastAsia="zh-CN"/>
                    </w:rPr>
                    <w:t>其中</w:t>
                  </w:r>
                </w:p>
              </w:tc>
              <w:tc>
                <w:tcPr>
                  <w:tcW w:w="1085" w:type="pct"/>
                  <w:tcBorders>
                    <w:left w:val="nil"/>
                    <w:bottom w:val="single" w:color="auto" w:sz="8" w:space="0"/>
                    <w:right w:val="single" w:color="auto" w:sz="8" w:space="0"/>
                  </w:tcBorders>
                  <w:vAlign w:val="center"/>
                </w:tcPr>
                <w:p w14:paraId="282438F7">
                  <w:pPr>
                    <w:jc w:val="center"/>
                    <w:rPr>
                      <w:rFonts w:hint="default"/>
                      <w:color w:val="auto"/>
                      <w:kern w:val="0"/>
                      <w:sz w:val="18"/>
                      <w:szCs w:val="18"/>
                      <w:lang w:val="en-US" w:eastAsia="zh-CN"/>
                    </w:rPr>
                  </w:pPr>
                  <w:r>
                    <w:rPr>
                      <w:rFonts w:hint="eastAsia"/>
                      <w:color w:val="auto"/>
                      <w:kern w:val="0"/>
                      <w:sz w:val="18"/>
                      <w:szCs w:val="18"/>
                      <w:lang w:val="en-US" w:eastAsia="zh-CN"/>
                    </w:rPr>
                    <w:t>甲醇</w:t>
                  </w:r>
                </w:p>
              </w:tc>
              <w:tc>
                <w:tcPr>
                  <w:tcW w:w="480" w:type="pct"/>
                  <w:vMerge w:val="continue"/>
                  <w:tcBorders>
                    <w:left w:val="single" w:color="auto" w:sz="8" w:space="0"/>
                    <w:bottom w:val="single" w:color="auto" w:sz="8" w:space="0"/>
                    <w:right w:val="single" w:color="auto" w:sz="8" w:space="0"/>
                  </w:tcBorders>
                  <w:noWrap/>
                  <w:vAlign w:val="center"/>
                </w:tcPr>
                <w:p w14:paraId="463EC04E">
                  <w:pPr>
                    <w:jc w:val="center"/>
                    <w:rPr>
                      <w:rFonts w:hint="eastAsia"/>
                      <w:color w:val="auto"/>
                      <w:kern w:val="0"/>
                      <w:sz w:val="18"/>
                      <w:szCs w:val="18"/>
                      <w:lang w:val="en-US" w:eastAsia="zh-CN"/>
                    </w:rPr>
                  </w:pPr>
                </w:p>
              </w:tc>
              <w:tc>
                <w:tcPr>
                  <w:tcW w:w="614" w:type="pct"/>
                  <w:vMerge w:val="continue"/>
                  <w:tcBorders>
                    <w:left w:val="single" w:color="auto" w:sz="8" w:space="0"/>
                    <w:bottom w:val="single" w:color="auto" w:sz="8" w:space="0"/>
                    <w:right w:val="single" w:color="auto" w:sz="8" w:space="0"/>
                  </w:tcBorders>
                  <w:noWrap/>
                  <w:vAlign w:val="center"/>
                </w:tcPr>
                <w:p w14:paraId="7788D7FA">
                  <w:pPr>
                    <w:jc w:val="center"/>
                    <w:rPr>
                      <w:rFonts w:hint="eastAsia"/>
                      <w:color w:val="auto"/>
                      <w:kern w:val="0"/>
                      <w:sz w:val="18"/>
                      <w:szCs w:val="18"/>
                    </w:rPr>
                  </w:pPr>
                </w:p>
              </w:tc>
              <w:tc>
                <w:tcPr>
                  <w:tcW w:w="578" w:type="pct"/>
                  <w:vMerge w:val="continue"/>
                  <w:tcBorders>
                    <w:left w:val="single" w:color="auto" w:sz="8" w:space="0"/>
                    <w:bottom w:val="single" w:color="auto" w:sz="8" w:space="0"/>
                    <w:right w:val="single" w:color="auto" w:sz="8" w:space="0"/>
                  </w:tcBorders>
                  <w:noWrap/>
                  <w:vAlign w:val="center"/>
                </w:tcPr>
                <w:p w14:paraId="4B200A3D">
                  <w:pPr>
                    <w:jc w:val="center"/>
                    <w:rPr>
                      <w:rFonts w:hint="eastAsia"/>
                      <w:color w:val="auto"/>
                      <w:kern w:val="0"/>
                      <w:sz w:val="18"/>
                      <w:szCs w:val="18"/>
                    </w:rPr>
                  </w:pPr>
                </w:p>
              </w:tc>
              <w:tc>
                <w:tcPr>
                  <w:tcW w:w="1155" w:type="pct"/>
                  <w:tcBorders>
                    <w:top w:val="single" w:color="auto" w:sz="8" w:space="0"/>
                    <w:left w:val="single" w:color="auto" w:sz="8" w:space="0"/>
                    <w:bottom w:val="single" w:color="auto" w:sz="8" w:space="0"/>
                    <w:right w:val="nil"/>
                  </w:tcBorders>
                  <w:noWrap/>
                  <w:vAlign w:val="center"/>
                </w:tcPr>
                <w:p w14:paraId="4629D8E4">
                  <w:pPr>
                    <w:jc w:val="center"/>
                    <w:rPr>
                      <w:rFonts w:hint="default"/>
                      <w:color w:val="auto"/>
                      <w:kern w:val="0"/>
                      <w:sz w:val="18"/>
                      <w:szCs w:val="18"/>
                      <w:lang w:val="en-US" w:eastAsia="zh-CN"/>
                    </w:rPr>
                  </w:pPr>
                  <w:r>
                    <w:rPr>
                      <w:rFonts w:hint="eastAsia"/>
                      <w:color w:val="auto"/>
                      <w:kern w:val="0"/>
                      <w:sz w:val="18"/>
                      <w:szCs w:val="18"/>
                      <w:lang w:val="en-US" w:eastAsia="zh-CN"/>
                    </w:rPr>
                    <w:t>0.542</w:t>
                  </w:r>
                </w:p>
              </w:tc>
            </w:tr>
          </w:tbl>
          <w:p w14:paraId="66D97772">
            <w:pPr>
              <w:adjustRightInd w:val="0"/>
              <w:snapToGrid w:val="0"/>
              <w:spacing w:line="440" w:lineRule="exact"/>
              <w:ind w:firstLine="422" w:firstLineChars="200"/>
              <w:rPr>
                <w:b/>
                <w:color w:val="auto"/>
                <w:szCs w:val="21"/>
              </w:rPr>
            </w:pPr>
            <w:r>
              <w:rPr>
                <w:rFonts w:hint="eastAsia"/>
                <w:b/>
                <w:color w:val="auto"/>
                <w:szCs w:val="21"/>
              </w:rPr>
              <w:t>（3）现有项目废气排放情况汇总</w:t>
            </w:r>
          </w:p>
          <w:p w14:paraId="427D1317">
            <w:pPr>
              <w:adjustRightInd w:val="0"/>
              <w:snapToGrid w:val="0"/>
              <w:spacing w:line="440" w:lineRule="exact"/>
              <w:ind w:firstLine="420" w:firstLineChars="200"/>
              <w:rPr>
                <w:bCs/>
                <w:color w:val="auto"/>
                <w:szCs w:val="21"/>
              </w:rPr>
            </w:pPr>
            <w:r>
              <w:rPr>
                <w:rFonts w:hint="eastAsia"/>
                <w:bCs/>
                <w:color w:val="auto"/>
                <w:szCs w:val="21"/>
              </w:rPr>
              <w:t>现有项目废气排放情况汇总如下：</w:t>
            </w:r>
          </w:p>
          <w:p w14:paraId="5657CBDB">
            <w:pPr>
              <w:adjustRightInd w:val="0"/>
              <w:snapToGrid w:val="0"/>
              <w:spacing w:before="120" w:beforeLines="50"/>
              <w:jc w:val="center"/>
              <w:rPr>
                <w:rFonts w:hint="eastAsia"/>
                <w:b/>
                <w:color w:val="auto"/>
                <w:szCs w:val="21"/>
              </w:rPr>
            </w:pPr>
            <w:r>
              <w:rPr>
                <w:rFonts w:hint="eastAsia"/>
                <w:b/>
                <w:color w:val="auto"/>
                <w:szCs w:val="21"/>
              </w:rPr>
              <w:t>表2-</w:t>
            </w:r>
            <w:r>
              <w:rPr>
                <w:rFonts w:hint="eastAsia"/>
                <w:b/>
                <w:color w:val="auto"/>
                <w:szCs w:val="21"/>
                <w:lang w:val="en-US" w:eastAsia="zh-CN"/>
              </w:rPr>
              <w:t>21</w:t>
            </w:r>
            <w:r>
              <w:rPr>
                <w:b/>
                <w:color w:val="auto"/>
                <w:szCs w:val="21"/>
              </w:rPr>
              <w:t xml:space="preserve">  </w:t>
            </w:r>
            <w:r>
              <w:rPr>
                <w:rFonts w:hint="eastAsia"/>
                <w:b/>
                <w:color w:val="auto"/>
                <w:szCs w:val="21"/>
              </w:rPr>
              <w:t>现有项目废气排放情况汇总表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057"/>
              <w:gridCol w:w="1349"/>
              <w:gridCol w:w="1350"/>
              <w:gridCol w:w="2924"/>
            </w:tblGrid>
            <w:tr w14:paraId="4C78B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Align w:val="center"/>
                </w:tcPr>
                <w:p w14:paraId="468084DD">
                  <w:pPr>
                    <w:jc w:val="center"/>
                    <w:rPr>
                      <w:rFonts w:hint="eastAsia"/>
                      <w:color w:val="auto"/>
                      <w:kern w:val="0"/>
                      <w:sz w:val="18"/>
                      <w:szCs w:val="18"/>
                    </w:rPr>
                  </w:pPr>
                  <w:r>
                    <w:rPr>
                      <w:rFonts w:hint="eastAsia"/>
                      <w:color w:val="auto"/>
                      <w:kern w:val="0"/>
                      <w:sz w:val="18"/>
                      <w:szCs w:val="18"/>
                    </w:rPr>
                    <w:t>序号</w:t>
                  </w:r>
                </w:p>
              </w:tc>
              <w:tc>
                <w:tcPr>
                  <w:tcW w:w="2057" w:type="dxa"/>
                  <w:tcBorders>
                    <w:right w:val="single" w:color="auto" w:sz="2" w:space="0"/>
                  </w:tcBorders>
                  <w:vAlign w:val="center"/>
                </w:tcPr>
                <w:p w14:paraId="418DCBD0">
                  <w:pPr>
                    <w:jc w:val="center"/>
                    <w:rPr>
                      <w:rFonts w:hint="eastAsia"/>
                      <w:color w:val="auto"/>
                      <w:kern w:val="0"/>
                      <w:sz w:val="18"/>
                      <w:szCs w:val="18"/>
                    </w:rPr>
                  </w:pPr>
                  <w:r>
                    <w:rPr>
                      <w:rFonts w:hint="eastAsia"/>
                      <w:color w:val="auto"/>
                      <w:kern w:val="0"/>
                      <w:sz w:val="18"/>
                      <w:szCs w:val="18"/>
                    </w:rPr>
                    <w:t>排放形式</w:t>
                  </w:r>
                </w:p>
              </w:tc>
              <w:tc>
                <w:tcPr>
                  <w:tcW w:w="2699" w:type="dxa"/>
                  <w:gridSpan w:val="2"/>
                  <w:tcBorders>
                    <w:left w:val="single" w:color="auto" w:sz="2" w:space="0"/>
                  </w:tcBorders>
                  <w:vAlign w:val="center"/>
                </w:tcPr>
                <w:p w14:paraId="07586BF1">
                  <w:pPr>
                    <w:jc w:val="center"/>
                    <w:rPr>
                      <w:rFonts w:hint="eastAsia"/>
                      <w:color w:val="auto"/>
                      <w:kern w:val="0"/>
                      <w:sz w:val="18"/>
                      <w:szCs w:val="18"/>
                    </w:rPr>
                  </w:pPr>
                  <w:r>
                    <w:rPr>
                      <w:rFonts w:hint="eastAsia"/>
                      <w:color w:val="auto"/>
                      <w:kern w:val="0"/>
                      <w:sz w:val="18"/>
                      <w:szCs w:val="18"/>
                    </w:rPr>
                    <w:t>污染物名称</w:t>
                  </w:r>
                </w:p>
              </w:tc>
              <w:tc>
                <w:tcPr>
                  <w:tcW w:w="2924" w:type="dxa"/>
                  <w:vAlign w:val="center"/>
                </w:tcPr>
                <w:p w14:paraId="6E8EE616">
                  <w:pPr>
                    <w:jc w:val="center"/>
                    <w:rPr>
                      <w:rFonts w:hint="eastAsia"/>
                      <w:color w:val="auto"/>
                      <w:kern w:val="0"/>
                      <w:sz w:val="18"/>
                      <w:szCs w:val="18"/>
                    </w:rPr>
                  </w:pPr>
                  <w:r>
                    <w:rPr>
                      <w:rFonts w:hint="eastAsia"/>
                      <w:color w:val="auto"/>
                      <w:kern w:val="0"/>
                      <w:sz w:val="18"/>
                      <w:szCs w:val="18"/>
                    </w:rPr>
                    <w:t>排放量（t/a）</w:t>
                  </w:r>
                </w:p>
              </w:tc>
            </w:tr>
            <w:tr w14:paraId="2D895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restart"/>
                  <w:vAlign w:val="center"/>
                </w:tcPr>
                <w:p w14:paraId="408FAF3A">
                  <w:pPr>
                    <w:jc w:val="center"/>
                    <w:rPr>
                      <w:rFonts w:hint="eastAsia"/>
                      <w:color w:val="auto"/>
                      <w:kern w:val="0"/>
                      <w:sz w:val="18"/>
                      <w:szCs w:val="18"/>
                    </w:rPr>
                  </w:pPr>
                  <w:r>
                    <w:rPr>
                      <w:rFonts w:hint="eastAsia"/>
                      <w:color w:val="auto"/>
                      <w:kern w:val="0"/>
                      <w:sz w:val="18"/>
                      <w:szCs w:val="18"/>
                    </w:rPr>
                    <w:t>1</w:t>
                  </w:r>
                </w:p>
              </w:tc>
              <w:tc>
                <w:tcPr>
                  <w:tcW w:w="2057" w:type="dxa"/>
                  <w:vMerge w:val="restart"/>
                  <w:tcBorders>
                    <w:right w:val="single" w:color="auto" w:sz="2" w:space="0"/>
                  </w:tcBorders>
                  <w:vAlign w:val="center"/>
                </w:tcPr>
                <w:p w14:paraId="1C59E6F4">
                  <w:pPr>
                    <w:jc w:val="center"/>
                    <w:rPr>
                      <w:rFonts w:hint="eastAsia"/>
                      <w:color w:val="auto"/>
                      <w:kern w:val="0"/>
                      <w:sz w:val="18"/>
                      <w:szCs w:val="18"/>
                    </w:rPr>
                  </w:pPr>
                  <w:r>
                    <w:rPr>
                      <w:rFonts w:hint="eastAsia"/>
                      <w:color w:val="auto"/>
                      <w:kern w:val="0"/>
                      <w:sz w:val="18"/>
                      <w:szCs w:val="18"/>
                    </w:rPr>
                    <w:t>有组织</w:t>
                  </w:r>
                </w:p>
              </w:tc>
              <w:tc>
                <w:tcPr>
                  <w:tcW w:w="2699" w:type="dxa"/>
                  <w:gridSpan w:val="2"/>
                  <w:tcBorders>
                    <w:left w:val="single" w:color="auto" w:sz="2" w:space="0"/>
                  </w:tcBorders>
                  <w:shd w:val="clear" w:color="auto" w:fill="auto"/>
                  <w:vAlign w:val="center"/>
                </w:tcPr>
                <w:p w14:paraId="364AF240">
                  <w:pPr>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NOx</w:t>
                  </w:r>
                </w:p>
              </w:tc>
              <w:tc>
                <w:tcPr>
                  <w:tcW w:w="2924" w:type="dxa"/>
                  <w:shd w:val="clear" w:color="auto" w:fill="auto"/>
                  <w:vAlign w:val="center"/>
                </w:tcPr>
                <w:p w14:paraId="2A440AF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0.481</w:t>
                  </w:r>
                </w:p>
              </w:tc>
            </w:tr>
            <w:tr w14:paraId="7BDC9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continue"/>
                  <w:vAlign w:val="center"/>
                </w:tcPr>
                <w:p w14:paraId="7CD0DA26">
                  <w:pPr>
                    <w:jc w:val="center"/>
                    <w:rPr>
                      <w:rFonts w:hint="eastAsia"/>
                      <w:color w:val="auto"/>
                      <w:kern w:val="0"/>
                      <w:sz w:val="18"/>
                      <w:szCs w:val="18"/>
                    </w:rPr>
                  </w:pPr>
                </w:p>
              </w:tc>
              <w:tc>
                <w:tcPr>
                  <w:tcW w:w="2057" w:type="dxa"/>
                  <w:vMerge w:val="continue"/>
                  <w:tcBorders>
                    <w:right w:val="single" w:color="auto" w:sz="2" w:space="0"/>
                  </w:tcBorders>
                  <w:vAlign w:val="center"/>
                </w:tcPr>
                <w:p w14:paraId="1174F725">
                  <w:pPr>
                    <w:jc w:val="center"/>
                    <w:rPr>
                      <w:rFonts w:hint="eastAsia"/>
                      <w:color w:val="auto"/>
                      <w:kern w:val="0"/>
                      <w:sz w:val="18"/>
                      <w:szCs w:val="18"/>
                    </w:rPr>
                  </w:pPr>
                </w:p>
              </w:tc>
              <w:tc>
                <w:tcPr>
                  <w:tcW w:w="2699" w:type="dxa"/>
                  <w:gridSpan w:val="2"/>
                  <w:tcBorders>
                    <w:left w:val="single" w:color="auto" w:sz="2" w:space="0"/>
                  </w:tcBorders>
                  <w:shd w:val="clear" w:color="auto" w:fill="auto"/>
                  <w:vAlign w:val="center"/>
                </w:tcPr>
                <w:p w14:paraId="2EA14B97">
                  <w:pPr>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VOCs</w:t>
                  </w:r>
                </w:p>
              </w:tc>
              <w:tc>
                <w:tcPr>
                  <w:tcW w:w="2924" w:type="dxa"/>
                  <w:shd w:val="clear" w:color="auto" w:fill="auto"/>
                  <w:vAlign w:val="center"/>
                </w:tcPr>
                <w:p w14:paraId="497BCD82">
                  <w:pPr>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6.579</w:t>
                  </w:r>
                </w:p>
              </w:tc>
            </w:tr>
            <w:tr w14:paraId="168FA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continue"/>
                  <w:vAlign w:val="center"/>
                </w:tcPr>
                <w:p w14:paraId="35D64923">
                  <w:pPr>
                    <w:jc w:val="center"/>
                    <w:rPr>
                      <w:rFonts w:hint="eastAsia"/>
                      <w:color w:val="auto"/>
                      <w:kern w:val="0"/>
                      <w:sz w:val="18"/>
                      <w:szCs w:val="18"/>
                    </w:rPr>
                  </w:pPr>
                </w:p>
              </w:tc>
              <w:tc>
                <w:tcPr>
                  <w:tcW w:w="2057" w:type="dxa"/>
                  <w:vMerge w:val="continue"/>
                  <w:tcBorders>
                    <w:right w:val="single" w:color="auto" w:sz="2" w:space="0"/>
                  </w:tcBorders>
                  <w:vAlign w:val="center"/>
                </w:tcPr>
                <w:p w14:paraId="52A81D53">
                  <w:pPr>
                    <w:jc w:val="center"/>
                    <w:rPr>
                      <w:rFonts w:hint="eastAsia"/>
                      <w:color w:val="auto"/>
                      <w:kern w:val="0"/>
                      <w:sz w:val="18"/>
                      <w:szCs w:val="18"/>
                    </w:rPr>
                  </w:pPr>
                </w:p>
              </w:tc>
              <w:tc>
                <w:tcPr>
                  <w:tcW w:w="1349" w:type="dxa"/>
                  <w:vMerge w:val="restart"/>
                  <w:tcBorders>
                    <w:left w:val="single" w:color="auto" w:sz="2" w:space="0"/>
                  </w:tcBorders>
                  <w:shd w:val="clear" w:color="auto" w:fill="auto"/>
                  <w:vAlign w:val="center"/>
                </w:tcPr>
                <w:p w14:paraId="605ECF1D">
                  <w:pPr>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其中</w:t>
                  </w:r>
                </w:p>
              </w:tc>
              <w:tc>
                <w:tcPr>
                  <w:tcW w:w="1350" w:type="dxa"/>
                  <w:tcBorders>
                    <w:left w:val="single" w:color="auto" w:sz="2" w:space="0"/>
                  </w:tcBorders>
                  <w:shd w:val="clear" w:color="auto" w:fill="auto"/>
                  <w:vAlign w:val="center"/>
                </w:tcPr>
                <w:p w14:paraId="2586A36B">
                  <w:pPr>
                    <w:jc w:val="center"/>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甲醇</w:t>
                  </w:r>
                </w:p>
              </w:tc>
              <w:tc>
                <w:tcPr>
                  <w:tcW w:w="2924" w:type="dxa"/>
                  <w:shd w:val="clear" w:color="auto" w:fill="auto"/>
                  <w:vAlign w:val="center"/>
                </w:tcPr>
                <w:p w14:paraId="35C0D0E0">
                  <w:pPr>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2.300</w:t>
                  </w:r>
                </w:p>
              </w:tc>
            </w:tr>
            <w:tr w14:paraId="1F64B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continue"/>
                  <w:vAlign w:val="center"/>
                </w:tcPr>
                <w:p w14:paraId="4800C2E8">
                  <w:pPr>
                    <w:jc w:val="center"/>
                    <w:rPr>
                      <w:rFonts w:hint="eastAsia"/>
                      <w:color w:val="auto"/>
                      <w:kern w:val="0"/>
                      <w:sz w:val="18"/>
                      <w:szCs w:val="18"/>
                    </w:rPr>
                  </w:pPr>
                </w:p>
              </w:tc>
              <w:tc>
                <w:tcPr>
                  <w:tcW w:w="2057" w:type="dxa"/>
                  <w:vMerge w:val="continue"/>
                  <w:tcBorders>
                    <w:right w:val="single" w:color="auto" w:sz="2" w:space="0"/>
                  </w:tcBorders>
                  <w:vAlign w:val="center"/>
                </w:tcPr>
                <w:p w14:paraId="16EB96DC">
                  <w:pPr>
                    <w:jc w:val="center"/>
                    <w:rPr>
                      <w:rFonts w:hint="eastAsia"/>
                      <w:color w:val="auto"/>
                      <w:kern w:val="0"/>
                      <w:sz w:val="18"/>
                      <w:szCs w:val="18"/>
                    </w:rPr>
                  </w:pPr>
                </w:p>
              </w:tc>
              <w:tc>
                <w:tcPr>
                  <w:tcW w:w="1349" w:type="dxa"/>
                  <w:vMerge w:val="continue"/>
                  <w:tcBorders>
                    <w:left w:val="single" w:color="auto" w:sz="2" w:space="0"/>
                  </w:tcBorders>
                  <w:shd w:val="clear" w:color="auto" w:fill="auto"/>
                  <w:vAlign w:val="center"/>
                </w:tcPr>
                <w:p w14:paraId="0F03BD32">
                  <w:pPr>
                    <w:jc w:val="center"/>
                    <w:rPr>
                      <w:rFonts w:hint="default" w:ascii="Times New Roman" w:hAnsi="Times New Roman" w:eastAsia="宋体" w:cs="Times New Roman"/>
                      <w:color w:val="auto"/>
                      <w:kern w:val="0"/>
                      <w:sz w:val="18"/>
                      <w:szCs w:val="18"/>
                      <w:lang w:val="en-US" w:eastAsia="zh-CN" w:bidi="ar-SA"/>
                    </w:rPr>
                  </w:pPr>
                </w:p>
              </w:tc>
              <w:tc>
                <w:tcPr>
                  <w:tcW w:w="1350" w:type="dxa"/>
                  <w:tcBorders>
                    <w:left w:val="single" w:color="auto" w:sz="2" w:space="0"/>
                  </w:tcBorders>
                  <w:shd w:val="clear" w:color="auto" w:fill="auto"/>
                  <w:vAlign w:val="center"/>
                </w:tcPr>
                <w:p w14:paraId="4E8BE848">
                  <w:pPr>
                    <w:jc w:val="center"/>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甲醛</w:t>
                  </w:r>
                </w:p>
              </w:tc>
              <w:tc>
                <w:tcPr>
                  <w:tcW w:w="2924" w:type="dxa"/>
                  <w:shd w:val="clear" w:color="auto" w:fill="auto"/>
                  <w:vAlign w:val="center"/>
                </w:tcPr>
                <w:p w14:paraId="6F27B7DA">
                  <w:pPr>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0.314</w:t>
                  </w:r>
                </w:p>
              </w:tc>
            </w:tr>
            <w:tr w14:paraId="78206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restart"/>
                  <w:vAlign w:val="center"/>
                </w:tcPr>
                <w:p w14:paraId="0C0C1038">
                  <w:pPr>
                    <w:jc w:val="center"/>
                    <w:rPr>
                      <w:rFonts w:hint="eastAsia"/>
                      <w:color w:val="auto"/>
                      <w:kern w:val="0"/>
                      <w:sz w:val="18"/>
                      <w:szCs w:val="18"/>
                    </w:rPr>
                  </w:pPr>
                  <w:r>
                    <w:rPr>
                      <w:rFonts w:hint="eastAsia"/>
                      <w:color w:val="auto"/>
                      <w:kern w:val="0"/>
                      <w:sz w:val="18"/>
                      <w:szCs w:val="18"/>
                    </w:rPr>
                    <w:t>2</w:t>
                  </w:r>
                </w:p>
              </w:tc>
              <w:tc>
                <w:tcPr>
                  <w:tcW w:w="2057" w:type="dxa"/>
                  <w:vMerge w:val="restart"/>
                  <w:tcBorders>
                    <w:right w:val="single" w:color="auto" w:sz="2" w:space="0"/>
                  </w:tcBorders>
                  <w:vAlign w:val="center"/>
                </w:tcPr>
                <w:p w14:paraId="05F7AECB">
                  <w:pPr>
                    <w:jc w:val="center"/>
                    <w:rPr>
                      <w:rFonts w:hint="eastAsia"/>
                      <w:color w:val="auto"/>
                      <w:kern w:val="0"/>
                      <w:sz w:val="18"/>
                      <w:szCs w:val="18"/>
                    </w:rPr>
                  </w:pPr>
                  <w:r>
                    <w:rPr>
                      <w:rFonts w:hint="eastAsia"/>
                      <w:color w:val="auto"/>
                      <w:kern w:val="0"/>
                      <w:sz w:val="18"/>
                      <w:szCs w:val="18"/>
                    </w:rPr>
                    <w:t>无组织</w:t>
                  </w:r>
                </w:p>
              </w:tc>
              <w:tc>
                <w:tcPr>
                  <w:tcW w:w="2699" w:type="dxa"/>
                  <w:gridSpan w:val="2"/>
                  <w:tcBorders>
                    <w:left w:val="single" w:color="auto" w:sz="2" w:space="0"/>
                  </w:tcBorders>
                  <w:vAlign w:val="center"/>
                </w:tcPr>
                <w:p w14:paraId="1AD05C07">
                  <w:pPr>
                    <w:jc w:val="center"/>
                    <w:rPr>
                      <w:rFonts w:hint="eastAsia" w:eastAsia="宋体"/>
                      <w:color w:val="auto"/>
                      <w:kern w:val="0"/>
                      <w:sz w:val="18"/>
                      <w:szCs w:val="18"/>
                      <w:lang w:eastAsia="zh-CN"/>
                    </w:rPr>
                  </w:pPr>
                  <w:r>
                    <w:rPr>
                      <w:rFonts w:hint="eastAsia"/>
                      <w:color w:val="auto"/>
                      <w:kern w:val="0"/>
                      <w:sz w:val="18"/>
                      <w:szCs w:val="18"/>
                    </w:rPr>
                    <w:t>VOC</w:t>
                  </w:r>
                  <w:r>
                    <w:rPr>
                      <w:rFonts w:hint="eastAsia"/>
                      <w:color w:val="auto"/>
                      <w:kern w:val="0"/>
                      <w:sz w:val="18"/>
                      <w:szCs w:val="18"/>
                      <w:lang w:val="en-US" w:eastAsia="zh-CN"/>
                    </w:rPr>
                    <w:t>s</w:t>
                  </w:r>
                </w:p>
              </w:tc>
              <w:tc>
                <w:tcPr>
                  <w:tcW w:w="2924" w:type="dxa"/>
                  <w:vAlign w:val="center"/>
                </w:tcPr>
                <w:p w14:paraId="055512F8">
                  <w:pPr>
                    <w:jc w:val="center"/>
                    <w:rPr>
                      <w:rFonts w:hint="default" w:eastAsia="宋体"/>
                      <w:color w:val="auto"/>
                      <w:kern w:val="0"/>
                      <w:sz w:val="18"/>
                      <w:szCs w:val="18"/>
                      <w:lang w:val="en-US" w:eastAsia="zh-CN"/>
                    </w:rPr>
                  </w:pPr>
                  <w:r>
                    <w:rPr>
                      <w:rFonts w:hint="eastAsia"/>
                      <w:color w:val="auto"/>
                      <w:kern w:val="0"/>
                      <w:sz w:val="18"/>
                      <w:szCs w:val="18"/>
                      <w:lang w:val="en-US" w:eastAsia="zh-CN"/>
                    </w:rPr>
                    <w:t>1.142</w:t>
                  </w:r>
                </w:p>
              </w:tc>
            </w:tr>
            <w:tr w14:paraId="5AA52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continue"/>
                  <w:vAlign w:val="center"/>
                </w:tcPr>
                <w:p w14:paraId="32CE0B06">
                  <w:pPr>
                    <w:jc w:val="center"/>
                    <w:rPr>
                      <w:rFonts w:hint="eastAsia"/>
                      <w:color w:val="auto"/>
                      <w:kern w:val="0"/>
                      <w:sz w:val="18"/>
                      <w:szCs w:val="18"/>
                    </w:rPr>
                  </w:pPr>
                </w:p>
              </w:tc>
              <w:tc>
                <w:tcPr>
                  <w:tcW w:w="2057" w:type="dxa"/>
                  <w:vMerge w:val="continue"/>
                  <w:tcBorders>
                    <w:right w:val="single" w:color="auto" w:sz="2" w:space="0"/>
                  </w:tcBorders>
                  <w:vAlign w:val="center"/>
                </w:tcPr>
                <w:p w14:paraId="6A16D624">
                  <w:pPr>
                    <w:jc w:val="center"/>
                    <w:rPr>
                      <w:rFonts w:hint="eastAsia"/>
                      <w:color w:val="auto"/>
                      <w:kern w:val="0"/>
                      <w:sz w:val="18"/>
                      <w:szCs w:val="18"/>
                    </w:rPr>
                  </w:pPr>
                </w:p>
              </w:tc>
              <w:tc>
                <w:tcPr>
                  <w:tcW w:w="1349" w:type="dxa"/>
                  <w:vMerge w:val="restart"/>
                  <w:tcBorders>
                    <w:left w:val="single" w:color="auto" w:sz="2" w:space="0"/>
                  </w:tcBorders>
                  <w:vAlign w:val="center"/>
                </w:tcPr>
                <w:p w14:paraId="3B56AC31">
                  <w:pPr>
                    <w:jc w:val="center"/>
                    <w:rPr>
                      <w:rFonts w:hint="eastAsia" w:eastAsia="宋体"/>
                      <w:color w:val="auto"/>
                      <w:kern w:val="0"/>
                      <w:sz w:val="18"/>
                      <w:szCs w:val="18"/>
                      <w:lang w:val="en-US" w:eastAsia="zh-CN"/>
                    </w:rPr>
                  </w:pPr>
                  <w:r>
                    <w:rPr>
                      <w:rFonts w:hint="eastAsia"/>
                      <w:color w:val="auto"/>
                      <w:kern w:val="0"/>
                      <w:sz w:val="18"/>
                      <w:szCs w:val="18"/>
                      <w:lang w:val="en-US" w:eastAsia="zh-CN"/>
                    </w:rPr>
                    <w:t>其中</w:t>
                  </w:r>
                </w:p>
              </w:tc>
              <w:tc>
                <w:tcPr>
                  <w:tcW w:w="1350" w:type="dxa"/>
                  <w:tcBorders>
                    <w:left w:val="single" w:color="auto" w:sz="2" w:space="0"/>
                  </w:tcBorders>
                  <w:vAlign w:val="center"/>
                </w:tcPr>
                <w:p w14:paraId="75C3CDF8">
                  <w:pPr>
                    <w:jc w:val="center"/>
                    <w:rPr>
                      <w:rFonts w:hint="eastAsia" w:eastAsia="宋体"/>
                      <w:color w:val="auto"/>
                      <w:kern w:val="0"/>
                      <w:sz w:val="18"/>
                      <w:szCs w:val="18"/>
                      <w:lang w:val="en-US" w:eastAsia="zh-CN"/>
                    </w:rPr>
                  </w:pPr>
                  <w:r>
                    <w:rPr>
                      <w:rFonts w:hint="eastAsia"/>
                      <w:color w:val="auto"/>
                      <w:kern w:val="0"/>
                      <w:sz w:val="18"/>
                      <w:szCs w:val="18"/>
                      <w:lang w:val="en-US" w:eastAsia="zh-CN"/>
                    </w:rPr>
                    <w:t>甲醇</w:t>
                  </w:r>
                </w:p>
              </w:tc>
              <w:tc>
                <w:tcPr>
                  <w:tcW w:w="2924" w:type="dxa"/>
                  <w:vAlign w:val="center"/>
                </w:tcPr>
                <w:p w14:paraId="134063A5">
                  <w:pPr>
                    <w:jc w:val="center"/>
                    <w:rPr>
                      <w:rFonts w:hint="default"/>
                      <w:color w:val="auto"/>
                      <w:kern w:val="0"/>
                      <w:sz w:val="18"/>
                      <w:szCs w:val="18"/>
                      <w:lang w:val="en-US" w:eastAsia="zh-CN"/>
                    </w:rPr>
                  </w:pPr>
                  <w:r>
                    <w:rPr>
                      <w:rFonts w:hint="eastAsia"/>
                      <w:color w:val="auto"/>
                      <w:kern w:val="0"/>
                      <w:sz w:val="18"/>
                      <w:szCs w:val="18"/>
                      <w:lang w:val="en-US" w:eastAsia="zh-CN"/>
                    </w:rPr>
                    <w:t>0.572</w:t>
                  </w:r>
                </w:p>
              </w:tc>
            </w:tr>
            <w:tr w14:paraId="34EB1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Merge w:val="continue"/>
                  <w:vAlign w:val="center"/>
                </w:tcPr>
                <w:p w14:paraId="73BD476F">
                  <w:pPr>
                    <w:jc w:val="center"/>
                    <w:rPr>
                      <w:rFonts w:hint="eastAsia"/>
                      <w:color w:val="auto"/>
                      <w:kern w:val="0"/>
                      <w:sz w:val="18"/>
                      <w:szCs w:val="18"/>
                    </w:rPr>
                  </w:pPr>
                </w:p>
              </w:tc>
              <w:tc>
                <w:tcPr>
                  <w:tcW w:w="2057" w:type="dxa"/>
                  <w:vMerge w:val="continue"/>
                  <w:tcBorders>
                    <w:right w:val="single" w:color="auto" w:sz="2" w:space="0"/>
                  </w:tcBorders>
                  <w:vAlign w:val="center"/>
                </w:tcPr>
                <w:p w14:paraId="43DDA674">
                  <w:pPr>
                    <w:jc w:val="center"/>
                    <w:rPr>
                      <w:rFonts w:hint="eastAsia"/>
                      <w:color w:val="auto"/>
                      <w:kern w:val="0"/>
                      <w:sz w:val="18"/>
                      <w:szCs w:val="18"/>
                    </w:rPr>
                  </w:pPr>
                </w:p>
              </w:tc>
              <w:tc>
                <w:tcPr>
                  <w:tcW w:w="1349" w:type="dxa"/>
                  <w:vMerge w:val="continue"/>
                  <w:tcBorders>
                    <w:left w:val="single" w:color="auto" w:sz="2" w:space="0"/>
                  </w:tcBorders>
                  <w:vAlign w:val="center"/>
                </w:tcPr>
                <w:p w14:paraId="7EEAB0AC">
                  <w:pPr>
                    <w:jc w:val="center"/>
                    <w:rPr>
                      <w:rFonts w:hint="eastAsia"/>
                      <w:color w:val="auto"/>
                      <w:kern w:val="0"/>
                      <w:sz w:val="18"/>
                      <w:szCs w:val="18"/>
                    </w:rPr>
                  </w:pPr>
                </w:p>
              </w:tc>
              <w:tc>
                <w:tcPr>
                  <w:tcW w:w="1350" w:type="dxa"/>
                  <w:tcBorders>
                    <w:left w:val="single" w:color="auto" w:sz="2" w:space="0"/>
                  </w:tcBorders>
                  <w:vAlign w:val="center"/>
                </w:tcPr>
                <w:p w14:paraId="28E202E9">
                  <w:pPr>
                    <w:jc w:val="center"/>
                    <w:rPr>
                      <w:rFonts w:hint="eastAsia" w:eastAsia="宋体"/>
                      <w:color w:val="auto"/>
                      <w:kern w:val="0"/>
                      <w:sz w:val="18"/>
                      <w:szCs w:val="18"/>
                      <w:lang w:val="en-US" w:eastAsia="zh-CN"/>
                    </w:rPr>
                  </w:pPr>
                  <w:r>
                    <w:rPr>
                      <w:rFonts w:hint="eastAsia"/>
                      <w:color w:val="auto"/>
                      <w:kern w:val="0"/>
                      <w:sz w:val="18"/>
                      <w:szCs w:val="18"/>
                      <w:lang w:val="en-US" w:eastAsia="zh-CN"/>
                    </w:rPr>
                    <w:t>甲醛</w:t>
                  </w:r>
                </w:p>
              </w:tc>
              <w:tc>
                <w:tcPr>
                  <w:tcW w:w="2924" w:type="dxa"/>
                  <w:vAlign w:val="center"/>
                </w:tcPr>
                <w:p w14:paraId="330F20DF">
                  <w:pPr>
                    <w:jc w:val="center"/>
                    <w:rPr>
                      <w:rFonts w:hint="default"/>
                      <w:color w:val="auto"/>
                      <w:kern w:val="0"/>
                      <w:sz w:val="18"/>
                      <w:szCs w:val="18"/>
                      <w:lang w:val="en-US" w:eastAsia="zh-CN"/>
                    </w:rPr>
                  </w:pPr>
                  <w:r>
                    <w:rPr>
                      <w:rFonts w:hint="eastAsia"/>
                      <w:color w:val="auto"/>
                      <w:kern w:val="0"/>
                      <w:sz w:val="18"/>
                      <w:szCs w:val="18"/>
                      <w:lang w:val="en-US" w:eastAsia="zh-CN"/>
                    </w:rPr>
                    <w:t>0.456</w:t>
                  </w:r>
                </w:p>
              </w:tc>
            </w:tr>
            <w:tr w14:paraId="387DB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01" w:type="dxa"/>
                  <w:gridSpan w:val="2"/>
                  <w:vMerge w:val="restart"/>
                  <w:tcBorders>
                    <w:right w:val="single" w:color="auto" w:sz="2" w:space="0"/>
                  </w:tcBorders>
                  <w:vAlign w:val="center"/>
                </w:tcPr>
                <w:p w14:paraId="2377FDAD">
                  <w:pPr>
                    <w:jc w:val="center"/>
                    <w:rPr>
                      <w:rFonts w:hint="eastAsia"/>
                      <w:b/>
                      <w:bCs/>
                      <w:color w:val="auto"/>
                      <w:kern w:val="0"/>
                      <w:sz w:val="18"/>
                      <w:szCs w:val="18"/>
                    </w:rPr>
                  </w:pPr>
                  <w:r>
                    <w:rPr>
                      <w:rFonts w:hint="eastAsia"/>
                      <w:b/>
                      <w:bCs/>
                      <w:color w:val="auto"/>
                      <w:kern w:val="0"/>
                      <w:sz w:val="18"/>
                      <w:szCs w:val="18"/>
                    </w:rPr>
                    <w:t>合计排放量</w:t>
                  </w:r>
                </w:p>
              </w:tc>
              <w:tc>
                <w:tcPr>
                  <w:tcW w:w="2699" w:type="dxa"/>
                  <w:gridSpan w:val="2"/>
                  <w:tcBorders>
                    <w:left w:val="single" w:color="auto" w:sz="2" w:space="0"/>
                  </w:tcBorders>
                  <w:shd w:val="clear" w:color="auto" w:fill="auto"/>
                  <w:vAlign w:val="center"/>
                </w:tcPr>
                <w:p w14:paraId="0F31967D">
                  <w:pPr>
                    <w:jc w:val="center"/>
                    <w:rPr>
                      <w:rFonts w:hint="eastAsia" w:ascii="Times New Roman" w:hAnsi="Times New Roman" w:eastAsia="宋体" w:cs="Times New Roman"/>
                      <w:b/>
                      <w:bCs/>
                      <w:color w:val="auto"/>
                      <w:kern w:val="0"/>
                      <w:sz w:val="18"/>
                      <w:szCs w:val="18"/>
                      <w:lang w:val="en-US" w:eastAsia="zh-CN" w:bidi="ar-SA"/>
                    </w:rPr>
                  </w:pPr>
                  <w:r>
                    <w:rPr>
                      <w:rFonts w:hint="eastAsia"/>
                      <w:b/>
                      <w:bCs/>
                      <w:color w:val="auto"/>
                      <w:kern w:val="0"/>
                      <w:sz w:val="18"/>
                      <w:szCs w:val="18"/>
                      <w:lang w:val="en-US" w:eastAsia="zh-CN"/>
                    </w:rPr>
                    <w:t>NOx</w:t>
                  </w:r>
                </w:p>
              </w:tc>
              <w:tc>
                <w:tcPr>
                  <w:tcW w:w="2924" w:type="dxa"/>
                  <w:shd w:val="clear" w:color="auto" w:fill="auto"/>
                  <w:vAlign w:val="center"/>
                </w:tcPr>
                <w:p w14:paraId="178C9930">
                  <w:pPr>
                    <w:pStyle w:val="60"/>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0.481</w:t>
                  </w:r>
                </w:p>
              </w:tc>
            </w:tr>
            <w:tr w14:paraId="121F9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01" w:type="dxa"/>
                  <w:gridSpan w:val="2"/>
                  <w:vMerge w:val="continue"/>
                  <w:tcBorders>
                    <w:right w:val="single" w:color="auto" w:sz="2" w:space="0"/>
                  </w:tcBorders>
                  <w:vAlign w:val="center"/>
                </w:tcPr>
                <w:p w14:paraId="438A608F">
                  <w:pPr>
                    <w:jc w:val="center"/>
                    <w:rPr>
                      <w:rFonts w:hint="eastAsia"/>
                      <w:b/>
                      <w:bCs/>
                      <w:color w:val="auto"/>
                      <w:kern w:val="0"/>
                      <w:sz w:val="18"/>
                      <w:szCs w:val="18"/>
                    </w:rPr>
                  </w:pPr>
                </w:p>
              </w:tc>
              <w:tc>
                <w:tcPr>
                  <w:tcW w:w="2699" w:type="dxa"/>
                  <w:gridSpan w:val="2"/>
                  <w:tcBorders>
                    <w:left w:val="single" w:color="auto" w:sz="2" w:space="0"/>
                  </w:tcBorders>
                  <w:shd w:val="clear" w:color="auto" w:fill="auto"/>
                  <w:vAlign w:val="center"/>
                </w:tcPr>
                <w:p w14:paraId="17B4DA16">
                  <w:pPr>
                    <w:jc w:val="center"/>
                    <w:rPr>
                      <w:rFonts w:hint="default" w:ascii="Times New Roman" w:hAnsi="Times New Roman" w:eastAsia="宋体" w:cs="Times New Roman"/>
                      <w:b/>
                      <w:bCs/>
                      <w:color w:val="auto"/>
                      <w:kern w:val="0"/>
                      <w:sz w:val="18"/>
                      <w:szCs w:val="18"/>
                      <w:lang w:val="en-US" w:eastAsia="zh-CN" w:bidi="ar-SA"/>
                    </w:rPr>
                  </w:pPr>
                  <w:r>
                    <w:rPr>
                      <w:rFonts w:hint="eastAsia"/>
                      <w:b/>
                      <w:bCs/>
                      <w:color w:val="auto"/>
                      <w:kern w:val="0"/>
                      <w:sz w:val="18"/>
                      <w:szCs w:val="18"/>
                    </w:rPr>
                    <w:t>VOC</w:t>
                  </w:r>
                  <w:r>
                    <w:rPr>
                      <w:rFonts w:hint="eastAsia"/>
                      <w:b/>
                      <w:bCs/>
                      <w:color w:val="auto"/>
                      <w:kern w:val="0"/>
                      <w:sz w:val="18"/>
                      <w:szCs w:val="18"/>
                      <w:lang w:val="en-US" w:eastAsia="zh-CN"/>
                    </w:rPr>
                    <w:t>s合计</w:t>
                  </w:r>
                </w:p>
              </w:tc>
              <w:tc>
                <w:tcPr>
                  <w:tcW w:w="2924" w:type="dxa"/>
                  <w:shd w:val="clear" w:color="auto" w:fill="auto"/>
                  <w:vAlign w:val="center"/>
                </w:tcPr>
                <w:p w14:paraId="1F139284">
                  <w:pPr>
                    <w:jc w:val="center"/>
                    <w:rPr>
                      <w:rFonts w:hint="default" w:ascii="Times New Roman" w:hAnsi="Times New Roman" w:eastAsia="宋体" w:cs="Times New Roman"/>
                      <w:b/>
                      <w:bCs/>
                      <w:color w:val="auto"/>
                      <w:kern w:val="0"/>
                      <w:sz w:val="18"/>
                      <w:szCs w:val="18"/>
                      <w:lang w:val="en-US" w:eastAsia="zh-CN" w:bidi="ar-SA"/>
                    </w:rPr>
                  </w:pPr>
                  <w:r>
                    <w:rPr>
                      <w:rFonts w:hint="eastAsia" w:cs="Times New Roman"/>
                      <w:b/>
                      <w:bCs/>
                      <w:color w:val="auto"/>
                      <w:kern w:val="0"/>
                      <w:sz w:val="18"/>
                      <w:szCs w:val="18"/>
                      <w:lang w:val="en-US" w:eastAsia="zh-CN" w:bidi="ar-SA"/>
                    </w:rPr>
                    <w:t>7.721</w:t>
                  </w:r>
                </w:p>
              </w:tc>
            </w:tr>
            <w:tr w14:paraId="4FD7E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01" w:type="dxa"/>
                  <w:gridSpan w:val="2"/>
                  <w:vMerge w:val="continue"/>
                  <w:tcBorders>
                    <w:right w:val="single" w:color="auto" w:sz="2" w:space="0"/>
                  </w:tcBorders>
                  <w:vAlign w:val="center"/>
                </w:tcPr>
                <w:p w14:paraId="255DC618">
                  <w:pPr>
                    <w:jc w:val="center"/>
                    <w:rPr>
                      <w:rFonts w:hint="eastAsia"/>
                      <w:b/>
                      <w:bCs/>
                      <w:color w:val="auto"/>
                      <w:kern w:val="0"/>
                      <w:sz w:val="18"/>
                      <w:szCs w:val="18"/>
                    </w:rPr>
                  </w:pPr>
                </w:p>
              </w:tc>
              <w:tc>
                <w:tcPr>
                  <w:tcW w:w="1349" w:type="dxa"/>
                  <w:vMerge w:val="restart"/>
                  <w:tcBorders>
                    <w:left w:val="single" w:color="auto" w:sz="2" w:space="0"/>
                  </w:tcBorders>
                  <w:shd w:val="clear" w:color="auto" w:fill="auto"/>
                  <w:vAlign w:val="center"/>
                </w:tcPr>
                <w:p w14:paraId="64961802">
                  <w:pPr>
                    <w:jc w:val="center"/>
                    <w:rPr>
                      <w:rFonts w:hint="eastAsia" w:eastAsia="宋体"/>
                      <w:b/>
                      <w:bCs/>
                      <w:color w:val="auto"/>
                      <w:kern w:val="0"/>
                      <w:sz w:val="18"/>
                      <w:szCs w:val="18"/>
                      <w:lang w:val="en-US" w:eastAsia="zh-CN"/>
                    </w:rPr>
                  </w:pPr>
                  <w:r>
                    <w:rPr>
                      <w:rFonts w:hint="eastAsia"/>
                      <w:b/>
                      <w:bCs/>
                      <w:color w:val="auto"/>
                      <w:kern w:val="0"/>
                      <w:sz w:val="18"/>
                      <w:szCs w:val="18"/>
                      <w:lang w:val="en-US" w:eastAsia="zh-CN"/>
                    </w:rPr>
                    <w:t>其中</w:t>
                  </w:r>
                </w:p>
              </w:tc>
              <w:tc>
                <w:tcPr>
                  <w:tcW w:w="1350" w:type="dxa"/>
                  <w:tcBorders>
                    <w:left w:val="single" w:color="auto" w:sz="2" w:space="0"/>
                  </w:tcBorders>
                  <w:shd w:val="clear" w:color="auto" w:fill="auto"/>
                  <w:vAlign w:val="center"/>
                </w:tcPr>
                <w:p w14:paraId="7684B0D3">
                  <w:pPr>
                    <w:jc w:val="center"/>
                    <w:rPr>
                      <w:rFonts w:hint="eastAsia" w:eastAsia="宋体"/>
                      <w:b/>
                      <w:bCs/>
                      <w:color w:val="auto"/>
                      <w:kern w:val="0"/>
                      <w:sz w:val="18"/>
                      <w:szCs w:val="18"/>
                      <w:lang w:val="en-US" w:eastAsia="zh-CN"/>
                    </w:rPr>
                  </w:pPr>
                  <w:r>
                    <w:rPr>
                      <w:rFonts w:hint="eastAsia"/>
                      <w:b/>
                      <w:bCs/>
                      <w:color w:val="auto"/>
                      <w:kern w:val="0"/>
                      <w:sz w:val="18"/>
                      <w:szCs w:val="18"/>
                      <w:lang w:val="en-US" w:eastAsia="zh-CN"/>
                    </w:rPr>
                    <w:t>甲醇</w:t>
                  </w:r>
                </w:p>
              </w:tc>
              <w:tc>
                <w:tcPr>
                  <w:tcW w:w="2924" w:type="dxa"/>
                  <w:shd w:val="clear" w:color="auto" w:fill="auto"/>
                  <w:vAlign w:val="center"/>
                </w:tcPr>
                <w:p w14:paraId="08A37F8E">
                  <w:pPr>
                    <w:jc w:val="center"/>
                    <w:rPr>
                      <w:rFonts w:hint="default" w:cs="Times New Roman"/>
                      <w:b/>
                      <w:bCs/>
                      <w:color w:val="auto"/>
                      <w:kern w:val="0"/>
                      <w:sz w:val="18"/>
                      <w:szCs w:val="18"/>
                      <w:lang w:val="en-US" w:eastAsia="zh-CN" w:bidi="ar-SA"/>
                    </w:rPr>
                  </w:pPr>
                  <w:r>
                    <w:rPr>
                      <w:rFonts w:hint="eastAsia" w:cs="Times New Roman"/>
                      <w:b/>
                      <w:bCs/>
                      <w:color w:val="auto"/>
                      <w:kern w:val="0"/>
                      <w:sz w:val="18"/>
                      <w:szCs w:val="18"/>
                      <w:lang w:val="en-US" w:eastAsia="zh-CN" w:bidi="ar-SA"/>
                    </w:rPr>
                    <w:t>2.872</w:t>
                  </w:r>
                </w:p>
              </w:tc>
            </w:tr>
            <w:tr w14:paraId="134E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01" w:type="dxa"/>
                  <w:gridSpan w:val="2"/>
                  <w:vMerge w:val="continue"/>
                  <w:tcBorders>
                    <w:right w:val="single" w:color="auto" w:sz="2" w:space="0"/>
                  </w:tcBorders>
                  <w:vAlign w:val="center"/>
                </w:tcPr>
                <w:p w14:paraId="6367AC53">
                  <w:pPr>
                    <w:jc w:val="center"/>
                    <w:rPr>
                      <w:rFonts w:hint="eastAsia"/>
                      <w:b/>
                      <w:bCs/>
                      <w:color w:val="auto"/>
                      <w:kern w:val="0"/>
                      <w:sz w:val="18"/>
                      <w:szCs w:val="18"/>
                    </w:rPr>
                  </w:pPr>
                </w:p>
              </w:tc>
              <w:tc>
                <w:tcPr>
                  <w:tcW w:w="1349" w:type="dxa"/>
                  <w:vMerge w:val="continue"/>
                  <w:tcBorders>
                    <w:left w:val="single" w:color="auto" w:sz="2" w:space="0"/>
                  </w:tcBorders>
                  <w:shd w:val="clear" w:color="auto" w:fill="auto"/>
                  <w:vAlign w:val="center"/>
                </w:tcPr>
                <w:p w14:paraId="0FC90E7D">
                  <w:pPr>
                    <w:jc w:val="center"/>
                    <w:rPr>
                      <w:rFonts w:hint="eastAsia"/>
                      <w:b/>
                      <w:bCs/>
                      <w:color w:val="auto"/>
                      <w:kern w:val="0"/>
                      <w:sz w:val="18"/>
                      <w:szCs w:val="18"/>
                    </w:rPr>
                  </w:pPr>
                </w:p>
              </w:tc>
              <w:tc>
                <w:tcPr>
                  <w:tcW w:w="1350" w:type="dxa"/>
                  <w:tcBorders>
                    <w:left w:val="single" w:color="auto" w:sz="2" w:space="0"/>
                  </w:tcBorders>
                  <w:shd w:val="clear" w:color="auto" w:fill="auto"/>
                  <w:vAlign w:val="center"/>
                </w:tcPr>
                <w:p w14:paraId="0FD24CC6">
                  <w:pPr>
                    <w:jc w:val="center"/>
                    <w:rPr>
                      <w:rFonts w:hint="eastAsia" w:eastAsia="宋体"/>
                      <w:b/>
                      <w:bCs/>
                      <w:color w:val="auto"/>
                      <w:kern w:val="0"/>
                      <w:sz w:val="18"/>
                      <w:szCs w:val="18"/>
                      <w:lang w:val="en-US" w:eastAsia="zh-CN"/>
                    </w:rPr>
                  </w:pPr>
                  <w:r>
                    <w:rPr>
                      <w:rFonts w:hint="eastAsia"/>
                      <w:b/>
                      <w:bCs/>
                      <w:color w:val="auto"/>
                      <w:kern w:val="0"/>
                      <w:sz w:val="18"/>
                      <w:szCs w:val="18"/>
                      <w:lang w:val="en-US" w:eastAsia="zh-CN"/>
                    </w:rPr>
                    <w:t>甲醛</w:t>
                  </w:r>
                </w:p>
              </w:tc>
              <w:tc>
                <w:tcPr>
                  <w:tcW w:w="2924" w:type="dxa"/>
                  <w:shd w:val="clear" w:color="auto" w:fill="auto"/>
                  <w:vAlign w:val="center"/>
                </w:tcPr>
                <w:p w14:paraId="24D55B09">
                  <w:pPr>
                    <w:jc w:val="center"/>
                    <w:rPr>
                      <w:rFonts w:hint="default" w:cs="Times New Roman"/>
                      <w:b/>
                      <w:bCs/>
                      <w:color w:val="auto"/>
                      <w:kern w:val="0"/>
                      <w:sz w:val="18"/>
                      <w:szCs w:val="18"/>
                      <w:lang w:val="en-US" w:eastAsia="zh-CN" w:bidi="ar-SA"/>
                    </w:rPr>
                  </w:pPr>
                  <w:r>
                    <w:rPr>
                      <w:rFonts w:hint="eastAsia" w:cs="Times New Roman"/>
                      <w:b/>
                      <w:bCs/>
                      <w:color w:val="auto"/>
                      <w:kern w:val="0"/>
                      <w:sz w:val="18"/>
                      <w:szCs w:val="18"/>
                      <w:lang w:val="en-US" w:eastAsia="zh-CN" w:bidi="ar-SA"/>
                    </w:rPr>
                    <w:t>0.77</w:t>
                  </w:r>
                </w:p>
              </w:tc>
            </w:tr>
          </w:tbl>
          <w:p w14:paraId="2D1BD05A">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textAlignment w:val="auto"/>
              <w:rPr>
                <w:b/>
                <w:color w:val="auto"/>
                <w:szCs w:val="21"/>
              </w:rPr>
            </w:pPr>
            <w:r>
              <w:rPr>
                <w:rFonts w:hint="eastAsia"/>
                <w:b/>
                <w:color w:val="auto"/>
                <w:szCs w:val="21"/>
              </w:rPr>
              <w:t>2、废水</w:t>
            </w:r>
          </w:p>
          <w:p w14:paraId="08C0DB1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bCs/>
                <w:color w:val="auto"/>
                <w:szCs w:val="21"/>
                <w:lang w:val="en-US"/>
              </w:rPr>
            </w:pPr>
            <w:r>
              <w:rPr>
                <w:rFonts w:hint="eastAsia"/>
                <w:bCs/>
                <w:color w:val="auto"/>
                <w:szCs w:val="21"/>
                <w:lang w:val="en-US" w:eastAsia="zh-CN"/>
              </w:rPr>
              <w:t>通过核查现有项目环评及验收报告</w:t>
            </w:r>
            <w:r>
              <w:rPr>
                <w:rFonts w:hint="eastAsia"/>
                <w:bCs/>
                <w:color w:val="auto"/>
                <w:szCs w:val="21"/>
              </w:rPr>
              <w:t>，现有项目废水主要为</w:t>
            </w:r>
            <w:r>
              <w:rPr>
                <w:rFonts w:hint="eastAsia"/>
                <w:bCs/>
                <w:color w:val="auto"/>
                <w:szCs w:val="21"/>
                <w:lang w:val="en-US" w:eastAsia="zh-CN"/>
              </w:rPr>
              <w:t>回收塔塔底脱出水、脱色塔塔底脱出水、离子交换树脂装置排污水、地面设备冲洗废水、循环冷却排污水、反渗透浓水及生活污水。其中，回收塔塔底脱出水、脱色塔塔底脱出水、离子交换树脂装置排污水、地面设备冲洗废水、循环冷却排污水经厂区污水处理设施处理（处理工艺为：絮凝沉淀+间接加热蒸发），蒸发处理产生蒸气经管线输送至甲醛项目吸收塔吸收处理，进入甲醛吸收工序，回用于甲醛生产，不外排；反渗透浓水回用于甲醛吸收塔，不外排；生活污水经化粪池收集后环卫部门清运。综上所述，现有项目无废水外排。</w:t>
            </w:r>
          </w:p>
          <w:p w14:paraId="5CE1E234">
            <w:pPr>
              <w:adjustRightInd w:val="0"/>
              <w:snapToGrid w:val="0"/>
              <w:spacing w:line="440" w:lineRule="exact"/>
              <w:ind w:firstLine="422" w:firstLineChars="200"/>
              <w:rPr>
                <w:b/>
                <w:color w:val="auto"/>
                <w:szCs w:val="21"/>
              </w:rPr>
            </w:pPr>
            <w:r>
              <w:rPr>
                <w:rFonts w:hint="eastAsia"/>
                <w:b/>
                <w:color w:val="auto"/>
                <w:szCs w:val="21"/>
              </w:rPr>
              <w:t>3、噪声</w:t>
            </w:r>
          </w:p>
          <w:p w14:paraId="7BEE3199">
            <w:pPr>
              <w:pStyle w:val="79"/>
              <w:spacing w:line="440" w:lineRule="exact"/>
              <w:ind w:firstLine="420"/>
              <w:rPr>
                <w:color w:val="auto"/>
                <w:sz w:val="21"/>
                <w:szCs w:val="21"/>
              </w:rPr>
            </w:pPr>
            <w:r>
              <w:rPr>
                <w:color w:val="auto"/>
                <w:sz w:val="21"/>
                <w:szCs w:val="21"/>
              </w:rPr>
              <w:t>现有</w:t>
            </w:r>
            <w:r>
              <w:rPr>
                <w:rFonts w:hint="eastAsia"/>
                <w:color w:val="auto"/>
                <w:sz w:val="21"/>
                <w:szCs w:val="21"/>
              </w:rPr>
              <w:t>项目</w:t>
            </w:r>
            <w:r>
              <w:rPr>
                <w:color w:val="auto"/>
                <w:sz w:val="21"/>
                <w:szCs w:val="21"/>
              </w:rPr>
              <w:t>噪声主要为</w:t>
            </w:r>
            <w:r>
              <w:rPr>
                <w:rFonts w:hint="eastAsia"/>
                <w:color w:val="auto"/>
                <w:sz w:val="21"/>
                <w:szCs w:val="21"/>
              </w:rPr>
              <w:t>各类生产设备、泵类</w:t>
            </w:r>
            <w:r>
              <w:rPr>
                <w:rFonts w:hint="eastAsia"/>
                <w:color w:val="auto"/>
                <w:sz w:val="21"/>
                <w:szCs w:val="21"/>
                <w:lang w:eastAsia="zh-CN"/>
              </w:rPr>
              <w:t>、</w:t>
            </w:r>
            <w:r>
              <w:rPr>
                <w:rFonts w:hint="eastAsia"/>
                <w:color w:val="auto"/>
                <w:sz w:val="21"/>
                <w:szCs w:val="21"/>
                <w:lang w:val="en-US" w:eastAsia="zh-CN"/>
              </w:rPr>
              <w:t>风机</w:t>
            </w:r>
            <w:r>
              <w:rPr>
                <w:color w:val="auto"/>
                <w:sz w:val="21"/>
                <w:szCs w:val="21"/>
              </w:rPr>
              <w:t>等运行时产生的机械噪声，其噪声水平一般在85～9</w:t>
            </w:r>
            <w:r>
              <w:rPr>
                <w:rFonts w:hint="eastAsia"/>
                <w:color w:val="auto"/>
                <w:sz w:val="21"/>
                <w:szCs w:val="21"/>
              </w:rPr>
              <w:t>5</w:t>
            </w:r>
            <w:r>
              <w:rPr>
                <w:color w:val="auto"/>
                <w:sz w:val="21"/>
                <w:szCs w:val="21"/>
              </w:rPr>
              <w:t>dB(A)之间。</w:t>
            </w:r>
            <w:r>
              <w:rPr>
                <w:rFonts w:hint="eastAsia"/>
                <w:color w:val="auto"/>
                <w:sz w:val="21"/>
                <w:szCs w:val="21"/>
              </w:rPr>
              <w:t>本次评价收集了2025年9月8日山东中熙环境检测服务有限公司出具的山东诚光工贸有限公司现有例行检测报告“ZXJC/BG202509081”，监测结果统计如下：</w:t>
            </w:r>
          </w:p>
          <w:p w14:paraId="1232FCF7">
            <w:pPr>
              <w:adjustRightInd w:val="0"/>
              <w:snapToGrid w:val="0"/>
              <w:spacing w:before="120" w:beforeLines="50"/>
              <w:jc w:val="center"/>
              <w:rPr>
                <w:b/>
                <w:color w:val="auto"/>
                <w:szCs w:val="21"/>
              </w:rPr>
            </w:pPr>
            <w:r>
              <w:rPr>
                <w:rFonts w:hint="eastAsia"/>
                <w:b/>
                <w:color w:val="auto"/>
                <w:szCs w:val="21"/>
              </w:rPr>
              <w:t>表2-</w:t>
            </w:r>
            <w:r>
              <w:rPr>
                <w:rFonts w:hint="eastAsia"/>
                <w:b/>
                <w:color w:val="auto"/>
                <w:szCs w:val="21"/>
                <w:lang w:val="en-US" w:eastAsia="zh-CN"/>
              </w:rPr>
              <w:t>22</w:t>
            </w:r>
            <w:r>
              <w:rPr>
                <w:b/>
                <w:color w:val="auto"/>
                <w:szCs w:val="21"/>
              </w:rPr>
              <w:t xml:space="preserve">  </w:t>
            </w:r>
            <w:r>
              <w:rPr>
                <w:rFonts w:hint="eastAsia"/>
                <w:b/>
                <w:color w:val="auto"/>
                <w:szCs w:val="21"/>
              </w:rPr>
              <w:t>现有项目厂界噪声监测统计结果一览表（单位：dB/A）</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2"/>
              <w:gridCol w:w="1257"/>
              <w:gridCol w:w="1604"/>
              <w:gridCol w:w="1605"/>
              <w:gridCol w:w="1663"/>
              <w:gridCol w:w="1663"/>
            </w:tblGrid>
            <w:tr w14:paraId="51FB8A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89" w:type="dxa"/>
                  <w:gridSpan w:val="2"/>
                  <w:tcBorders>
                    <w:tl2br w:val="nil"/>
                    <w:tr2bl w:val="nil"/>
                  </w:tcBorders>
                  <w:vAlign w:val="center"/>
                </w:tcPr>
                <w:p w14:paraId="43B7282E">
                  <w:pPr>
                    <w:pStyle w:val="60"/>
                    <w:rPr>
                      <w:rFonts w:hint="eastAsia" w:eastAsia="宋体"/>
                      <w:b w:val="0"/>
                      <w:bCs w:val="0"/>
                      <w:color w:val="auto"/>
                      <w:sz w:val="18"/>
                      <w:szCs w:val="18"/>
                      <w:lang w:val="en-US" w:eastAsia="zh-CN"/>
                    </w:rPr>
                  </w:pPr>
                  <w:r>
                    <w:rPr>
                      <w:rFonts w:hint="eastAsia"/>
                      <w:b w:val="0"/>
                      <w:bCs w:val="0"/>
                      <w:color w:val="auto"/>
                      <w:sz w:val="18"/>
                      <w:szCs w:val="18"/>
                      <w:lang w:val="en-US" w:eastAsia="zh-CN"/>
                    </w:rPr>
                    <w:t>检测日期</w:t>
                  </w:r>
                </w:p>
              </w:tc>
              <w:tc>
                <w:tcPr>
                  <w:tcW w:w="6535" w:type="dxa"/>
                  <w:gridSpan w:val="4"/>
                  <w:tcBorders>
                    <w:tl2br w:val="nil"/>
                    <w:tr2bl w:val="nil"/>
                  </w:tcBorders>
                  <w:vAlign w:val="center"/>
                </w:tcPr>
                <w:p w14:paraId="02FD2D4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2025年9月5日</w:t>
                  </w:r>
                </w:p>
              </w:tc>
            </w:tr>
            <w:tr w14:paraId="730EE7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vMerge w:val="restart"/>
                  <w:tcBorders>
                    <w:tl2br w:val="nil"/>
                    <w:tr2bl w:val="nil"/>
                  </w:tcBorders>
                  <w:vAlign w:val="center"/>
                </w:tcPr>
                <w:p w14:paraId="695BCECF">
                  <w:pPr>
                    <w:pStyle w:val="60"/>
                    <w:rPr>
                      <w:b w:val="0"/>
                      <w:bCs w:val="0"/>
                      <w:color w:val="auto"/>
                      <w:sz w:val="18"/>
                      <w:szCs w:val="18"/>
                    </w:rPr>
                  </w:pPr>
                  <w:r>
                    <w:rPr>
                      <w:rFonts w:hint="eastAsia"/>
                      <w:b w:val="0"/>
                      <w:bCs w:val="0"/>
                      <w:color w:val="auto"/>
                      <w:sz w:val="18"/>
                      <w:szCs w:val="18"/>
                    </w:rPr>
                    <w:t>编号</w:t>
                  </w:r>
                </w:p>
              </w:tc>
              <w:tc>
                <w:tcPr>
                  <w:tcW w:w="1257" w:type="dxa"/>
                  <w:vMerge w:val="restart"/>
                  <w:tcBorders>
                    <w:tl2br w:val="nil"/>
                    <w:tr2bl w:val="nil"/>
                  </w:tcBorders>
                  <w:vAlign w:val="center"/>
                </w:tcPr>
                <w:p w14:paraId="35E6923C">
                  <w:pPr>
                    <w:pStyle w:val="60"/>
                    <w:rPr>
                      <w:b w:val="0"/>
                      <w:bCs w:val="0"/>
                      <w:color w:val="auto"/>
                      <w:sz w:val="18"/>
                      <w:szCs w:val="18"/>
                    </w:rPr>
                  </w:pPr>
                  <w:r>
                    <w:rPr>
                      <w:rFonts w:hint="eastAsia"/>
                      <w:b w:val="0"/>
                      <w:bCs w:val="0"/>
                      <w:color w:val="auto"/>
                      <w:sz w:val="18"/>
                      <w:szCs w:val="18"/>
                    </w:rPr>
                    <w:t>监测地点</w:t>
                  </w:r>
                </w:p>
              </w:tc>
              <w:tc>
                <w:tcPr>
                  <w:tcW w:w="3209" w:type="dxa"/>
                  <w:gridSpan w:val="2"/>
                  <w:tcBorders>
                    <w:tl2br w:val="nil"/>
                    <w:tr2bl w:val="nil"/>
                  </w:tcBorders>
                  <w:vAlign w:val="center"/>
                </w:tcPr>
                <w:p w14:paraId="78FDABCF">
                  <w:pPr>
                    <w:pStyle w:val="60"/>
                    <w:rPr>
                      <w:b w:val="0"/>
                      <w:bCs w:val="0"/>
                      <w:color w:val="auto"/>
                      <w:sz w:val="18"/>
                      <w:szCs w:val="18"/>
                    </w:rPr>
                  </w:pPr>
                  <w:r>
                    <w:rPr>
                      <w:rFonts w:hint="eastAsia"/>
                      <w:b w:val="0"/>
                      <w:bCs w:val="0"/>
                      <w:color w:val="auto"/>
                      <w:sz w:val="18"/>
                      <w:szCs w:val="18"/>
                    </w:rPr>
                    <w:t>昼间/dB（A）</w:t>
                  </w:r>
                </w:p>
              </w:tc>
              <w:tc>
                <w:tcPr>
                  <w:tcW w:w="3326" w:type="dxa"/>
                  <w:gridSpan w:val="2"/>
                  <w:tcBorders>
                    <w:tl2br w:val="nil"/>
                    <w:tr2bl w:val="nil"/>
                  </w:tcBorders>
                  <w:vAlign w:val="center"/>
                </w:tcPr>
                <w:p w14:paraId="26208BD7">
                  <w:pPr>
                    <w:pStyle w:val="60"/>
                    <w:rPr>
                      <w:b w:val="0"/>
                      <w:bCs w:val="0"/>
                      <w:color w:val="auto"/>
                      <w:sz w:val="18"/>
                      <w:szCs w:val="18"/>
                    </w:rPr>
                  </w:pPr>
                  <w:r>
                    <w:rPr>
                      <w:rFonts w:hint="eastAsia"/>
                      <w:b w:val="0"/>
                      <w:bCs w:val="0"/>
                      <w:color w:val="auto"/>
                      <w:sz w:val="18"/>
                      <w:szCs w:val="18"/>
                    </w:rPr>
                    <w:t>夜间/dB（A）</w:t>
                  </w:r>
                </w:p>
              </w:tc>
            </w:tr>
            <w:tr w14:paraId="78CF03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vMerge w:val="continue"/>
                  <w:tcBorders>
                    <w:tl2br w:val="nil"/>
                    <w:tr2bl w:val="nil"/>
                  </w:tcBorders>
                  <w:vAlign w:val="center"/>
                </w:tcPr>
                <w:p w14:paraId="417E3A04">
                  <w:pPr>
                    <w:pStyle w:val="60"/>
                    <w:rPr>
                      <w:rFonts w:hint="eastAsia"/>
                      <w:b w:val="0"/>
                      <w:bCs w:val="0"/>
                      <w:color w:val="auto"/>
                      <w:sz w:val="18"/>
                      <w:szCs w:val="18"/>
                    </w:rPr>
                  </w:pPr>
                </w:p>
              </w:tc>
              <w:tc>
                <w:tcPr>
                  <w:tcW w:w="1257" w:type="dxa"/>
                  <w:vMerge w:val="continue"/>
                  <w:tcBorders>
                    <w:tl2br w:val="nil"/>
                    <w:tr2bl w:val="nil"/>
                  </w:tcBorders>
                  <w:vAlign w:val="center"/>
                </w:tcPr>
                <w:p w14:paraId="16CF13F6">
                  <w:pPr>
                    <w:pStyle w:val="60"/>
                    <w:rPr>
                      <w:rFonts w:hint="eastAsia"/>
                      <w:b w:val="0"/>
                      <w:bCs w:val="0"/>
                      <w:color w:val="auto"/>
                      <w:sz w:val="18"/>
                      <w:szCs w:val="18"/>
                    </w:rPr>
                  </w:pPr>
                </w:p>
              </w:tc>
              <w:tc>
                <w:tcPr>
                  <w:tcW w:w="1604" w:type="dxa"/>
                  <w:tcBorders>
                    <w:tl2br w:val="nil"/>
                    <w:tr2bl w:val="nil"/>
                  </w:tcBorders>
                  <w:vAlign w:val="center"/>
                </w:tcPr>
                <w:p w14:paraId="030E783F">
                  <w:pPr>
                    <w:pStyle w:val="60"/>
                    <w:rPr>
                      <w:rFonts w:hint="eastAsia" w:eastAsia="宋体"/>
                      <w:b w:val="0"/>
                      <w:bCs w:val="0"/>
                      <w:color w:val="auto"/>
                      <w:sz w:val="18"/>
                      <w:szCs w:val="18"/>
                      <w:lang w:val="en-US" w:eastAsia="zh-CN"/>
                    </w:rPr>
                  </w:pPr>
                  <w:r>
                    <w:rPr>
                      <w:rFonts w:hint="eastAsia"/>
                      <w:b w:val="0"/>
                      <w:bCs w:val="0"/>
                      <w:color w:val="auto"/>
                      <w:sz w:val="18"/>
                      <w:szCs w:val="18"/>
                      <w:lang w:val="en-US" w:eastAsia="zh-CN"/>
                    </w:rPr>
                    <w:t>时间</w:t>
                  </w:r>
                </w:p>
              </w:tc>
              <w:tc>
                <w:tcPr>
                  <w:tcW w:w="1605" w:type="dxa"/>
                  <w:tcBorders>
                    <w:tl2br w:val="nil"/>
                    <w:tr2bl w:val="nil"/>
                  </w:tcBorders>
                  <w:vAlign w:val="center"/>
                </w:tcPr>
                <w:p w14:paraId="0CA08549">
                  <w:pPr>
                    <w:pStyle w:val="60"/>
                    <w:rPr>
                      <w:rFonts w:hint="eastAsia" w:eastAsia="宋体"/>
                      <w:b w:val="0"/>
                      <w:bCs w:val="0"/>
                      <w:color w:val="auto"/>
                      <w:sz w:val="18"/>
                      <w:szCs w:val="18"/>
                      <w:lang w:val="en-US" w:eastAsia="zh-CN"/>
                    </w:rPr>
                  </w:pPr>
                  <w:r>
                    <w:rPr>
                      <w:rFonts w:hint="eastAsia"/>
                      <w:b w:val="0"/>
                      <w:bCs w:val="0"/>
                      <w:color w:val="auto"/>
                      <w:sz w:val="18"/>
                      <w:szCs w:val="18"/>
                      <w:lang w:val="en-US" w:eastAsia="zh-CN"/>
                    </w:rPr>
                    <w:t>结果</w:t>
                  </w:r>
                </w:p>
              </w:tc>
              <w:tc>
                <w:tcPr>
                  <w:tcW w:w="1663" w:type="dxa"/>
                  <w:tcBorders>
                    <w:tl2br w:val="nil"/>
                    <w:tr2bl w:val="nil"/>
                  </w:tcBorders>
                  <w:vAlign w:val="center"/>
                </w:tcPr>
                <w:p w14:paraId="09A66751">
                  <w:pPr>
                    <w:pStyle w:val="60"/>
                    <w:rPr>
                      <w:rFonts w:hint="eastAsia" w:eastAsia="宋体"/>
                      <w:b w:val="0"/>
                      <w:bCs w:val="0"/>
                      <w:color w:val="auto"/>
                      <w:sz w:val="18"/>
                      <w:szCs w:val="18"/>
                      <w:lang w:val="en-US" w:eastAsia="zh-CN"/>
                    </w:rPr>
                  </w:pPr>
                  <w:r>
                    <w:rPr>
                      <w:rFonts w:hint="eastAsia"/>
                      <w:b w:val="0"/>
                      <w:bCs w:val="0"/>
                      <w:color w:val="auto"/>
                      <w:sz w:val="18"/>
                      <w:szCs w:val="18"/>
                      <w:lang w:val="en-US" w:eastAsia="zh-CN"/>
                    </w:rPr>
                    <w:t>时间</w:t>
                  </w:r>
                </w:p>
              </w:tc>
              <w:tc>
                <w:tcPr>
                  <w:tcW w:w="1663" w:type="dxa"/>
                  <w:tcBorders>
                    <w:tl2br w:val="nil"/>
                    <w:tr2bl w:val="nil"/>
                  </w:tcBorders>
                  <w:vAlign w:val="center"/>
                </w:tcPr>
                <w:p w14:paraId="2101DB0E">
                  <w:pPr>
                    <w:pStyle w:val="60"/>
                    <w:rPr>
                      <w:rFonts w:hint="eastAsia" w:eastAsia="宋体"/>
                      <w:b w:val="0"/>
                      <w:bCs w:val="0"/>
                      <w:color w:val="auto"/>
                      <w:sz w:val="18"/>
                      <w:szCs w:val="18"/>
                      <w:lang w:val="en-US" w:eastAsia="zh-CN"/>
                    </w:rPr>
                  </w:pPr>
                  <w:r>
                    <w:rPr>
                      <w:rFonts w:hint="eastAsia"/>
                      <w:b w:val="0"/>
                      <w:bCs w:val="0"/>
                      <w:color w:val="auto"/>
                      <w:sz w:val="18"/>
                      <w:szCs w:val="18"/>
                      <w:lang w:val="en-US" w:eastAsia="zh-CN"/>
                    </w:rPr>
                    <w:t>结果</w:t>
                  </w:r>
                </w:p>
              </w:tc>
            </w:tr>
            <w:tr w14:paraId="2E5C5A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tcBorders>
                    <w:tl2br w:val="nil"/>
                    <w:tr2bl w:val="nil"/>
                  </w:tcBorders>
                  <w:vAlign w:val="center"/>
                </w:tcPr>
                <w:p w14:paraId="7E68393B">
                  <w:pPr>
                    <w:pStyle w:val="60"/>
                    <w:rPr>
                      <w:color w:val="auto"/>
                      <w:sz w:val="18"/>
                      <w:szCs w:val="18"/>
                    </w:rPr>
                  </w:pPr>
                  <w:r>
                    <w:rPr>
                      <w:rFonts w:hint="eastAsia"/>
                      <w:color w:val="auto"/>
                      <w:sz w:val="18"/>
                      <w:szCs w:val="18"/>
                    </w:rPr>
                    <w:t>1#</w:t>
                  </w:r>
                </w:p>
              </w:tc>
              <w:tc>
                <w:tcPr>
                  <w:tcW w:w="1257" w:type="dxa"/>
                  <w:tcBorders>
                    <w:tl2br w:val="nil"/>
                    <w:tr2bl w:val="nil"/>
                  </w:tcBorders>
                  <w:vAlign w:val="center"/>
                </w:tcPr>
                <w:p w14:paraId="61B59DC9">
                  <w:pPr>
                    <w:pStyle w:val="60"/>
                    <w:rPr>
                      <w:rFonts w:hint="default"/>
                      <w:color w:val="auto"/>
                      <w:sz w:val="18"/>
                      <w:szCs w:val="18"/>
                      <w:lang w:val="en-US"/>
                    </w:rPr>
                  </w:pPr>
                  <w:r>
                    <w:rPr>
                      <w:rFonts w:hint="eastAsia"/>
                      <w:color w:val="auto"/>
                      <w:sz w:val="18"/>
                      <w:szCs w:val="18"/>
                    </w:rPr>
                    <w:t>东厂界</w:t>
                  </w:r>
                </w:p>
              </w:tc>
              <w:tc>
                <w:tcPr>
                  <w:tcW w:w="1604" w:type="dxa"/>
                  <w:tcBorders>
                    <w:tl2br w:val="nil"/>
                    <w:tr2bl w:val="nil"/>
                  </w:tcBorders>
                  <w:vAlign w:val="center"/>
                </w:tcPr>
                <w:p w14:paraId="7F917698">
                  <w:pPr>
                    <w:pStyle w:val="60"/>
                    <w:rPr>
                      <w:rFonts w:hint="default"/>
                      <w:color w:val="auto"/>
                      <w:sz w:val="18"/>
                      <w:szCs w:val="18"/>
                      <w:lang w:val="en-US" w:eastAsia="zh-CN"/>
                    </w:rPr>
                  </w:pPr>
                  <w:r>
                    <w:rPr>
                      <w:rFonts w:hint="eastAsia"/>
                      <w:color w:val="auto"/>
                      <w:sz w:val="18"/>
                      <w:szCs w:val="18"/>
                      <w:lang w:val="en-US" w:eastAsia="zh-CN"/>
                    </w:rPr>
                    <w:t>09:02</w:t>
                  </w:r>
                </w:p>
              </w:tc>
              <w:tc>
                <w:tcPr>
                  <w:tcW w:w="1605" w:type="dxa"/>
                  <w:tcBorders>
                    <w:tl2br w:val="nil"/>
                    <w:tr2bl w:val="nil"/>
                  </w:tcBorders>
                  <w:shd w:val="clear" w:color="auto" w:fill="auto"/>
                  <w:vAlign w:val="center"/>
                </w:tcPr>
                <w:p w14:paraId="3F86D04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56.6</w:t>
                  </w:r>
                </w:p>
              </w:tc>
              <w:tc>
                <w:tcPr>
                  <w:tcW w:w="1663" w:type="dxa"/>
                  <w:tcBorders>
                    <w:tl2br w:val="nil"/>
                    <w:tr2bl w:val="nil"/>
                  </w:tcBorders>
                  <w:vAlign w:val="center"/>
                </w:tcPr>
                <w:p w14:paraId="253DDAC5">
                  <w:pPr>
                    <w:pStyle w:val="60"/>
                    <w:rPr>
                      <w:rFonts w:hint="default" w:eastAsia="宋体"/>
                      <w:color w:val="auto"/>
                      <w:sz w:val="18"/>
                      <w:szCs w:val="18"/>
                      <w:lang w:val="en-US" w:eastAsia="zh-CN"/>
                    </w:rPr>
                  </w:pPr>
                  <w:r>
                    <w:rPr>
                      <w:rFonts w:hint="eastAsia"/>
                      <w:color w:val="auto"/>
                      <w:sz w:val="18"/>
                      <w:szCs w:val="18"/>
                      <w:lang w:val="en-US" w:eastAsia="zh-CN"/>
                    </w:rPr>
                    <w:t>23:22</w:t>
                  </w:r>
                </w:p>
              </w:tc>
              <w:tc>
                <w:tcPr>
                  <w:tcW w:w="1663" w:type="dxa"/>
                  <w:tcBorders>
                    <w:tl2br w:val="nil"/>
                    <w:tr2bl w:val="nil"/>
                  </w:tcBorders>
                  <w:shd w:val="clear" w:color="auto" w:fill="auto"/>
                  <w:vAlign w:val="center"/>
                </w:tcPr>
                <w:p w14:paraId="1BC3470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45.7</w:t>
                  </w:r>
                </w:p>
              </w:tc>
            </w:tr>
            <w:tr w14:paraId="5C35BC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tcBorders>
                    <w:tl2br w:val="nil"/>
                    <w:tr2bl w:val="nil"/>
                  </w:tcBorders>
                  <w:vAlign w:val="center"/>
                </w:tcPr>
                <w:p w14:paraId="4D11ECB3">
                  <w:pPr>
                    <w:pStyle w:val="60"/>
                    <w:rPr>
                      <w:color w:val="auto"/>
                      <w:sz w:val="18"/>
                      <w:szCs w:val="18"/>
                    </w:rPr>
                  </w:pPr>
                  <w:r>
                    <w:rPr>
                      <w:rFonts w:hint="eastAsia"/>
                      <w:color w:val="auto"/>
                      <w:sz w:val="18"/>
                      <w:szCs w:val="18"/>
                    </w:rPr>
                    <w:t>2#</w:t>
                  </w:r>
                </w:p>
              </w:tc>
              <w:tc>
                <w:tcPr>
                  <w:tcW w:w="1257" w:type="dxa"/>
                  <w:tcBorders>
                    <w:tl2br w:val="nil"/>
                    <w:tr2bl w:val="nil"/>
                  </w:tcBorders>
                  <w:vAlign w:val="center"/>
                </w:tcPr>
                <w:p w14:paraId="68D9CEFC">
                  <w:pPr>
                    <w:pStyle w:val="60"/>
                    <w:rPr>
                      <w:color w:val="auto"/>
                      <w:sz w:val="18"/>
                      <w:szCs w:val="18"/>
                    </w:rPr>
                  </w:pPr>
                  <w:r>
                    <w:rPr>
                      <w:rFonts w:hint="eastAsia"/>
                      <w:color w:val="auto"/>
                      <w:sz w:val="18"/>
                      <w:szCs w:val="18"/>
                    </w:rPr>
                    <w:t>南厂界外1m</w:t>
                  </w:r>
                </w:p>
              </w:tc>
              <w:tc>
                <w:tcPr>
                  <w:tcW w:w="1604" w:type="dxa"/>
                  <w:tcBorders>
                    <w:tl2br w:val="nil"/>
                    <w:tr2bl w:val="nil"/>
                  </w:tcBorders>
                  <w:vAlign w:val="center"/>
                </w:tcPr>
                <w:p w14:paraId="1A18660C">
                  <w:pPr>
                    <w:pStyle w:val="60"/>
                    <w:rPr>
                      <w:rFonts w:hint="default" w:eastAsia="宋体"/>
                      <w:color w:val="auto"/>
                      <w:sz w:val="18"/>
                      <w:szCs w:val="18"/>
                      <w:lang w:val="en-US" w:eastAsia="zh-CN"/>
                    </w:rPr>
                  </w:pPr>
                  <w:r>
                    <w:rPr>
                      <w:rFonts w:hint="eastAsia"/>
                      <w:color w:val="auto"/>
                      <w:sz w:val="18"/>
                      <w:szCs w:val="18"/>
                      <w:lang w:val="en-US" w:eastAsia="zh-CN"/>
                    </w:rPr>
                    <w:t>09:10</w:t>
                  </w:r>
                </w:p>
              </w:tc>
              <w:tc>
                <w:tcPr>
                  <w:tcW w:w="1605" w:type="dxa"/>
                  <w:tcBorders>
                    <w:tl2br w:val="nil"/>
                    <w:tr2bl w:val="nil"/>
                  </w:tcBorders>
                  <w:shd w:val="clear" w:color="auto" w:fill="auto"/>
                  <w:vAlign w:val="center"/>
                </w:tcPr>
                <w:p w14:paraId="0561749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55.9</w:t>
                  </w:r>
                </w:p>
              </w:tc>
              <w:tc>
                <w:tcPr>
                  <w:tcW w:w="1663" w:type="dxa"/>
                  <w:tcBorders>
                    <w:tl2br w:val="nil"/>
                    <w:tr2bl w:val="nil"/>
                  </w:tcBorders>
                  <w:vAlign w:val="center"/>
                </w:tcPr>
                <w:p w14:paraId="14687E6E">
                  <w:pPr>
                    <w:pStyle w:val="60"/>
                    <w:rPr>
                      <w:rFonts w:hint="default" w:eastAsia="宋体"/>
                      <w:color w:val="auto"/>
                      <w:sz w:val="18"/>
                      <w:szCs w:val="18"/>
                      <w:lang w:val="en-US" w:eastAsia="zh-CN"/>
                    </w:rPr>
                  </w:pPr>
                  <w:r>
                    <w:rPr>
                      <w:rFonts w:hint="eastAsia"/>
                      <w:color w:val="auto"/>
                      <w:sz w:val="18"/>
                      <w:szCs w:val="18"/>
                      <w:lang w:val="en-US" w:eastAsia="zh-CN"/>
                    </w:rPr>
                    <w:t>23:29</w:t>
                  </w:r>
                </w:p>
              </w:tc>
              <w:tc>
                <w:tcPr>
                  <w:tcW w:w="1663" w:type="dxa"/>
                  <w:tcBorders>
                    <w:tl2br w:val="nil"/>
                    <w:tr2bl w:val="nil"/>
                  </w:tcBorders>
                  <w:shd w:val="clear" w:color="auto" w:fill="auto"/>
                  <w:vAlign w:val="center"/>
                </w:tcPr>
                <w:p w14:paraId="31C9A51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48.2</w:t>
                  </w:r>
                </w:p>
              </w:tc>
            </w:tr>
            <w:tr w14:paraId="12BEBB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tcBorders>
                    <w:tl2br w:val="nil"/>
                    <w:tr2bl w:val="nil"/>
                  </w:tcBorders>
                  <w:vAlign w:val="center"/>
                </w:tcPr>
                <w:p w14:paraId="74A5C5A4">
                  <w:pPr>
                    <w:pStyle w:val="60"/>
                    <w:rPr>
                      <w:color w:val="auto"/>
                      <w:sz w:val="18"/>
                      <w:szCs w:val="18"/>
                    </w:rPr>
                  </w:pPr>
                  <w:r>
                    <w:rPr>
                      <w:rFonts w:hint="eastAsia"/>
                      <w:color w:val="auto"/>
                      <w:sz w:val="18"/>
                      <w:szCs w:val="18"/>
                    </w:rPr>
                    <w:t>3#</w:t>
                  </w:r>
                </w:p>
              </w:tc>
              <w:tc>
                <w:tcPr>
                  <w:tcW w:w="1257" w:type="dxa"/>
                  <w:tcBorders>
                    <w:tl2br w:val="nil"/>
                    <w:tr2bl w:val="nil"/>
                  </w:tcBorders>
                  <w:vAlign w:val="center"/>
                </w:tcPr>
                <w:p w14:paraId="13EB5410">
                  <w:pPr>
                    <w:pStyle w:val="60"/>
                    <w:rPr>
                      <w:color w:val="auto"/>
                      <w:sz w:val="18"/>
                      <w:szCs w:val="18"/>
                    </w:rPr>
                  </w:pPr>
                  <w:r>
                    <w:rPr>
                      <w:rFonts w:hint="eastAsia"/>
                      <w:color w:val="auto"/>
                      <w:sz w:val="18"/>
                      <w:szCs w:val="18"/>
                    </w:rPr>
                    <w:t>西厂界外1m</w:t>
                  </w:r>
                </w:p>
              </w:tc>
              <w:tc>
                <w:tcPr>
                  <w:tcW w:w="1604" w:type="dxa"/>
                  <w:tcBorders>
                    <w:tl2br w:val="nil"/>
                    <w:tr2bl w:val="nil"/>
                  </w:tcBorders>
                  <w:vAlign w:val="center"/>
                </w:tcPr>
                <w:p w14:paraId="7A4F93AD">
                  <w:pPr>
                    <w:pStyle w:val="60"/>
                    <w:rPr>
                      <w:rFonts w:hint="default" w:eastAsia="宋体"/>
                      <w:color w:val="auto"/>
                      <w:sz w:val="18"/>
                      <w:szCs w:val="18"/>
                      <w:lang w:val="en-US" w:eastAsia="zh-CN"/>
                    </w:rPr>
                  </w:pPr>
                  <w:r>
                    <w:rPr>
                      <w:rFonts w:hint="eastAsia"/>
                      <w:color w:val="auto"/>
                      <w:sz w:val="18"/>
                      <w:szCs w:val="18"/>
                      <w:lang w:val="en-US" w:eastAsia="zh-CN"/>
                    </w:rPr>
                    <w:t>09:20</w:t>
                  </w:r>
                </w:p>
              </w:tc>
              <w:tc>
                <w:tcPr>
                  <w:tcW w:w="1605" w:type="dxa"/>
                  <w:tcBorders>
                    <w:tl2br w:val="nil"/>
                    <w:tr2bl w:val="nil"/>
                  </w:tcBorders>
                  <w:shd w:val="clear" w:color="auto" w:fill="auto"/>
                  <w:vAlign w:val="center"/>
                </w:tcPr>
                <w:p w14:paraId="5C16863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58.5</w:t>
                  </w:r>
                </w:p>
              </w:tc>
              <w:tc>
                <w:tcPr>
                  <w:tcW w:w="1663" w:type="dxa"/>
                  <w:tcBorders>
                    <w:tl2br w:val="nil"/>
                    <w:tr2bl w:val="nil"/>
                  </w:tcBorders>
                  <w:vAlign w:val="center"/>
                </w:tcPr>
                <w:p w14:paraId="2122087E">
                  <w:pPr>
                    <w:pStyle w:val="60"/>
                    <w:rPr>
                      <w:rFonts w:hint="default" w:eastAsia="宋体"/>
                      <w:color w:val="auto"/>
                      <w:sz w:val="18"/>
                      <w:szCs w:val="18"/>
                      <w:lang w:val="en-US" w:eastAsia="zh-CN"/>
                    </w:rPr>
                  </w:pPr>
                  <w:r>
                    <w:rPr>
                      <w:rFonts w:hint="eastAsia"/>
                      <w:color w:val="auto"/>
                      <w:sz w:val="18"/>
                      <w:szCs w:val="18"/>
                      <w:lang w:val="en-US" w:eastAsia="zh-CN"/>
                    </w:rPr>
                    <w:t>23:37</w:t>
                  </w:r>
                </w:p>
              </w:tc>
              <w:tc>
                <w:tcPr>
                  <w:tcW w:w="1663" w:type="dxa"/>
                  <w:tcBorders>
                    <w:tl2br w:val="nil"/>
                    <w:tr2bl w:val="nil"/>
                  </w:tcBorders>
                  <w:shd w:val="clear" w:color="auto" w:fill="auto"/>
                  <w:vAlign w:val="center"/>
                </w:tcPr>
                <w:p w14:paraId="749ADE1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47.0</w:t>
                  </w:r>
                </w:p>
              </w:tc>
            </w:tr>
            <w:tr w14:paraId="1729A8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32" w:type="dxa"/>
                  <w:tcBorders>
                    <w:tl2br w:val="nil"/>
                    <w:tr2bl w:val="nil"/>
                  </w:tcBorders>
                  <w:vAlign w:val="center"/>
                </w:tcPr>
                <w:p w14:paraId="17392A02">
                  <w:pPr>
                    <w:pStyle w:val="60"/>
                    <w:rPr>
                      <w:color w:val="auto"/>
                      <w:sz w:val="18"/>
                      <w:szCs w:val="18"/>
                    </w:rPr>
                  </w:pPr>
                  <w:r>
                    <w:rPr>
                      <w:rFonts w:hint="eastAsia"/>
                      <w:color w:val="auto"/>
                      <w:sz w:val="18"/>
                      <w:szCs w:val="18"/>
                    </w:rPr>
                    <w:t>4#</w:t>
                  </w:r>
                </w:p>
              </w:tc>
              <w:tc>
                <w:tcPr>
                  <w:tcW w:w="1257" w:type="dxa"/>
                  <w:tcBorders>
                    <w:tl2br w:val="nil"/>
                    <w:tr2bl w:val="nil"/>
                  </w:tcBorders>
                  <w:vAlign w:val="center"/>
                </w:tcPr>
                <w:p w14:paraId="6361B457">
                  <w:pPr>
                    <w:pStyle w:val="60"/>
                    <w:rPr>
                      <w:rFonts w:hint="default" w:eastAsia="宋体"/>
                      <w:color w:val="auto"/>
                      <w:sz w:val="18"/>
                      <w:szCs w:val="18"/>
                      <w:lang w:val="en-US" w:eastAsia="zh-CN"/>
                    </w:rPr>
                  </w:pPr>
                  <w:r>
                    <w:rPr>
                      <w:rFonts w:hint="eastAsia"/>
                      <w:color w:val="auto"/>
                      <w:sz w:val="18"/>
                      <w:szCs w:val="18"/>
                    </w:rPr>
                    <w:t>北厂界</w:t>
                  </w:r>
                </w:p>
              </w:tc>
              <w:tc>
                <w:tcPr>
                  <w:tcW w:w="1604" w:type="dxa"/>
                  <w:tcBorders>
                    <w:tl2br w:val="nil"/>
                    <w:tr2bl w:val="nil"/>
                  </w:tcBorders>
                  <w:vAlign w:val="center"/>
                </w:tcPr>
                <w:p w14:paraId="48E69A39">
                  <w:pPr>
                    <w:pStyle w:val="60"/>
                    <w:rPr>
                      <w:rFonts w:hint="default" w:eastAsia="宋体"/>
                      <w:color w:val="auto"/>
                      <w:sz w:val="18"/>
                      <w:szCs w:val="18"/>
                      <w:lang w:val="en-US" w:eastAsia="zh-CN"/>
                    </w:rPr>
                  </w:pPr>
                  <w:r>
                    <w:rPr>
                      <w:rFonts w:hint="eastAsia"/>
                      <w:color w:val="auto"/>
                      <w:sz w:val="18"/>
                      <w:szCs w:val="18"/>
                      <w:lang w:val="en-US" w:eastAsia="zh-CN"/>
                    </w:rPr>
                    <w:t>09:29</w:t>
                  </w:r>
                </w:p>
              </w:tc>
              <w:tc>
                <w:tcPr>
                  <w:tcW w:w="1605" w:type="dxa"/>
                  <w:tcBorders>
                    <w:tl2br w:val="nil"/>
                    <w:tr2bl w:val="nil"/>
                  </w:tcBorders>
                  <w:shd w:val="clear" w:color="auto" w:fill="auto"/>
                  <w:vAlign w:val="center"/>
                </w:tcPr>
                <w:p w14:paraId="6EA130A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56.2</w:t>
                  </w:r>
                </w:p>
              </w:tc>
              <w:tc>
                <w:tcPr>
                  <w:tcW w:w="1663" w:type="dxa"/>
                  <w:tcBorders>
                    <w:tl2br w:val="nil"/>
                    <w:tr2bl w:val="nil"/>
                  </w:tcBorders>
                  <w:vAlign w:val="center"/>
                </w:tcPr>
                <w:p w14:paraId="36D14851">
                  <w:pPr>
                    <w:pStyle w:val="60"/>
                    <w:rPr>
                      <w:rFonts w:hint="default" w:eastAsia="宋体"/>
                      <w:color w:val="auto"/>
                      <w:sz w:val="18"/>
                      <w:szCs w:val="18"/>
                      <w:lang w:val="en-US" w:eastAsia="zh-CN"/>
                    </w:rPr>
                  </w:pPr>
                  <w:r>
                    <w:rPr>
                      <w:rFonts w:hint="eastAsia"/>
                      <w:color w:val="auto"/>
                      <w:sz w:val="18"/>
                      <w:szCs w:val="18"/>
                      <w:lang w:val="en-US" w:eastAsia="zh-CN"/>
                    </w:rPr>
                    <w:t>23:44</w:t>
                  </w:r>
                </w:p>
              </w:tc>
              <w:tc>
                <w:tcPr>
                  <w:tcW w:w="1663" w:type="dxa"/>
                  <w:tcBorders>
                    <w:tl2br w:val="nil"/>
                    <w:tr2bl w:val="nil"/>
                  </w:tcBorders>
                  <w:shd w:val="clear" w:color="auto" w:fill="auto"/>
                  <w:vAlign w:val="center"/>
                </w:tcPr>
                <w:p w14:paraId="55CF2E7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46.3</w:t>
                  </w:r>
                </w:p>
              </w:tc>
            </w:tr>
            <w:tr w14:paraId="2398A4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89" w:type="dxa"/>
                  <w:gridSpan w:val="2"/>
                  <w:tcBorders>
                    <w:tl2br w:val="nil"/>
                    <w:tr2bl w:val="nil"/>
                  </w:tcBorders>
                  <w:vAlign w:val="center"/>
                </w:tcPr>
                <w:p w14:paraId="31534C14">
                  <w:pPr>
                    <w:pStyle w:val="60"/>
                    <w:rPr>
                      <w:color w:val="auto"/>
                      <w:sz w:val="18"/>
                      <w:szCs w:val="18"/>
                    </w:rPr>
                  </w:pPr>
                  <w:r>
                    <w:rPr>
                      <w:rFonts w:hint="eastAsia"/>
                      <w:color w:val="auto"/>
                      <w:sz w:val="18"/>
                      <w:szCs w:val="18"/>
                    </w:rPr>
                    <w:t>最大值</w:t>
                  </w:r>
                </w:p>
              </w:tc>
              <w:tc>
                <w:tcPr>
                  <w:tcW w:w="3209" w:type="dxa"/>
                  <w:gridSpan w:val="2"/>
                  <w:tcBorders>
                    <w:tl2br w:val="nil"/>
                    <w:tr2bl w:val="nil"/>
                  </w:tcBorders>
                  <w:vAlign w:val="center"/>
                </w:tcPr>
                <w:p w14:paraId="64CC07C7">
                  <w:pPr>
                    <w:pStyle w:val="60"/>
                    <w:rPr>
                      <w:rFonts w:hint="default" w:eastAsia="宋体"/>
                      <w:color w:val="auto"/>
                      <w:sz w:val="18"/>
                      <w:szCs w:val="18"/>
                      <w:lang w:val="en-US" w:eastAsia="zh-CN"/>
                    </w:rPr>
                  </w:pPr>
                  <w:r>
                    <w:rPr>
                      <w:rFonts w:hint="eastAsia"/>
                      <w:color w:val="auto"/>
                      <w:sz w:val="18"/>
                      <w:szCs w:val="18"/>
                      <w:lang w:val="en-US" w:eastAsia="zh-CN"/>
                    </w:rPr>
                    <w:t>58.5</w:t>
                  </w:r>
                </w:p>
              </w:tc>
              <w:tc>
                <w:tcPr>
                  <w:tcW w:w="3326" w:type="dxa"/>
                  <w:gridSpan w:val="2"/>
                  <w:tcBorders>
                    <w:tl2br w:val="nil"/>
                    <w:tr2bl w:val="nil"/>
                  </w:tcBorders>
                  <w:vAlign w:val="center"/>
                </w:tcPr>
                <w:p w14:paraId="1E43941E">
                  <w:pPr>
                    <w:pStyle w:val="60"/>
                    <w:rPr>
                      <w:rFonts w:hint="default" w:eastAsia="宋体"/>
                      <w:color w:val="auto"/>
                      <w:sz w:val="18"/>
                      <w:szCs w:val="18"/>
                      <w:lang w:val="en-US" w:eastAsia="zh-CN"/>
                    </w:rPr>
                  </w:pPr>
                  <w:r>
                    <w:rPr>
                      <w:rFonts w:hint="eastAsia"/>
                      <w:color w:val="auto"/>
                      <w:sz w:val="18"/>
                      <w:szCs w:val="18"/>
                      <w:lang w:val="en-US" w:eastAsia="zh-CN"/>
                    </w:rPr>
                    <w:t>48.2</w:t>
                  </w:r>
                </w:p>
              </w:tc>
            </w:tr>
            <w:tr w14:paraId="4F2E6A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89" w:type="dxa"/>
                  <w:gridSpan w:val="2"/>
                  <w:tcBorders>
                    <w:tl2br w:val="nil"/>
                    <w:tr2bl w:val="nil"/>
                  </w:tcBorders>
                  <w:vAlign w:val="center"/>
                </w:tcPr>
                <w:p w14:paraId="586552B2">
                  <w:pPr>
                    <w:pStyle w:val="60"/>
                    <w:rPr>
                      <w:color w:val="auto"/>
                      <w:sz w:val="18"/>
                      <w:szCs w:val="18"/>
                    </w:rPr>
                  </w:pPr>
                  <w:r>
                    <w:rPr>
                      <w:rFonts w:hint="eastAsia"/>
                      <w:color w:val="auto"/>
                      <w:sz w:val="18"/>
                      <w:szCs w:val="18"/>
                    </w:rPr>
                    <w:t>评价标准</w:t>
                  </w:r>
                </w:p>
              </w:tc>
              <w:tc>
                <w:tcPr>
                  <w:tcW w:w="3209" w:type="dxa"/>
                  <w:gridSpan w:val="2"/>
                  <w:tcBorders>
                    <w:tl2br w:val="nil"/>
                    <w:tr2bl w:val="nil"/>
                  </w:tcBorders>
                  <w:vAlign w:val="center"/>
                </w:tcPr>
                <w:p w14:paraId="2B68AF0E">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3326" w:type="dxa"/>
                  <w:gridSpan w:val="2"/>
                  <w:tcBorders>
                    <w:tl2br w:val="nil"/>
                    <w:tr2bl w:val="nil"/>
                  </w:tcBorders>
                  <w:vAlign w:val="center"/>
                </w:tcPr>
                <w:p w14:paraId="1B0B0F27">
                  <w:pPr>
                    <w:pStyle w:val="60"/>
                    <w:rPr>
                      <w:rFonts w:hint="default" w:eastAsia="宋体"/>
                      <w:color w:val="auto"/>
                      <w:sz w:val="18"/>
                      <w:szCs w:val="18"/>
                      <w:lang w:val="en-US" w:eastAsia="zh-CN"/>
                    </w:rPr>
                  </w:pPr>
                  <w:r>
                    <w:rPr>
                      <w:rFonts w:hint="eastAsia"/>
                      <w:color w:val="auto"/>
                      <w:sz w:val="18"/>
                      <w:szCs w:val="18"/>
                      <w:lang w:val="en-US" w:eastAsia="zh-CN"/>
                    </w:rPr>
                    <w:t>50</w:t>
                  </w:r>
                </w:p>
              </w:tc>
            </w:tr>
            <w:tr w14:paraId="763254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89" w:type="dxa"/>
                  <w:gridSpan w:val="2"/>
                  <w:tcBorders>
                    <w:tl2br w:val="nil"/>
                    <w:tr2bl w:val="nil"/>
                  </w:tcBorders>
                  <w:vAlign w:val="center"/>
                </w:tcPr>
                <w:p w14:paraId="576B0BCF">
                  <w:pPr>
                    <w:pStyle w:val="60"/>
                    <w:rPr>
                      <w:color w:val="auto"/>
                      <w:sz w:val="18"/>
                      <w:szCs w:val="18"/>
                    </w:rPr>
                  </w:pPr>
                  <w:r>
                    <w:rPr>
                      <w:rFonts w:hint="eastAsia"/>
                      <w:color w:val="auto"/>
                      <w:sz w:val="18"/>
                      <w:szCs w:val="18"/>
                    </w:rPr>
                    <w:t>达标情况</w:t>
                  </w:r>
                </w:p>
              </w:tc>
              <w:tc>
                <w:tcPr>
                  <w:tcW w:w="3209" w:type="dxa"/>
                  <w:gridSpan w:val="2"/>
                  <w:tcBorders>
                    <w:tl2br w:val="nil"/>
                    <w:tr2bl w:val="nil"/>
                  </w:tcBorders>
                  <w:vAlign w:val="center"/>
                </w:tcPr>
                <w:p w14:paraId="1A63DF3B">
                  <w:pPr>
                    <w:pStyle w:val="60"/>
                    <w:rPr>
                      <w:color w:val="auto"/>
                      <w:sz w:val="18"/>
                      <w:szCs w:val="18"/>
                    </w:rPr>
                  </w:pPr>
                  <w:r>
                    <w:rPr>
                      <w:rFonts w:hint="eastAsia"/>
                      <w:color w:val="auto"/>
                      <w:sz w:val="18"/>
                      <w:szCs w:val="18"/>
                    </w:rPr>
                    <w:t>达标</w:t>
                  </w:r>
                </w:p>
              </w:tc>
              <w:tc>
                <w:tcPr>
                  <w:tcW w:w="3326" w:type="dxa"/>
                  <w:gridSpan w:val="2"/>
                  <w:tcBorders>
                    <w:tl2br w:val="nil"/>
                    <w:tr2bl w:val="nil"/>
                  </w:tcBorders>
                  <w:vAlign w:val="center"/>
                </w:tcPr>
                <w:p w14:paraId="3EB2B81C">
                  <w:pPr>
                    <w:pStyle w:val="60"/>
                    <w:rPr>
                      <w:color w:val="auto"/>
                      <w:sz w:val="18"/>
                      <w:szCs w:val="18"/>
                    </w:rPr>
                  </w:pPr>
                  <w:r>
                    <w:rPr>
                      <w:rFonts w:hint="eastAsia"/>
                      <w:color w:val="auto"/>
                      <w:sz w:val="18"/>
                      <w:szCs w:val="18"/>
                    </w:rPr>
                    <w:t>达标</w:t>
                  </w:r>
                </w:p>
              </w:tc>
            </w:tr>
            <w:tr w14:paraId="138C13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424" w:type="dxa"/>
                  <w:gridSpan w:val="6"/>
                  <w:tcBorders>
                    <w:tl2br w:val="nil"/>
                    <w:tr2bl w:val="nil"/>
                  </w:tcBorders>
                  <w:vAlign w:val="center"/>
                </w:tcPr>
                <w:p w14:paraId="7C92BB19">
                  <w:pPr>
                    <w:pStyle w:val="60"/>
                    <w:jc w:val="both"/>
                    <w:rPr>
                      <w:rFonts w:hint="default" w:eastAsia="宋体"/>
                      <w:color w:val="auto"/>
                      <w:sz w:val="18"/>
                      <w:szCs w:val="18"/>
                      <w:lang w:val="en-US" w:eastAsia="zh-CN"/>
                    </w:rPr>
                  </w:pPr>
                  <w:r>
                    <w:rPr>
                      <w:rFonts w:hint="eastAsia"/>
                      <w:color w:val="auto"/>
                      <w:sz w:val="18"/>
                      <w:szCs w:val="18"/>
                      <w:lang w:val="en-US" w:eastAsia="zh-CN"/>
                    </w:rPr>
                    <w:t>注：受检单位厂外检测条件受限，故1#及4#点位设置在厂界内。</w:t>
                  </w:r>
                </w:p>
              </w:tc>
            </w:tr>
          </w:tbl>
          <w:p w14:paraId="3FB81CF0">
            <w:pPr>
              <w:pStyle w:val="79"/>
              <w:spacing w:line="440" w:lineRule="exact"/>
              <w:ind w:firstLine="420"/>
              <w:rPr>
                <w:color w:val="auto"/>
                <w:sz w:val="21"/>
                <w:szCs w:val="21"/>
              </w:rPr>
            </w:pPr>
            <w:r>
              <w:rPr>
                <w:rFonts w:hint="eastAsia"/>
                <w:color w:val="auto"/>
                <w:sz w:val="21"/>
                <w:szCs w:val="21"/>
              </w:rPr>
              <w:t>根据以上例行监测结果，现有项目厂界噪声能够满足《工业企业厂界环境噪声排放标准》（</w:t>
            </w:r>
            <w:r>
              <w:rPr>
                <w:color w:val="auto"/>
                <w:sz w:val="21"/>
                <w:szCs w:val="21"/>
              </w:rPr>
              <w:t>GB123</w:t>
            </w:r>
            <w:r>
              <w:rPr>
                <w:rFonts w:hint="eastAsia"/>
                <w:color w:val="auto"/>
                <w:sz w:val="21"/>
                <w:szCs w:val="21"/>
              </w:rPr>
              <w:t>48</w:t>
            </w:r>
            <w:r>
              <w:rPr>
                <w:color w:val="auto"/>
                <w:sz w:val="21"/>
                <w:szCs w:val="21"/>
              </w:rPr>
              <w:t>-2008</w:t>
            </w:r>
            <w:r>
              <w:rPr>
                <w:rFonts w:hint="eastAsia"/>
                <w:color w:val="auto"/>
                <w:sz w:val="21"/>
                <w:szCs w:val="21"/>
              </w:rPr>
              <w:t>）</w:t>
            </w:r>
            <w:r>
              <w:rPr>
                <w:rFonts w:hint="eastAsia"/>
                <w:color w:val="auto"/>
                <w:sz w:val="21"/>
                <w:szCs w:val="21"/>
                <w:lang w:val="en-US" w:eastAsia="zh-CN"/>
              </w:rPr>
              <w:t>2</w:t>
            </w:r>
            <w:r>
              <w:rPr>
                <w:rFonts w:hint="eastAsia"/>
                <w:color w:val="auto"/>
                <w:sz w:val="21"/>
                <w:szCs w:val="21"/>
              </w:rPr>
              <w:t>类标准要求。</w:t>
            </w:r>
          </w:p>
          <w:p w14:paraId="06313027">
            <w:pPr>
              <w:adjustRightInd w:val="0"/>
              <w:snapToGrid w:val="0"/>
              <w:spacing w:line="440" w:lineRule="exact"/>
              <w:ind w:firstLine="422" w:firstLineChars="200"/>
              <w:rPr>
                <w:b/>
                <w:color w:val="auto"/>
                <w:szCs w:val="21"/>
              </w:rPr>
            </w:pPr>
            <w:r>
              <w:rPr>
                <w:rFonts w:hint="eastAsia"/>
                <w:b/>
                <w:color w:val="auto"/>
                <w:szCs w:val="21"/>
              </w:rPr>
              <w:t>4、固废</w:t>
            </w:r>
          </w:p>
          <w:p w14:paraId="03BD438D">
            <w:pPr>
              <w:adjustRightInd w:val="0"/>
              <w:snapToGrid w:val="0"/>
              <w:spacing w:line="440" w:lineRule="exact"/>
              <w:ind w:firstLine="420" w:firstLineChars="200"/>
              <w:rPr>
                <w:bCs/>
                <w:color w:val="auto"/>
                <w:szCs w:val="21"/>
              </w:rPr>
            </w:pPr>
            <w:r>
              <w:rPr>
                <w:rFonts w:hint="eastAsia"/>
                <w:bCs/>
                <w:color w:val="auto"/>
                <w:szCs w:val="21"/>
              </w:rPr>
              <w:t>现有项目固体废物主要分类危险废物、一般固废及生活垃圾三大类，具体产排情况如下：</w:t>
            </w:r>
          </w:p>
          <w:p w14:paraId="76BB136A">
            <w:pPr>
              <w:adjustRightInd w:val="0"/>
              <w:snapToGrid w:val="0"/>
              <w:spacing w:before="120" w:beforeLines="50"/>
              <w:jc w:val="center"/>
              <w:rPr>
                <w:b/>
                <w:color w:val="auto"/>
                <w:szCs w:val="21"/>
              </w:rPr>
            </w:pPr>
          </w:p>
          <w:p w14:paraId="2FC9C96D">
            <w:pPr>
              <w:adjustRightInd w:val="0"/>
              <w:snapToGrid w:val="0"/>
              <w:spacing w:before="120" w:beforeLines="50"/>
              <w:jc w:val="center"/>
              <w:rPr>
                <w:b/>
                <w:color w:val="auto"/>
                <w:szCs w:val="21"/>
              </w:rPr>
            </w:pPr>
          </w:p>
          <w:p w14:paraId="429EC937">
            <w:pPr>
              <w:adjustRightInd w:val="0"/>
              <w:snapToGrid w:val="0"/>
              <w:spacing w:before="120" w:beforeLines="50"/>
              <w:jc w:val="center"/>
              <w:rPr>
                <w:b/>
                <w:color w:val="auto"/>
                <w:szCs w:val="21"/>
              </w:rPr>
            </w:pPr>
            <w:r>
              <w:rPr>
                <w:b/>
                <w:color w:val="auto"/>
                <w:szCs w:val="21"/>
              </w:rPr>
              <w:t>表</w:t>
            </w:r>
            <w:r>
              <w:rPr>
                <w:rFonts w:hint="eastAsia"/>
                <w:b/>
                <w:color w:val="auto"/>
                <w:szCs w:val="21"/>
              </w:rPr>
              <w:t>2-</w:t>
            </w:r>
            <w:r>
              <w:rPr>
                <w:rFonts w:hint="eastAsia"/>
                <w:b/>
                <w:color w:val="auto"/>
                <w:szCs w:val="21"/>
                <w:lang w:val="en-US" w:eastAsia="zh-CN"/>
              </w:rPr>
              <w:t>23</w:t>
            </w:r>
            <w:r>
              <w:rPr>
                <w:b/>
                <w:color w:val="auto"/>
                <w:szCs w:val="21"/>
              </w:rPr>
              <w:t xml:space="preserve">  </w:t>
            </w:r>
            <w:r>
              <w:rPr>
                <w:rFonts w:hint="eastAsia"/>
                <w:b/>
                <w:color w:val="auto"/>
                <w:szCs w:val="21"/>
              </w:rPr>
              <w:t>现有项目固体废物产排情况汇总表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080"/>
              <w:gridCol w:w="1305"/>
              <w:gridCol w:w="945"/>
              <w:gridCol w:w="1140"/>
              <w:gridCol w:w="825"/>
              <w:gridCol w:w="1918"/>
            </w:tblGrid>
            <w:tr w14:paraId="34E7F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3824FF4E">
                  <w:pPr>
                    <w:pStyle w:val="60"/>
                    <w:rPr>
                      <w:rFonts w:hint="default" w:eastAsia="宋体"/>
                      <w:b/>
                      <w:bCs/>
                      <w:color w:val="auto"/>
                      <w:sz w:val="18"/>
                      <w:szCs w:val="18"/>
                      <w:lang w:val="en-US" w:eastAsia="zh-CN"/>
                    </w:rPr>
                  </w:pPr>
                  <w:r>
                    <w:rPr>
                      <w:rFonts w:hint="eastAsia"/>
                      <w:b/>
                      <w:bCs/>
                      <w:color w:val="auto"/>
                      <w:sz w:val="18"/>
                      <w:szCs w:val="18"/>
                      <w:lang w:val="en-US" w:eastAsia="zh-CN"/>
                    </w:rPr>
                    <w:t>固废名称</w:t>
                  </w:r>
                </w:p>
              </w:tc>
              <w:tc>
                <w:tcPr>
                  <w:tcW w:w="641" w:type="pct"/>
                  <w:tcBorders>
                    <w:tl2br w:val="nil"/>
                    <w:tr2bl w:val="nil"/>
                  </w:tcBorders>
                  <w:vAlign w:val="center"/>
                </w:tcPr>
                <w:p w14:paraId="29E97452">
                  <w:pPr>
                    <w:pStyle w:val="60"/>
                    <w:rPr>
                      <w:rFonts w:hint="default" w:eastAsia="宋体"/>
                      <w:b/>
                      <w:bCs/>
                      <w:color w:val="auto"/>
                      <w:sz w:val="18"/>
                      <w:szCs w:val="18"/>
                      <w:lang w:val="en-US" w:eastAsia="zh-CN"/>
                    </w:rPr>
                  </w:pPr>
                  <w:r>
                    <w:rPr>
                      <w:rFonts w:hint="eastAsia"/>
                      <w:b/>
                      <w:bCs/>
                      <w:color w:val="auto"/>
                      <w:sz w:val="18"/>
                      <w:szCs w:val="18"/>
                      <w:lang w:val="en-US" w:eastAsia="zh-CN"/>
                    </w:rPr>
                    <w:t>产生工序</w:t>
                  </w:r>
                </w:p>
              </w:tc>
              <w:tc>
                <w:tcPr>
                  <w:tcW w:w="775" w:type="pct"/>
                  <w:tcBorders>
                    <w:tl2br w:val="nil"/>
                    <w:tr2bl w:val="nil"/>
                  </w:tcBorders>
                  <w:vAlign w:val="center"/>
                </w:tcPr>
                <w:p w14:paraId="764DFDC1">
                  <w:pPr>
                    <w:pStyle w:val="60"/>
                    <w:rPr>
                      <w:b/>
                      <w:bCs/>
                      <w:color w:val="auto"/>
                      <w:sz w:val="18"/>
                      <w:szCs w:val="18"/>
                    </w:rPr>
                  </w:pPr>
                  <w:r>
                    <w:rPr>
                      <w:rFonts w:hint="eastAsia"/>
                      <w:b/>
                      <w:bCs/>
                      <w:color w:val="auto"/>
                      <w:sz w:val="18"/>
                      <w:szCs w:val="18"/>
                    </w:rPr>
                    <w:t>主要成分</w:t>
                  </w:r>
                </w:p>
              </w:tc>
              <w:tc>
                <w:tcPr>
                  <w:tcW w:w="561" w:type="pct"/>
                  <w:tcBorders>
                    <w:tl2br w:val="nil"/>
                    <w:tr2bl w:val="nil"/>
                  </w:tcBorders>
                  <w:vAlign w:val="center"/>
                </w:tcPr>
                <w:p w14:paraId="0BEA244F">
                  <w:pPr>
                    <w:pStyle w:val="60"/>
                    <w:rPr>
                      <w:b/>
                      <w:bCs/>
                      <w:color w:val="auto"/>
                      <w:sz w:val="18"/>
                      <w:szCs w:val="18"/>
                    </w:rPr>
                  </w:pPr>
                  <w:r>
                    <w:rPr>
                      <w:rFonts w:hint="eastAsia"/>
                      <w:b/>
                      <w:bCs/>
                      <w:color w:val="auto"/>
                      <w:sz w:val="18"/>
                      <w:szCs w:val="18"/>
                    </w:rPr>
                    <w:t>属性</w:t>
                  </w:r>
                </w:p>
              </w:tc>
              <w:tc>
                <w:tcPr>
                  <w:tcW w:w="677" w:type="pct"/>
                  <w:tcBorders>
                    <w:tl2br w:val="nil"/>
                    <w:tr2bl w:val="nil"/>
                  </w:tcBorders>
                  <w:vAlign w:val="center"/>
                </w:tcPr>
                <w:p w14:paraId="45CC1D55">
                  <w:pPr>
                    <w:pStyle w:val="60"/>
                    <w:rPr>
                      <w:b/>
                      <w:bCs/>
                      <w:color w:val="auto"/>
                      <w:sz w:val="18"/>
                      <w:szCs w:val="18"/>
                    </w:rPr>
                  </w:pPr>
                  <w:r>
                    <w:rPr>
                      <w:rFonts w:hint="eastAsia"/>
                      <w:b/>
                      <w:bCs/>
                      <w:color w:val="auto"/>
                      <w:sz w:val="18"/>
                      <w:szCs w:val="18"/>
                    </w:rPr>
                    <w:t>废物代码</w:t>
                  </w:r>
                </w:p>
              </w:tc>
              <w:tc>
                <w:tcPr>
                  <w:tcW w:w="490" w:type="pct"/>
                  <w:tcBorders>
                    <w:tl2br w:val="nil"/>
                    <w:tr2bl w:val="nil"/>
                  </w:tcBorders>
                  <w:vAlign w:val="center"/>
                </w:tcPr>
                <w:p w14:paraId="3069DBF4">
                  <w:pPr>
                    <w:pStyle w:val="60"/>
                    <w:rPr>
                      <w:b/>
                      <w:bCs/>
                      <w:color w:val="auto"/>
                      <w:sz w:val="18"/>
                      <w:szCs w:val="18"/>
                    </w:rPr>
                  </w:pPr>
                  <w:r>
                    <w:rPr>
                      <w:rFonts w:hint="eastAsia"/>
                      <w:b/>
                      <w:bCs/>
                      <w:color w:val="auto"/>
                      <w:sz w:val="18"/>
                      <w:szCs w:val="18"/>
                    </w:rPr>
                    <w:t>产生量</w:t>
                  </w:r>
                </w:p>
              </w:tc>
              <w:tc>
                <w:tcPr>
                  <w:tcW w:w="1139" w:type="pct"/>
                  <w:tcBorders>
                    <w:tl2br w:val="nil"/>
                    <w:tr2bl w:val="nil"/>
                  </w:tcBorders>
                  <w:vAlign w:val="center"/>
                </w:tcPr>
                <w:p w14:paraId="1359AF94">
                  <w:pPr>
                    <w:pStyle w:val="60"/>
                    <w:rPr>
                      <w:b/>
                      <w:bCs/>
                      <w:color w:val="auto"/>
                      <w:sz w:val="18"/>
                      <w:szCs w:val="18"/>
                    </w:rPr>
                  </w:pPr>
                  <w:r>
                    <w:rPr>
                      <w:rFonts w:hint="eastAsia"/>
                      <w:b/>
                      <w:bCs/>
                      <w:color w:val="auto"/>
                      <w:sz w:val="18"/>
                      <w:szCs w:val="18"/>
                    </w:rPr>
                    <w:t>处理措施</w:t>
                  </w:r>
                </w:p>
              </w:tc>
            </w:tr>
            <w:tr w14:paraId="76244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20FA4AC9">
                  <w:pPr>
                    <w:pStyle w:val="60"/>
                    <w:rPr>
                      <w:rFonts w:hint="default" w:eastAsia="宋体"/>
                      <w:color w:val="auto"/>
                      <w:sz w:val="18"/>
                      <w:szCs w:val="18"/>
                      <w:lang w:val="en-US" w:eastAsia="zh-CN"/>
                    </w:rPr>
                  </w:pPr>
                  <w:r>
                    <w:rPr>
                      <w:rFonts w:hint="eastAsia"/>
                      <w:color w:val="auto"/>
                      <w:sz w:val="18"/>
                      <w:szCs w:val="18"/>
                      <w:lang w:val="en-US" w:eastAsia="zh-CN"/>
                    </w:rPr>
                    <w:t>废活性炭</w:t>
                  </w:r>
                </w:p>
              </w:tc>
              <w:tc>
                <w:tcPr>
                  <w:tcW w:w="641" w:type="pct"/>
                  <w:tcBorders>
                    <w:tl2br w:val="nil"/>
                    <w:tr2bl w:val="nil"/>
                  </w:tcBorders>
                  <w:vAlign w:val="center"/>
                </w:tcPr>
                <w:p w14:paraId="3F3D4725">
                  <w:pPr>
                    <w:pStyle w:val="60"/>
                    <w:rPr>
                      <w:rFonts w:hint="default" w:eastAsia="宋体"/>
                      <w:color w:val="auto"/>
                      <w:sz w:val="18"/>
                      <w:szCs w:val="18"/>
                      <w:lang w:val="en-US" w:eastAsia="zh-CN"/>
                    </w:rPr>
                  </w:pPr>
                  <w:r>
                    <w:rPr>
                      <w:rFonts w:hint="eastAsia"/>
                      <w:color w:val="auto"/>
                      <w:sz w:val="18"/>
                      <w:szCs w:val="18"/>
                      <w:lang w:val="en-US" w:eastAsia="zh-CN"/>
                    </w:rPr>
                    <w:t>甲醛装置</w:t>
                  </w:r>
                </w:p>
              </w:tc>
              <w:tc>
                <w:tcPr>
                  <w:tcW w:w="775" w:type="pct"/>
                  <w:tcBorders>
                    <w:tl2br w:val="nil"/>
                    <w:tr2bl w:val="nil"/>
                  </w:tcBorders>
                  <w:vAlign w:val="center"/>
                </w:tcPr>
                <w:p w14:paraId="0A1E133B">
                  <w:pPr>
                    <w:pStyle w:val="60"/>
                    <w:rPr>
                      <w:rFonts w:hint="default" w:eastAsia="宋体"/>
                      <w:color w:val="auto"/>
                      <w:sz w:val="18"/>
                      <w:szCs w:val="18"/>
                      <w:lang w:val="en-US" w:eastAsia="zh-CN"/>
                    </w:rPr>
                  </w:pPr>
                  <w:r>
                    <w:rPr>
                      <w:rFonts w:hint="eastAsia"/>
                      <w:color w:val="auto"/>
                      <w:sz w:val="18"/>
                      <w:szCs w:val="18"/>
                      <w:lang w:val="en-US" w:eastAsia="zh-CN"/>
                    </w:rPr>
                    <w:t>活性炭等</w:t>
                  </w:r>
                </w:p>
              </w:tc>
              <w:tc>
                <w:tcPr>
                  <w:tcW w:w="561" w:type="pct"/>
                  <w:tcBorders>
                    <w:tl2br w:val="nil"/>
                    <w:tr2bl w:val="nil"/>
                  </w:tcBorders>
                  <w:vAlign w:val="center"/>
                </w:tcPr>
                <w:p w14:paraId="3F835681">
                  <w:pPr>
                    <w:pStyle w:val="60"/>
                    <w:rPr>
                      <w:rFonts w:hint="eastAsia" w:eastAsia="宋体"/>
                      <w:color w:val="auto"/>
                      <w:sz w:val="18"/>
                      <w:szCs w:val="18"/>
                      <w:lang w:val="en-US" w:eastAsia="zh-CN"/>
                    </w:rPr>
                  </w:pPr>
                  <w:r>
                    <w:rPr>
                      <w:rFonts w:hint="eastAsia"/>
                      <w:color w:val="auto"/>
                      <w:sz w:val="18"/>
                      <w:szCs w:val="18"/>
                      <w:lang w:val="en-US" w:eastAsia="zh-CN"/>
                    </w:rPr>
                    <w:t>危险废物</w:t>
                  </w:r>
                </w:p>
              </w:tc>
              <w:tc>
                <w:tcPr>
                  <w:tcW w:w="677" w:type="pct"/>
                  <w:tcBorders>
                    <w:tl2br w:val="nil"/>
                    <w:tr2bl w:val="nil"/>
                  </w:tcBorders>
                  <w:vAlign w:val="center"/>
                </w:tcPr>
                <w:p w14:paraId="7C2C5576">
                  <w:pPr>
                    <w:pStyle w:val="60"/>
                    <w:rPr>
                      <w:rFonts w:hint="eastAsia"/>
                      <w:color w:val="auto"/>
                      <w:sz w:val="18"/>
                      <w:szCs w:val="18"/>
                      <w:lang w:val="en-US" w:eastAsia="zh-CN"/>
                    </w:rPr>
                  </w:pPr>
                  <w:r>
                    <w:rPr>
                      <w:rFonts w:hint="eastAsia"/>
                      <w:color w:val="auto"/>
                      <w:sz w:val="18"/>
                      <w:szCs w:val="18"/>
                      <w:lang w:val="en-US" w:eastAsia="zh-CN"/>
                    </w:rPr>
                    <w:t>HW49</w:t>
                  </w:r>
                </w:p>
                <w:p w14:paraId="5989CF44">
                  <w:pPr>
                    <w:pStyle w:val="60"/>
                    <w:rPr>
                      <w:rFonts w:hint="default"/>
                      <w:color w:val="auto"/>
                      <w:sz w:val="18"/>
                      <w:szCs w:val="18"/>
                      <w:lang w:val="en-US" w:eastAsia="zh-CN"/>
                    </w:rPr>
                  </w:pPr>
                  <w:r>
                    <w:rPr>
                      <w:rFonts w:hint="eastAsia"/>
                      <w:color w:val="auto"/>
                      <w:sz w:val="18"/>
                      <w:szCs w:val="18"/>
                      <w:lang w:val="en-US" w:eastAsia="zh-CN"/>
                    </w:rPr>
                    <w:t>900-039-49</w:t>
                  </w:r>
                </w:p>
              </w:tc>
              <w:tc>
                <w:tcPr>
                  <w:tcW w:w="490" w:type="pct"/>
                  <w:tcBorders>
                    <w:tl2br w:val="nil"/>
                    <w:tr2bl w:val="nil"/>
                  </w:tcBorders>
                  <w:vAlign w:val="center"/>
                </w:tcPr>
                <w:p w14:paraId="6738D344">
                  <w:pPr>
                    <w:pStyle w:val="60"/>
                    <w:rPr>
                      <w:rFonts w:hint="default" w:eastAsia="宋体"/>
                      <w:color w:val="auto"/>
                      <w:sz w:val="18"/>
                      <w:szCs w:val="18"/>
                      <w:lang w:val="en-US" w:eastAsia="zh-CN"/>
                    </w:rPr>
                  </w:pPr>
                  <w:r>
                    <w:rPr>
                      <w:rFonts w:hint="eastAsia"/>
                      <w:color w:val="auto"/>
                      <w:sz w:val="18"/>
                      <w:szCs w:val="18"/>
                      <w:lang w:val="en-US" w:eastAsia="zh-CN"/>
                    </w:rPr>
                    <w:t>5t/a</w:t>
                  </w:r>
                </w:p>
              </w:tc>
              <w:tc>
                <w:tcPr>
                  <w:tcW w:w="1139" w:type="pct"/>
                  <w:vMerge w:val="restart"/>
                  <w:tcBorders>
                    <w:tl2br w:val="nil"/>
                    <w:tr2bl w:val="nil"/>
                  </w:tcBorders>
                  <w:vAlign w:val="center"/>
                </w:tcPr>
                <w:p w14:paraId="66D508C7">
                  <w:pPr>
                    <w:pStyle w:val="60"/>
                    <w:rPr>
                      <w:color w:val="auto"/>
                      <w:sz w:val="18"/>
                      <w:szCs w:val="18"/>
                    </w:rPr>
                  </w:pPr>
                  <w:r>
                    <w:rPr>
                      <w:rFonts w:hint="eastAsia"/>
                      <w:color w:val="auto"/>
                      <w:sz w:val="18"/>
                      <w:szCs w:val="18"/>
                    </w:rPr>
                    <w:t>暂存于危废暂存间，定期委托有资质单位处置</w:t>
                  </w:r>
                </w:p>
              </w:tc>
            </w:tr>
            <w:tr w14:paraId="3C336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3FE156E2">
                  <w:pPr>
                    <w:pStyle w:val="60"/>
                    <w:rPr>
                      <w:rFonts w:hint="default" w:eastAsia="宋体"/>
                      <w:color w:val="auto"/>
                      <w:sz w:val="18"/>
                      <w:szCs w:val="18"/>
                      <w:lang w:val="en-US" w:eastAsia="zh-CN"/>
                    </w:rPr>
                  </w:pPr>
                  <w:r>
                    <w:rPr>
                      <w:rFonts w:hint="eastAsia"/>
                      <w:color w:val="auto"/>
                      <w:sz w:val="18"/>
                      <w:szCs w:val="18"/>
                      <w:lang w:val="en-US" w:eastAsia="zh-CN"/>
                    </w:rPr>
                    <w:t>污泥</w:t>
                  </w:r>
                </w:p>
              </w:tc>
              <w:tc>
                <w:tcPr>
                  <w:tcW w:w="641" w:type="pct"/>
                  <w:tcBorders>
                    <w:tl2br w:val="nil"/>
                    <w:tr2bl w:val="nil"/>
                  </w:tcBorders>
                  <w:vAlign w:val="center"/>
                </w:tcPr>
                <w:p w14:paraId="36B9C0BC">
                  <w:pPr>
                    <w:pStyle w:val="60"/>
                    <w:rPr>
                      <w:rFonts w:hint="default" w:eastAsia="宋体"/>
                      <w:color w:val="auto"/>
                      <w:sz w:val="18"/>
                      <w:szCs w:val="18"/>
                      <w:lang w:val="en-US" w:eastAsia="zh-CN"/>
                    </w:rPr>
                  </w:pPr>
                  <w:r>
                    <w:rPr>
                      <w:rFonts w:hint="eastAsia"/>
                      <w:color w:val="auto"/>
                      <w:sz w:val="18"/>
                      <w:szCs w:val="18"/>
                      <w:lang w:val="en-US" w:eastAsia="zh-CN"/>
                    </w:rPr>
                    <w:t>污水处理</w:t>
                  </w:r>
                </w:p>
              </w:tc>
              <w:tc>
                <w:tcPr>
                  <w:tcW w:w="775" w:type="pct"/>
                  <w:tcBorders>
                    <w:tl2br w:val="nil"/>
                    <w:tr2bl w:val="nil"/>
                  </w:tcBorders>
                  <w:vAlign w:val="center"/>
                </w:tcPr>
                <w:p w14:paraId="7C8AA2BC">
                  <w:pPr>
                    <w:pStyle w:val="60"/>
                    <w:rPr>
                      <w:rFonts w:hint="default" w:eastAsia="宋体"/>
                      <w:color w:val="auto"/>
                      <w:sz w:val="18"/>
                      <w:szCs w:val="18"/>
                      <w:lang w:val="en-US" w:eastAsia="zh-CN"/>
                    </w:rPr>
                  </w:pPr>
                  <w:r>
                    <w:rPr>
                      <w:rFonts w:hint="eastAsia"/>
                      <w:color w:val="auto"/>
                      <w:sz w:val="18"/>
                      <w:szCs w:val="18"/>
                      <w:lang w:val="en-US" w:eastAsia="zh-CN"/>
                    </w:rPr>
                    <w:t>盐泥等</w:t>
                  </w:r>
                </w:p>
              </w:tc>
              <w:tc>
                <w:tcPr>
                  <w:tcW w:w="561" w:type="pct"/>
                  <w:tcBorders>
                    <w:tl2br w:val="nil"/>
                    <w:tr2bl w:val="nil"/>
                  </w:tcBorders>
                  <w:vAlign w:val="center"/>
                </w:tcPr>
                <w:p w14:paraId="32A9B3F0">
                  <w:pPr>
                    <w:pStyle w:val="60"/>
                    <w:rPr>
                      <w:rFonts w:hint="default" w:eastAsia="宋体"/>
                      <w:color w:val="auto"/>
                      <w:sz w:val="18"/>
                      <w:szCs w:val="18"/>
                      <w:lang w:val="en-US" w:eastAsia="zh-CN"/>
                    </w:rPr>
                  </w:pPr>
                  <w:r>
                    <w:rPr>
                      <w:rFonts w:hint="eastAsia"/>
                      <w:color w:val="auto"/>
                      <w:sz w:val="18"/>
                      <w:szCs w:val="18"/>
                      <w:lang w:val="en-US" w:eastAsia="zh-CN"/>
                    </w:rPr>
                    <w:t>危险废物</w:t>
                  </w:r>
                </w:p>
              </w:tc>
              <w:tc>
                <w:tcPr>
                  <w:tcW w:w="677" w:type="pct"/>
                  <w:tcBorders>
                    <w:tl2br w:val="nil"/>
                    <w:tr2bl w:val="nil"/>
                  </w:tcBorders>
                  <w:vAlign w:val="center"/>
                </w:tcPr>
                <w:p w14:paraId="478BCE58">
                  <w:pPr>
                    <w:pStyle w:val="60"/>
                    <w:rPr>
                      <w:rFonts w:hint="eastAsia"/>
                      <w:color w:val="auto"/>
                      <w:sz w:val="18"/>
                      <w:szCs w:val="18"/>
                      <w:lang w:val="en-US" w:eastAsia="zh-CN"/>
                    </w:rPr>
                  </w:pPr>
                  <w:r>
                    <w:rPr>
                      <w:rFonts w:hint="eastAsia"/>
                      <w:color w:val="auto"/>
                      <w:sz w:val="18"/>
                      <w:szCs w:val="18"/>
                      <w:lang w:val="en-US" w:eastAsia="zh-CN"/>
                    </w:rPr>
                    <w:t>HW08</w:t>
                  </w:r>
                </w:p>
                <w:p w14:paraId="2950253F">
                  <w:pPr>
                    <w:pStyle w:val="60"/>
                    <w:rPr>
                      <w:rFonts w:hint="default"/>
                      <w:color w:val="auto"/>
                      <w:sz w:val="18"/>
                      <w:szCs w:val="18"/>
                      <w:lang w:val="en-US" w:eastAsia="zh-CN"/>
                    </w:rPr>
                  </w:pPr>
                  <w:r>
                    <w:rPr>
                      <w:rFonts w:hint="eastAsia"/>
                      <w:color w:val="auto"/>
                      <w:sz w:val="18"/>
                      <w:szCs w:val="18"/>
                      <w:lang w:val="en-US" w:eastAsia="zh-CN"/>
                    </w:rPr>
                    <w:t>900-210-08</w:t>
                  </w:r>
                </w:p>
              </w:tc>
              <w:tc>
                <w:tcPr>
                  <w:tcW w:w="490" w:type="pct"/>
                  <w:tcBorders>
                    <w:tl2br w:val="nil"/>
                    <w:tr2bl w:val="nil"/>
                  </w:tcBorders>
                  <w:vAlign w:val="center"/>
                </w:tcPr>
                <w:p w14:paraId="0498ED89">
                  <w:pPr>
                    <w:pStyle w:val="60"/>
                    <w:rPr>
                      <w:rFonts w:hint="default" w:eastAsia="宋体"/>
                      <w:color w:val="auto"/>
                      <w:sz w:val="18"/>
                      <w:szCs w:val="18"/>
                      <w:lang w:val="en-US" w:eastAsia="zh-CN"/>
                    </w:rPr>
                  </w:pPr>
                  <w:r>
                    <w:rPr>
                      <w:rFonts w:hint="eastAsia"/>
                      <w:color w:val="auto"/>
                      <w:sz w:val="18"/>
                      <w:szCs w:val="18"/>
                      <w:lang w:val="en-US" w:eastAsia="zh-CN"/>
                    </w:rPr>
                    <w:t>1.5t/a</w:t>
                  </w:r>
                </w:p>
              </w:tc>
              <w:tc>
                <w:tcPr>
                  <w:tcW w:w="1139" w:type="pct"/>
                  <w:vMerge w:val="continue"/>
                  <w:tcBorders>
                    <w:tl2br w:val="nil"/>
                    <w:tr2bl w:val="nil"/>
                  </w:tcBorders>
                  <w:vAlign w:val="center"/>
                </w:tcPr>
                <w:p w14:paraId="0D65344A">
                  <w:pPr>
                    <w:pStyle w:val="60"/>
                    <w:rPr>
                      <w:rFonts w:hint="eastAsia"/>
                      <w:color w:val="auto"/>
                      <w:sz w:val="18"/>
                      <w:szCs w:val="18"/>
                    </w:rPr>
                  </w:pPr>
                </w:p>
              </w:tc>
            </w:tr>
            <w:tr w14:paraId="0B0EF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48173B07">
                  <w:pPr>
                    <w:pStyle w:val="60"/>
                    <w:rPr>
                      <w:rFonts w:hint="default" w:eastAsia="宋体"/>
                      <w:color w:val="auto"/>
                      <w:sz w:val="18"/>
                      <w:szCs w:val="18"/>
                      <w:lang w:val="en-US" w:eastAsia="zh-CN"/>
                    </w:rPr>
                  </w:pPr>
                  <w:r>
                    <w:rPr>
                      <w:rFonts w:hint="eastAsia"/>
                      <w:color w:val="auto"/>
                      <w:sz w:val="18"/>
                      <w:szCs w:val="18"/>
                      <w:lang w:val="en-US" w:eastAsia="zh-CN"/>
                    </w:rPr>
                    <w:t>废润滑油</w:t>
                  </w:r>
                </w:p>
              </w:tc>
              <w:tc>
                <w:tcPr>
                  <w:tcW w:w="641" w:type="pct"/>
                  <w:tcBorders>
                    <w:tl2br w:val="nil"/>
                    <w:tr2bl w:val="nil"/>
                  </w:tcBorders>
                  <w:vAlign w:val="center"/>
                </w:tcPr>
                <w:p w14:paraId="34230FF8">
                  <w:pPr>
                    <w:pStyle w:val="60"/>
                    <w:rPr>
                      <w:rFonts w:hint="default" w:eastAsia="宋体"/>
                      <w:color w:val="auto"/>
                      <w:sz w:val="18"/>
                      <w:szCs w:val="18"/>
                      <w:lang w:val="en-US" w:eastAsia="zh-CN"/>
                    </w:rPr>
                  </w:pPr>
                  <w:r>
                    <w:rPr>
                      <w:rFonts w:hint="eastAsia"/>
                      <w:color w:val="auto"/>
                      <w:sz w:val="18"/>
                      <w:szCs w:val="18"/>
                      <w:lang w:val="en-US" w:eastAsia="zh-CN"/>
                    </w:rPr>
                    <w:t>设备维护</w:t>
                  </w:r>
                </w:p>
              </w:tc>
              <w:tc>
                <w:tcPr>
                  <w:tcW w:w="775" w:type="pct"/>
                  <w:tcBorders>
                    <w:tl2br w:val="nil"/>
                    <w:tr2bl w:val="nil"/>
                  </w:tcBorders>
                  <w:vAlign w:val="center"/>
                </w:tcPr>
                <w:p w14:paraId="2F3932E2">
                  <w:pPr>
                    <w:pStyle w:val="60"/>
                    <w:rPr>
                      <w:rFonts w:hint="default" w:eastAsia="宋体"/>
                      <w:color w:val="auto"/>
                      <w:sz w:val="18"/>
                      <w:szCs w:val="18"/>
                      <w:lang w:val="en-US" w:eastAsia="zh-CN"/>
                    </w:rPr>
                  </w:pPr>
                  <w:r>
                    <w:rPr>
                      <w:rFonts w:hint="eastAsia"/>
                      <w:color w:val="auto"/>
                      <w:sz w:val="18"/>
                      <w:szCs w:val="18"/>
                      <w:lang w:val="en-US" w:eastAsia="zh-CN"/>
                    </w:rPr>
                    <w:t>润滑油等</w:t>
                  </w:r>
                </w:p>
              </w:tc>
              <w:tc>
                <w:tcPr>
                  <w:tcW w:w="561" w:type="pct"/>
                  <w:tcBorders>
                    <w:tl2br w:val="nil"/>
                    <w:tr2bl w:val="nil"/>
                  </w:tcBorders>
                  <w:vAlign w:val="center"/>
                </w:tcPr>
                <w:p w14:paraId="3594A770">
                  <w:pPr>
                    <w:pStyle w:val="60"/>
                    <w:rPr>
                      <w:color w:val="auto"/>
                      <w:sz w:val="18"/>
                      <w:szCs w:val="18"/>
                    </w:rPr>
                  </w:pPr>
                  <w:r>
                    <w:rPr>
                      <w:rFonts w:hint="eastAsia"/>
                      <w:color w:val="auto"/>
                      <w:sz w:val="18"/>
                      <w:szCs w:val="18"/>
                      <w:lang w:val="en-US" w:eastAsia="zh-CN"/>
                    </w:rPr>
                    <w:t>危险废物</w:t>
                  </w:r>
                </w:p>
              </w:tc>
              <w:tc>
                <w:tcPr>
                  <w:tcW w:w="677" w:type="pct"/>
                  <w:tcBorders>
                    <w:tl2br w:val="nil"/>
                    <w:tr2bl w:val="nil"/>
                  </w:tcBorders>
                  <w:shd w:val="clear" w:color="auto" w:fill="auto"/>
                  <w:vAlign w:val="center"/>
                </w:tcPr>
                <w:p w14:paraId="4C9E7175">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HW08</w:t>
                  </w:r>
                </w:p>
                <w:p w14:paraId="62423784">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900-217-08</w:t>
                  </w:r>
                </w:p>
              </w:tc>
              <w:tc>
                <w:tcPr>
                  <w:tcW w:w="490" w:type="pct"/>
                  <w:tcBorders>
                    <w:tl2br w:val="nil"/>
                    <w:tr2bl w:val="nil"/>
                  </w:tcBorders>
                  <w:vAlign w:val="center"/>
                </w:tcPr>
                <w:p w14:paraId="0C1BE009">
                  <w:pPr>
                    <w:pStyle w:val="60"/>
                    <w:rPr>
                      <w:rFonts w:hint="default" w:eastAsia="宋体"/>
                      <w:color w:val="auto"/>
                      <w:sz w:val="18"/>
                      <w:szCs w:val="18"/>
                      <w:lang w:val="en-US" w:eastAsia="zh-CN"/>
                    </w:rPr>
                  </w:pPr>
                  <w:r>
                    <w:rPr>
                      <w:rFonts w:hint="eastAsia"/>
                      <w:color w:val="auto"/>
                      <w:sz w:val="18"/>
                      <w:szCs w:val="18"/>
                      <w:lang w:val="en-US" w:eastAsia="zh-CN"/>
                    </w:rPr>
                    <w:t>0.5t/a</w:t>
                  </w:r>
                </w:p>
              </w:tc>
              <w:tc>
                <w:tcPr>
                  <w:tcW w:w="1139" w:type="pct"/>
                  <w:vMerge w:val="continue"/>
                  <w:tcBorders>
                    <w:tl2br w:val="nil"/>
                    <w:tr2bl w:val="nil"/>
                  </w:tcBorders>
                  <w:vAlign w:val="center"/>
                </w:tcPr>
                <w:p w14:paraId="2EF03FAE">
                  <w:pPr>
                    <w:pStyle w:val="60"/>
                    <w:rPr>
                      <w:rFonts w:hint="eastAsia"/>
                      <w:color w:val="auto"/>
                      <w:sz w:val="18"/>
                      <w:szCs w:val="18"/>
                    </w:rPr>
                  </w:pPr>
                </w:p>
              </w:tc>
            </w:tr>
            <w:tr w14:paraId="2A227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1D561F01">
                  <w:pPr>
                    <w:pStyle w:val="60"/>
                    <w:rPr>
                      <w:rFonts w:hint="default" w:eastAsia="宋体"/>
                      <w:color w:val="auto"/>
                      <w:sz w:val="18"/>
                      <w:szCs w:val="18"/>
                      <w:lang w:val="en-US" w:eastAsia="zh-CN"/>
                    </w:rPr>
                  </w:pPr>
                  <w:r>
                    <w:rPr>
                      <w:rFonts w:hint="eastAsia"/>
                      <w:color w:val="auto"/>
                      <w:sz w:val="18"/>
                      <w:szCs w:val="18"/>
                      <w:lang w:val="en-US" w:eastAsia="zh-CN"/>
                    </w:rPr>
                    <w:t>废润滑油桶</w:t>
                  </w:r>
                </w:p>
              </w:tc>
              <w:tc>
                <w:tcPr>
                  <w:tcW w:w="641" w:type="pct"/>
                  <w:tcBorders>
                    <w:tl2br w:val="nil"/>
                    <w:tr2bl w:val="nil"/>
                  </w:tcBorders>
                  <w:vAlign w:val="center"/>
                </w:tcPr>
                <w:p w14:paraId="3694A013">
                  <w:pPr>
                    <w:pStyle w:val="60"/>
                    <w:rPr>
                      <w:rFonts w:hint="eastAsia" w:eastAsia="宋体"/>
                      <w:color w:val="auto"/>
                      <w:sz w:val="18"/>
                      <w:szCs w:val="18"/>
                      <w:lang w:eastAsia="zh-CN"/>
                    </w:rPr>
                  </w:pPr>
                  <w:r>
                    <w:rPr>
                      <w:rFonts w:hint="eastAsia"/>
                      <w:color w:val="auto"/>
                      <w:sz w:val="18"/>
                      <w:szCs w:val="18"/>
                      <w:lang w:val="en-US" w:eastAsia="zh-CN"/>
                    </w:rPr>
                    <w:t>设备维护</w:t>
                  </w:r>
                </w:p>
              </w:tc>
              <w:tc>
                <w:tcPr>
                  <w:tcW w:w="775" w:type="pct"/>
                  <w:tcBorders>
                    <w:tl2br w:val="nil"/>
                    <w:tr2bl w:val="nil"/>
                  </w:tcBorders>
                  <w:vAlign w:val="center"/>
                </w:tcPr>
                <w:p w14:paraId="6257EB46">
                  <w:pPr>
                    <w:pStyle w:val="60"/>
                    <w:rPr>
                      <w:rFonts w:hint="default" w:eastAsia="宋体"/>
                      <w:color w:val="auto"/>
                      <w:sz w:val="18"/>
                      <w:szCs w:val="18"/>
                      <w:lang w:val="en-US" w:eastAsia="zh-CN"/>
                    </w:rPr>
                  </w:pPr>
                  <w:r>
                    <w:rPr>
                      <w:rFonts w:hint="eastAsia"/>
                      <w:color w:val="auto"/>
                      <w:sz w:val="18"/>
                      <w:szCs w:val="18"/>
                      <w:lang w:val="en-US" w:eastAsia="zh-CN"/>
                    </w:rPr>
                    <w:t>沾染油类物质的包装桶</w:t>
                  </w:r>
                </w:p>
              </w:tc>
              <w:tc>
                <w:tcPr>
                  <w:tcW w:w="561" w:type="pct"/>
                  <w:tcBorders>
                    <w:tl2br w:val="nil"/>
                    <w:tr2bl w:val="nil"/>
                  </w:tcBorders>
                  <w:vAlign w:val="center"/>
                </w:tcPr>
                <w:p w14:paraId="390AEC23">
                  <w:pPr>
                    <w:pStyle w:val="60"/>
                    <w:rPr>
                      <w:color w:val="auto"/>
                      <w:sz w:val="18"/>
                      <w:szCs w:val="18"/>
                    </w:rPr>
                  </w:pPr>
                  <w:r>
                    <w:rPr>
                      <w:rFonts w:hint="eastAsia"/>
                      <w:color w:val="auto"/>
                      <w:sz w:val="18"/>
                      <w:szCs w:val="18"/>
                      <w:lang w:val="en-US" w:eastAsia="zh-CN"/>
                    </w:rPr>
                    <w:t>危险废物</w:t>
                  </w:r>
                </w:p>
              </w:tc>
              <w:tc>
                <w:tcPr>
                  <w:tcW w:w="677" w:type="pct"/>
                  <w:tcBorders>
                    <w:tl2br w:val="nil"/>
                    <w:tr2bl w:val="nil"/>
                  </w:tcBorders>
                  <w:vAlign w:val="center"/>
                </w:tcPr>
                <w:p w14:paraId="5B9DE003">
                  <w:pPr>
                    <w:pStyle w:val="60"/>
                    <w:rPr>
                      <w:rFonts w:hint="eastAsia"/>
                      <w:color w:val="auto"/>
                      <w:sz w:val="18"/>
                      <w:szCs w:val="18"/>
                      <w:lang w:val="en-US" w:eastAsia="zh-CN"/>
                    </w:rPr>
                  </w:pPr>
                  <w:r>
                    <w:rPr>
                      <w:rFonts w:hint="eastAsia"/>
                      <w:color w:val="auto"/>
                      <w:sz w:val="18"/>
                      <w:szCs w:val="18"/>
                      <w:lang w:val="en-US" w:eastAsia="zh-CN"/>
                    </w:rPr>
                    <w:t>HW08</w:t>
                  </w:r>
                </w:p>
                <w:p w14:paraId="1F0A8032">
                  <w:pPr>
                    <w:pStyle w:val="60"/>
                    <w:rPr>
                      <w:color w:val="auto"/>
                      <w:sz w:val="18"/>
                      <w:szCs w:val="18"/>
                    </w:rPr>
                  </w:pPr>
                  <w:r>
                    <w:rPr>
                      <w:rFonts w:hint="eastAsia"/>
                      <w:color w:val="auto"/>
                      <w:sz w:val="18"/>
                      <w:szCs w:val="18"/>
                      <w:lang w:val="en-US" w:eastAsia="zh-CN"/>
                    </w:rPr>
                    <w:t>900-249-08</w:t>
                  </w:r>
                </w:p>
              </w:tc>
              <w:tc>
                <w:tcPr>
                  <w:tcW w:w="490" w:type="pct"/>
                  <w:tcBorders>
                    <w:tl2br w:val="nil"/>
                    <w:tr2bl w:val="nil"/>
                  </w:tcBorders>
                  <w:vAlign w:val="center"/>
                </w:tcPr>
                <w:p w14:paraId="7CC2022E">
                  <w:pPr>
                    <w:pStyle w:val="60"/>
                    <w:rPr>
                      <w:rFonts w:hint="default" w:eastAsia="宋体"/>
                      <w:color w:val="auto"/>
                      <w:sz w:val="18"/>
                      <w:szCs w:val="18"/>
                      <w:lang w:val="en-US" w:eastAsia="zh-CN"/>
                    </w:rPr>
                  </w:pPr>
                  <w:r>
                    <w:rPr>
                      <w:rFonts w:hint="eastAsia"/>
                      <w:color w:val="auto"/>
                      <w:sz w:val="18"/>
                      <w:szCs w:val="18"/>
                      <w:lang w:val="en-US" w:eastAsia="zh-CN"/>
                    </w:rPr>
                    <w:t>0.01t/a</w:t>
                  </w:r>
                </w:p>
              </w:tc>
              <w:tc>
                <w:tcPr>
                  <w:tcW w:w="1139" w:type="pct"/>
                  <w:vMerge w:val="continue"/>
                  <w:tcBorders>
                    <w:tl2br w:val="nil"/>
                    <w:tr2bl w:val="nil"/>
                  </w:tcBorders>
                  <w:vAlign w:val="center"/>
                </w:tcPr>
                <w:p w14:paraId="22FA8236">
                  <w:pPr>
                    <w:pStyle w:val="60"/>
                    <w:rPr>
                      <w:rFonts w:hint="eastAsia"/>
                      <w:color w:val="auto"/>
                      <w:sz w:val="18"/>
                      <w:szCs w:val="18"/>
                    </w:rPr>
                  </w:pPr>
                </w:p>
              </w:tc>
            </w:tr>
            <w:tr w14:paraId="095D8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shd w:val="clear" w:color="auto" w:fill="auto"/>
                  <w:vAlign w:val="center"/>
                </w:tcPr>
                <w:p w14:paraId="160CBA2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废银触媒</w:t>
                  </w:r>
                </w:p>
              </w:tc>
              <w:tc>
                <w:tcPr>
                  <w:tcW w:w="641" w:type="pct"/>
                  <w:tcBorders>
                    <w:tl2br w:val="nil"/>
                    <w:tr2bl w:val="nil"/>
                  </w:tcBorders>
                  <w:vAlign w:val="center"/>
                </w:tcPr>
                <w:p w14:paraId="7433C411">
                  <w:pPr>
                    <w:pStyle w:val="60"/>
                    <w:rPr>
                      <w:rFonts w:hint="default" w:eastAsia="宋体"/>
                      <w:color w:val="auto"/>
                      <w:sz w:val="18"/>
                      <w:szCs w:val="18"/>
                      <w:lang w:val="en-US" w:eastAsia="zh-CN"/>
                    </w:rPr>
                  </w:pPr>
                  <w:r>
                    <w:rPr>
                      <w:rFonts w:hint="eastAsia"/>
                      <w:color w:val="auto"/>
                      <w:sz w:val="18"/>
                      <w:szCs w:val="18"/>
                      <w:lang w:val="en-US" w:eastAsia="zh-CN"/>
                    </w:rPr>
                    <w:t>甲醛装置</w:t>
                  </w:r>
                </w:p>
              </w:tc>
              <w:tc>
                <w:tcPr>
                  <w:tcW w:w="775" w:type="pct"/>
                  <w:tcBorders>
                    <w:tl2br w:val="nil"/>
                    <w:tr2bl w:val="nil"/>
                  </w:tcBorders>
                  <w:vAlign w:val="center"/>
                </w:tcPr>
                <w:p w14:paraId="5DD9E23E">
                  <w:pPr>
                    <w:pStyle w:val="60"/>
                    <w:rPr>
                      <w:rFonts w:hint="default" w:eastAsia="宋体"/>
                      <w:color w:val="auto"/>
                      <w:sz w:val="18"/>
                      <w:szCs w:val="18"/>
                      <w:lang w:val="en-US" w:eastAsia="zh-CN"/>
                    </w:rPr>
                  </w:pPr>
                  <w:r>
                    <w:rPr>
                      <w:rFonts w:hint="eastAsia"/>
                      <w:color w:val="auto"/>
                      <w:sz w:val="18"/>
                      <w:szCs w:val="18"/>
                      <w:lang w:val="en-US" w:eastAsia="zh-CN"/>
                    </w:rPr>
                    <w:t>银</w:t>
                  </w:r>
                </w:p>
              </w:tc>
              <w:tc>
                <w:tcPr>
                  <w:tcW w:w="561" w:type="pct"/>
                  <w:tcBorders>
                    <w:tl2br w:val="nil"/>
                    <w:tr2bl w:val="nil"/>
                  </w:tcBorders>
                  <w:vAlign w:val="center"/>
                </w:tcPr>
                <w:p w14:paraId="0F829B9C">
                  <w:pPr>
                    <w:pStyle w:val="60"/>
                    <w:rPr>
                      <w:rFonts w:hint="eastAsia" w:eastAsia="宋体"/>
                      <w:color w:val="auto"/>
                      <w:sz w:val="18"/>
                      <w:szCs w:val="18"/>
                      <w:lang w:val="en-US" w:eastAsia="zh-CN"/>
                    </w:rPr>
                  </w:pPr>
                  <w:r>
                    <w:rPr>
                      <w:rFonts w:hint="eastAsia"/>
                      <w:color w:val="auto"/>
                      <w:sz w:val="18"/>
                      <w:szCs w:val="18"/>
                      <w:lang w:val="en-US" w:eastAsia="zh-CN"/>
                    </w:rPr>
                    <w:t>一般固废</w:t>
                  </w:r>
                </w:p>
              </w:tc>
              <w:tc>
                <w:tcPr>
                  <w:tcW w:w="677" w:type="pct"/>
                  <w:tcBorders>
                    <w:tl2br w:val="nil"/>
                    <w:tr2bl w:val="nil"/>
                  </w:tcBorders>
                  <w:vAlign w:val="center"/>
                </w:tcPr>
                <w:p w14:paraId="4256AD3F">
                  <w:pPr>
                    <w:pStyle w:val="60"/>
                    <w:rPr>
                      <w:rFonts w:hint="default" w:eastAsia="宋体"/>
                      <w:color w:val="auto"/>
                      <w:sz w:val="18"/>
                      <w:szCs w:val="18"/>
                      <w:lang w:val="en-US" w:eastAsia="zh-CN"/>
                    </w:rPr>
                  </w:pPr>
                  <w:r>
                    <w:rPr>
                      <w:rFonts w:hint="eastAsia"/>
                      <w:color w:val="auto"/>
                      <w:sz w:val="18"/>
                      <w:szCs w:val="18"/>
                      <w:lang w:val="en-US" w:eastAsia="zh-CN"/>
                    </w:rPr>
                    <w:t>--</w:t>
                  </w:r>
                </w:p>
              </w:tc>
              <w:tc>
                <w:tcPr>
                  <w:tcW w:w="490" w:type="pct"/>
                  <w:tcBorders>
                    <w:tl2br w:val="nil"/>
                    <w:tr2bl w:val="nil"/>
                  </w:tcBorders>
                  <w:vAlign w:val="center"/>
                </w:tcPr>
                <w:p w14:paraId="5316E4C6">
                  <w:pPr>
                    <w:pStyle w:val="60"/>
                    <w:rPr>
                      <w:rFonts w:hint="default" w:eastAsia="宋体"/>
                      <w:color w:val="auto"/>
                      <w:sz w:val="18"/>
                      <w:szCs w:val="18"/>
                      <w:lang w:val="en-US" w:eastAsia="zh-CN"/>
                    </w:rPr>
                  </w:pPr>
                  <w:r>
                    <w:rPr>
                      <w:rFonts w:hint="eastAsia"/>
                      <w:color w:val="auto"/>
                      <w:sz w:val="18"/>
                      <w:szCs w:val="18"/>
                      <w:lang w:val="en-US" w:eastAsia="zh-CN"/>
                    </w:rPr>
                    <w:t>0.08t/a</w:t>
                  </w:r>
                </w:p>
              </w:tc>
              <w:tc>
                <w:tcPr>
                  <w:tcW w:w="1139" w:type="pct"/>
                  <w:tcBorders>
                    <w:tl2br w:val="nil"/>
                    <w:tr2bl w:val="nil"/>
                  </w:tcBorders>
                  <w:vAlign w:val="center"/>
                </w:tcPr>
                <w:p w14:paraId="43DF8160">
                  <w:pPr>
                    <w:pStyle w:val="60"/>
                    <w:rPr>
                      <w:rFonts w:hint="eastAsia" w:eastAsia="宋体"/>
                      <w:color w:val="auto"/>
                      <w:sz w:val="18"/>
                      <w:szCs w:val="18"/>
                      <w:lang w:val="en-US" w:eastAsia="zh-CN"/>
                    </w:rPr>
                  </w:pPr>
                  <w:r>
                    <w:rPr>
                      <w:rFonts w:hint="eastAsia"/>
                      <w:color w:val="auto"/>
                      <w:sz w:val="18"/>
                      <w:szCs w:val="18"/>
                      <w:lang w:val="en-US" w:eastAsia="zh-CN"/>
                    </w:rPr>
                    <w:t>厂家回收</w:t>
                  </w:r>
                </w:p>
              </w:tc>
            </w:tr>
            <w:tr w14:paraId="092C1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shd w:val="clear" w:color="auto" w:fill="auto"/>
                  <w:vAlign w:val="center"/>
                </w:tcPr>
                <w:p w14:paraId="75CB2ADC">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废包装材料</w:t>
                  </w:r>
                </w:p>
              </w:tc>
              <w:tc>
                <w:tcPr>
                  <w:tcW w:w="641" w:type="pct"/>
                  <w:tcBorders>
                    <w:tl2br w:val="nil"/>
                    <w:tr2bl w:val="nil"/>
                  </w:tcBorders>
                  <w:vAlign w:val="center"/>
                </w:tcPr>
                <w:p w14:paraId="134EF7FA">
                  <w:pPr>
                    <w:pStyle w:val="60"/>
                    <w:rPr>
                      <w:rFonts w:hint="default" w:eastAsia="宋体"/>
                      <w:color w:val="auto"/>
                      <w:sz w:val="18"/>
                      <w:szCs w:val="18"/>
                      <w:lang w:val="en-US" w:eastAsia="zh-CN"/>
                    </w:rPr>
                  </w:pPr>
                  <w:r>
                    <w:rPr>
                      <w:rFonts w:hint="eastAsia"/>
                      <w:color w:val="auto"/>
                      <w:sz w:val="18"/>
                      <w:szCs w:val="18"/>
                      <w:lang w:val="en-US" w:eastAsia="zh-CN"/>
                    </w:rPr>
                    <w:t>原料包装</w:t>
                  </w:r>
                </w:p>
              </w:tc>
              <w:tc>
                <w:tcPr>
                  <w:tcW w:w="775" w:type="pct"/>
                  <w:tcBorders>
                    <w:tl2br w:val="nil"/>
                    <w:tr2bl w:val="nil"/>
                  </w:tcBorders>
                  <w:vAlign w:val="center"/>
                </w:tcPr>
                <w:p w14:paraId="0CF7EDB9">
                  <w:pPr>
                    <w:pStyle w:val="60"/>
                    <w:rPr>
                      <w:rFonts w:hint="default" w:eastAsia="宋体"/>
                      <w:color w:val="auto"/>
                      <w:sz w:val="18"/>
                      <w:szCs w:val="18"/>
                      <w:lang w:val="en-US" w:eastAsia="zh-CN"/>
                    </w:rPr>
                  </w:pPr>
                  <w:r>
                    <w:rPr>
                      <w:rFonts w:hint="eastAsia"/>
                      <w:color w:val="auto"/>
                      <w:sz w:val="18"/>
                      <w:szCs w:val="18"/>
                      <w:lang w:val="en-US" w:eastAsia="zh-CN"/>
                    </w:rPr>
                    <w:t>废包装物等</w:t>
                  </w:r>
                </w:p>
              </w:tc>
              <w:tc>
                <w:tcPr>
                  <w:tcW w:w="561" w:type="pct"/>
                  <w:tcBorders>
                    <w:tl2br w:val="nil"/>
                    <w:tr2bl w:val="nil"/>
                  </w:tcBorders>
                  <w:vAlign w:val="center"/>
                </w:tcPr>
                <w:p w14:paraId="25E51A02">
                  <w:pPr>
                    <w:pStyle w:val="60"/>
                    <w:rPr>
                      <w:rFonts w:hint="default" w:eastAsia="宋体"/>
                      <w:color w:val="auto"/>
                      <w:sz w:val="18"/>
                      <w:szCs w:val="18"/>
                      <w:lang w:val="en-US" w:eastAsia="zh-CN"/>
                    </w:rPr>
                  </w:pPr>
                  <w:r>
                    <w:rPr>
                      <w:rFonts w:hint="eastAsia"/>
                      <w:color w:val="auto"/>
                      <w:sz w:val="18"/>
                      <w:szCs w:val="18"/>
                      <w:lang w:val="en-US" w:eastAsia="zh-CN"/>
                    </w:rPr>
                    <w:t>一般固废</w:t>
                  </w:r>
                </w:p>
              </w:tc>
              <w:tc>
                <w:tcPr>
                  <w:tcW w:w="677" w:type="pct"/>
                  <w:tcBorders>
                    <w:tl2br w:val="nil"/>
                    <w:tr2bl w:val="nil"/>
                  </w:tcBorders>
                  <w:vAlign w:val="center"/>
                </w:tcPr>
                <w:p w14:paraId="710D1904">
                  <w:pPr>
                    <w:pStyle w:val="60"/>
                    <w:rPr>
                      <w:rFonts w:hint="default" w:eastAsia="宋体"/>
                      <w:color w:val="auto"/>
                      <w:sz w:val="18"/>
                      <w:szCs w:val="18"/>
                      <w:lang w:val="en-US" w:eastAsia="zh-CN"/>
                    </w:rPr>
                  </w:pPr>
                  <w:r>
                    <w:rPr>
                      <w:rFonts w:hint="eastAsia"/>
                      <w:color w:val="auto"/>
                      <w:sz w:val="18"/>
                      <w:szCs w:val="18"/>
                      <w:lang w:val="en-US" w:eastAsia="zh-CN"/>
                    </w:rPr>
                    <w:t>--</w:t>
                  </w:r>
                </w:p>
              </w:tc>
              <w:tc>
                <w:tcPr>
                  <w:tcW w:w="490" w:type="pct"/>
                  <w:tcBorders>
                    <w:tl2br w:val="nil"/>
                    <w:tr2bl w:val="nil"/>
                  </w:tcBorders>
                  <w:vAlign w:val="center"/>
                </w:tcPr>
                <w:p w14:paraId="2C8B87BC">
                  <w:pPr>
                    <w:pStyle w:val="60"/>
                    <w:rPr>
                      <w:rFonts w:hint="default" w:eastAsia="宋体"/>
                      <w:color w:val="auto"/>
                      <w:sz w:val="18"/>
                      <w:szCs w:val="18"/>
                      <w:lang w:val="en-US" w:eastAsia="zh-CN"/>
                    </w:rPr>
                  </w:pPr>
                  <w:r>
                    <w:rPr>
                      <w:rFonts w:hint="eastAsia"/>
                      <w:color w:val="auto"/>
                      <w:sz w:val="18"/>
                      <w:szCs w:val="18"/>
                      <w:lang w:val="en-US" w:eastAsia="zh-CN"/>
                    </w:rPr>
                    <w:t>1t/a</w:t>
                  </w:r>
                </w:p>
              </w:tc>
              <w:tc>
                <w:tcPr>
                  <w:tcW w:w="1139" w:type="pct"/>
                  <w:tcBorders>
                    <w:tl2br w:val="nil"/>
                    <w:tr2bl w:val="nil"/>
                  </w:tcBorders>
                  <w:vAlign w:val="center"/>
                </w:tcPr>
                <w:p w14:paraId="55FF6CC3">
                  <w:pPr>
                    <w:pStyle w:val="60"/>
                    <w:rPr>
                      <w:rFonts w:hint="eastAsia"/>
                      <w:color w:val="auto"/>
                      <w:sz w:val="18"/>
                      <w:szCs w:val="18"/>
                    </w:rPr>
                  </w:pPr>
                  <w:r>
                    <w:rPr>
                      <w:rFonts w:hint="eastAsia"/>
                      <w:color w:val="auto"/>
                      <w:sz w:val="18"/>
                      <w:szCs w:val="18"/>
                      <w:lang w:val="en-US" w:eastAsia="zh-CN"/>
                    </w:rPr>
                    <w:t>厂家回收</w:t>
                  </w:r>
                </w:p>
              </w:tc>
            </w:tr>
            <w:tr w14:paraId="625D1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shd w:val="clear" w:color="auto" w:fill="auto"/>
                  <w:vAlign w:val="center"/>
                </w:tcPr>
                <w:p w14:paraId="111ED8F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废离子交换树脂</w:t>
                  </w:r>
                </w:p>
              </w:tc>
              <w:tc>
                <w:tcPr>
                  <w:tcW w:w="641" w:type="pct"/>
                  <w:tcBorders>
                    <w:tl2br w:val="nil"/>
                    <w:tr2bl w:val="nil"/>
                  </w:tcBorders>
                  <w:vAlign w:val="center"/>
                </w:tcPr>
                <w:p w14:paraId="3E3052C0">
                  <w:pPr>
                    <w:pStyle w:val="60"/>
                    <w:rPr>
                      <w:rFonts w:hint="default" w:eastAsia="宋体"/>
                      <w:color w:val="auto"/>
                      <w:sz w:val="18"/>
                      <w:szCs w:val="18"/>
                      <w:lang w:val="en-US" w:eastAsia="zh-CN"/>
                    </w:rPr>
                  </w:pPr>
                  <w:r>
                    <w:rPr>
                      <w:rFonts w:hint="eastAsia"/>
                      <w:color w:val="auto"/>
                      <w:sz w:val="18"/>
                      <w:szCs w:val="18"/>
                      <w:lang w:val="en-US" w:eastAsia="zh-CN"/>
                    </w:rPr>
                    <w:t>软水制备</w:t>
                  </w:r>
                </w:p>
              </w:tc>
              <w:tc>
                <w:tcPr>
                  <w:tcW w:w="775" w:type="pct"/>
                  <w:tcBorders>
                    <w:tl2br w:val="nil"/>
                    <w:tr2bl w:val="nil"/>
                  </w:tcBorders>
                  <w:vAlign w:val="center"/>
                </w:tcPr>
                <w:p w14:paraId="30B982A5">
                  <w:pPr>
                    <w:pStyle w:val="60"/>
                    <w:rPr>
                      <w:rFonts w:hint="default" w:eastAsia="宋体"/>
                      <w:color w:val="auto"/>
                      <w:sz w:val="18"/>
                      <w:szCs w:val="18"/>
                      <w:lang w:val="en-US" w:eastAsia="zh-CN"/>
                    </w:rPr>
                  </w:pPr>
                  <w:r>
                    <w:rPr>
                      <w:rFonts w:hint="eastAsia"/>
                      <w:color w:val="auto"/>
                      <w:sz w:val="18"/>
                      <w:szCs w:val="18"/>
                      <w:lang w:val="en-US" w:eastAsia="zh-CN"/>
                    </w:rPr>
                    <w:t>离子交换树脂</w:t>
                  </w:r>
                </w:p>
              </w:tc>
              <w:tc>
                <w:tcPr>
                  <w:tcW w:w="561" w:type="pct"/>
                  <w:tcBorders>
                    <w:tl2br w:val="nil"/>
                    <w:tr2bl w:val="nil"/>
                  </w:tcBorders>
                  <w:vAlign w:val="center"/>
                </w:tcPr>
                <w:p w14:paraId="62DA7FCA">
                  <w:pPr>
                    <w:pStyle w:val="60"/>
                    <w:rPr>
                      <w:rFonts w:hint="default" w:eastAsia="宋体"/>
                      <w:color w:val="auto"/>
                      <w:sz w:val="18"/>
                      <w:szCs w:val="18"/>
                      <w:lang w:val="en-US" w:eastAsia="zh-CN"/>
                    </w:rPr>
                  </w:pPr>
                  <w:r>
                    <w:rPr>
                      <w:rFonts w:hint="eastAsia"/>
                      <w:color w:val="auto"/>
                      <w:sz w:val="18"/>
                      <w:szCs w:val="18"/>
                      <w:lang w:val="en-US" w:eastAsia="zh-CN"/>
                    </w:rPr>
                    <w:t>一般固废</w:t>
                  </w:r>
                </w:p>
              </w:tc>
              <w:tc>
                <w:tcPr>
                  <w:tcW w:w="677" w:type="pct"/>
                  <w:tcBorders>
                    <w:tl2br w:val="nil"/>
                    <w:tr2bl w:val="nil"/>
                  </w:tcBorders>
                  <w:vAlign w:val="center"/>
                </w:tcPr>
                <w:p w14:paraId="148A3809">
                  <w:pPr>
                    <w:pStyle w:val="60"/>
                    <w:rPr>
                      <w:rFonts w:hint="default" w:eastAsia="宋体"/>
                      <w:color w:val="auto"/>
                      <w:sz w:val="18"/>
                      <w:szCs w:val="18"/>
                      <w:lang w:val="en-US" w:eastAsia="zh-CN"/>
                    </w:rPr>
                  </w:pPr>
                  <w:r>
                    <w:rPr>
                      <w:rFonts w:hint="eastAsia"/>
                      <w:color w:val="auto"/>
                      <w:sz w:val="18"/>
                      <w:szCs w:val="18"/>
                      <w:lang w:val="en-US" w:eastAsia="zh-CN"/>
                    </w:rPr>
                    <w:t>--</w:t>
                  </w:r>
                </w:p>
              </w:tc>
              <w:tc>
                <w:tcPr>
                  <w:tcW w:w="490" w:type="pct"/>
                  <w:tcBorders>
                    <w:tl2br w:val="nil"/>
                    <w:tr2bl w:val="nil"/>
                  </w:tcBorders>
                  <w:vAlign w:val="center"/>
                </w:tcPr>
                <w:p w14:paraId="1F2FCA9C">
                  <w:pPr>
                    <w:pStyle w:val="60"/>
                    <w:rPr>
                      <w:rFonts w:hint="default" w:eastAsia="宋体"/>
                      <w:color w:val="auto"/>
                      <w:sz w:val="18"/>
                      <w:szCs w:val="18"/>
                      <w:lang w:val="en-US" w:eastAsia="zh-CN"/>
                    </w:rPr>
                  </w:pPr>
                  <w:r>
                    <w:rPr>
                      <w:rFonts w:hint="eastAsia"/>
                      <w:color w:val="auto"/>
                      <w:sz w:val="18"/>
                      <w:szCs w:val="18"/>
                      <w:lang w:val="en-US" w:eastAsia="zh-CN"/>
                    </w:rPr>
                    <w:t>0.05t/a</w:t>
                  </w:r>
                </w:p>
              </w:tc>
              <w:tc>
                <w:tcPr>
                  <w:tcW w:w="1139" w:type="pct"/>
                  <w:tcBorders>
                    <w:tl2br w:val="nil"/>
                    <w:tr2bl w:val="nil"/>
                  </w:tcBorders>
                  <w:vAlign w:val="center"/>
                </w:tcPr>
                <w:p w14:paraId="565FB1C1">
                  <w:pPr>
                    <w:pStyle w:val="60"/>
                    <w:rPr>
                      <w:rFonts w:hint="eastAsia"/>
                      <w:color w:val="auto"/>
                      <w:sz w:val="18"/>
                      <w:szCs w:val="18"/>
                    </w:rPr>
                  </w:pPr>
                  <w:r>
                    <w:rPr>
                      <w:rFonts w:hint="eastAsia"/>
                      <w:color w:val="auto"/>
                      <w:sz w:val="18"/>
                      <w:szCs w:val="18"/>
                      <w:lang w:val="en-US" w:eastAsia="zh-CN"/>
                    </w:rPr>
                    <w:t>厂家回收</w:t>
                  </w:r>
                </w:p>
              </w:tc>
            </w:tr>
            <w:tr w14:paraId="5A7D6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shd w:val="clear" w:color="auto" w:fill="auto"/>
                  <w:vAlign w:val="center"/>
                </w:tcPr>
                <w:p w14:paraId="1696763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废反渗透膜</w:t>
                  </w:r>
                </w:p>
              </w:tc>
              <w:tc>
                <w:tcPr>
                  <w:tcW w:w="641" w:type="pct"/>
                  <w:tcBorders>
                    <w:tl2br w:val="nil"/>
                    <w:tr2bl w:val="nil"/>
                  </w:tcBorders>
                  <w:vAlign w:val="center"/>
                </w:tcPr>
                <w:p w14:paraId="15F7AB94">
                  <w:pPr>
                    <w:pStyle w:val="60"/>
                    <w:rPr>
                      <w:rFonts w:hint="default" w:eastAsia="宋体"/>
                      <w:color w:val="auto"/>
                      <w:sz w:val="18"/>
                      <w:szCs w:val="18"/>
                      <w:lang w:val="en-US" w:eastAsia="zh-CN"/>
                    </w:rPr>
                  </w:pPr>
                  <w:r>
                    <w:rPr>
                      <w:rFonts w:hint="eastAsia"/>
                      <w:color w:val="auto"/>
                      <w:sz w:val="18"/>
                      <w:szCs w:val="18"/>
                      <w:lang w:val="en-US" w:eastAsia="zh-CN"/>
                    </w:rPr>
                    <w:t>纯水制备</w:t>
                  </w:r>
                </w:p>
              </w:tc>
              <w:tc>
                <w:tcPr>
                  <w:tcW w:w="775" w:type="pct"/>
                  <w:tcBorders>
                    <w:tl2br w:val="nil"/>
                    <w:tr2bl w:val="nil"/>
                  </w:tcBorders>
                  <w:vAlign w:val="center"/>
                </w:tcPr>
                <w:p w14:paraId="454EBBFC">
                  <w:pPr>
                    <w:pStyle w:val="60"/>
                    <w:rPr>
                      <w:rFonts w:hint="default" w:eastAsia="宋体"/>
                      <w:color w:val="auto"/>
                      <w:sz w:val="18"/>
                      <w:szCs w:val="18"/>
                      <w:lang w:val="en-US" w:eastAsia="zh-CN"/>
                    </w:rPr>
                  </w:pPr>
                  <w:r>
                    <w:rPr>
                      <w:rFonts w:hint="eastAsia"/>
                      <w:color w:val="auto"/>
                      <w:sz w:val="18"/>
                      <w:szCs w:val="18"/>
                      <w:lang w:val="en-US" w:eastAsia="zh-CN"/>
                    </w:rPr>
                    <w:t>反渗透膜</w:t>
                  </w:r>
                </w:p>
              </w:tc>
              <w:tc>
                <w:tcPr>
                  <w:tcW w:w="561" w:type="pct"/>
                  <w:tcBorders>
                    <w:tl2br w:val="nil"/>
                    <w:tr2bl w:val="nil"/>
                  </w:tcBorders>
                  <w:vAlign w:val="center"/>
                </w:tcPr>
                <w:p w14:paraId="4AE4511D">
                  <w:pPr>
                    <w:pStyle w:val="60"/>
                    <w:rPr>
                      <w:rFonts w:hint="eastAsia" w:eastAsia="宋体"/>
                      <w:color w:val="auto"/>
                      <w:sz w:val="18"/>
                      <w:szCs w:val="18"/>
                      <w:lang w:val="en-US" w:eastAsia="zh-CN"/>
                    </w:rPr>
                  </w:pPr>
                  <w:r>
                    <w:rPr>
                      <w:rFonts w:hint="eastAsia"/>
                      <w:color w:val="auto"/>
                      <w:sz w:val="18"/>
                      <w:szCs w:val="18"/>
                      <w:lang w:val="en-US" w:eastAsia="zh-CN"/>
                    </w:rPr>
                    <w:t>一般固废</w:t>
                  </w:r>
                </w:p>
              </w:tc>
              <w:tc>
                <w:tcPr>
                  <w:tcW w:w="677" w:type="pct"/>
                  <w:tcBorders>
                    <w:tl2br w:val="nil"/>
                    <w:tr2bl w:val="nil"/>
                  </w:tcBorders>
                  <w:vAlign w:val="center"/>
                </w:tcPr>
                <w:p w14:paraId="667BE06A">
                  <w:pPr>
                    <w:pStyle w:val="60"/>
                    <w:rPr>
                      <w:rFonts w:hint="default" w:eastAsia="宋体"/>
                      <w:color w:val="auto"/>
                      <w:sz w:val="18"/>
                      <w:szCs w:val="18"/>
                      <w:lang w:val="en-US" w:eastAsia="zh-CN"/>
                    </w:rPr>
                  </w:pPr>
                  <w:r>
                    <w:rPr>
                      <w:rFonts w:hint="eastAsia"/>
                      <w:color w:val="auto"/>
                      <w:sz w:val="18"/>
                      <w:szCs w:val="18"/>
                      <w:lang w:val="en-US" w:eastAsia="zh-CN"/>
                    </w:rPr>
                    <w:t>--</w:t>
                  </w:r>
                </w:p>
              </w:tc>
              <w:tc>
                <w:tcPr>
                  <w:tcW w:w="490" w:type="pct"/>
                  <w:tcBorders>
                    <w:tl2br w:val="nil"/>
                    <w:tr2bl w:val="nil"/>
                  </w:tcBorders>
                  <w:vAlign w:val="center"/>
                </w:tcPr>
                <w:p w14:paraId="4A8F8604">
                  <w:pPr>
                    <w:pStyle w:val="60"/>
                    <w:rPr>
                      <w:rFonts w:hint="default" w:eastAsia="宋体"/>
                      <w:color w:val="auto"/>
                      <w:sz w:val="18"/>
                      <w:szCs w:val="18"/>
                      <w:lang w:val="en-US" w:eastAsia="zh-CN"/>
                    </w:rPr>
                  </w:pPr>
                  <w:r>
                    <w:rPr>
                      <w:rFonts w:hint="eastAsia"/>
                      <w:color w:val="auto"/>
                      <w:sz w:val="18"/>
                      <w:szCs w:val="18"/>
                      <w:lang w:val="en-US" w:eastAsia="zh-CN"/>
                    </w:rPr>
                    <w:t>0.02t/a</w:t>
                  </w:r>
                </w:p>
              </w:tc>
              <w:tc>
                <w:tcPr>
                  <w:tcW w:w="1139" w:type="pct"/>
                  <w:tcBorders>
                    <w:tl2br w:val="nil"/>
                    <w:tr2bl w:val="nil"/>
                  </w:tcBorders>
                  <w:vAlign w:val="center"/>
                </w:tcPr>
                <w:p w14:paraId="07BDC72C">
                  <w:pPr>
                    <w:pStyle w:val="60"/>
                    <w:rPr>
                      <w:rFonts w:hint="eastAsia"/>
                      <w:color w:val="auto"/>
                      <w:sz w:val="18"/>
                      <w:szCs w:val="18"/>
                    </w:rPr>
                  </w:pPr>
                  <w:r>
                    <w:rPr>
                      <w:rFonts w:hint="eastAsia"/>
                      <w:color w:val="auto"/>
                      <w:sz w:val="18"/>
                      <w:szCs w:val="18"/>
                      <w:lang w:val="en-US" w:eastAsia="zh-CN"/>
                    </w:rPr>
                    <w:t>厂家回收</w:t>
                  </w:r>
                </w:p>
              </w:tc>
            </w:tr>
            <w:tr w14:paraId="3CB83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tcBorders>
                    <w:tl2br w:val="nil"/>
                    <w:tr2bl w:val="nil"/>
                  </w:tcBorders>
                  <w:vAlign w:val="center"/>
                </w:tcPr>
                <w:p w14:paraId="3D1BF617">
                  <w:pPr>
                    <w:pStyle w:val="60"/>
                    <w:rPr>
                      <w:color w:val="auto"/>
                      <w:sz w:val="18"/>
                      <w:szCs w:val="18"/>
                    </w:rPr>
                  </w:pPr>
                  <w:r>
                    <w:rPr>
                      <w:rFonts w:hint="eastAsia"/>
                      <w:color w:val="auto"/>
                      <w:sz w:val="18"/>
                      <w:szCs w:val="18"/>
                    </w:rPr>
                    <w:t>生活垃圾</w:t>
                  </w:r>
                </w:p>
              </w:tc>
              <w:tc>
                <w:tcPr>
                  <w:tcW w:w="641" w:type="pct"/>
                  <w:tcBorders>
                    <w:tl2br w:val="nil"/>
                    <w:tr2bl w:val="nil"/>
                  </w:tcBorders>
                  <w:vAlign w:val="center"/>
                </w:tcPr>
                <w:p w14:paraId="4C8CA410">
                  <w:pPr>
                    <w:pStyle w:val="60"/>
                    <w:rPr>
                      <w:color w:val="auto"/>
                      <w:sz w:val="18"/>
                      <w:szCs w:val="18"/>
                    </w:rPr>
                  </w:pPr>
                  <w:r>
                    <w:rPr>
                      <w:rFonts w:hint="eastAsia"/>
                      <w:color w:val="auto"/>
                      <w:sz w:val="18"/>
                      <w:szCs w:val="18"/>
                    </w:rPr>
                    <w:t>职工生活</w:t>
                  </w:r>
                </w:p>
              </w:tc>
              <w:tc>
                <w:tcPr>
                  <w:tcW w:w="775" w:type="pct"/>
                  <w:tcBorders>
                    <w:tl2br w:val="nil"/>
                    <w:tr2bl w:val="nil"/>
                  </w:tcBorders>
                  <w:vAlign w:val="center"/>
                </w:tcPr>
                <w:p w14:paraId="5BD0C1AA">
                  <w:pPr>
                    <w:pStyle w:val="60"/>
                    <w:rPr>
                      <w:color w:val="auto"/>
                      <w:sz w:val="18"/>
                      <w:szCs w:val="18"/>
                    </w:rPr>
                  </w:pPr>
                  <w:r>
                    <w:rPr>
                      <w:rFonts w:hint="eastAsia"/>
                      <w:color w:val="auto"/>
                      <w:sz w:val="18"/>
                      <w:szCs w:val="18"/>
                    </w:rPr>
                    <w:t>果皮、纸屑等</w:t>
                  </w:r>
                </w:p>
              </w:tc>
              <w:tc>
                <w:tcPr>
                  <w:tcW w:w="561" w:type="pct"/>
                  <w:tcBorders>
                    <w:tl2br w:val="nil"/>
                    <w:tr2bl w:val="nil"/>
                  </w:tcBorders>
                  <w:vAlign w:val="center"/>
                </w:tcPr>
                <w:p w14:paraId="2CA44218">
                  <w:pPr>
                    <w:pStyle w:val="60"/>
                    <w:rPr>
                      <w:color w:val="auto"/>
                      <w:sz w:val="18"/>
                      <w:szCs w:val="18"/>
                    </w:rPr>
                  </w:pPr>
                  <w:r>
                    <w:rPr>
                      <w:rFonts w:hint="eastAsia"/>
                      <w:color w:val="auto"/>
                      <w:sz w:val="18"/>
                      <w:szCs w:val="18"/>
                    </w:rPr>
                    <w:t>/</w:t>
                  </w:r>
                </w:p>
              </w:tc>
              <w:tc>
                <w:tcPr>
                  <w:tcW w:w="677" w:type="pct"/>
                  <w:tcBorders>
                    <w:tl2br w:val="nil"/>
                    <w:tr2bl w:val="nil"/>
                  </w:tcBorders>
                  <w:vAlign w:val="center"/>
                </w:tcPr>
                <w:p w14:paraId="0D68F426">
                  <w:pPr>
                    <w:pStyle w:val="60"/>
                    <w:rPr>
                      <w:color w:val="auto"/>
                      <w:sz w:val="18"/>
                      <w:szCs w:val="18"/>
                    </w:rPr>
                  </w:pPr>
                  <w:r>
                    <w:rPr>
                      <w:rFonts w:hint="eastAsia"/>
                      <w:color w:val="auto"/>
                      <w:sz w:val="18"/>
                      <w:szCs w:val="18"/>
                    </w:rPr>
                    <w:t>/</w:t>
                  </w:r>
                </w:p>
              </w:tc>
              <w:tc>
                <w:tcPr>
                  <w:tcW w:w="490" w:type="pct"/>
                  <w:tcBorders>
                    <w:tl2br w:val="nil"/>
                    <w:tr2bl w:val="nil"/>
                  </w:tcBorders>
                  <w:vAlign w:val="center"/>
                </w:tcPr>
                <w:p w14:paraId="15520513">
                  <w:pPr>
                    <w:pStyle w:val="60"/>
                    <w:rPr>
                      <w:color w:val="auto"/>
                      <w:sz w:val="18"/>
                      <w:szCs w:val="18"/>
                    </w:rPr>
                  </w:pPr>
                  <w:r>
                    <w:rPr>
                      <w:rFonts w:hint="eastAsia"/>
                      <w:color w:val="auto"/>
                      <w:sz w:val="18"/>
                      <w:szCs w:val="18"/>
                      <w:lang w:val="en-US" w:eastAsia="zh-CN"/>
                    </w:rPr>
                    <w:t>2.4</w:t>
                  </w:r>
                  <w:r>
                    <w:rPr>
                      <w:rFonts w:hint="eastAsia"/>
                      <w:color w:val="auto"/>
                      <w:sz w:val="18"/>
                      <w:szCs w:val="18"/>
                    </w:rPr>
                    <w:t>t/a</w:t>
                  </w:r>
                </w:p>
              </w:tc>
              <w:tc>
                <w:tcPr>
                  <w:tcW w:w="1139" w:type="pct"/>
                  <w:tcBorders>
                    <w:tl2br w:val="nil"/>
                    <w:tr2bl w:val="nil"/>
                  </w:tcBorders>
                  <w:vAlign w:val="center"/>
                </w:tcPr>
                <w:p w14:paraId="7F68297F">
                  <w:pPr>
                    <w:pStyle w:val="60"/>
                    <w:rPr>
                      <w:color w:val="auto"/>
                      <w:sz w:val="18"/>
                      <w:szCs w:val="18"/>
                    </w:rPr>
                  </w:pPr>
                  <w:r>
                    <w:rPr>
                      <w:rFonts w:hint="eastAsia"/>
                      <w:color w:val="auto"/>
                      <w:sz w:val="18"/>
                      <w:szCs w:val="18"/>
                    </w:rPr>
                    <w:t>环卫清运</w:t>
                  </w:r>
                </w:p>
              </w:tc>
            </w:tr>
          </w:tbl>
          <w:p w14:paraId="3FC263D2">
            <w:pPr>
              <w:adjustRightInd w:val="0"/>
              <w:snapToGrid w:val="0"/>
              <w:spacing w:line="420" w:lineRule="exact"/>
              <w:ind w:firstLine="420" w:firstLineChars="200"/>
              <w:rPr>
                <w:bCs/>
                <w:color w:val="auto"/>
                <w:szCs w:val="21"/>
              </w:rPr>
            </w:pPr>
            <w:r>
              <w:rPr>
                <w:rFonts w:hint="eastAsia"/>
                <w:bCs/>
                <w:color w:val="auto"/>
                <w:szCs w:val="21"/>
              </w:rPr>
              <w:t>由上表可知，现有项目各类固废均得到合理处置。</w:t>
            </w:r>
          </w:p>
          <w:p w14:paraId="28DA22B1">
            <w:pPr>
              <w:adjustRightInd w:val="0"/>
              <w:snapToGrid w:val="0"/>
              <w:spacing w:line="440" w:lineRule="exact"/>
              <w:rPr>
                <w:b/>
                <w:color w:val="auto"/>
                <w:szCs w:val="21"/>
              </w:rPr>
            </w:pPr>
            <w:r>
              <w:rPr>
                <w:rFonts w:hint="eastAsia"/>
                <w:b/>
                <w:color w:val="auto"/>
                <w:szCs w:val="21"/>
              </w:rPr>
              <w:t>六、排污许可执行情况及总量符合性分析</w:t>
            </w:r>
          </w:p>
          <w:p w14:paraId="281C56F3">
            <w:pPr>
              <w:adjustRightInd w:val="0"/>
              <w:snapToGrid w:val="0"/>
              <w:spacing w:line="440" w:lineRule="exact"/>
              <w:ind w:firstLine="420" w:firstLineChars="200"/>
              <w:rPr>
                <w:bCs/>
                <w:color w:val="auto"/>
                <w:szCs w:val="21"/>
                <w:highlight w:val="yellow"/>
              </w:rPr>
            </w:pPr>
            <w:r>
              <w:rPr>
                <w:rFonts w:hint="eastAsia"/>
                <w:bCs/>
                <w:color w:val="auto"/>
                <w:szCs w:val="21"/>
                <w:highlight w:val="none"/>
                <w:lang w:val="en-US" w:eastAsia="zh-CN"/>
              </w:rPr>
              <w:t>山东诚光工贸有限公司</w:t>
            </w:r>
            <w:r>
              <w:rPr>
                <w:rFonts w:hint="eastAsia"/>
                <w:bCs/>
                <w:color w:val="auto"/>
                <w:szCs w:val="21"/>
                <w:highlight w:val="none"/>
              </w:rPr>
              <w:t>首次取得排污许可证时间为</w:t>
            </w:r>
            <w:r>
              <w:rPr>
                <w:rFonts w:hint="eastAsia"/>
                <w:bCs/>
                <w:color w:val="auto"/>
                <w:szCs w:val="21"/>
                <w:highlight w:val="none"/>
                <w:lang w:val="en-US" w:eastAsia="zh-CN"/>
              </w:rPr>
              <w:t>2020</w:t>
            </w:r>
            <w:r>
              <w:rPr>
                <w:rFonts w:hint="eastAsia"/>
                <w:bCs/>
                <w:color w:val="auto"/>
                <w:szCs w:val="21"/>
                <w:highlight w:val="none"/>
              </w:rPr>
              <w:t>年</w:t>
            </w:r>
            <w:r>
              <w:rPr>
                <w:rFonts w:hint="eastAsia"/>
                <w:bCs/>
                <w:color w:val="auto"/>
                <w:szCs w:val="21"/>
                <w:highlight w:val="none"/>
                <w:lang w:val="en-US" w:eastAsia="zh-CN"/>
              </w:rPr>
              <w:t>7</w:t>
            </w:r>
            <w:r>
              <w:rPr>
                <w:rFonts w:hint="eastAsia"/>
                <w:bCs/>
                <w:color w:val="auto"/>
                <w:szCs w:val="21"/>
                <w:highlight w:val="none"/>
              </w:rPr>
              <w:t>月</w:t>
            </w:r>
            <w:r>
              <w:rPr>
                <w:rFonts w:hint="eastAsia"/>
                <w:bCs/>
                <w:color w:val="auto"/>
                <w:szCs w:val="21"/>
                <w:highlight w:val="none"/>
                <w:lang w:val="en-US" w:eastAsia="zh-CN"/>
              </w:rPr>
              <w:t>9</w:t>
            </w:r>
            <w:r>
              <w:rPr>
                <w:rFonts w:hint="eastAsia"/>
                <w:bCs/>
                <w:color w:val="auto"/>
                <w:szCs w:val="21"/>
                <w:highlight w:val="none"/>
              </w:rPr>
              <w:t>日，202</w:t>
            </w:r>
            <w:r>
              <w:rPr>
                <w:rFonts w:hint="eastAsia"/>
                <w:bCs/>
                <w:color w:val="auto"/>
                <w:szCs w:val="21"/>
                <w:highlight w:val="none"/>
                <w:lang w:val="en-US" w:eastAsia="zh-CN"/>
              </w:rPr>
              <w:t>4</w:t>
            </w:r>
            <w:r>
              <w:rPr>
                <w:rFonts w:hint="eastAsia"/>
                <w:bCs/>
                <w:color w:val="auto"/>
                <w:szCs w:val="21"/>
                <w:highlight w:val="none"/>
              </w:rPr>
              <w:t>年</w:t>
            </w:r>
            <w:r>
              <w:rPr>
                <w:rFonts w:hint="eastAsia"/>
                <w:bCs/>
                <w:color w:val="auto"/>
                <w:szCs w:val="21"/>
                <w:highlight w:val="none"/>
                <w:lang w:val="en-US" w:eastAsia="zh-CN"/>
              </w:rPr>
              <w:t>12</w:t>
            </w:r>
            <w:r>
              <w:rPr>
                <w:rFonts w:hint="eastAsia"/>
                <w:bCs/>
                <w:color w:val="auto"/>
                <w:szCs w:val="21"/>
                <w:highlight w:val="none"/>
              </w:rPr>
              <w:t>月</w:t>
            </w:r>
            <w:r>
              <w:rPr>
                <w:rFonts w:hint="eastAsia"/>
                <w:bCs/>
                <w:color w:val="auto"/>
                <w:szCs w:val="21"/>
                <w:highlight w:val="none"/>
                <w:lang w:val="en-US" w:eastAsia="zh-CN"/>
              </w:rPr>
              <w:t>18</w:t>
            </w:r>
            <w:r>
              <w:rPr>
                <w:rFonts w:hint="eastAsia"/>
                <w:bCs/>
                <w:color w:val="auto"/>
                <w:szCs w:val="21"/>
                <w:highlight w:val="none"/>
              </w:rPr>
              <w:t>日</w:t>
            </w:r>
            <w:r>
              <w:rPr>
                <w:rFonts w:hint="eastAsia"/>
                <w:bCs/>
                <w:color w:val="auto"/>
                <w:szCs w:val="21"/>
                <w:highlight w:val="none"/>
                <w:lang w:val="en-US" w:eastAsia="zh-CN"/>
              </w:rPr>
              <w:t>重新申请了</w:t>
            </w:r>
            <w:r>
              <w:rPr>
                <w:rFonts w:hint="eastAsia"/>
                <w:bCs/>
                <w:color w:val="auto"/>
                <w:szCs w:val="21"/>
                <w:highlight w:val="none"/>
              </w:rPr>
              <w:t>排污许可证，有效期为2024年</w:t>
            </w:r>
            <w:r>
              <w:rPr>
                <w:rFonts w:hint="eastAsia"/>
                <w:bCs/>
                <w:color w:val="auto"/>
                <w:szCs w:val="21"/>
                <w:highlight w:val="none"/>
                <w:lang w:val="en-US" w:eastAsia="zh-CN"/>
              </w:rPr>
              <w:t>12</w:t>
            </w:r>
            <w:r>
              <w:rPr>
                <w:rFonts w:hint="eastAsia"/>
                <w:bCs/>
                <w:color w:val="auto"/>
                <w:szCs w:val="21"/>
                <w:highlight w:val="none"/>
              </w:rPr>
              <w:t>月</w:t>
            </w:r>
            <w:r>
              <w:rPr>
                <w:rFonts w:hint="eastAsia"/>
                <w:bCs/>
                <w:color w:val="auto"/>
                <w:szCs w:val="21"/>
                <w:highlight w:val="none"/>
                <w:lang w:val="en-US" w:eastAsia="zh-CN"/>
              </w:rPr>
              <w:t>18</w:t>
            </w:r>
            <w:r>
              <w:rPr>
                <w:rFonts w:hint="eastAsia"/>
                <w:bCs/>
                <w:color w:val="auto"/>
                <w:szCs w:val="21"/>
                <w:highlight w:val="none"/>
              </w:rPr>
              <w:t>日至2029年</w:t>
            </w:r>
            <w:r>
              <w:rPr>
                <w:rFonts w:hint="eastAsia"/>
                <w:bCs/>
                <w:color w:val="auto"/>
                <w:szCs w:val="21"/>
                <w:highlight w:val="none"/>
                <w:lang w:val="en-US" w:eastAsia="zh-CN"/>
              </w:rPr>
              <w:t>1</w:t>
            </w:r>
            <w:r>
              <w:rPr>
                <w:rFonts w:hint="eastAsia"/>
                <w:bCs/>
                <w:color w:val="auto"/>
                <w:szCs w:val="21"/>
                <w:highlight w:val="none"/>
              </w:rPr>
              <w:t>2月</w:t>
            </w:r>
            <w:r>
              <w:rPr>
                <w:rFonts w:hint="eastAsia"/>
                <w:bCs/>
                <w:color w:val="auto"/>
                <w:szCs w:val="21"/>
                <w:highlight w:val="none"/>
                <w:lang w:val="en-US" w:eastAsia="zh-CN"/>
              </w:rPr>
              <w:t>1</w:t>
            </w:r>
            <w:r>
              <w:rPr>
                <w:rFonts w:hint="eastAsia"/>
                <w:bCs/>
                <w:color w:val="auto"/>
                <w:szCs w:val="21"/>
                <w:highlight w:val="none"/>
              </w:rPr>
              <w:t>7日，许可证编号为</w:t>
            </w:r>
            <w:r>
              <w:rPr>
                <w:rFonts w:hint="eastAsia"/>
                <w:bCs/>
                <w:color w:val="auto"/>
                <w:szCs w:val="21"/>
                <w:highlight w:val="none"/>
                <w:lang w:eastAsia="zh-CN"/>
              </w:rPr>
              <w:t>：</w:t>
            </w:r>
            <w:r>
              <w:rPr>
                <w:rFonts w:hint="eastAsia"/>
                <w:bCs/>
                <w:color w:val="auto"/>
                <w:szCs w:val="21"/>
                <w:highlight w:val="none"/>
              </w:rPr>
              <w:t>91370305675536639E001P。</w:t>
            </w:r>
          </w:p>
          <w:p w14:paraId="47B363FB">
            <w:pPr>
              <w:pStyle w:val="79"/>
              <w:spacing w:line="440" w:lineRule="exact"/>
              <w:ind w:firstLine="420"/>
              <w:rPr>
                <w:rFonts w:cs="Times New Roman"/>
                <w:bCs/>
                <w:color w:val="auto"/>
                <w:sz w:val="21"/>
                <w:szCs w:val="21"/>
              </w:rPr>
            </w:pPr>
            <w:r>
              <w:rPr>
                <w:rFonts w:hint="eastAsia" w:cs="Times New Roman"/>
                <w:bCs/>
                <w:color w:val="auto"/>
                <w:sz w:val="21"/>
                <w:szCs w:val="21"/>
                <w:lang w:val="en-US" w:eastAsia="zh-CN"/>
              </w:rPr>
              <w:t>山东诚光工贸有限公司</w:t>
            </w:r>
            <w:r>
              <w:rPr>
                <w:rFonts w:hint="eastAsia" w:cs="Times New Roman"/>
                <w:bCs/>
                <w:color w:val="auto"/>
                <w:sz w:val="21"/>
                <w:szCs w:val="21"/>
              </w:rPr>
              <w:t>自取得排污许可证，正常运行时，严格按照排污许可证的内容执行，完成了季度及年度执行报告，符合排污许可要求。</w:t>
            </w:r>
          </w:p>
          <w:p w14:paraId="006201DC">
            <w:pPr>
              <w:adjustRightInd w:val="0"/>
              <w:snapToGrid w:val="0"/>
              <w:spacing w:before="120" w:beforeLines="50"/>
              <w:jc w:val="center"/>
              <w:rPr>
                <w:b/>
                <w:color w:val="auto"/>
                <w:szCs w:val="21"/>
                <w:highlight w:val="yellow"/>
              </w:rPr>
            </w:pPr>
            <w:r>
              <w:rPr>
                <w:b/>
                <w:color w:val="auto"/>
                <w:szCs w:val="21"/>
                <w:highlight w:val="none"/>
              </w:rPr>
              <w:t>表</w:t>
            </w:r>
            <w:r>
              <w:rPr>
                <w:rFonts w:hint="eastAsia"/>
                <w:b/>
                <w:color w:val="auto"/>
                <w:szCs w:val="21"/>
                <w:highlight w:val="none"/>
              </w:rPr>
              <w:t>2</w:t>
            </w:r>
            <w:r>
              <w:rPr>
                <w:rFonts w:hint="eastAsia"/>
                <w:b/>
                <w:color w:val="auto"/>
                <w:szCs w:val="21"/>
                <w:highlight w:val="none"/>
                <w:lang w:val="en-US" w:eastAsia="zh-CN"/>
              </w:rPr>
              <w:t>-24</w:t>
            </w:r>
            <w:r>
              <w:rPr>
                <w:b/>
                <w:color w:val="auto"/>
                <w:szCs w:val="21"/>
                <w:highlight w:val="none"/>
              </w:rPr>
              <w:t xml:space="preserve">  现有项目许可排放量满足情况</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19"/>
              <w:gridCol w:w="1314"/>
              <w:gridCol w:w="2109"/>
              <w:gridCol w:w="1799"/>
              <w:gridCol w:w="1880"/>
            </w:tblGrid>
            <w:tr w14:paraId="1A5E0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83" w:type="pct"/>
                  <w:vAlign w:val="center"/>
                </w:tcPr>
                <w:p w14:paraId="4921F71C">
                  <w:pPr>
                    <w:pStyle w:val="60"/>
                    <w:rPr>
                      <w:color w:val="auto"/>
                      <w:sz w:val="18"/>
                      <w:szCs w:val="18"/>
                      <w:highlight w:val="none"/>
                    </w:rPr>
                  </w:pPr>
                  <w:r>
                    <w:rPr>
                      <w:color w:val="auto"/>
                      <w:sz w:val="18"/>
                      <w:szCs w:val="18"/>
                      <w:highlight w:val="none"/>
                    </w:rPr>
                    <w:t>类别</w:t>
                  </w:r>
                </w:p>
              </w:tc>
              <w:tc>
                <w:tcPr>
                  <w:tcW w:w="780" w:type="pct"/>
                  <w:vAlign w:val="center"/>
                </w:tcPr>
                <w:p w14:paraId="457061C9">
                  <w:pPr>
                    <w:pStyle w:val="60"/>
                    <w:rPr>
                      <w:color w:val="auto"/>
                      <w:sz w:val="18"/>
                      <w:szCs w:val="18"/>
                      <w:highlight w:val="none"/>
                    </w:rPr>
                  </w:pPr>
                  <w:r>
                    <w:rPr>
                      <w:color w:val="auto"/>
                      <w:sz w:val="18"/>
                      <w:szCs w:val="18"/>
                      <w:highlight w:val="none"/>
                    </w:rPr>
                    <w:t>污染物名称</w:t>
                  </w:r>
                </w:p>
              </w:tc>
              <w:tc>
                <w:tcPr>
                  <w:tcW w:w="1252" w:type="pct"/>
                  <w:vAlign w:val="center"/>
                </w:tcPr>
                <w:p w14:paraId="04A97D4D">
                  <w:pPr>
                    <w:pStyle w:val="60"/>
                    <w:rPr>
                      <w:color w:val="auto"/>
                      <w:sz w:val="18"/>
                      <w:szCs w:val="18"/>
                      <w:highlight w:val="none"/>
                    </w:rPr>
                  </w:pPr>
                  <w:r>
                    <w:rPr>
                      <w:rFonts w:hint="eastAsia"/>
                      <w:color w:val="auto"/>
                      <w:sz w:val="18"/>
                      <w:szCs w:val="18"/>
                      <w:highlight w:val="none"/>
                    </w:rPr>
                    <w:t>排</w:t>
                  </w:r>
                  <w:r>
                    <w:rPr>
                      <w:color w:val="auto"/>
                      <w:sz w:val="18"/>
                      <w:szCs w:val="18"/>
                      <w:highlight w:val="none"/>
                    </w:rPr>
                    <w:t>放量t/a</w:t>
                  </w:r>
                </w:p>
              </w:tc>
              <w:tc>
                <w:tcPr>
                  <w:tcW w:w="1068" w:type="pct"/>
                  <w:vAlign w:val="center"/>
                </w:tcPr>
                <w:p w14:paraId="767335A1">
                  <w:pPr>
                    <w:pStyle w:val="60"/>
                    <w:rPr>
                      <w:color w:val="auto"/>
                      <w:sz w:val="18"/>
                      <w:szCs w:val="18"/>
                      <w:highlight w:val="none"/>
                    </w:rPr>
                  </w:pPr>
                  <w:r>
                    <w:rPr>
                      <w:color w:val="auto"/>
                      <w:sz w:val="18"/>
                      <w:szCs w:val="18"/>
                      <w:highlight w:val="none"/>
                    </w:rPr>
                    <w:t>排污许可量t/a</w:t>
                  </w:r>
                </w:p>
              </w:tc>
              <w:tc>
                <w:tcPr>
                  <w:tcW w:w="1116" w:type="pct"/>
                  <w:vAlign w:val="center"/>
                </w:tcPr>
                <w:p w14:paraId="76E214FE">
                  <w:pPr>
                    <w:pStyle w:val="60"/>
                    <w:rPr>
                      <w:color w:val="auto"/>
                      <w:sz w:val="18"/>
                      <w:szCs w:val="18"/>
                      <w:highlight w:val="none"/>
                    </w:rPr>
                  </w:pPr>
                  <w:r>
                    <w:rPr>
                      <w:color w:val="auto"/>
                      <w:sz w:val="18"/>
                      <w:szCs w:val="18"/>
                      <w:highlight w:val="none"/>
                    </w:rPr>
                    <w:t>排污许可满足情况</w:t>
                  </w:r>
                </w:p>
              </w:tc>
            </w:tr>
            <w:tr w14:paraId="29A79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83" w:type="pct"/>
                  <w:vMerge w:val="restart"/>
                  <w:vAlign w:val="center"/>
                </w:tcPr>
                <w:p w14:paraId="5EA408BB">
                  <w:pPr>
                    <w:pStyle w:val="60"/>
                    <w:rPr>
                      <w:color w:val="auto"/>
                      <w:kern w:val="0"/>
                      <w:sz w:val="18"/>
                      <w:szCs w:val="18"/>
                      <w:highlight w:val="none"/>
                    </w:rPr>
                  </w:pPr>
                  <w:r>
                    <w:rPr>
                      <w:rFonts w:hint="eastAsia"/>
                      <w:color w:val="auto"/>
                      <w:sz w:val="18"/>
                      <w:szCs w:val="18"/>
                      <w:highlight w:val="none"/>
                    </w:rPr>
                    <w:t>有组织</w:t>
                  </w:r>
                  <w:r>
                    <w:rPr>
                      <w:color w:val="auto"/>
                      <w:sz w:val="18"/>
                      <w:szCs w:val="18"/>
                      <w:highlight w:val="none"/>
                    </w:rPr>
                    <w:t>废气</w:t>
                  </w:r>
                </w:p>
              </w:tc>
              <w:tc>
                <w:tcPr>
                  <w:tcW w:w="780" w:type="pct"/>
                  <w:vAlign w:val="center"/>
                </w:tcPr>
                <w:p w14:paraId="122EE5D9">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NOx</w:t>
                  </w:r>
                </w:p>
              </w:tc>
              <w:tc>
                <w:tcPr>
                  <w:tcW w:w="1252" w:type="pct"/>
                  <w:shd w:val="clear" w:color="auto" w:fill="auto"/>
                  <w:vAlign w:val="center"/>
                </w:tcPr>
                <w:p w14:paraId="0E8D8C96">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0.481</w:t>
                  </w:r>
                </w:p>
              </w:tc>
              <w:tc>
                <w:tcPr>
                  <w:tcW w:w="1068" w:type="pct"/>
                  <w:vAlign w:val="center"/>
                </w:tcPr>
                <w:p w14:paraId="2C6C4035">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2.198</w:t>
                  </w:r>
                </w:p>
              </w:tc>
              <w:tc>
                <w:tcPr>
                  <w:tcW w:w="1116" w:type="pct"/>
                  <w:vAlign w:val="center"/>
                </w:tcPr>
                <w:p w14:paraId="18755263">
                  <w:pPr>
                    <w:pStyle w:val="60"/>
                    <w:rPr>
                      <w:color w:val="auto"/>
                      <w:sz w:val="18"/>
                      <w:szCs w:val="18"/>
                      <w:highlight w:val="none"/>
                    </w:rPr>
                  </w:pPr>
                  <w:r>
                    <w:rPr>
                      <w:color w:val="auto"/>
                      <w:sz w:val="18"/>
                      <w:szCs w:val="18"/>
                      <w:highlight w:val="none"/>
                    </w:rPr>
                    <w:t>满足</w:t>
                  </w:r>
                </w:p>
              </w:tc>
            </w:tr>
            <w:tr w14:paraId="6853D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83" w:type="pct"/>
                  <w:vMerge w:val="continue"/>
                  <w:vAlign w:val="center"/>
                </w:tcPr>
                <w:p w14:paraId="4126B701">
                  <w:pPr>
                    <w:pStyle w:val="60"/>
                    <w:rPr>
                      <w:rFonts w:hint="eastAsia"/>
                      <w:color w:val="auto"/>
                      <w:sz w:val="18"/>
                      <w:szCs w:val="18"/>
                      <w:highlight w:val="none"/>
                    </w:rPr>
                  </w:pPr>
                </w:p>
              </w:tc>
              <w:tc>
                <w:tcPr>
                  <w:tcW w:w="780" w:type="pct"/>
                  <w:vAlign w:val="center"/>
                </w:tcPr>
                <w:p w14:paraId="70D52066">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VOCs</w:t>
                  </w:r>
                </w:p>
              </w:tc>
              <w:tc>
                <w:tcPr>
                  <w:tcW w:w="1252" w:type="pct"/>
                  <w:shd w:val="clear" w:color="auto" w:fill="auto"/>
                  <w:vAlign w:val="center"/>
                </w:tcPr>
                <w:p w14:paraId="54FB80BE">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6.579</w:t>
                  </w:r>
                </w:p>
              </w:tc>
              <w:tc>
                <w:tcPr>
                  <w:tcW w:w="1068" w:type="pct"/>
                  <w:vAlign w:val="center"/>
                </w:tcPr>
                <w:p w14:paraId="13AD3F7F">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7.408</w:t>
                  </w:r>
                </w:p>
              </w:tc>
              <w:tc>
                <w:tcPr>
                  <w:tcW w:w="1116" w:type="pct"/>
                  <w:vAlign w:val="center"/>
                </w:tcPr>
                <w:p w14:paraId="63BCFFC6">
                  <w:pPr>
                    <w:pStyle w:val="60"/>
                    <w:rPr>
                      <w:color w:val="auto"/>
                      <w:sz w:val="18"/>
                      <w:szCs w:val="18"/>
                      <w:highlight w:val="none"/>
                    </w:rPr>
                  </w:pPr>
                  <w:r>
                    <w:rPr>
                      <w:color w:val="auto"/>
                      <w:sz w:val="18"/>
                      <w:szCs w:val="18"/>
                      <w:highlight w:val="none"/>
                    </w:rPr>
                    <w:t>满足</w:t>
                  </w:r>
                </w:p>
              </w:tc>
            </w:tr>
            <w:tr w14:paraId="177A4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83" w:type="pct"/>
                  <w:vAlign w:val="center"/>
                </w:tcPr>
                <w:p w14:paraId="1451932A">
                  <w:pPr>
                    <w:pStyle w:val="60"/>
                    <w:rPr>
                      <w:color w:val="auto"/>
                      <w:sz w:val="18"/>
                      <w:szCs w:val="18"/>
                      <w:highlight w:val="none"/>
                    </w:rPr>
                  </w:pPr>
                  <w:r>
                    <w:rPr>
                      <w:rFonts w:hint="eastAsia"/>
                      <w:color w:val="auto"/>
                      <w:sz w:val="18"/>
                      <w:szCs w:val="18"/>
                      <w:highlight w:val="none"/>
                    </w:rPr>
                    <w:t>无组织废气</w:t>
                  </w:r>
                </w:p>
              </w:tc>
              <w:tc>
                <w:tcPr>
                  <w:tcW w:w="780" w:type="pct"/>
                  <w:vAlign w:val="center"/>
                </w:tcPr>
                <w:p w14:paraId="4B9A783E">
                  <w:pPr>
                    <w:pStyle w:val="60"/>
                    <w:rPr>
                      <w:color w:val="auto"/>
                      <w:sz w:val="18"/>
                      <w:szCs w:val="18"/>
                      <w:highlight w:val="none"/>
                    </w:rPr>
                  </w:pPr>
                  <w:r>
                    <w:rPr>
                      <w:rFonts w:hint="eastAsia"/>
                      <w:color w:val="auto"/>
                      <w:sz w:val="18"/>
                      <w:szCs w:val="18"/>
                      <w:highlight w:val="none"/>
                      <w:lang w:val="en-US" w:eastAsia="zh-CN"/>
                    </w:rPr>
                    <w:t>VOCs</w:t>
                  </w:r>
                </w:p>
              </w:tc>
              <w:tc>
                <w:tcPr>
                  <w:tcW w:w="1252" w:type="pct"/>
                  <w:vAlign w:val="center"/>
                </w:tcPr>
                <w:p w14:paraId="2C6A3326">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1.142</w:t>
                  </w:r>
                </w:p>
              </w:tc>
              <w:tc>
                <w:tcPr>
                  <w:tcW w:w="1068" w:type="pct"/>
                  <w:vAlign w:val="center"/>
                </w:tcPr>
                <w:p w14:paraId="2F90B1A1">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2.026</w:t>
                  </w:r>
                </w:p>
              </w:tc>
              <w:tc>
                <w:tcPr>
                  <w:tcW w:w="1116" w:type="pct"/>
                  <w:vAlign w:val="center"/>
                </w:tcPr>
                <w:p w14:paraId="3671A0D0">
                  <w:pPr>
                    <w:pStyle w:val="60"/>
                    <w:rPr>
                      <w:color w:val="auto"/>
                      <w:sz w:val="18"/>
                      <w:szCs w:val="18"/>
                      <w:highlight w:val="none"/>
                    </w:rPr>
                  </w:pPr>
                  <w:r>
                    <w:rPr>
                      <w:color w:val="auto"/>
                      <w:sz w:val="18"/>
                      <w:szCs w:val="18"/>
                      <w:highlight w:val="none"/>
                    </w:rPr>
                    <w:t>满足</w:t>
                  </w:r>
                </w:p>
              </w:tc>
            </w:tr>
          </w:tbl>
          <w:p w14:paraId="730DCFEF">
            <w:pPr>
              <w:adjustRightInd w:val="0"/>
              <w:snapToGrid w:val="0"/>
              <w:spacing w:line="440" w:lineRule="exact"/>
              <w:rPr>
                <w:b/>
                <w:color w:val="auto"/>
                <w:szCs w:val="21"/>
              </w:rPr>
            </w:pPr>
            <w:r>
              <w:rPr>
                <w:rFonts w:hint="eastAsia"/>
                <w:b/>
                <w:color w:val="auto"/>
                <w:szCs w:val="21"/>
              </w:rPr>
              <w:t>七、现有项目存在的问题及整改措施</w:t>
            </w:r>
          </w:p>
          <w:p w14:paraId="4A3313C8">
            <w:pPr>
              <w:pStyle w:val="79"/>
              <w:spacing w:line="440" w:lineRule="exact"/>
              <w:ind w:firstLine="420"/>
              <w:rPr>
                <w:rFonts w:cs="Times New Roman"/>
                <w:bCs/>
                <w:color w:val="auto"/>
                <w:sz w:val="21"/>
                <w:szCs w:val="21"/>
              </w:rPr>
            </w:pPr>
            <w:r>
              <w:rPr>
                <w:rFonts w:hint="eastAsia" w:cs="Times New Roman"/>
                <w:bCs/>
                <w:color w:val="auto"/>
                <w:sz w:val="21"/>
                <w:szCs w:val="21"/>
              </w:rPr>
              <w:t>本次环评通过现场踏勘，发现如下环保问题：</w:t>
            </w:r>
          </w:p>
          <w:p w14:paraId="0B8CE079">
            <w:pPr>
              <w:adjustRightInd w:val="0"/>
              <w:snapToGrid w:val="0"/>
              <w:spacing w:before="120" w:beforeLines="50"/>
              <w:jc w:val="center"/>
              <w:rPr>
                <w:b/>
                <w:color w:val="auto"/>
                <w:szCs w:val="21"/>
              </w:rPr>
            </w:pPr>
            <w:r>
              <w:rPr>
                <w:b/>
                <w:color w:val="auto"/>
                <w:szCs w:val="21"/>
              </w:rPr>
              <w:t>表</w:t>
            </w:r>
            <w:r>
              <w:rPr>
                <w:rFonts w:hint="eastAsia"/>
                <w:b/>
                <w:color w:val="auto"/>
                <w:szCs w:val="21"/>
              </w:rPr>
              <w:t>2-</w:t>
            </w:r>
            <w:r>
              <w:rPr>
                <w:rFonts w:hint="eastAsia"/>
                <w:b/>
                <w:color w:val="auto"/>
                <w:szCs w:val="21"/>
                <w:lang w:val="en-US" w:eastAsia="zh-CN"/>
              </w:rPr>
              <w:t>25</w:t>
            </w:r>
            <w:r>
              <w:rPr>
                <w:b/>
                <w:color w:val="auto"/>
                <w:szCs w:val="21"/>
              </w:rPr>
              <w:t xml:space="preserve">  </w:t>
            </w:r>
            <w:r>
              <w:rPr>
                <w:rFonts w:hint="eastAsia"/>
                <w:b/>
                <w:color w:val="auto"/>
                <w:szCs w:val="21"/>
              </w:rPr>
              <w:t>厂区现状存在的问题及整改情况一览表</w:t>
            </w:r>
          </w:p>
          <w:tbl>
            <w:tblPr>
              <w:tblStyle w:val="22"/>
              <w:tblW w:w="84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2"/>
              <w:gridCol w:w="4063"/>
              <w:gridCol w:w="2412"/>
              <w:gridCol w:w="1327"/>
            </w:tblGrid>
            <w:tr w14:paraId="7CC70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2" w:type="dxa"/>
                  <w:tcBorders>
                    <w:tl2br w:val="nil"/>
                    <w:tr2bl w:val="nil"/>
                  </w:tcBorders>
                  <w:vAlign w:val="center"/>
                </w:tcPr>
                <w:p w14:paraId="141F9088">
                  <w:pPr>
                    <w:pStyle w:val="51"/>
                    <w:adjustRightInd w:val="0"/>
                    <w:rPr>
                      <w:rFonts w:ascii="Times New Roman"/>
                      <w:b/>
                      <w:color w:val="auto"/>
                      <w:sz w:val="18"/>
                      <w:szCs w:val="18"/>
                    </w:rPr>
                  </w:pPr>
                  <w:r>
                    <w:rPr>
                      <w:rFonts w:ascii="Times New Roman"/>
                      <w:b/>
                      <w:color w:val="auto"/>
                      <w:sz w:val="18"/>
                      <w:szCs w:val="18"/>
                    </w:rPr>
                    <w:t>序号</w:t>
                  </w:r>
                </w:p>
              </w:tc>
              <w:tc>
                <w:tcPr>
                  <w:tcW w:w="4063" w:type="dxa"/>
                  <w:tcBorders>
                    <w:tl2br w:val="nil"/>
                    <w:tr2bl w:val="nil"/>
                  </w:tcBorders>
                  <w:vAlign w:val="center"/>
                </w:tcPr>
                <w:p w14:paraId="79C1BF1B">
                  <w:pPr>
                    <w:pStyle w:val="51"/>
                    <w:adjustRightInd w:val="0"/>
                    <w:rPr>
                      <w:rFonts w:ascii="Times New Roman"/>
                      <w:b/>
                      <w:color w:val="auto"/>
                      <w:sz w:val="18"/>
                      <w:szCs w:val="18"/>
                    </w:rPr>
                  </w:pPr>
                  <w:r>
                    <w:rPr>
                      <w:rFonts w:ascii="Times New Roman"/>
                      <w:b/>
                      <w:color w:val="auto"/>
                      <w:sz w:val="18"/>
                      <w:szCs w:val="18"/>
                    </w:rPr>
                    <w:t>存在的问题</w:t>
                  </w:r>
                </w:p>
              </w:tc>
              <w:tc>
                <w:tcPr>
                  <w:tcW w:w="2412" w:type="dxa"/>
                  <w:tcBorders>
                    <w:tl2br w:val="nil"/>
                    <w:tr2bl w:val="nil"/>
                  </w:tcBorders>
                  <w:vAlign w:val="center"/>
                </w:tcPr>
                <w:p w14:paraId="78B00A11">
                  <w:pPr>
                    <w:pStyle w:val="51"/>
                    <w:adjustRightInd w:val="0"/>
                    <w:rPr>
                      <w:rFonts w:ascii="Times New Roman"/>
                      <w:b/>
                      <w:color w:val="auto"/>
                      <w:sz w:val="18"/>
                      <w:szCs w:val="18"/>
                    </w:rPr>
                  </w:pPr>
                  <w:r>
                    <w:rPr>
                      <w:rFonts w:ascii="Times New Roman"/>
                      <w:b/>
                      <w:color w:val="auto"/>
                      <w:sz w:val="18"/>
                      <w:szCs w:val="18"/>
                    </w:rPr>
                    <w:t>整改建议</w:t>
                  </w:r>
                </w:p>
              </w:tc>
              <w:tc>
                <w:tcPr>
                  <w:tcW w:w="1327" w:type="dxa"/>
                  <w:tcBorders>
                    <w:tl2br w:val="nil"/>
                    <w:tr2bl w:val="nil"/>
                  </w:tcBorders>
                  <w:vAlign w:val="center"/>
                </w:tcPr>
                <w:p w14:paraId="32869074">
                  <w:pPr>
                    <w:pStyle w:val="51"/>
                    <w:adjustRightInd w:val="0"/>
                    <w:rPr>
                      <w:rFonts w:ascii="Times New Roman"/>
                      <w:b/>
                      <w:color w:val="auto"/>
                      <w:sz w:val="18"/>
                      <w:szCs w:val="18"/>
                    </w:rPr>
                  </w:pPr>
                  <w:r>
                    <w:rPr>
                      <w:rFonts w:hint="eastAsia" w:ascii="Times New Roman"/>
                      <w:b/>
                      <w:color w:val="auto"/>
                      <w:sz w:val="18"/>
                      <w:szCs w:val="18"/>
                    </w:rPr>
                    <w:t>整改完成期限</w:t>
                  </w:r>
                </w:p>
              </w:tc>
            </w:tr>
            <w:tr w14:paraId="07C4F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2" w:type="dxa"/>
                  <w:tcBorders>
                    <w:tl2br w:val="nil"/>
                    <w:tr2bl w:val="nil"/>
                  </w:tcBorders>
                  <w:vAlign w:val="center"/>
                </w:tcPr>
                <w:p w14:paraId="74A8AC14">
                  <w:pPr>
                    <w:pStyle w:val="51"/>
                    <w:adjustRightInd w:val="0"/>
                    <w:rPr>
                      <w:rFonts w:ascii="Times New Roman"/>
                      <w:bCs/>
                      <w:color w:val="auto"/>
                      <w:sz w:val="18"/>
                      <w:szCs w:val="18"/>
                    </w:rPr>
                  </w:pPr>
                  <w:r>
                    <w:rPr>
                      <w:rFonts w:ascii="Times New Roman"/>
                      <w:bCs/>
                      <w:color w:val="auto"/>
                      <w:sz w:val="18"/>
                      <w:szCs w:val="18"/>
                    </w:rPr>
                    <w:t>1</w:t>
                  </w:r>
                </w:p>
              </w:tc>
              <w:tc>
                <w:tcPr>
                  <w:tcW w:w="4063" w:type="dxa"/>
                  <w:tcBorders>
                    <w:tl2br w:val="nil"/>
                    <w:tr2bl w:val="nil"/>
                  </w:tcBorders>
                  <w:vAlign w:val="center"/>
                </w:tcPr>
                <w:p w14:paraId="0053C004">
                  <w:pPr>
                    <w:pStyle w:val="60"/>
                    <w:snapToGrid/>
                    <w:rPr>
                      <w:rFonts w:hint="default" w:ascii="Times New Roman"/>
                      <w:bCs/>
                      <w:color w:val="auto"/>
                      <w:sz w:val="18"/>
                      <w:szCs w:val="18"/>
                      <w:lang w:val="en-US"/>
                    </w:rPr>
                  </w:pPr>
                  <w:r>
                    <w:rPr>
                      <w:rFonts w:hint="eastAsia" w:ascii="Times New Roman"/>
                      <w:bCs/>
                      <w:color w:val="auto"/>
                      <w:sz w:val="18"/>
                      <w:szCs w:val="18"/>
                    </w:rPr>
                    <w:t>根据</w:t>
                  </w:r>
                  <w:r>
                    <w:rPr>
                      <w:rFonts w:hint="eastAsia"/>
                      <w:bCs/>
                      <w:color w:val="auto"/>
                      <w:sz w:val="18"/>
                      <w:szCs w:val="18"/>
                      <w:lang w:val="en-US" w:eastAsia="zh-CN"/>
                    </w:rPr>
                    <w:t>现有</w:t>
                  </w:r>
                  <w:r>
                    <w:rPr>
                      <w:rFonts w:hint="eastAsia" w:ascii="Times New Roman"/>
                      <w:bCs/>
                      <w:color w:val="auto"/>
                      <w:sz w:val="18"/>
                      <w:szCs w:val="18"/>
                    </w:rPr>
                    <w:t>项目所用原材料</w:t>
                  </w:r>
                  <w:r>
                    <w:rPr>
                      <w:rFonts w:hint="eastAsia"/>
                      <w:bCs/>
                      <w:color w:val="auto"/>
                      <w:sz w:val="18"/>
                      <w:szCs w:val="18"/>
                      <w:lang w:eastAsia="zh-CN"/>
                    </w:rPr>
                    <w:t>、</w:t>
                  </w:r>
                  <w:r>
                    <w:rPr>
                      <w:rFonts w:hint="eastAsia" w:ascii="Times New Roman"/>
                      <w:bCs/>
                      <w:color w:val="auto"/>
                      <w:sz w:val="18"/>
                      <w:szCs w:val="18"/>
                    </w:rPr>
                    <w:t>工艺原理</w:t>
                  </w:r>
                  <w:r>
                    <w:rPr>
                      <w:rFonts w:hint="eastAsia"/>
                      <w:bCs/>
                      <w:color w:val="auto"/>
                      <w:sz w:val="18"/>
                      <w:szCs w:val="18"/>
                      <w:lang w:val="en-US" w:eastAsia="zh-CN"/>
                    </w:rPr>
                    <w:t>及核查现有环评报告</w:t>
                  </w:r>
                  <w:r>
                    <w:rPr>
                      <w:rFonts w:hint="eastAsia" w:ascii="Times New Roman"/>
                      <w:bCs/>
                      <w:color w:val="auto"/>
                      <w:sz w:val="18"/>
                      <w:szCs w:val="18"/>
                    </w:rPr>
                    <w:t>，现有</w:t>
                  </w:r>
                  <w:r>
                    <w:rPr>
                      <w:rFonts w:hint="eastAsia"/>
                      <w:bCs/>
                      <w:color w:val="auto"/>
                      <w:sz w:val="18"/>
                      <w:szCs w:val="18"/>
                      <w:lang w:val="en-US" w:eastAsia="zh-CN"/>
                    </w:rPr>
                    <w:t>叔丁醇生产装置废气污染因子中含有正己烷，现有排污许可证中未填报正己烷相关信息；有组织废气监测计划中未填报正己烷。</w:t>
                  </w:r>
                </w:p>
              </w:tc>
              <w:tc>
                <w:tcPr>
                  <w:tcW w:w="2412" w:type="dxa"/>
                  <w:vMerge w:val="restart"/>
                  <w:tcBorders>
                    <w:tl2br w:val="nil"/>
                    <w:tr2bl w:val="nil"/>
                  </w:tcBorders>
                  <w:vAlign w:val="center"/>
                </w:tcPr>
                <w:p w14:paraId="6D06D6B3">
                  <w:pPr>
                    <w:pStyle w:val="60"/>
                    <w:snapToGrid/>
                    <w:rPr>
                      <w:rFonts w:hint="default" w:ascii="Times New Roman" w:eastAsia="宋体"/>
                      <w:bCs/>
                      <w:color w:val="auto"/>
                      <w:sz w:val="18"/>
                      <w:szCs w:val="18"/>
                      <w:lang w:val="en-US" w:eastAsia="zh-CN"/>
                    </w:rPr>
                  </w:pPr>
                  <w:r>
                    <w:rPr>
                      <w:rFonts w:hint="eastAsia"/>
                      <w:bCs/>
                      <w:color w:val="auto"/>
                      <w:sz w:val="18"/>
                      <w:szCs w:val="18"/>
                      <w:lang w:val="en-US" w:eastAsia="zh-CN"/>
                    </w:rPr>
                    <w:t>及时变更排污许可证，污染因子中增加正己烷；</w:t>
                  </w:r>
                  <w:r>
                    <w:rPr>
                      <w:rFonts w:hint="eastAsia"/>
                      <w:color w:val="auto"/>
                      <w:sz w:val="18"/>
                      <w:szCs w:val="18"/>
                      <w:lang w:val="en-US" w:eastAsia="zh-CN"/>
                    </w:rPr>
                    <w:t>及时修订自行监测方案，有组织废气监测因子增加正己烷，无组织废气监测因子中增加甲醇、甲醛；项目后续运行过程中严格按照自行检测方案要求对废气、废水、噪声等进行检测。</w:t>
                  </w:r>
                </w:p>
              </w:tc>
              <w:tc>
                <w:tcPr>
                  <w:tcW w:w="1327" w:type="dxa"/>
                  <w:vMerge w:val="restart"/>
                  <w:tcBorders>
                    <w:tl2br w:val="nil"/>
                    <w:tr2bl w:val="nil"/>
                  </w:tcBorders>
                  <w:vAlign w:val="center"/>
                </w:tcPr>
                <w:p w14:paraId="3F0B4D64">
                  <w:pPr>
                    <w:pStyle w:val="51"/>
                    <w:adjustRightInd w:val="0"/>
                    <w:rPr>
                      <w:rFonts w:hint="default" w:ascii="Times New Roman" w:eastAsia="宋体"/>
                      <w:bCs/>
                      <w:color w:val="auto"/>
                      <w:sz w:val="18"/>
                      <w:szCs w:val="18"/>
                      <w:lang w:val="en-US" w:eastAsia="zh-CN"/>
                    </w:rPr>
                  </w:pPr>
                  <w:r>
                    <w:rPr>
                      <w:rFonts w:hint="eastAsia" w:ascii="Times New Roman"/>
                      <w:bCs/>
                      <w:color w:val="auto"/>
                      <w:sz w:val="18"/>
                      <w:szCs w:val="18"/>
                      <w:lang w:val="en-US" w:eastAsia="zh-CN"/>
                    </w:rPr>
                    <w:t>2026.8</w:t>
                  </w:r>
                </w:p>
              </w:tc>
            </w:tr>
            <w:tr w14:paraId="43CF9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2" w:type="dxa"/>
                  <w:tcBorders>
                    <w:tl2br w:val="nil"/>
                    <w:tr2bl w:val="nil"/>
                  </w:tcBorders>
                  <w:vAlign w:val="center"/>
                </w:tcPr>
                <w:p w14:paraId="7AB6E578">
                  <w:pPr>
                    <w:pStyle w:val="51"/>
                    <w:adjustRightInd w:val="0"/>
                    <w:rPr>
                      <w:rFonts w:hint="default" w:ascii="Times New Roman"/>
                      <w:bCs/>
                      <w:color w:val="auto"/>
                      <w:sz w:val="18"/>
                      <w:szCs w:val="18"/>
                      <w:lang w:val="en-US" w:eastAsia="zh-CN"/>
                    </w:rPr>
                  </w:pPr>
                  <w:r>
                    <w:rPr>
                      <w:rFonts w:hint="eastAsia" w:ascii="Times New Roman"/>
                      <w:bCs/>
                      <w:color w:val="auto"/>
                      <w:sz w:val="18"/>
                      <w:szCs w:val="18"/>
                      <w:lang w:val="en-US" w:eastAsia="zh-CN"/>
                    </w:rPr>
                    <w:t>2</w:t>
                  </w:r>
                </w:p>
              </w:tc>
              <w:tc>
                <w:tcPr>
                  <w:tcW w:w="4063" w:type="dxa"/>
                  <w:tcBorders>
                    <w:tl2br w:val="nil"/>
                    <w:tr2bl w:val="nil"/>
                  </w:tcBorders>
                  <w:vAlign w:val="center"/>
                </w:tcPr>
                <w:p w14:paraId="3B7E2139">
                  <w:pPr>
                    <w:pStyle w:val="60"/>
                    <w:snapToGrid/>
                    <w:rPr>
                      <w:rFonts w:hint="eastAsia"/>
                      <w:bCs/>
                      <w:color w:val="auto"/>
                      <w:sz w:val="18"/>
                      <w:szCs w:val="18"/>
                      <w:lang w:val="en-US" w:eastAsia="zh-CN"/>
                    </w:rPr>
                  </w:pPr>
                  <w:r>
                    <w:rPr>
                      <w:rFonts w:hint="eastAsia"/>
                      <w:bCs/>
                      <w:color w:val="auto"/>
                      <w:sz w:val="18"/>
                      <w:szCs w:val="18"/>
                      <w:lang w:val="en-US" w:eastAsia="zh-CN"/>
                    </w:rPr>
                    <w:t>现有排污</w:t>
                  </w:r>
                  <w:bookmarkStart w:id="15" w:name="_GoBack"/>
                  <w:bookmarkEnd w:id="15"/>
                  <w:r>
                    <w:rPr>
                      <w:rFonts w:hint="eastAsia"/>
                      <w:bCs/>
                      <w:color w:val="auto"/>
                      <w:sz w:val="18"/>
                      <w:szCs w:val="18"/>
                      <w:lang w:val="en-US" w:eastAsia="zh-CN"/>
                    </w:rPr>
                    <w:t>许可证无组织废气检测计划中未填报甲醛、甲醇监测因子。</w:t>
                  </w:r>
                </w:p>
              </w:tc>
              <w:tc>
                <w:tcPr>
                  <w:tcW w:w="2412" w:type="dxa"/>
                  <w:vMerge w:val="continue"/>
                  <w:tcBorders>
                    <w:tl2br w:val="nil"/>
                    <w:tr2bl w:val="nil"/>
                  </w:tcBorders>
                  <w:shd w:val="clear" w:color="auto" w:fill="auto"/>
                  <w:vAlign w:val="center"/>
                </w:tcPr>
                <w:p w14:paraId="0A999D01">
                  <w:pPr>
                    <w:pStyle w:val="60"/>
                    <w:snapToGrid/>
                    <w:rPr>
                      <w:rFonts w:hint="eastAsia" w:ascii="Times New Roman" w:hAnsi="Times New Roman" w:eastAsia="宋体" w:cs="Times New Roman"/>
                      <w:bCs/>
                      <w:color w:val="auto"/>
                      <w:kern w:val="2"/>
                      <w:sz w:val="18"/>
                      <w:szCs w:val="18"/>
                      <w:lang w:val="en-US" w:eastAsia="zh-CN" w:bidi="ar-SA"/>
                    </w:rPr>
                  </w:pPr>
                </w:p>
              </w:tc>
              <w:tc>
                <w:tcPr>
                  <w:tcW w:w="1327" w:type="dxa"/>
                  <w:vMerge w:val="continue"/>
                  <w:tcBorders>
                    <w:tl2br w:val="nil"/>
                    <w:tr2bl w:val="nil"/>
                  </w:tcBorders>
                  <w:shd w:val="clear" w:color="auto" w:fill="auto"/>
                  <w:vAlign w:val="center"/>
                </w:tcPr>
                <w:p w14:paraId="2ADE58C4">
                  <w:pPr>
                    <w:pStyle w:val="51"/>
                    <w:adjustRightInd w:val="0"/>
                    <w:rPr>
                      <w:rFonts w:hint="eastAsia" w:ascii="Times New Roman" w:hAnsi="Times New Roman" w:eastAsia="宋体" w:cs="Times New Roman"/>
                      <w:bCs/>
                      <w:color w:val="auto"/>
                      <w:kern w:val="2"/>
                      <w:sz w:val="18"/>
                      <w:szCs w:val="18"/>
                      <w:lang w:val="en-US" w:eastAsia="zh-CN" w:bidi="ar-SA"/>
                    </w:rPr>
                  </w:pPr>
                </w:p>
              </w:tc>
            </w:tr>
            <w:tr w14:paraId="73CF5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2" w:type="dxa"/>
                  <w:tcBorders>
                    <w:tl2br w:val="nil"/>
                    <w:tr2bl w:val="nil"/>
                  </w:tcBorders>
                  <w:vAlign w:val="center"/>
                </w:tcPr>
                <w:p w14:paraId="4204A8B5">
                  <w:pPr>
                    <w:pStyle w:val="51"/>
                    <w:adjustRightInd w:val="0"/>
                    <w:rPr>
                      <w:rFonts w:hint="eastAsia" w:ascii="Times New Roman" w:eastAsia="宋体"/>
                      <w:bCs/>
                      <w:color w:val="auto"/>
                      <w:sz w:val="18"/>
                      <w:szCs w:val="18"/>
                      <w:lang w:val="en-US" w:eastAsia="zh-CN"/>
                    </w:rPr>
                  </w:pPr>
                  <w:r>
                    <w:rPr>
                      <w:rFonts w:hint="eastAsia" w:ascii="Times New Roman"/>
                      <w:bCs/>
                      <w:color w:val="auto"/>
                      <w:sz w:val="18"/>
                      <w:szCs w:val="18"/>
                      <w:lang w:val="en-US" w:eastAsia="zh-CN"/>
                    </w:rPr>
                    <w:t>3</w:t>
                  </w:r>
                </w:p>
              </w:tc>
              <w:tc>
                <w:tcPr>
                  <w:tcW w:w="4063" w:type="dxa"/>
                  <w:tcBorders>
                    <w:tl2br w:val="nil"/>
                    <w:tr2bl w:val="nil"/>
                  </w:tcBorders>
                  <w:vAlign w:val="center"/>
                </w:tcPr>
                <w:p w14:paraId="68144E16">
                  <w:pPr>
                    <w:pStyle w:val="60"/>
                    <w:snapToGrid/>
                    <w:rPr>
                      <w:rFonts w:hint="eastAsia" w:ascii="Times New Roman"/>
                      <w:bCs/>
                      <w:color w:val="auto"/>
                      <w:sz w:val="18"/>
                      <w:szCs w:val="18"/>
                    </w:rPr>
                  </w:pPr>
                  <w:r>
                    <w:rPr>
                      <w:rFonts w:hint="eastAsia"/>
                      <w:bCs/>
                      <w:color w:val="auto"/>
                      <w:sz w:val="18"/>
                      <w:szCs w:val="18"/>
                      <w:lang w:val="en-US" w:eastAsia="zh-CN"/>
                    </w:rPr>
                    <w:t>现有自行监测方案中未对有组织正己烷及无组织甲醛、甲醇进行检测。</w:t>
                  </w:r>
                </w:p>
              </w:tc>
              <w:tc>
                <w:tcPr>
                  <w:tcW w:w="2412" w:type="dxa"/>
                  <w:vMerge w:val="continue"/>
                  <w:tcBorders>
                    <w:tl2br w:val="nil"/>
                    <w:tr2bl w:val="nil"/>
                  </w:tcBorders>
                  <w:vAlign w:val="center"/>
                </w:tcPr>
                <w:p w14:paraId="7188F465">
                  <w:pPr>
                    <w:pStyle w:val="60"/>
                    <w:snapToGrid/>
                    <w:rPr>
                      <w:rFonts w:hint="eastAsia"/>
                      <w:color w:val="auto"/>
                      <w:sz w:val="18"/>
                      <w:szCs w:val="18"/>
                      <w:lang w:val="en-US" w:eastAsia="zh-CN"/>
                    </w:rPr>
                  </w:pPr>
                </w:p>
              </w:tc>
              <w:tc>
                <w:tcPr>
                  <w:tcW w:w="1327" w:type="dxa"/>
                  <w:vMerge w:val="continue"/>
                  <w:tcBorders>
                    <w:tl2br w:val="nil"/>
                    <w:tr2bl w:val="nil"/>
                  </w:tcBorders>
                  <w:vAlign w:val="center"/>
                </w:tcPr>
                <w:p w14:paraId="37FDC5C2">
                  <w:pPr>
                    <w:pStyle w:val="51"/>
                    <w:adjustRightInd w:val="0"/>
                    <w:rPr>
                      <w:rFonts w:hint="default" w:ascii="Times New Roman" w:eastAsia="宋体"/>
                      <w:bCs/>
                      <w:color w:val="auto"/>
                      <w:sz w:val="18"/>
                      <w:szCs w:val="18"/>
                      <w:lang w:val="en-US" w:eastAsia="zh-CN"/>
                    </w:rPr>
                  </w:pPr>
                </w:p>
              </w:tc>
            </w:tr>
          </w:tbl>
          <w:p w14:paraId="0EDB70ED">
            <w:pPr>
              <w:pStyle w:val="79"/>
              <w:spacing w:line="440" w:lineRule="exact"/>
              <w:ind w:firstLine="420"/>
              <w:rPr>
                <w:rFonts w:hint="eastAsia" w:cs="Times New Roman"/>
                <w:bCs/>
                <w:color w:val="auto"/>
                <w:sz w:val="21"/>
                <w:szCs w:val="21"/>
                <w:lang w:val="en-US" w:eastAsia="zh-CN"/>
              </w:rPr>
            </w:pPr>
          </w:p>
        </w:tc>
      </w:tr>
    </w:tbl>
    <w:p w14:paraId="79A92F55">
      <w:pPr>
        <w:pStyle w:val="18"/>
        <w:adjustRightInd w:val="0"/>
        <w:snapToGrid w:val="0"/>
        <w:spacing w:before="0" w:beforeAutospacing="0" w:after="0" w:afterAutospacing="0"/>
        <w:jc w:val="center"/>
        <w:rPr>
          <w:rFonts w:ascii="Times New Roman" w:hAnsi="Times New Roman"/>
          <w:bCs/>
          <w:color w:val="auto"/>
          <w:kern w:val="2"/>
          <w:sz w:val="21"/>
          <w:szCs w:val="21"/>
          <w:lang w:val="en-US"/>
        </w:rPr>
        <w:sectPr>
          <w:pgSz w:w="11906" w:h="16838"/>
          <w:pgMar w:top="1701" w:right="1531" w:bottom="1418" w:left="1531" w:header="851" w:footer="851" w:gutter="0"/>
          <w:pgBorders>
            <w:top w:val="none" w:sz="0" w:space="0"/>
            <w:left w:val="none" w:sz="0" w:space="0"/>
            <w:bottom w:val="none" w:sz="0" w:space="0"/>
            <w:right w:val="none" w:sz="0" w:space="0"/>
          </w:pgBorders>
          <w:cols w:space="720" w:num="1"/>
          <w:docGrid w:linePitch="312" w:charSpace="0"/>
        </w:sectPr>
      </w:pPr>
    </w:p>
    <w:p w14:paraId="0EE7BECC">
      <w:pPr>
        <w:pStyle w:val="18"/>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lang w:val="en-US"/>
        </w:rPr>
      </w:pPr>
    </w:p>
    <w:p w14:paraId="6B8F5878">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14:paraId="5DC03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557" w:type="dxa"/>
            <w:vAlign w:val="center"/>
          </w:tcPr>
          <w:p w14:paraId="7541F4EB">
            <w:pPr>
              <w:adjustRightInd w:val="0"/>
              <w:snapToGrid w:val="0"/>
              <w:jc w:val="center"/>
              <w:rPr>
                <w:color w:val="auto"/>
                <w:kern w:val="0"/>
                <w:szCs w:val="21"/>
              </w:rPr>
            </w:pPr>
            <w:r>
              <w:rPr>
                <w:color w:val="auto"/>
                <w:kern w:val="0"/>
                <w:szCs w:val="21"/>
              </w:rPr>
              <w:t>区域</w:t>
            </w:r>
          </w:p>
          <w:p w14:paraId="7E5DC8FD">
            <w:pPr>
              <w:adjustRightInd w:val="0"/>
              <w:snapToGrid w:val="0"/>
              <w:jc w:val="center"/>
              <w:rPr>
                <w:color w:val="auto"/>
                <w:kern w:val="0"/>
                <w:szCs w:val="21"/>
              </w:rPr>
            </w:pPr>
            <w:r>
              <w:rPr>
                <w:color w:val="auto"/>
                <w:kern w:val="0"/>
                <w:szCs w:val="21"/>
              </w:rPr>
              <w:t>环境</w:t>
            </w:r>
          </w:p>
          <w:p w14:paraId="6EF48838">
            <w:pPr>
              <w:adjustRightInd w:val="0"/>
              <w:snapToGrid w:val="0"/>
              <w:jc w:val="center"/>
              <w:rPr>
                <w:color w:val="auto"/>
                <w:kern w:val="0"/>
                <w:szCs w:val="21"/>
              </w:rPr>
            </w:pPr>
            <w:r>
              <w:rPr>
                <w:color w:val="auto"/>
                <w:kern w:val="0"/>
                <w:szCs w:val="21"/>
              </w:rPr>
              <w:t>质量</w:t>
            </w:r>
          </w:p>
          <w:p w14:paraId="361AC55B">
            <w:pPr>
              <w:adjustRightInd w:val="0"/>
              <w:snapToGrid w:val="0"/>
              <w:jc w:val="center"/>
              <w:rPr>
                <w:color w:val="auto"/>
                <w:kern w:val="0"/>
                <w:szCs w:val="21"/>
              </w:rPr>
            </w:pPr>
            <w:r>
              <w:rPr>
                <w:color w:val="auto"/>
                <w:kern w:val="0"/>
                <w:szCs w:val="21"/>
              </w:rPr>
              <w:t>现状</w:t>
            </w:r>
          </w:p>
        </w:tc>
        <w:tc>
          <w:tcPr>
            <w:tcW w:w="8268" w:type="dxa"/>
            <w:vAlign w:val="center"/>
          </w:tcPr>
          <w:p w14:paraId="3C11F506">
            <w:pPr>
              <w:keepNext w:val="0"/>
              <w:keepLines w:val="0"/>
              <w:pageBreakBefore w:val="0"/>
              <w:widowControl w:val="0"/>
              <w:kinsoku/>
              <w:overflowPunct/>
              <w:autoSpaceDE/>
              <w:autoSpaceDN/>
              <w:bidi w:val="0"/>
              <w:adjustRightInd w:val="0"/>
              <w:snapToGrid w:val="0"/>
              <w:spacing w:line="440" w:lineRule="exact"/>
              <w:textAlignment w:val="auto"/>
              <w:rPr>
                <w:b/>
                <w:bCs/>
                <w:color w:val="auto"/>
              </w:rPr>
            </w:pPr>
            <w:r>
              <w:rPr>
                <w:rFonts w:hint="eastAsia"/>
                <w:b/>
                <w:bCs/>
                <w:color w:val="auto"/>
              </w:rPr>
              <w:t>一、环境功能概况</w:t>
            </w:r>
          </w:p>
          <w:p w14:paraId="17F1AD2A">
            <w:pPr>
              <w:keepNext w:val="0"/>
              <w:keepLines w:val="0"/>
              <w:pageBreakBefore w:val="0"/>
              <w:widowControl w:val="0"/>
              <w:kinsoku/>
              <w:wordWrap w:val="0"/>
              <w:overflowPunct/>
              <w:topLinePunct/>
              <w:autoSpaceDE/>
              <w:autoSpaceDN/>
              <w:bidi w:val="0"/>
              <w:adjustRightInd w:val="0"/>
              <w:snapToGrid w:val="0"/>
              <w:spacing w:line="440" w:lineRule="exact"/>
              <w:ind w:firstLine="420" w:firstLineChars="200"/>
              <w:jc w:val="left"/>
              <w:textAlignment w:val="auto"/>
              <w:rPr>
                <w:b/>
                <w:color w:val="auto"/>
                <w:kern w:val="0"/>
                <w:szCs w:val="21"/>
              </w:rPr>
            </w:pPr>
            <w:r>
              <w:rPr>
                <w:color w:val="auto"/>
              </w:rPr>
              <w:t>根据</w:t>
            </w:r>
            <w:r>
              <w:rPr>
                <w:rFonts w:hint="eastAsia"/>
                <w:color w:val="auto"/>
              </w:rPr>
              <w:t>淄博市环境功能区划</w:t>
            </w:r>
            <w:r>
              <w:rPr>
                <w:color w:val="auto"/>
              </w:rPr>
              <w:t>，该项目所在区域</w:t>
            </w:r>
            <w:r>
              <w:rPr>
                <w:rFonts w:hint="eastAsia"/>
                <w:color w:val="auto"/>
              </w:rPr>
              <w:t>环境空气</w:t>
            </w:r>
            <w:r>
              <w:rPr>
                <w:color w:val="auto"/>
              </w:rPr>
              <w:t>属于《环境空气质量标准》（GB3095-20</w:t>
            </w:r>
            <w:r>
              <w:rPr>
                <w:rFonts w:hint="eastAsia"/>
                <w:color w:val="auto"/>
                <w:lang w:val="en-US" w:eastAsia="zh-CN"/>
              </w:rPr>
              <w:t>26</w:t>
            </w:r>
            <w:r>
              <w:rPr>
                <w:color w:val="auto"/>
              </w:rPr>
              <w:t>）二级标准适用区，地表水</w:t>
            </w:r>
            <w:r>
              <w:rPr>
                <w:rFonts w:hint="eastAsia"/>
                <w:color w:val="auto"/>
              </w:rPr>
              <w:t>运粮河</w:t>
            </w:r>
            <w:r>
              <w:rPr>
                <w:color w:val="auto"/>
              </w:rPr>
              <w:t>属于《地表水环境质量标准》（GB3838-2002）</w:t>
            </w:r>
            <w:r>
              <w:rPr>
                <w:color w:val="auto"/>
                <w:szCs w:val="21"/>
              </w:rPr>
              <w:t>Ⅴ类</w:t>
            </w:r>
            <w:r>
              <w:rPr>
                <w:color w:val="auto"/>
              </w:rPr>
              <w:t>水体，地下水环境属于《地下水质量标准》（GB/T14848-2017）Ⅲ类标准适用区，声环境属于《声环境质量标准》(GB3096-2008)</w:t>
            </w:r>
            <w:r>
              <w:rPr>
                <w:rFonts w:hint="eastAsia"/>
                <w:color w:val="auto"/>
                <w:lang w:val="en-US" w:eastAsia="zh-CN"/>
              </w:rPr>
              <w:t>2</w:t>
            </w:r>
            <w:r>
              <w:rPr>
                <w:color w:val="auto"/>
              </w:rPr>
              <w:t>类标准适用区</w:t>
            </w:r>
            <w:r>
              <w:rPr>
                <w:rFonts w:hint="eastAsia"/>
                <w:color w:val="auto"/>
              </w:rPr>
              <w:t>。</w:t>
            </w:r>
          </w:p>
          <w:p w14:paraId="2D8CF0C3">
            <w:pPr>
              <w:keepNext w:val="0"/>
              <w:keepLines w:val="0"/>
              <w:pageBreakBefore w:val="0"/>
              <w:widowControl w:val="0"/>
              <w:kinsoku/>
              <w:overflowPunct/>
              <w:autoSpaceDE/>
              <w:autoSpaceDN/>
              <w:bidi w:val="0"/>
              <w:adjustRightInd w:val="0"/>
              <w:snapToGrid w:val="0"/>
              <w:spacing w:line="440" w:lineRule="exact"/>
              <w:jc w:val="left"/>
              <w:textAlignment w:val="auto"/>
              <w:rPr>
                <w:b/>
                <w:color w:val="auto"/>
                <w:kern w:val="0"/>
                <w:szCs w:val="21"/>
              </w:rPr>
            </w:pPr>
            <w:r>
              <w:rPr>
                <w:rFonts w:hint="eastAsia"/>
                <w:b/>
                <w:color w:val="auto"/>
                <w:kern w:val="0"/>
                <w:szCs w:val="21"/>
              </w:rPr>
              <w:t>二、环境质量现状</w:t>
            </w:r>
          </w:p>
          <w:p w14:paraId="12FD2DC7">
            <w:pPr>
              <w:keepNext w:val="0"/>
              <w:keepLines w:val="0"/>
              <w:pageBreakBefore w:val="0"/>
              <w:widowControl w:val="0"/>
              <w:kinsoku/>
              <w:overflowPunct/>
              <w:autoSpaceDE/>
              <w:autoSpaceDN/>
              <w:bidi w:val="0"/>
              <w:adjustRightInd w:val="0"/>
              <w:snapToGrid w:val="0"/>
              <w:spacing w:line="440" w:lineRule="exact"/>
              <w:ind w:firstLine="422" w:firstLineChars="200"/>
              <w:jc w:val="left"/>
              <w:textAlignment w:val="auto"/>
              <w:rPr>
                <w:b/>
                <w:color w:val="auto"/>
                <w:kern w:val="0"/>
                <w:szCs w:val="21"/>
              </w:rPr>
            </w:pPr>
            <w:r>
              <w:rPr>
                <w:b/>
                <w:color w:val="auto"/>
                <w:kern w:val="0"/>
                <w:szCs w:val="21"/>
              </w:rPr>
              <w:t>1、大气环境</w:t>
            </w:r>
          </w:p>
          <w:p w14:paraId="15D1E2F8">
            <w:pPr>
              <w:keepNext w:val="0"/>
              <w:keepLines w:val="0"/>
              <w:pageBreakBefore w:val="0"/>
              <w:widowControl w:val="0"/>
              <w:kinsoku/>
              <w:overflowPunct/>
              <w:autoSpaceDE/>
              <w:autoSpaceDN/>
              <w:bidi w:val="0"/>
              <w:spacing w:line="440" w:lineRule="exact"/>
              <w:ind w:firstLine="420" w:firstLineChars="200"/>
              <w:textAlignment w:val="auto"/>
              <w:rPr>
                <w:color w:val="auto"/>
              </w:rPr>
            </w:pPr>
            <w:r>
              <w:rPr>
                <w:rFonts w:hint="eastAsia"/>
                <w:color w:val="auto"/>
              </w:rPr>
              <w:t>①基本污染物</w:t>
            </w:r>
          </w:p>
          <w:p w14:paraId="2FFCF5FF">
            <w:pPr>
              <w:keepNext w:val="0"/>
              <w:keepLines w:val="0"/>
              <w:pageBreakBefore w:val="0"/>
              <w:widowControl w:val="0"/>
              <w:kinsoku/>
              <w:overflowPunct/>
              <w:autoSpaceDE/>
              <w:autoSpaceDN/>
              <w:bidi w:val="0"/>
              <w:spacing w:line="440" w:lineRule="exact"/>
              <w:ind w:firstLine="420" w:firstLineChars="200"/>
              <w:textAlignment w:val="auto"/>
              <w:rPr>
                <w:color w:val="auto"/>
              </w:rPr>
            </w:pPr>
            <w:r>
              <w:rPr>
                <w:color w:val="auto"/>
              </w:rPr>
              <w:t>根据淄博市生态环境局发布的《20</w:t>
            </w:r>
            <w:r>
              <w:rPr>
                <w:rFonts w:hint="eastAsia"/>
                <w:color w:val="auto"/>
                <w:lang w:val="en-US" w:eastAsia="zh-CN"/>
              </w:rPr>
              <w:t>24</w:t>
            </w:r>
            <w:r>
              <w:rPr>
                <w:color w:val="auto"/>
              </w:rPr>
              <w:t>年12月份及全年环境空气质量情况通报》，202</w:t>
            </w:r>
            <w:r>
              <w:rPr>
                <w:rFonts w:hint="eastAsia"/>
                <w:color w:val="auto"/>
                <w:lang w:val="en-US" w:eastAsia="zh-CN"/>
              </w:rPr>
              <w:t>4</w:t>
            </w:r>
            <w:r>
              <w:rPr>
                <w:rFonts w:hint="eastAsia"/>
                <w:color w:val="auto"/>
              </w:rPr>
              <w:t>年，全市良好天数</w:t>
            </w:r>
            <w:r>
              <w:rPr>
                <w:color w:val="auto"/>
              </w:rPr>
              <w:t>2</w:t>
            </w:r>
            <w:r>
              <w:rPr>
                <w:rFonts w:hint="eastAsia"/>
                <w:color w:val="auto"/>
                <w:lang w:val="en-US" w:eastAsia="zh-CN"/>
              </w:rPr>
              <w:t>38</w:t>
            </w:r>
            <w:r>
              <w:rPr>
                <w:rFonts w:hint="eastAsia"/>
                <w:color w:val="auto"/>
              </w:rPr>
              <w:t>天（国控），同比</w:t>
            </w:r>
            <w:r>
              <w:rPr>
                <w:rFonts w:hint="eastAsia"/>
                <w:color w:val="auto"/>
                <w:lang w:val="en-US" w:eastAsia="zh-CN"/>
              </w:rPr>
              <w:t>增加19</w:t>
            </w:r>
            <w:r>
              <w:rPr>
                <w:rFonts w:hint="eastAsia"/>
                <w:color w:val="auto"/>
              </w:rPr>
              <w:t>天。重污染天数</w:t>
            </w:r>
            <w:r>
              <w:rPr>
                <w:rFonts w:hint="eastAsia"/>
                <w:color w:val="auto"/>
                <w:lang w:val="en-US" w:eastAsia="zh-CN"/>
              </w:rPr>
              <w:t>4</w:t>
            </w:r>
            <w:r>
              <w:rPr>
                <w:rFonts w:hint="eastAsia"/>
                <w:color w:val="auto"/>
              </w:rPr>
              <w:t>天，同比</w:t>
            </w:r>
            <w:r>
              <w:rPr>
                <w:rFonts w:hint="eastAsia"/>
                <w:color w:val="auto"/>
                <w:lang w:val="en-US" w:eastAsia="zh-CN"/>
              </w:rPr>
              <w:t>减少4</w:t>
            </w:r>
            <w:r>
              <w:rPr>
                <w:rFonts w:hint="eastAsia"/>
                <w:color w:val="auto"/>
              </w:rPr>
              <w:t>天。其中，二氧化硫（</w:t>
            </w:r>
            <w:r>
              <w:rPr>
                <w:color w:val="auto"/>
              </w:rPr>
              <w:t>SO</w:t>
            </w:r>
            <w:r>
              <w:rPr>
                <w:color w:val="auto"/>
                <w:vertAlign w:val="subscript"/>
              </w:rPr>
              <w:t>2</w:t>
            </w:r>
            <w:r>
              <w:rPr>
                <w:rFonts w:hint="eastAsia"/>
                <w:color w:val="auto"/>
              </w:rPr>
              <w:t>）</w:t>
            </w:r>
            <w:r>
              <w:rPr>
                <w:color w:val="auto"/>
              </w:rPr>
              <w:t>1</w:t>
            </w:r>
            <w:r>
              <w:rPr>
                <w:rFonts w:hint="eastAsia"/>
                <w:color w:val="auto"/>
                <w:lang w:val="en-US" w:eastAsia="zh-CN"/>
              </w:rPr>
              <w:t>3</w:t>
            </w:r>
            <w:r>
              <w:rPr>
                <w:rFonts w:hint="eastAsia"/>
                <w:color w:val="auto"/>
              </w:rPr>
              <w:t>微克</w:t>
            </w:r>
            <w:r>
              <w:rPr>
                <w:color w:val="auto"/>
              </w:rPr>
              <w:t>/</w:t>
            </w:r>
            <w:r>
              <w:rPr>
                <w:rFonts w:hint="eastAsia"/>
                <w:color w:val="auto"/>
              </w:rPr>
              <w:t>立方米，同比</w:t>
            </w:r>
            <w:r>
              <w:rPr>
                <w:rFonts w:hint="eastAsia"/>
                <w:color w:val="auto"/>
                <w:lang w:val="en-US" w:eastAsia="zh-CN"/>
              </w:rPr>
              <w:t>恶化8.3%</w:t>
            </w:r>
            <w:r>
              <w:rPr>
                <w:rFonts w:hint="eastAsia"/>
                <w:color w:val="auto"/>
              </w:rPr>
              <w:t>；二氧化氮（</w:t>
            </w:r>
            <w:r>
              <w:rPr>
                <w:color w:val="auto"/>
              </w:rPr>
              <w:t>NO</w:t>
            </w:r>
            <w:r>
              <w:rPr>
                <w:color w:val="auto"/>
                <w:vertAlign w:val="subscript"/>
              </w:rPr>
              <w:t>2</w:t>
            </w:r>
            <w:r>
              <w:rPr>
                <w:rFonts w:hint="eastAsia"/>
                <w:color w:val="auto"/>
              </w:rPr>
              <w:t>）</w:t>
            </w:r>
            <w:r>
              <w:rPr>
                <w:color w:val="auto"/>
              </w:rPr>
              <w:t>3</w:t>
            </w:r>
            <w:r>
              <w:rPr>
                <w:rFonts w:hint="eastAsia"/>
                <w:color w:val="auto"/>
                <w:lang w:val="en-US" w:eastAsia="zh-CN"/>
              </w:rPr>
              <w:t>3</w:t>
            </w:r>
            <w:r>
              <w:rPr>
                <w:rFonts w:hint="eastAsia"/>
                <w:color w:val="auto"/>
              </w:rPr>
              <w:t>微克</w:t>
            </w:r>
            <w:r>
              <w:rPr>
                <w:color w:val="auto"/>
              </w:rPr>
              <w:t>/</w:t>
            </w:r>
            <w:r>
              <w:rPr>
                <w:rFonts w:hint="eastAsia"/>
                <w:color w:val="auto"/>
              </w:rPr>
              <w:t>立方米，同比</w:t>
            </w:r>
            <w:r>
              <w:rPr>
                <w:rFonts w:hint="eastAsia"/>
                <w:color w:val="auto"/>
                <w:lang w:val="en-US" w:eastAsia="zh-CN"/>
              </w:rPr>
              <w:t>改善2.9</w:t>
            </w:r>
            <w:r>
              <w:rPr>
                <w:color w:val="auto"/>
              </w:rPr>
              <w:t>%</w:t>
            </w:r>
            <w:r>
              <w:rPr>
                <w:rFonts w:hint="eastAsia"/>
                <w:color w:val="auto"/>
              </w:rPr>
              <w:t>；可吸入颗粒物（</w:t>
            </w:r>
            <w:r>
              <w:rPr>
                <w:color w:val="auto"/>
              </w:rPr>
              <w:t>PM</w:t>
            </w:r>
            <w:r>
              <w:rPr>
                <w:color w:val="auto"/>
                <w:vertAlign w:val="subscript"/>
              </w:rPr>
              <w:t>10</w:t>
            </w:r>
            <w:r>
              <w:rPr>
                <w:rFonts w:hint="eastAsia"/>
                <w:color w:val="auto"/>
              </w:rPr>
              <w:t>）</w:t>
            </w:r>
            <w:r>
              <w:rPr>
                <w:rFonts w:hint="eastAsia"/>
                <w:color w:val="auto"/>
                <w:lang w:val="en-US" w:eastAsia="zh-CN"/>
              </w:rPr>
              <w:t>69</w:t>
            </w:r>
            <w:r>
              <w:rPr>
                <w:rFonts w:hint="eastAsia"/>
                <w:color w:val="auto"/>
              </w:rPr>
              <w:t>微克</w:t>
            </w:r>
            <w:r>
              <w:rPr>
                <w:color w:val="auto"/>
              </w:rPr>
              <w:t>/</w:t>
            </w:r>
            <w:r>
              <w:rPr>
                <w:rFonts w:hint="eastAsia"/>
                <w:color w:val="auto"/>
              </w:rPr>
              <w:t>立方米，同比</w:t>
            </w:r>
            <w:r>
              <w:rPr>
                <w:rFonts w:hint="eastAsia"/>
                <w:color w:val="auto"/>
                <w:lang w:val="en-US" w:eastAsia="zh-CN"/>
              </w:rPr>
              <w:t>改善8.0%</w:t>
            </w:r>
            <w:r>
              <w:rPr>
                <w:rFonts w:hint="eastAsia"/>
                <w:color w:val="auto"/>
              </w:rPr>
              <w:t>；细颗粒物（</w:t>
            </w:r>
            <w:r>
              <w:rPr>
                <w:color w:val="auto"/>
              </w:rPr>
              <w:t>PM</w:t>
            </w:r>
            <w:r>
              <w:rPr>
                <w:color w:val="auto"/>
                <w:vertAlign w:val="subscript"/>
              </w:rPr>
              <w:t>2.5</w:t>
            </w:r>
            <w:r>
              <w:rPr>
                <w:rFonts w:hint="eastAsia"/>
                <w:color w:val="auto"/>
              </w:rPr>
              <w:t>）</w:t>
            </w:r>
            <w:r>
              <w:rPr>
                <w:color w:val="auto"/>
              </w:rPr>
              <w:t>4</w:t>
            </w:r>
            <w:r>
              <w:rPr>
                <w:rFonts w:hint="eastAsia"/>
                <w:color w:val="auto"/>
                <w:lang w:val="en-US" w:eastAsia="zh-CN"/>
              </w:rPr>
              <w:t>0</w:t>
            </w:r>
            <w:r>
              <w:rPr>
                <w:rFonts w:hint="eastAsia"/>
                <w:color w:val="auto"/>
              </w:rPr>
              <w:t>微克</w:t>
            </w:r>
            <w:r>
              <w:rPr>
                <w:color w:val="auto"/>
              </w:rPr>
              <w:t>/</w:t>
            </w:r>
            <w:r>
              <w:rPr>
                <w:rFonts w:hint="eastAsia"/>
                <w:color w:val="auto"/>
              </w:rPr>
              <w:t>立方米，同比改善</w:t>
            </w:r>
            <w:r>
              <w:rPr>
                <w:rFonts w:hint="eastAsia"/>
                <w:color w:val="auto"/>
                <w:lang w:val="en-US" w:eastAsia="zh-CN"/>
              </w:rPr>
              <w:t>2.4</w:t>
            </w:r>
            <w:r>
              <w:rPr>
                <w:color w:val="auto"/>
              </w:rPr>
              <w:t>%</w:t>
            </w:r>
            <w:r>
              <w:rPr>
                <w:rFonts w:hint="eastAsia"/>
                <w:color w:val="auto"/>
              </w:rPr>
              <w:t>；一氧化碳（</w:t>
            </w:r>
            <w:r>
              <w:rPr>
                <w:color w:val="auto"/>
              </w:rPr>
              <w:t>CO</w:t>
            </w:r>
            <w:r>
              <w:rPr>
                <w:rFonts w:hint="eastAsia"/>
                <w:color w:val="auto"/>
              </w:rPr>
              <w:t>）</w:t>
            </w:r>
            <w:r>
              <w:rPr>
                <w:color w:val="auto"/>
              </w:rPr>
              <w:t>1.</w:t>
            </w:r>
            <w:r>
              <w:rPr>
                <w:rFonts w:hint="eastAsia"/>
                <w:color w:val="auto"/>
                <w:lang w:val="en-US" w:eastAsia="zh-CN"/>
              </w:rPr>
              <w:t>2</w:t>
            </w:r>
            <w:r>
              <w:rPr>
                <w:rFonts w:hint="eastAsia"/>
                <w:color w:val="auto"/>
              </w:rPr>
              <w:t>毫克</w:t>
            </w:r>
            <w:r>
              <w:rPr>
                <w:color w:val="auto"/>
              </w:rPr>
              <w:t>/</w:t>
            </w:r>
            <w:r>
              <w:rPr>
                <w:rFonts w:hint="eastAsia"/>
                <w:color w:val="auto"/>
              </w:rPr>
              <w:t>立方米，同比</w:t>
            </w:r>
            <w:r>
              <w:rPr>
                <w:rFonts w:hint="eastAsia"/>
                <w:color w:val="auto"/>
                <w:lang w:val="en-US" w:eastAsia="zh-CN"/>
              </w:rPr>
              <w:t>恶化9.1</w:t>
            </w:r>
            <w:r>
              <w:rPr>
                <w:color w:val="auto"/>
              </w:rPr>
              <w:t>%</w:t>
            </w:r>
            <w:r>
              <w:rPr>
                <w:rFonts w:hint="eastAsia"/>
                <w:color w:val="auto"/>
              </w:rPr>
              <w:t>；臭氧（</w:t>
            </w:r>
            <w:r>
              <w:rPr>
                <w:color w:val="auto"/>
              </w:rPr>
              <w:t>O</w:t>
            </w:r>
            <w:r>
              <w:rPr>
                <w:color w:val="auto"/>
                <w:vertAlign w:val="subscript"/>
              </w:rPr>
              <w:t>3</w:t>
            </w:r>
            <w:r>
              <w:rPr>
                <w:rFonts w:hint="eastAsia"/>
                <w:color w:val="auto"/>
              </w:rPr>
              <w:t>）</w:t>
            </w:r>
            <w:r>
              <w:rPr>
                <w:color w:val="auto"/>
              </w:rPr>
              <w:t>19</w:t>
            </w:r>
            <w:r>
              <w:rPr>
                <w:rFonts w:hint="eastAsia"/>
                <w:color w:val="auto"/>
                <w:lang w:val="en-US" w:eastAsia="zh-CN"/>
              </w:rPr>
              <w:t>4</w:t>
            </w:r>
            <w:r>
              <w:rPr>
                <w:rFonts w:hint="eastAsia"/>
                <w:color w:val="auto"/>
              </w:rPr>
              <w:t>微克</w:t>
            </w:r>
            <w:r>
              <w:rPr>
                <w:color w:val="auto"/>
              </w:rPr>
              <w:t>/</w:t>
            </w:r>
            <w:r>
              <w:rPr>
                <w:rFonts w:hint="eastAsia"/>
                <w:color w:val="auto"/>
              </w:rPr>
              <w:t>立方米，同比</w:t>
            </w:r>
            <w:r>
              <w:rPr>
                <w:rFonts w:hint="eastAsia"/>
                <w:color w:val="auto"/>
                <w:lang w:val="en-US" w:eastAsia="zh-CN"/>
              </w:rPr>
              <w:t>改善2.0</w:t>
            </w:r>
            <w:r>
              <w:rPr>
                <w:color w:val="auto"/>
              </w:rPr>
              <w:t>%</w:t>
            </w:r>
            <w:r>
              <w:rPr>
                <w:rFonts w:hint="eastAsia"/>
                <w:color w:val="auto"/>
              </w:rPr>
              <w:t>。全市综合指数为</w:t>
            </w:r>
            <w:r>
              <w:rPr>
                <w:color w:val="auto"/>
              </w:rPr>
              <w:t>4.</w:t>
            </w:r>
            <w:r>
              <w:rPr>
                <w:rFonts w:hint="eastAsia"/>
                <w:color w:val="auto"/>
                <w:lang w:val="en-US" w:eastAsia="zh-CN"/>
              </w:rPr>
              <w:t>68</w:t>
            </w:r>
            <w:r>
              <w:rPr>
                <w:rFonts w:hint="eastAsia"/>
                <w:color w:val="auto"/>
              </w:rPr>
              <w:t>，同比改善</w:t>
            </w:r>
            <w:r>
              <w:rPr>
                <w:rFonts w:hint="eastAsia"/>
                <w:color w:val="auto"/>
                <w:lang w:val="en-US" w:eastAsia="zh-CN"/>
              </w:rPr>
              <w:t>2.7</w:t>
            </w:r>
            <w:r>
              <w:rPr>
                <w:color w:val="auto"/>
              </w:rPr>
              <w:t>%</w:t>
            </w:r>
            <w:r>
              <w:rPr>
                <w:rFonts w:hint="eastAsia"/>
                <w:color w:val="auto"/>
              </w:rPr>
              <w:t>。</w:t>
            </w:r>
          </w:p>
          <w:p w14:paraId="1676106E">
            <w:pPr>
              <w:spacing w:before="120" w:beforeLines="50"/>
              <w:jc w:val="center"/>
              <w:rPr>
                <w:b/>
                <w:color w:val="auto"/>
                <w:sz w:val="18"/>
                <w:szCs w:val="18"/>
              </w:rPr>
            </w:pPr>
            <w:r>
              <w:rPr>
                <w:rFonts w:hint="eastAsia"/>
                <w:b/>
                <w:color w:val="auto"/>
              </w:rPr>
              <w:t xml:space="preserve">表3-1 </w:t>
            </w:r>
            <w:r>
              <w:rPr>
                <w:b/>
                <w:color w:val="auto"/>
              </w:rPr>
              <w:t xml:space="preserve"> </w:t>
            </w:r>
            <w:r>
              <w:rPr>
                <w:rFonts w:hint="eastAsia"/>
                <w:b/>
                <w:color w:val="auto"/>
              </w:rPr>
              <w:t>临淄区环境质量现状评价一览表</w:t>
            </w:r>
            <w:r>
              <w:rPr>
                <w:rFonts w:hint="eastAsia"/>
                <w:b/>
                <w:color w:val="auto"/>
                <w:sz w:val="18"/>
                <w:szCs w:val="18"/>
              </w:rPr>
              <w:t>（单位</w:t>
            </w:r>
            <w:r>
              <w:rPr>
                <w:b/>
                <w:color w:val="auto"/>
                <w:sz w:val="18"/>
                <w:szCs w:val="18"/>
              </w:rPr>
              <w:t>μ</w:t>
            </w:r>
            <w:r>
              <w:rPr>
                <w:rFonts w:hint="eastAsia"/>
                <w:b/>
                <w:color w:val="auto"/>
                <w:sz w:val="18"/>
                <w:szCs w:val="18"/>
              </w:rPr>
              <w:t>g/m</w:t>
            </w:r>
            <w:r>
              <w:rPr>
                <w:rFonts w:hint="eastAsia"/>
                <w:b/>
                <w:color w:val="auto"/>
                <w:sz w:val="18"/>
                <w:szCs w:val="18"/>
                <w:vertAlign w:val="superscript"/>
              </w:rPr>
              <w:t>3</w:t>
            </w:r>
            <w:r>
              <w:rPr>
                <w:rFonts w:hint="eastAsia"/>
                <w:b/>
                <w:color w:val="auto"/>
                <w:sz w:val="18"/>
                <w:szCs w:val="18"/>
              </w:rPr>
              <w:t>、COmg/m</w:t>
            </w:r>
            <w:r>
              <w:rPr>
                <w:rFonts w:hint="eastAsia"/>
                <w:b/>
                <w:color w:val="auto"/>
                <w:sz w:val="18"/>
                <w:szCs w:val="18"/>
                <w:vertAlign w:val="superscript"/>
              </w:rPr>
              <w:t>3</w:t>
            </w:r>
            <w:r>
              <w:rPr>
                <w:rFonts w:hint="eastAsia"/>
                <w:b/>
                <w:color w:val="auto"/>
                <w:sz w:val="18"/>
                <w:szCs w:val="18"/>
              </w:rPr>
              <w:t>）</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3264"/>
              <w:gridCol w:w="1038"/>
              <w:gridCol w:w="890"/>
              <w:gridCol w:w="1187"/>
              <w:gridCol w:w="1149"/>
            </w:tblGrid>
            <w:tr w14:paraId="3B721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4A6108CD">
                  <w:pPr>
                    <w:pStyle w:val="60"/>
                    <w:rPr>
                      <w:b/>
                      <w:bCs/>
                      <w:color w:val="auto"/>
                      <w:sz w:val="18"/>
                      <w:szCs w:val="18"/>
                    </w:rPr>
                  </w:pPr>
                  <w:r>
                    <w:rPr>
                      <w:rFonts w:hint="eastAsia"/>
                      <w:b/>
                      <w:bCs/>
                      <w:color w:val="auto"/>
                      <w:sz w:val="18"/>
                      <w:szCs w:val="18"/>
                    </w:rPr>
                    <w:t>污染物</w:t>
                  </w:r>
                </w:p>
              </w:tc>
              <w:tc>
                <w:tcPr>
                  <w:tcW w:w="3119" w:type="dxa"/>
                  <w:tcBorders>
                    <w:tl2br w:val="nil"/>
                    <w:tr2bl w:val="nil"/>
                  </w:tcBorders>
                  <w:vAlign w:val="center"/>
                </w:tcPr>
                <w:p w14:paraId="079B8D33">
                  <w:pPr>
                    <w:pStyle w:val="60"/>
                    <w:rPr>
                      <w:b/>
                      <w:bCs/>
                      <w:color w:val="auto"/>
                      <w:sz w:val="18"/>
                      <w:szCs w:val="18"/>
                    </w:rPr>
                  </w:pPr>
                  <w:r>
                    <w:rPr>
                      <w:rFonts w:hint="eastAsia"/>
                      <w:b/>
                      <w:bCs/>
                      <w:color w:val="auto"/>
                      <w:sz w:val="18"/>
                      <w:szCs w:val="18"/>
                    </w:rPr>
                    <w:t>年评价指标</w:t>
                  </w:r>
                </w:p>
              </w:tc>
              <w:tc>
                <w:tcPr>
                  <w:tcW w:w="992" w:type="dxa"/>
                  <w:tcBorders>
                    <w:tl2br w:val="nil"/>
                    <w:tr2bl w:val="nil"/>
                  </w:tcBorders>
                  <w:vAlign w:val="center"/>
                </w:tcPr>
                <w:p w14:paraId="75848024">
                  <w:pPr>
                    <w:pStyle w:val="60"/>
                    <w:rPr>
                      <w:b/>
                      <w:bCs/>
                      <w:color w:val="auto"/>
                      <w:sz w:val="18"/>
                      <w:szCs w:val="18"/>
                    </w:rPr>
                  </w:pPr>
                  <w:r>
                    <w:rPr>
                      <w:rFonts w:hint="eastAsia"/>
                      <w:b/>
                      <w:bCs/>
                      <w:color w:val="auto"/>
                      <w:sz w:val="18"/>
                      <w:szCs w:val="18"/>
                    </w:rPr>
                    <w:t>现状浓度</w:t>
                  </w:r>
                </w:p>
              </w:tc>
              <w:tc>
                <w:tcPr>
                  <w:tcW w:w="850" w:type="dxa"/>
                  <w:tcBorders>
                    <w:tl2br w:val="nil"/>
                    <w:tr2bl w:val="nil"/>
                  </w:tcBorders>
                  <w:vAlign w:val="center"/>
                </w:tcPr>
                <w:p w14:paraId="7734E221">
                  <w:pPr>
                    <w:pStyle w:val="60"/>
                    <w:rPr>
                      <w:b/>
                      <w:bCs/>
                      <w:color w:val="auto"/>
                      <w:sz w:val="18"/>
                      <w:szCs w:val="18"/>
                    </w:rPr>
                  </w:pPr>
                  <w:r>
                    <w:rPr>
                      <w:rFonts w:hint="eastAsia"/>
                      <w:b/>
                      <w:bCs/>
                      <w:color w:val="auto"/>
                      <w:sz w:val="18"/>
                      <w:szCs w:val="18"/>
                    </w:rPr>
                    <w:t>标准值</w:t>
                  </w:r>
                </w:p>
              </w:tc>
              <w:tc>
                <w:tcPr>
                  <w:tcW w:w="1134" w:type="dxa"/>
                  <w:tcBorders>
                    <w:tl2br w:val="nil"/>
                    <w:tr2bl w:val="nil"/>
                  </w:tcBorders>
                  <w:vAlign w:val="center"/>
                </w:tcPr>
                <w:p w14:paraId="42D41256">
                  <w:pPr>
                    <w:pStyle w:val="60"/>
                    <w:rPr>
                      <w:b/>
                      <w:bCs/>
                      <w:color w:val="auto"/>
                      <w:sz w:val="18"/>
                      <w:szCs w:val="18"/>
                    </w:rPr>
                  </w:pPr>
                  <w:r>
                    <w:rPr>
                      <w:rFonts w:hint="eastAsia"/>
                      <w:b/>
                      <w:bCs/>
                      <w:color w:val="auto"/>
                      <w:sz w:val="18"/>
                      <w:szCs w:val="18"/>
                    </w:rPr>
                    <w:t>单项指标达标情况</w:t>
                  </w:r>
                </w:p>
              </w:tc>
              <w:tc>
                <w:tcPr>
                  <w:tcW w:w="1098" w:type="dxa"/>
                  <w:tcBorders>
                    <w:tl2br w:val="nil"/>
                    <w:tr2bl w:val="nil"/>
                  </w:tcBorders>
                  <w:vAlign w:val="center"/>
                </w:tcPr>
                <w:p w14:paraId="5CD03AF1">
                  <w:pPr>
                    <w:pStyle w:val="60"/>
                    <w:rPr>
                      <w:b/>
                      <w:bCs/>
                      <w:color w:val="auto"/>
                      <w:sz w:val="18"/>
                      <w:szCs w:val="18"/>
                    </w:rPr>
                  </w:pPr>
                  <w:r>
                    <w:rPr>
                      <w:rFonts w:hint="eastAsia"/>
                      <w:b/>
                      <w:bCs/>
                      <w:color w:val="auto"/>
                      <w:sz w:val="18"/>
                      <w:szCs w:val="18"/>
                    </w:rPr>
                    <w:t>区域质量达标情况</w:t>
                  </w:r>
                </w:p>
              </w:tc>
            </w:tr>
            <w:tr w14:paraId="5F84C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22F2DB14">
                  <w:pPr>
                    <w:pStyle w:val="60"/>
                    <w:rPr>
                      <w:color w:val="auto"/>
                      <w:sz w:val="18"/>
                      <w:szCs w:val="18"/>
                    </w:rPr>
                  </w:pPr>
                  <w:r>
                    <w:rPr>
                      <w:rFonts w:hint="eastAsia"/>
                      <w:color w:val="auto"/>
                      <w:sz w:val="18"/>
                      <w:szCs w:val="18"/>
                    </w:rPr>
                    <w:t>PM</w:t>
                  </w:r>
                  <w:r>
                    <w:rPr>
                      <w:rFonts w:hint="eastAsia"/>
                      <w:color w:val="auto"/>
                      <w:sz w:val="18"/>
                      <w:szCs w:val="18"/>
                      <w:vertAlign w:val="subscript"/>
                    </w:rPr>
                    <w:t>10</w:t>
                  </w:r>
                </w:p>
              </w:tc>
              <w:tc>
                <w:tcPr>
                  <w:tcW w:w="3119" w:type="dxa"/>
                  <w:tcBorders>
                    <w:tl2br w:val="nil"/>
                    <w:tr2bl w:val="nil"/>
                  </w:tcBorders>
                  <w:vAlign w:val="center"/>
                </w:tcPr>
                <w:p w14:paraId="59CB4629">
                  <w:pPr>
                    <w:pStyle w:val="60"/>
                    <w:rPr>
                      <w:color w:val="auto"/>
                      <w:sz w:val="18"/>
                      <w:szCs w:val="18"/>
                    </w:rPr>
                  </w:pPr>
                  <w:r>
                    <w:rPr>
                      <w:rFonts w:hint="eastAsia"/>
                      <w:color w:val="auto"/>
                      <w:sz w:val="18"/>
                      <w:szCs w:val="18"/>
                    </w:rPr>
                    <w:t>年平均质量浓度</w:t>
                  </w:r>
                </w:p>
              </w:tc>
              <w:tc>
                <w:tcPr>
                  <w:tcW w:w="992" w:type="dxa"/>
                  <w:tcBorders>
                    <w:tl2br w:val="nil"/>
                    <w:tr2bl w:val="nil"/>
                  </w:tcBorders>
                  <w:vAlign w:val="center"/>
                </w:tcPr>
                <w:p w14:paraId="664F8010">
                  <w:pPr>
                    <w:pStyle w:val="60"/>
                    <w:rPr>
                      <w:rFonts w:hint="eastAsia" w:eastAsia="宋体"/>
                      <w:color w:val="auto"/>
                      <w:sz w:val="18"/>
                      <w:szCs w:val="18"/>
                      <w:lang w:val="en-US" w:eastAsia="zh-CN"/>
                    </w:rPr>
                  </w:pPr>
                  <w:r>
                    <w:rPr>
                      <w:rFonts w:hint="eastAsia"/>
                      <w:color w:val="auto"/>
                      <w:sz w:val="18"/>
                      <w:szCs w:val="18"/>
                    </w:rPr>
                    <w:t>7</w:t>
                  </w:r>
                  <w:r>
                    <w:rPr>
                      <w:rFonts w:hint="eastAsia"/>
                      <w:color w:val="auto"/>
                      <w:sz w:val="18"/>
                      <w:szCs w:val="18"/>
                      <w:lang w:val="en-US" w:eastAsia="zh-CN"/>
                    </w:rPr>
                    <w:t>3</w:t>
                  </w:r>
                </w:p>
              </w:tc>
              <w:tc>
                <w:tcPr>
                  <w:tcW w:w="850" w:type="dxa"/>
                  <w:tcBorders>
                    <w:tl2br w:val="nil"/>
                    <w:tr2bl w:val="nil"/>
                  </w:tcBorders>
                  <w:vAlign w:val="center"/>
                </w:tcPr>
                <w:p w14:paraId="12F0D89B">
                  <w:pPr>
                    <w:pStyle w:val="60"/>
                    <w:rPr>
                      <w:color w:val="auto"/>
                      <w:sz w:val="18"/>
                      <w:szCs w:val="18"/>
                    </w:rPr>
                  </w:pPr>
                  <w:r>
                    <w:rPr>
                      <w:rFonts w:hint="eastAsia"/>
                      <w:color w:val="auto"/>
                      <w:sz w:val="18"/>
                      <w:szCs w:val="18"/>
                    </w:rPr>
                    <w:t>70</w:t>
                  </w:r>
                </w:p>
              </w:tc>
              <w:tc>
                <w:tcPr>
                  <w:tcW w:w="1134" w:type="dxa"/>
                  <w:tcBorders>
                    <w:tl2br w:val="nil"/>
                    <w:tr2bl w:val="nil"/>
                  </w:tcBorders>
                  <w:vAlign w:val="center"/>
                </w:tcPr>
                <w:p w14:paraId="3CB27046">
                  <w:pPr>
                    <w:pStyle w:val="60"/>
                    <w:rPr>
                      <w:b/>
                      <w:bCs/>
                      <w:color w:val="auto"/>
                      <w:sz w:val="18"/>
                      <w:szCs w:val="18"/>
                    </w:rPr>
                  </w:pPr>
                  <w:r>
                    <w:rPr>
                      <w:rFonts w:hint="eastAsia"/>
                      <w:b/>
                      <w:bCs/>
                      <w:color w:val="auto"/>
                      <w:sz w:val="18"/>
                      <w:szCs w:val="18"/>
                    </w:rPr>
                    <w:t>超标</w:t>
                  </w:r>
                </w:p>
              </w:tc>
              <w:tc>
                <w:tcPr>
                  <w:tcW w:w="1098" w:type="dxa"/>
                  <w:vMerge w:val="restart"/>
                  <w:tcBorders>
                    <w:tl2br w:val="nil"/>
                    <w:tr2bl w:val="nil"/>
                  </w:tcBorders>
                  <w:vAlign w:val="center"/>
                </w:tcPr>
                <w:p w14:paraId="248A0F96">
                  <w:pPr>
                    <w:pStyle w:val="60"/>
                    <w:rPr>
                      <w:color w:val="auto"/>
                      <w:sz w:val="18"/>
                      <w:szCs w:val="18"/>
                    </w:rPr>
                  </w:pPr>
                  <w:r>
                    <w:rPr>
                      <w:rFonts w:hint="eastAsia"/>
                      <w:color w:val="auto"/>
                      <w:sz w:val="18"/>
                      <w:szCs w:val="18"/>
                    </w:rPr>
                    <w:t>不达标</w:t>
                  </w:r>
                </w:p>
              </w:tc>
            </w:tr>
            <w:tr w14:paraId="51403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03951CEB">
                  <w:pPr>
                    <w:pStyle w:val="60"/>
                    <w:rPr>
                      <w:color w:val="auto"/>
                      <w:sz w:val="18"/>
                      <w:szCs w:val="18"/>
                    </w:rPr>
                  </w:pPr>
                  <w:r>
                    <w:rPr>
                      <w:rFonts w:hint="eastAsia"/>
                      <w:color w:val="auto"/>
                      <w:sz w:val="18"/>
                      <w:szCs w:val="18"/>
                    </w:rPr>
                    <w:t>PM</w:t>
                  </w:r>
                  <w:r>
                    <w:rPr>
                      <w:rFonts w:hint="eastAsia"/>
                      <w:color w:val="auto"/>
                      <w:sz w:val="18"/>
                      <w:szCs w:val="18"/>
                      <w:vertAlign w:val="subscript"/>
                    </w:rPr>
                    <w:t>2.5</w:t>
                  </w:r>
                </w:p>
              </w:tc>
              <w:tc>
                <w:tcPr>
                  <w:tcW w:w="3119" w:type="dxa"/>
                  <w:tcBorders>
                    <w:tl2br w:val="nil"/>
                    <w:tr2bl w:val="nil"/>
                  </w:tcBorders>
                  <w:vAlign w:val="center"/>
                </w:tcPr>
                <w:p w14:paraId="0A830E75">
                  <w:pPr>
                    <w:pStyle w:val="60"/>
                    <w:rPr>
                      <w:color w:val="auto"/>
                      <w:sz w:val="18"/>
                      <w:szCs w:val="18"/>
                    </w:rPr>
                  </w:pPr>
                  <w:r>
                    <w:rPr>
                      <w:rFonts w:hint="eastAsia"/>
                      <w:color w:val="auto"/>
                      <w:sz w:val="18"/>
                      <w:szCs w:val="18"/>
                    </w:rPr>
                    <w:t>年平均质量浓度</w:t>
                  </w:r>
                </w:p>
              </w:tc>
              <w:tc>
                <w:tcPr>
                  <w:tcW w:w="992" w:type="dxa"/>
                  <w:tcBorders>
                    <w:tl2br w:val="nil"/>
                    <w:tr2bl w:val="nil"/>
                  </w:tcBorders>
                  <w:vAlign w:val="center"/>
                </w:tcPr>
                <w:p w14:paraId="60CE62FD">
                  <w:pPr>
                    <w:pStyle w:val="60"/>
                    <w:rPr>
                      <w:rFonts w:hint="default" w:eastAsia="宋体"/>
                      <w:color w:val="auto"/>
                      <w:sz w:val="18"/>
                      <w:szCs w:val="18"/>
                      <w:lang w:val="en-US" w:eastAsia="zh-CN"/>
                    </w:rPr>
                  </w:pPr>
                  <w:r>
                    <w:rPr>
                      <w:rFonts w:hint="eastAsia"/>
                      <w:color w:val="auto"/>
                      <w:sz w:val="18"/>
                      <w:szCs w:val="18"/>
                      <w:lang w:val="en-US" w:eastAsia="zh-CN"/>
                    </w:rPr>
                    <w:t>39</w:t>
                  </w:r>
                </w:p>
              </w:tc>
              <w:tc>
                <w:tcPr>
                  <w:tcW w:w="850" w:type="dxa"/>
                  <w:tcBorders>
                    <w:tl2br w:val="nil"/>
                    <w:tr2bl w:val="nil"/>
                  </w:tcBorders>
                  <w:vAlign w:val="center"/>
                </w:tcPr>
                <w:p w14:paraId="68B85E7F">
                  <w:pPr>
                    <w:pStyle w:val="60"/>
                    <w:rPr>
                      <w:color w:val="auto"/>
                      <w:sz w:val="18"/>
                      <w:szCs w:val="18"/>
                    </w:rPr>
                  </w:pPr>
                  <w:r>
                    <w:rPr>
                      <w:rFonts w:hint="eastAsia"/>
                      <w:color w:val="auto"/>
                      <w:sz w:val="18"/>
                      <w:szCs w:val="18"/>
                    </w:rPr>
                    <w:t>35</w:t>
                  </w:r>
                </w:p>
              </w:tc>
              <w:tc>
                <w:tcPr>
                  <w:tcW w:w="1134" w:type="dxa"/>
                  <w:tcBorders>
                    <w:tl2br w:val="nil"/>
                    <w:tr2bl w:val="nil"/>
                  </w:tcBorders>
                  <w:vAlign w:val="center"/>
                </w:tcPr>
                <w:p w14:paraId="040E1F22">
                  <w:pPr>
                    <w:pStyle w:val="60"/>
                    <w:rPr>
                      <w:color w:val="auto"/>
                      <w:sz w:val="18"/>
                      <w:szCs w:val="18"/>
                    </w:rPr>
                  </w:pPr>
                  <w:r>
                    <w:rPr>
                      <w:rFonts w:hint="eastAsia"/>
                      <w:b/>
                      <w:bCs/>
                      <w:color w:val="auto"/>
                      <w:sz w:val="18"/>
                      <w:szCs w:val="18"/>
                    </w:rPr>
                    <w:t>超标</w:t>
                  </w:r>
                </w:p>
              </w:tc>
              <w:tc>
                <w:tcPr>
                  <w:tcW w:w="1098" w:type="dxa"/>
                  <w:vMerge w:val="continue"/>
                  <w:tcBorders>
                    <w:tl2br w:val="nil"/>
                    <w:tr2bl w:val="nil"/>
                  </w:tcBorders>
                  <w:vAlign w:val="center"/>
                </w:tcPr>
                <w:p w14:paraId="2CCD0B88">
                  <w:pPr>
                    <w:pStyle w:val="60"/>
                    <w:spacing w:before="120"/>
                    <w:rPr>
                      <w:color w:val="auto"/>
                      <w:sz w:val="18"/>
                      <w:szCs w:val="18"/>
                    </w:rPr>
                  </w:pPr>
                </w:p>
              </w:tc>
            </w:tr>
            <w:tr w14:paraId="2B55C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26D98224">
                  <w:pPr>
                    <w:pStyle w:val="60"/>
                    <w:rPr>
                      <w:color w:val="auto"/>
                      <w:sz w:val="18"/>
                      <w:szCs w:val="18"/>
                    </w:rPr>
                  </w:pPr>
                  <w:r>
                    <w:rPr>
                      <w:rFonts w:hint="eastAsia"/>
                      <w:color w:val="auto"/>
                      <w:sz w:val="18"/>
                      <w:szCs w:val="18"/>
                    </w:rPr>
                    <w:t>SO</w:t>
                  </w:r>
                  <w:r>
                    <w:rPr>
                      <w:rFonts w:hint="eastAsia"/>
                      <w:color w:val="auto"/>
                      <w:sz w:val="18"/>
                      <w:szCs w:val="18"/>
                      <w:vertAlign w:val="subscript"/>
                    </w:rPr>
                    <w:t>2</w:t>
                  </w:r>
                </w:p>
              </w:tc>
              <w:tc>
                <w:tcPr>
                  <w:tcW w:w="3119" w:type="dxa"/>
                  <w:tcBorders>
                    <w:tl2br w:val="nil"/>
                    <w:tr2bl w:val="nil"/>
                  </w:tcBorders>
                  <w:vAlign w:val="center"/>
                </w:tcPr>
                <w:p w14:paraId="01625CD3">
                  <w:pPr>
                    <w:pStyle w:val="60"/>
                    <w:rPr>
                      <w:color w:val="auto"/>
                      <w:sz w:val="18"/>
                      <w:szCs w:val="18"/>
                    </w:rPr>
                  </w:pPr>
                  <w:r>
                    <w:rPr>
                      <w:rFonts w:hint="eastAsia"/>
                      <w:color w:val="auto"/>
                      <w:sz w:val="18"/>
                      <w:szCs w:val="18"/>
                    </w:rPr>
                    <w:t>年平均质量浓度</w:t>
                  </w:r>
                </w:p>
              </w:tc>
              <w:tc>
                <w:tcPr>
                  <w:tcW w:w="992" w:type="dxa"/>
                  <w:tcBorders>
                    <w:tl2br w:val="nil"/>
                    <w:tr2bl w:val="nil"/>
                  </w:tcBorders>
                  <w:vAlign w:val="center"/>
                </w:tcPr>
                <w:p w14:paraId="358FB18B">
                  <w:pPr>
                    <w:pStyle w:val="60"/>
                    <w:rPr>
                      <w:rFonts w:hint="default" w:eastAsia="宋体"/>
                      <w:color w:val="auto"/>
                      <w:sz w:val="18"/>
                      <w:szCs w:val="18"/>
                      <w:lang w:val="en-US" w:eastAsia="zh-CN"/>
                    </w:rPr>
                  </w:pPr>
                  <w:r>
                    <w:rPr>
                      <w:rFonts w:hint="eastAsia"/>
                      <w:color w:val="auto"/>
                      <w:sz w:val="18"/>
                      <w:szCs w:val="18"/>
                      <w:lang w:val="en-US" w:eastAsia="zh-CN"/>
                    </w:rPr>
                    <w:t>13</w:t>
                  </w:r>
                </w:p>
              </w:tc>
              <w:tc>
                <w:tcPr>
                  <w:tcW w:w="850" w:type="dxa"/>
                  <w:tcBorders>
                    <w:tl2br w:val="nil"/>
                    <w:tr2bl w:val="nil"/>
                  </w:tcBorders>
                  <w:vAlign w:val="center"/>
                </w:tcPr>
                <w:p w14:paraId="649ADF63">
                  <w:pPr>
                    <w:pStyle w:val="60"/>
                    <w:rPr>
                      <w:color w:val="auto"/>
                      <w:sz w:val="18"/>
                      <w:szCs w:val="18"/>
                    </w:rPr>
                  </w:pPr>
                  <w:r>
                    <w:rPr>
                      <w:rFonts w:hint="eastAsia"/>
                      <w:color w:val="auto"/>
                      <w:sz w:val="18"/>
                      <w:szCs w:val="18"/>
                    </w:rPr>
                    <w:t>60</w:t>
                  </w:r>
                </w:p>
              </w:tc>
              <w:tc>
                <w:tcPr>
                  <w:tcW w:w="1134" w:type="dxa"/>
                  <w:tcBorders>
                    <w:tl2br w:val="nil"/>
                    <w:tr2bl w:val="nil"/>
                  </w:tcBorders>
                  <w:vAlign w:val="center"/>
                </w:tcPr>
                <w:p w14:paraId="2478BF9E">
                  <w:pPr>
                    <w:pStyle w:val="60"/>
                    <w:rPr>
                      <w:color w:val="auto"/>
                      <w:sz w:val="18"/>
                      <w:szCs w:val="18"/>
                    </w:rPr>
                  </w:pPr>
                  <w:r>
                    <w:rPr>
                      <w:rFonts w:hint="eastAsia"/>
                      <w:color w:val="auto"/>
                      <w:sz w:val="18"/>
                      <w:szCs w:val="18"/>
                    </w:rPr>
                    <w:t>达标</w:t>
                  </w:r>
                </w:p>
              </w:tc>
              <w:tc>
                <w:tcPr>
                  <w:tcW w:w="1098" w:type="dxa"/>
                  <w:vMerge w:val="continue"/>
                  <w:tcBorders>
                    <w:tl2br w:val="nil"/>
                    <w:tr2bl w:val="nil"/>
                  </w:tcBorders>
                  <w:vAlign w:val="center"/>
                </w:tcPr>
                <w:p w14:paraId="475BE465">
                  <w:pPr>
                    <w:pStyle w:val="60"/>
                    <w:spacing w:before="120"/>
                    <w:rPr>
                      <w:color w:val="auto"/>
                      <w:sz w:val="18"/>
                      <w:szCs w:val="18"/>
                    </w:rPr>
                  </w:pPr>
                </w:p>
              </w:tc>
            </w:tr>
            <w:tr w14:paraId="33F64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13FD3C4D">
                  <w:pPr>
                    <w:pStyle w:val="60"/>
                    <w:rPr>
                      <w:color w:val="auto"/>
                      <w:sz w:val="18"/>
                      <w:szCs w:val="18"/>
                    </w:rPr>
                  </w:pPr>
                  <w:r>
                    <w:rPr>
                      <w:rFonts w:hint="eastAsia"/>
                      <w:color w:val="auto"/>
                      <w:sz w:val="18"/>
                      <w:szCs w:val="18"/>
                    </w:rPr>
                    <w:t>NO</w:t>
                  </w:r>
                  <w:r>
                    <w:rPr>
                      <w:rFonts w:hint="eastAsia"/>
                      <w:color w:val="auto"/>
                      <w:sz w:val="18"/>
                      <w:szCs w:val="18"/>
                      <w:vertAlign w:val="subscript"/>
                    </w:rPr>
                    <w:t>2</w:t>
                  </w:r>
                </w:p>
              </w:tc>
              <w:tc>
                <w:tcPr>
                  <w:tcW w:w="3119" w:type="dxa"/>
                  <w:tcBorders>
                    <w:tl2br w:val="nil"/>
                    <w:tr2bl w:val="nil"/>
                  </w:tcBorders>
                  <w:vAlign w:val="center"/>
                </w:tcPr>
                <w:p w14:paraId="74FF06F9">
                  <w:pPr>
                    <w:pStyle w:val="60"/>
                    <w:rPr>
                      <w:color w:val="auto"/>
                      <w:sz w:val="18"/>
                      <w:szCs w:val="18"/>
                    </w:rPr>
                  </w:pPr>
                  <w:r>
                    <w:rPr>
                      <w:rFonts w:hint="eastAsia"/>
                      <w:color w:val="auto"/>
                      <w:sz w:val="18"/>
                      <w:szCs w:val="18"/>
                    </w:rPr>
                    <w:t>年平均质量浓度</w:t>
                  </w:r>
                </w:p>
              </w:tc>
              <w:tc>
                <w:tcPr>
                  <w:tcW w:w="992" w:type="dxa"/>
                  <w:tcBorders>
                    <w:tl2br w:val="nil"/>
                    <w:tr2bl w:val="nil"/>
                  </w:tcBorders>
                  <w:vAlign w:val="center"/>
                </w:tcPr>
                <w:p w14:paraId="76BB76B7">
                  <w:pPr>
                    <w:pStyle w:val="60"/>
                    <w:rPr>
                      <w:rFonts w:hint="eastAsia" w:eastAsia="宋体"/>
                      <w:color w:val="auto"/>
                      <w:sz w:val="18"/>
                      <w:szCs w:val="18"/>
                      <w:lang w:val="en-US" w:eastAsia="zh-CN"/>
                    </w:rPr>
                  </w:pPr>
                  <w:r>
                    <w:rPr>
                      <w:rFonts w:hint="eastAsia"/>
                      <w:color w:val="auto"/>
                      <w:sz w:val="18"/>
                      <w:szCs w:val="18"/>
                    </w:rPr>
                    <w:t>3</w:t>
                  </w:r>
                  <w:r>
                    <w:rPr>
                      <w:rFonts w:hint="eastAsia"/>
                      <w:color w:val="auto"/>
                      <w:sz w:val="18"/>
                      <w:szCs w:val="18"/>
                      <w:lang w:val="en-US" w:eastAsia="zh-CN"/>
                    </w:rPr>
                    <w:t>0</w:t>
                  </w:r>
                </w:p>
              </w:tc>
              <w:tc>
                <w:tcPr>
                  <w:tcW w:w="850" w:type="dxa"/>
                  <w:tcBorders>
                    <w:tl2br w:val="nil"/>
                    <w:tr2bl w:val="nil"/>
                  </w:tcBorders>
                  <w:vAlign w:val="center"/>
                </w:tcPr>
                <w:p w14:paraId="10C638DA">
                  <w:pPr>
                    <w:pStyle w:val="60"/>
                    <w:rPr>
                      <w:color w:val="auto"/>
                      <w:sz w:val="18"/>
                      <w:szCs w:val="18"/>
                    </w:rPr>
                  </w:pPr>
                  <w:r>
                    <w:rPr>
                      <w:rFonts w:hint="eastAsia"/>
                      <w:color w:val="auto"/>
                      <w:sz w:val="18"/>
                      <w:szCs w:val="18"/>
                    </w:rPr>
                    <w:t>40</w:t>
                  </w:r>
                </w:p>
              </w:tc>
              <w:tc>
                <w:tcPr>
                  <w:tcW w:w="1134" w:type="dxa"/>
                  <w:tcBorders>
                    <w:tl2br w:val="nil"/>
                    <w:tr2bl w:val="nil"/>
                  </w:tcBorders>
                  <w:vAlign w:val="center"/>
                </w:tcPr>
                <w:p w14:paraId="1F7FCC1A">
                  <w:pPr>
                    <w:pStyle w:val="60"/>
                    <w:rPr>
                      <w:color w:val="auto"/>
                      <w:sz w:val="18"/>
                      <w:szCs w:val="18"/>
                    </w:rPr>
                  </w:pPr>
                  <w:r>
                    <w:rPr>
                      <w:rFonts w:hint="eastAsia"/>
                      <w:color w:val="auto"/>
                      <w:sz w:val="18"/>
                      <w:szCs w:val="18"/>
                    </w:rPr>
                    <w:t>达标</w:t>
                  </w:r>
                </w:p>
              </w:tc>
              <w:tc>
                <w:tcPr>
                  <w:tcW w:w="1098" w:type="dxa"/>
                  <w:vMerge w:val="continue"/>
                  <w:tcBorders>
                    <w:tl2br w:val="nil"/>
                    <w:tr2bl w:val="nil"/>
                  </w:tcBorders>
                  <w:vAlign w:val="center"/>
                </w:tcPr>
                <w:p w14:paraId="04C5D12C">
                  <w:pPr>
                    <w:pStyle w:val="60"/>
                    <w:spacing w:before="120"/>
                    <w:rPr>
                      <w:color w:val="auto"/>
                      <w:sz w:val="18"/>
                      <w:szCs w:val="18"/>
                    </w:rPr>
                  </w:pPr>
                </w:p>
              </w:tc>
            </w:tr>
            <w:tr w14:paraId="19E8D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0967C6F4">
                  <w:pPr>
                    <w:pStyle w:val="60"/>
                    <w:rPr>
                      <w:color w:val="auto"/>
                      <w:sz w:val="18"/>
                      <w:szCs w:val="18"/>
                    </w:rPr>
                  </w:pPr>
                  <w:r>
                    <w:rPr>
                      <w:rFonts w:hint="eastAsia"/>
                      <w:color w:val="auto"/>
                      <w:sz w:val="18"/>
                      <w:szCs w:val="18"/>
                    </w:rPr>
                    <w:t>CO</w:t>
                  </w:r>
                </w:p>
              </w:tc>
              <w:tc>
                <w:tcPr>
                  <w:tcW w:w="3119" w:type="dxa"/>
                  <w:tcBorders>
                    <w:tl2br w:val="nil"/>
                    <w:tr2bl w:val="nil"/>
                  </w:tcBorders>
                  <w:vAlign w:val="center"/>
                </w:tcPr>
                <w:p w14:paraId="6D4840A6">
                  <w:pPr>
                    <w:pStyle w:val="60"/>
                    <w:rPr>
                      <w:color w:val="auto"/>
                      <w:sz w:val="18"/>
                      <w:szCs w:val="18"/>
                    </w:rPr>
                  </w:pPr>
                  <w:r>
                    <w:rPr>
                      <w:rFonts w:hint="eastAsia"/>
                      <w:color w:val="auto"/>
                      <w:sz w:val="18"/>
                      <w:szCs w:val="18"/>
                    </w:rPr>
                    <w:t>保证率95%日均浓度</w:t>
                  </w:r>
                </w:p>
              </w:tc>
              <w:tc>
                <w:tcPr>
                  <w:tcW w:w="992" w:type="dxa"/>
                  <w:tcBorders>
                    <w:tl2br w:val="nil"/>
                    <w:tr2bl w:val="nil"/>
                  </w:tcBorders>
                  <w:vAlign w:val="center"/>
                </w:tcPr>
                <w:p w14:paraId="07E5217C">
                  <w:pPr>
                    <w:pStyle w:val="60"/>
                    <w:rPr>
                      <w:rFonts w:hint="eastAsia" w:eastAsia="宋体"/>
                      <w:color w:val="auto"/>
                      <w:sz w:val="18"/>
                      <w:szCs w:val="18"/>
                      <w:lang w:val="en-US" w:eastAsia="zh-CN"/>
                    </w:rPr>
                  </w:pPr>
                  <w:r>
                    <w:rPr>
                      <w:rFonts w:hint="eastAsia"/>
                      <w:color w:val="auto"/>
                      <w:sz w:val="18"/>
                      <w:szCs w:val="18"/>
                    </w:rPr>
                    <w:t>1.</w:t>
                  </w:r>
                  <w:r>
                    <w:rPr>
                      <w:rFonts w:hint="eastAsia"/>
                      <w:color w:val="auto"/>
                      <w:sz w:val="18"/>
                      <w:szCs w:val="18"/>
                      <w:lang w:val="en-US" w:eastAsia="zh-CN"/>
                    </w:rPr>
                    <w:t>6</w:t>
                  </w:r>
                </w:p>
              </w:tc>
              <w:tc>
                <w:tcPr>
                  <w:tcW w:w="850" w:type="dxa"/>
                  <w:tcBorders>
                    <w:tl2br w:val="nil"/>
                    <w:tr2bl w:val="nil"/>
                  </w:tcBorders>
                  <w:vAlign w:val="center"/>
                </w:tcPr>
                <w:p w14:paraId="7C424B37">
                  <w:pPr>
                    <w:pStyle w:val="60"/>
                    <w:rPr>
                      <w:color w:val="auto"/>
                      <w:sz w:val="18"/>
                      <w:szCs w:val="18"/>
                    </w:rPr>
                  </w:pPr>
                  <w:r>
                    <w:rPr>
                      <w:rFonts w:hint="eastAsia"/>
                      <w:color w:val="auto"/>
                      <w:sz w:val="18"/>
                      <w:szCs w:val="18"/>
                    </w:rPr>
                    <w:t>4.0</w:t>
                  </w:r>
                </w:p>
              </w:tc>
              <w:tc>
                <w:tcPr>
                  <w:tcW w:w="1134" w:type="dxa"/>
                  <w:tcBorders>
                    <w:tl2br w:val="nil"/>
                    <w:tr2bl w:val="nil"/>
                  </w:tcBorders>
                  <w:vAlign w:val="center"/>
                </w:tcPr>
                <w:p w14:paraId="164C6D87">
                  <w:pPr>
                    <w:pStyle w:val="60"/>
                    <w:rPr>
                      <w:color w:val="auto"/>
                      <w:sz w:val="18"/>
                      <w:szCs w:val="18"/>
                    </w:rPr>
                  </w:pPr>
                  <w:r>
                    <w:rPr>
                      <w:rFonts w:hint="eastAsia"/>
                      <w:color w:val="auto"/>
                      <w:sz w:val="18"/>
                      <w:szCs w:val="18"/>
                    </w:rPr>
                    <w:t>达标</w:t>
                  </w:r>
                </w:p>
              </w:tc>
              <w:tc>
                <w:tcPr>
                  <w:tcW w:w="1098" w:type="dxa"/>
                  <w:vMerge w:val="continue"/>
                  <w:tcBorders>
                    <w:tl2br w:val="nil"/>
                    <w:tr2bl w:val="nil"/>
                  </w:tcBorders>
                  <w:vAlign w:val="center"/>
                </w:tcPr>
                <w:p w14:paraId="0D1280EE">
                  <w:pPr>
                    <w:pStyle w:val="60"/>
                    <w:spacing w:before="120"/>
                    <w:rPr>
                      <w:color w:val="auto"/>
                      <w:sz w:val="18"/>
                      <w:szCs w:val="18"/>
                    </w:rPr>
                  </w:pPr>
                </w:p>
              </w:tc>
            </w:tr>
            <w:tr w14:paraId="21583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3" w:type="dxa"/>
                  <w:tcBorders>
                    <w:tl2br w:val="nil"/>
                    <w:tr2bl w:val="nil"/>
                  </w:tcBorders>
                  <w:vAlign w:val="center"/>
                </w:tcPr>
                <w:p w14:paraId="1474BEED">
                  <w:pPr>
                    <w:pStyle w:val="60"/>
                    <w:rPr>
                      <w:color w:val="auto"/>
                      <w:sz w:val="18"/>
                      <w:szCs w:val="18"/>
                    </w:rPr>
                  </w:pPr>
                  <w:r>
                    <w:rPr>
                      <w:rFonts w:hint="eastAsia"/>
                      <w:color w:val="auto"/>
                      <w:sz w:val="18"/>
                      <w:szCs w:val="18"/>
                    </w:rPr>
                    <w:t>O</w:t>
                  </w:r>
                  <w:r>
                    <w:rPr>
                      <w:rFonts w:hint="eastAsia"/>
                      <w:color w:val="auto"/>
                      <w:sz w:val="18"/>
                      <w:szCs w:val="18"/>
                      <w:vertAlign w:val="subscript"/>
                    </w:rPr>
                    <w:t>3</w:t>
                  </w:r>
                </w:p>
              </w:tc>
              <w:tc>
                <w:tcPr>
                  <w:tcW w:w="3119" w:type="dxa"/>
                  <w:tcBorders>
                    <w:tl2br w:val="nil"/>
                    <w:tr2bl w:val="nil"/>
                  </w:tcBorders>
                  <w:vAlign w:val="center"/>
                </w:tcPr>
                <w:p w14:paraId="5DCD375A">
                  <w:pPr>
                    <w:pStyle w:val="60"/>
                    <w:rPr>
                      <w:color w:val="auto"/>
                      <w:sz w:val="18"/>
                      <w:szCs w:val="18"/>
                    </w:rPr>
                  </w:pPr>
                  <w:r>
                    <w:rPr>
                      <w:rFonts w:hint="eastAsia"/>
                      <w:color w:val="auto"/>
                      <w:sz w:val="18"/>
                      <w:szCs w:val="18"/>
                    </w:rPr>
                    <w:t>保证率90%日最大8小时滑动浓度</w:t>
                  </w:r>
                </w:p>
              </w:tc>
              <w:tc>
                <w:tcPr>
                  <w:tcW w:w="992" w:type="dxa"/>
                  <w:tcBorders>
                    <w:tl2br w:val="nil"/>
                    <w:tr2bl w:val="nil"/>
                  </w:tcBorders>
                  <w:vAlign w:val="center"/>
                </w:tcPr>
                <w:p w14:paraId="24D16CCF">
                  <w:pPr>
                    <w:pStyle w:val="60"/>
                    <w:rPr>
                      <w:rFonts w:hint="default" w:eastAsia="宋体"/>
                      <w:color w:val="auto"/>
                      <w:sz w:val="18"/>
                      <w:szCs w:val="18"/>
                      <w:lang w:val="en-US" w:eastAsia="zh-CN"/>
                    </w:rPr>
                  </w:pPr>
                  <w:r>
                    <w:rPr>
                      <w:rFonts w:hint="eastAsia"/>
                      <w:color w:val="auto"/>
                      <w:sz w:val="18"/>
                      <w:szCs w:val="18"/>
                    </w:rPr>
                    <w:t>1</w:t>
                  </w:r>
                  <w:r>
                    <w:rPr>
                      <w:rFonts w:hint="eastAsia"/>
                      <w:color w:val="auto"/>
                      <w:sz w:val="18"/>
                      <w:szCs w:val="18"/>
                      <w:lang w:val="en-US" w:eastAsia="zh-CN"/>
                    </w:rPr>
                    <w:t>86</w:t>
                  </w:r>
                </w:p>
              </w:tc>
              <w:tc>
                <w:tcPr>
                  <w:tcW w:w="850" w:type="dxa"/>
                  <w:tcBorders>
                    <w:tl2br w:val="nil"/>
                    <w:tr2bl w:val="nil"/>
                  </w:tcBorders>
                  <w:vAlign w:val="center"/>
                </w:tcPr>
                <w:p w14:paraId="1148175F">
                  <w:pPr>
                    <w:pStyle w:val="60"/>
                    <w:rPr>
                      <w:color w:val="auto"/>
                      <w:sz w:val="18"/>
                      <w:szCs w:val="18"/>
                    </w:rPr>
                  </w:pPr>
                  <w:r>
                    <w:rPr>
                      <w:rFonts w:hint="eastAsia"/>
                      <w:color w:val="auto"/>
                      <w:sz w:val="18"/>
                      <w:szCs w:val="18"/>
                    </w:rPr>
                    <w:t>160</w:t>
                  </w:r>
                </w:p>
              </w:tc>
              <w:tc>
                <w:tcPr>
                  <w:tcW w:w="1134" w:type="dxa"/>
                  <w:tcBorders>
                    <w:tl2br w:val="nil"/>
                    <w:tr2bl w:val="nil"/>
                  </w:tcBorders>
                  <w:vAlign w:val="center"/>
                </w:tcPr>
                <w:p w14:paraId="15B546A5">
                  <w:pPr>
                    <w:pStyle w:val="60"/>
                    <w:rPr>
                      <w:color w:val="auto"/>
                      <w:sz w:val="18"/>
                      <w:szCs w:val="18"/>
                    </w:rPr>
                  </w:pPr>
                  <w:r>
                    <w:rPr>
                      <w:rFonts w:hint="eastAsia"/>
                      <w:b/>
                      <w:bCs/>
                      <w:color w:val="auto"/>
                      <w:sz w:val="18"/>
                      <w:szCs w:val="18"/>
                    </w:rPr>
                    <w:t>超标</w:t>
                  </w:r>
                </w:p>
              </w:tc>
              <w:tc>
                <w:tcPr>
                  <w:tcW w:w="1098" w:type="dxa"/>
                  <w:vMerge w:val="continue"/>
                  <w:tcBorders>
                    <w:tl2br w:val="nil"/>
                    <w:tr2bl w:val="nil"/>
                  </w:tcBorders>
                  <w:vAlign w:val="center"/>
                </w:tcPr>
                <w:p w14:paraId="6663E515">
                  <w:pPr>
                    <w:pStyle w:val="60"/>
                    <w:spacing w:before="120"/>
                    <w:rPr>
                      <w:color w:val="auto"/>
                      <w:sz w:val="18"/>
                      <w:szCs w:val="18"/>
                    </w:rPr>
                  </w:pPr>
                </w:p>
              </w:tc>
            </w:tr>
          </w:tbl>
          <w:p w14:paraId="508A2EC8">
            <w:pPr>
              <w:keepNext w:val="0"/>
              <w:keepLines w:val="0"/>
              <w:pageBreakBefore w:val="0"/>
              <w:widowControl w:val="0"/>
              <w:kinsoku/>
              <w:wordWrap w:val="0"/>
              <w:overflowPunct/>
              <w:topLinePunct w:val="0"/>
              <w:autoSpaceDE/>
              <w:autoSpaceDN/>
              <w:bidi w:val="0"/>
              <w:adjustRightInd/>
              <w:snapToGrid/>
              <w:spacing w:line="440" w:lineRule="exact"/>
              <w:ind w:firstLine="420" w:firstLineChars="200"/>
              <w:textAlignment w:val="auto"/>
              <w:rPr>
                <w:color w:val="auto"/>
              </w:rPr>
            </w:pPr>
            <w:r>
              <w:rPr>
                <w:rFonts w:hint="eastAsia"/>
                <w:color w:val="auto"/>
              </w:rPr>
              <w:t>根据上表可知，202</w:t>
            </w:r>
            <w:r>
              <w:rPr>
                <w:rFonts w:hint="eastAsia"/>
                <w:color w:val="auto"/>
                <w:lang w:val="en-US" w:eastAsia="zh-CN"/>
              </w:rPr>
              <w:t>4</w:t>
            </w:r>
            <w:r>
              <w:rPr>
                <w:color w:val="auto"/>
              </w:rPr>
              <w:t>年</w:t>
            </w:r>
            <w:r>
              <w:rPr>
                <w:rFonts w:hint="eastAsia"/>
                <w:color w:val="auto"/>
              </w:rPr>
              <w:t>临淄区</w:t>
            </w:r>
            <w:r>
              <w:rPr>
                <w:color w:val="auto"/>
              </w:rPr>
              <w:t>SO</w:t>
            </w:r>
            <w:r>
              <w:rPr>
                <w:color w:val="auto"/>
                <w:vertAlign w:val="subscript"/>
              </w:rPr>
              <w:t>2</w:t>
            </w:r>
            <w:r>
              <w:rPr>
                <w:color w:val="auto"/>
              </w:rPr>
              <w:t>、NO</w:t>
            </w:r>
            <w:r>
              <w:rPr>
                <w:color w:val="auto"/>
                <w:vertAlign w:val="subscript"/>
              </w:rPr>
              <w:t>2</w:t>
            </w:r>
            <w:r>
              <w:rPr>
                <w:color w:val="auto"/>
              </w:rPr>
              <w:t>、CO满足《环境空气质量标准》（GB3095-2012）及其修改单二级标准要求，PM</w:t>
            </w:r>
            <w:r>
              <w:rPr>
                <w:color w:val="auto"/>
                <w:vertAlign w:val="subscript"/>
              </w:rPr>
              <w:t>10</w:t>
            </w:r>
            <w:r>
              <w:rPr>
                <w:rFonts w:hint="eastAsia"/>
                <w:color w:val="auto"/>
              </w:rPr>
              <w:t>、</w:t>
            </w:r>
            <w:r>
              <w:rPr>
                <w:color w:val="auto"/>
              </w:rPr>
              <w:t>PM</w:t>
            </w:r>
            <w:r>
              <w:rPr>
                <w:color w:val="auto"/>
                <w:vertAlign w:val="subscript"/>
              </w:rPr>
              <w:t>2.5</w:t>
            </w:r>
            <w:r>
              <w:rPr>
                <w:rFonts w:hint="eastAsia"/>
                <w:color w:val="auto"/>
              </w:rPr>
              <w:t>、</w:t>
            </w:r>
            <w:r>
              <w:rPr>
                <w:color w:val="auto"/>
              </w:rPr>
              <w:t>O</w:t>
            </w:r>
            <w:r>
              <w:rPr>
                <w:color w:val="auto"/>
                <w:vertAlign w:val="subscript"/>
              </w:rPr>
              <w:t>3</w:t>
            </w:r>
            <w:r>
              <w:rPr>
                <w:color w:val="auto"/>
              </w:rPr>
              <w:t>不满足《环境空气质量标准》（GB3095-2012）及其修改单二级标准要求，项目所在区域为不达标区。</w:t>
            </w:r>
          </w:p>
          <w:p w14:paraId="603186D8">
            <w:pPr>
              <w:spacing w:line="440" w:lineRule="exact"/>
              <w:ind w:firstLine="420" w:firstLineChars="200"/>
              <w:rPr>
                <w:color w:val="auto"/>
              </w:rPr>
            </w:pPr>
            <w:r>
              <w:rPr>
                <w:rFonts w:hint="eastAsia"/>
                <w:color w:val="auto"/>
              </w:rPr>
              <w:t>为了不断改善区域环境质量，淄博市采取了一系列大气污染治理措施。根据淄环委[2022]1号《关于印发淄博市新一轮“四减四增”三年行动方案的通知》及相关要求，采取调整产业结构，减少过剩和落后产业，增加新的增长动能；调整能源结构，减少煤炭消费，增加清洁能源使用；调整运输结构，减少公路运输量，增加铁路运输量；调整农业投入结构，减少化肥农药使用量，增加有机肥使用量。全面改善全市生态环境质量。</w:t>
            </w:r>
          </w:p>
          <w:p w14:paraId="670F04A7">
            <w:pPr>
              <w:spacing w:line="440" w:lineRule="exact"/>
              <w:ind w:firstLine="420" w:firstLineChars="200"/>
              <w:rPr>
                <w:color w:val="auto"/>
              </w:rPr>
            </w:pPr>
            <w:r>
              <w:rPr>
                <w:rFonts w:hint="eastAsia"/>
                <w:color w:val="auto"/>
              </w:rPr>
              <w:t>通过采取上述大气污染防治措施后，区域环境空气质量将有所改善。</w:t>
            </w:r>
          </w:p>
          <w:p w14:paraId="3C3D5544">
            <w:pPr>
              <w:spacing w:line="440" w:lineRule="exact"/>
              <w:ind w:firstLine="422" w:firstLineChars="200"/>
              <w:rPr>
                <w:b/>
                <w:color w:val="auto"/>
                <w:kern w:val="0"/>
                <w:szCs w:val="21"/>
              </w:rPr>
            </w:pPr>
            <w:r>
              <w:rPr>
                <w:b/>
                <w:color w:val="auto"/>
                <w:kern w:val="0"/>
                <w:szCs w:val="21"/>
              </w:rPr>
              <w:t>2、地表水环境</w:t>
            </w:r>
          </w:p>
          <w:p w14:paraId="495640F8">
            <w:pPr>
              <w:wordWrap w:val="0"/>
              <w:adjustRightInd w:val="0"/>
              <w:snapToGrid w:val="0"/>
              <w:spacing w:line="440" w:lineRule="exact"/>
              <w:ind w:firstLine="420" w:firstLineChars="200"/>
              <w:jc w:val="left"/>
              <w:rPr>
                <w:rFonts w:hint="eastAsia" w:eastAsia="宋体"/>
                <w:color w:val="auto"/>
                <w:kern w:val="0"/>
                <w:szCs w:val="21"/>
                <w:lang w:eastAsia="zh-CN"/>
              </w:rPr>
            </w:pPr>
            <w:r>
              <w:rPr>
                <w:rFonts w:hint="eastAsia"/>
                <w:color w:val="auto"/>
                <w:kern w:val="0"/>
                <w:szCs w:val="21"/>
              </w:rPr>
              <w:t>项目厂区周边纳污</w:t>
            </w:r>
            <w:r>
              <w:rPr>
                <w:color w:val="auto"/>
                <w:kern w:val="0"/>
                <w:szCs w:val="21"/>
              </w:rPr>
              <w:t>河流为运粮河，</w:t>
            </w:r>
            <w:r>
              <w:rPr>
                <w:rFonts w:hint="eastAsia"/>
                <w:color w:val="auto"/>
                <w:kern w:val="0"/>
                <w:szCs w:val="21"/>
              </w:rPr>
              <w:t>运粮河最终汇入乌河。根据淄博市生态环境局公布的《河流水质状况》（网站链接</w:t>
            </w:r>
            <w:r>
              <w:rPr>
                <w:rFonts w:hint="eastAsia"/>
                <w:color w:val="auto"/>
                <w:kern w:val="0"/>
                <w:szCs w:val="21"/>
                <w:lang w:eastAsia="zh-CN"/>
              </w:rPr>
              <w:t>：</w:t>
            </w:r>
            <w:r>
              <w:rPr>
                <w:rFonts w:hint="eastAsia"/>
                <w:color w:val="auto"/>
                <w:kern w:val="0"/>
                <w:szCs w:val="21"/>
              </w:rPr>
              <w:t>http://60.210.111.130:8623/zbhl/Web/index.html)，临淄区运粮河入乌河断面近1年水质信息情况如下</w:t>
            </w:r>
            <w:r>
              <w:rPr>
                <w:rFonts w:hint="eastAsia"/>
                <w:color w:val="auto"/>
                <w:kern w:val="0"/>
                <w:szCs w:val="21"/>
                <w:lang w:eastAsia="zh-CN"/>
              </w:rPr>
              <w:t>：</w:t>
            </w:r>
          </w:p>
          <w:p w14:paraId="19F4E2B7">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color w:val="auto"/>
                <w:kern w:val="0"/>
                <w:szCs w:val="21"/>
              </w:rPr>
            </w:pPr>
            <w:r>
              <w:rPr>
                <w:color w:val="auto"/>
              </w:rPr>
              <w:drawing>
                <wp:inline distT="0" distB="0" distL="114300" distR="114300">
                  <wp:extent cx="5389245" cy="2167255"/>
                  <wp:effectExtent l="0" t="0" r="1905" b="444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18"/>
                          <a:stretch>
                            <a:fillRect/>
                          </a:stretch>
                        </pic:blipFill>
                        <pic:spPr>
                          <a:xfrm>
                            <a:off x="0" y="0"/>
                            <a:ext cx="5389245" cy="2167255"/>
                          </a:xfrm>
                          <a:prstGeom prst="rect">
                            <a:avLst/>
                          </a:prstGeom>
                          <a:noFill/>
                          <a:ln>
                            <a:noFill/>
                          </a:ln>
                        </pic:spPr>
                      </pic:pic>
                    </a:graphicData>
                  </a:graphic>
                </wp:inline>
              </w:drawing>
            </w:r>
          </w:p>
          <w:p w14:paraId="276386D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color w:val="auto"/>
              </w:rPr>
            </w:pPr>
          </w:p>
          <w:p w14:paraId="1453420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eastAsia"/>
                <w:color w:val="auto"/>
                <w:kern w:val="0"/>
                <w:szCs w:val="21"/>
              </w:rPr>
            </w:pPr>
            <w:r>
              <w:rPr>
                <w:color w:val="auto"/>
              </w:rPr>
              <w:drawing>
                <wp:inline distT="0" distB="0" distL="114300" distR="114300">
                  <wp:extent cx="5398135" cy="2315845"/>
                  <wp:effectExtent l="0" t="0" r="12065" b="8255"/>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19"/>
                          <a:stretch>
                            <a:fillRect/>
                          </a:stretch>
                        </pic:blipFill>
                        <pic:spPr>
                          <a:xfrm>
                            <a:off x="0" y="0"/>
                            <a:ext cx="5398135" cy="2315845"/>
                          </a:xfrm>
                          <a:prstGeom prst="rect">
                            <a:avLst/>
                          </a:prstGeom>
                          <a:noFill/>
                          <a:ln>
                            <a:noFill/>
                          </a:ln>
                        </pic:spPr>
                      </pic:pic>
                    </a:graphicData>
                  </a:graphic>
                </wp:inline>
              </w:drawing>
            </w:r>
          </w:p>
          <w:p w14:paraId="145912E7">
            <w:pPr>
              <w:keepNext w:val="0"/>
              <w:keepLines w:val="0"/>
              <w:pageBreakBefore w:val="0"/>
              <w:widowControl w:val="0"/>
              <w:kinsoku/>
              <w:wordWrap w:val="0"/>
              <w:overflowPunct/>
              <w:topLinePunct w:val="0"/>
              <w:autoSpaceDE/>
              <w:autoSpaceDN/>
              <w:bidi w:val="0"/>
              <w:adjustRightInd w:val="0"/>
              <w:snapToGrid w:val="0"/>
              <w:spacing w:line="440" w:lineRule="exact"/>
              <w:ind w:firstLine="0" w:firstLineChars="0"/>
              <w:jc w:val="center"/>
              <w:textAlignment w:val="auto"/>
              <w:rPr>
                <w:rFonts w:hint="eastAsia"/>
                <w:b/>
                <w:bCs/>
                <w:color w:val="auto"/>
                <w:kern w:val="0"/>
                <w:szCs w:val="21"/>
              </w:rPr>
            </w:pPr>
            <w:r>
              <w:rPr>
                <w:rFonts w:hint="eastAsia"/>
                <w:b/>
                <w:bCs/>
                <w:color w:val="auto"/>
                <w:kern w:val="0"/>
                <w:szCs w:val="21"/>
              </w:rPr>
              <w:t xml:space="preserve">图3-1 </w:t>
            </w:r>
            <w:r>
              <w:rPr>
                <w:rFonts w:hint="eastAsia"/>
                <w:b/>
                <w:bCs/>
                <w:color w:val="auto"/>
                <w:kern w:val="0"/>
                <w:szCs w:val="21"/>
                <w:lang w:val="en-US" w:eastAsia="zh-CN"/>
              </w:rPr>
              <w:t xml:space="preserve"> </w:t>
            </w:r>
            <w:r>
              <w:rPr>
                <w:rFonts w:hint="eastAsia"/>
                <w:b/>
                <w:bCs/>
                <w:color w:val="auto"/>
                <w:kern w:val="0"/>
                <w:szCs w:val="21"/>
              </w:rPr>
              <w:t>运粮河入乌河断面近1年水质信息情况图</w:t>
            </w:r>
          </w:p>
          <w:p w14:paraId="670862D9">
            <w:pPr>
              <w:adjustRightInd w:val="0"/>
              <w:snapToGrid w:val="0"/>
              <w:spacing w:line="440" w:lineRule="exact"/>
              <w:ind w:firstLine="420" w:firstLineChars="200"/>
              <w:rPr>
                <w:color w:val="auto"/>
                <w:kern w:val="0"/>
                <w:szCs w:val="21"/>
              </w:rPr>
            </w:pPr>
            <w:r>
              <w:rPr>
                <w:rFonts w:hint="eastAsia"/>
                <w:color w:val="auto"/>
              </w:rPr>
              <w:t>根据上</w:t>
            </w:r>
            <w:r>
              <w:rPr>
                <w:rFonts w:hint="eastAsia"/>
                <w:color w:val="auto"/>
                <w:lang w:val="en-US" w:eastAsia="zh-CN"/>
              </w:rPr>
              <w:t>图</w:t>
            </w:r>
            <w:r>
              <w:rPr>
                <w:rFonts w:hint="eastAsia"/>
                <w:color w:val="auto"/>
              </w:rPr>
              <w:t>可知，</w:t>
            </w:r>
            <w:r>
              <w:rPr>
                <w:rFonts w:hint="eastAsia"/>
                <w:color w:val="auto"/>
                <w:lang w:val="en-US" w:eastAsia="zh-CN"/>
              </w:rPr>
              <w:t>近1年</w:t>
            </w:r>
            <w:r>
              <w:rPr>
                <w:rFonts w:hint="eastAsia"/>
                <w:color w:val="auto"/>
              </w:rPr>
              <w:t>运粮河入乌河断面</w:t>
            </w:r>
            <w:r>
              <w:rPr>
                <w:rFonts w:hint="eastAsia"/>
                <w:color w:val="auto"/>
                <w:lang w:val="en-US" w:eastAsia="zh-CN"/>
              </w:rPr>
              <w:t>氨氮不能</w:t>
            </w:r>
            <w:r>
              <w:rPr>
                <w:rFonts w:hint="eastAsia"/>
                <w:color w:val="auto"/>
              </w:rPr>
              <w:t>满足《地表水环境质量标准》（</w:t>
            </w:r>
            <w:r>
              <w:rPr>
                <w:color w:val="auto"/>
              </w:rPr>
              <w:t>GB3838-2002</w:t>
            </w:r>
            <w:r>
              <w:rPr>
                <w:rFonts w:hint="eastAsia"/>
                <w:color w:val="auto"/>
              </w:rPr>
              <w:t>）</w:t>
            </w:r>
            <w:r>
              <w:rPr>
                <w:color w:val="auto"/>
              </w:rPr>
              <w:t>Ⅴ类标准</w:t>
            </w:r>
            <w:r>
              <w:rPr>
                <w:rFonts w:hint="eastAsia"/>
                <w:color w:val="auto"/>
              </w:rPr>
              <w:t>要求</w:t>
            </w:r>
            <w:r>
              <w:rPr>
                <w:rFonts w:hint="eastAsia"/>
                <w:color w:val="auto"/>
                <w:kern w:val="0"/>
                <w:szCs w:val="21"/>
              </w:rPr>
              <w:t>。</w:t>
            </w:r>
          </w:p>
          <w:p w14:paraId="47C51166">
            <w:pPr>
              <w:adjustRightInd w:val="0"/>
              <w:snapToGrid w:val="0"/>
              <w:spacing w:line="440" w:lineRule="exact"/>
              <w:ind w:firstLine="420" w:firstLineChars="200"/>
              <w:rPr>
                <w:color w:val="auto"/>
                <w:kern w:val="0"/>
                <w:szCs w:val="21"/>
              </w:rPr>
            </w:pPr>
            <w:r>
              <w:rPr>
                <w:rFonts w:hint="eastAsia"/>
                <w:color w:val="auto"/>
                <w:kern w:val="0"/>
                <w:szCs w:val="21"/>
              </w:rPr>
              <w:t>临淄区积极推进乌河</w:t>
            </w:r>
            <w:r>
              <w:rPr>
                <w:rFonts w:hint="eastAsia"/>
                <w:color w:val="auto"/>
                <w:kern w:val="0"/>
                <w:szCs w:val="21"/>
                <w:lang w:val="en-US" w:eastAsia="zh-CN"/>
              </w:rPr>
              <w:t>及运粮河</w:t>
            </w:r>
            <w:r>
              <w:rPr>
                <w:rFonts w:hint="eastAsia"/>
                <w:color w:val="auto"/>
                <w:kern w:val="0"/>
                <w:szCs w:val="21"/>
              </w:rPr>
              <w:t>综合治理项目。该项目河道整治工程中对乌河河道进行清淤疏浚、岸坡修整，局部生态护砌等，改善河道的生态环境，通过截污蓄清形成连续水面，以河道生态水系建设为依托，利用各种植物措施，恢复河道自净能力，净化水质，缓解水污染、生态退化等威胁。采取以上措施后，水质将得到改善。</w:t>
            </w:r>
          </w:p>
          <w:p w14:paraId="54BC65D0">
            <w:pPr>
              <w:adjustRightInd w:val="0"/>
              <w:snapToGrid w:val="0"/>
              <w:spacing w:line="440" w:lineRule="exact"/>
              <w:ind w:firstLine="422" w:firstLineChars="200"/>
              <w:rPr>
                <w:b/>
                <w:color w:val="auto"/>
                <w:kern w:val="0"/>
                <w:szCs w:val="21"/>
              </w:rPr>
            </w:pPr>
            <w:r>
              <w:rPr>
                <w:b/>
                <w:color w:val="auto"/>
                <w:kern w:val="0"/>
                <w:szCs w:val="21"/>
              </w:rPr>
              <w:t>3、声环境</w:t>
            </w:r>
          </w:p>
          <w:p w14:paraId="6F0522FA">
            <w:pPr>
              <w:adjustRightInd w:val="0"/>
              <w:snapToGrid w:val="0"/>
              <w:spacing w:line="440" w:lineRule="exact"/>
              <w:ind w:firstLine="420" w:firstLineChars="200"/>
              <w:rPr>
                <w:rFonts w:hint="eastAsia"/>
                <w:color w:val="auto"/>
                <w:lang w:val="en-US" w:eastAsia="zh-CN"/>
              </w:rPr>
            </w:pPr>
            <w:r>
              <w:rPr>
                <w:rFonts w:hint="eastAsia"/>
                <w:color w:val="auto"/>
                <w:lang w:eastAsia="zh-CN"/>
              </w:rPr>
              <w:t>本项目厂界外50米范围内不存在声环境保护目标，因此，不对声环境质量现状进行评价。</w:t>
            </w:r>
          </w:p>
          <w:p w14:paraId="221C1B62">
            <w:pPr>
              <w:adjustRightInd w:val="0"/>
              <w:snapToGrid w:val="0"/>
              <w:spacing w:line="440" w:lineRule="exact"/>
              <w:ind w:firstLine="422" w:firstLineChars="200"/>
              <w:rPr>
                <w:b/>
                <w:color w:val="auto"/>
                <w:kern w:val="0"/>
                <w:szCs w:val="21"/>
                <w:highlight w:val="none"/>
              </w:rPr>
            </w:pPr>
            <w:r>
              <w:rPr>
                <w:b/>
                <w:color w:val="auto"/>
                <w:kern w:val="0"/>
                <w:szCs w:val="21"/>
                <w:highlight w:val="none"/>
              </w:rPr>
              <w:t>4、地下水</w:t>
            </w:r>
          </w:p>
          <w:p w14:paraId="4E687075">
            <w:pPr>
              <w:autoSpaceDE w:val="0"/>
              <w:autoSpaceDN w:val="0"/>
              <w:adjustRightInd w:val="0"/>
              <w:snapToGrid w:val="0"/>
              <w:spacing w:line="440" w:lineRule="exact"/>
              <w:ind w:firstLine="420" w:firstLineChars="200"/>
              <w:rPr>
                <w:rFonts w:hint="default" w:eastAsia="宋体"/>
                <w:color w:val="auto"/>
                <w:lang w:val="en-US" w:eastAsia="zh-CN"/>
              </w:rPr>
            </w:pPr>
            <w:r>
              <w:rPr>
                <w:rFonts w:hint="eastAsia"/>
                <w:color w:val="auto"/>
                <w:kern w:val="0"/>
                <w:szCs w:val="21"/>
                <w:lang w:val="en-US" w:eastAsia="zh-CN"/>
              </w:rPr>
              <w:t>为了解项目区域声环境质量现状，本次环评</w:t>
            </w:r>
            <w:r>
              <w:rPr>
                <w:rFonts w:hint="eastAsia"/>
                <w:color w:val="auto"/>
                <w:lang w:val="en-US" w:eastAsia="zh-CN"/>
              </w:rPr>
              <w:t>引用</w:t>
            </w:r>
            <w:r>
              <w:rPr>
                <w:rFonts w:hint="eastAsia"/>
                <w:color w:val="auto"/>
                <w:szCs w:val="24"/>
                <w:lang w:val="en-US" w:eastAsia="zh-CN"/>
              </w:rPr>
              <w:t>2025年9月山东奥维诺检测技术有限公司出具的山东诚光工贸有限公司地下水例行检测报告“AWNHJ-2025-2180”</w:t>
            </w:r>
            <w:r>
              <w:rPr>
                <w:rFonts w:hint="eastAsia"/>
                <w:color w:val="auto"/>
                <w:lang w:val="en-US" w:eastAsia="zh-CN"/>
              </w:rPr>
              <w:t>，</w:t>
            </w:r>
            <w:r>
              <w:rPr>
                <w:rFonts w:hint="eastAsia"/>
                <w:color w:val="auto"/>
              </w:rPr>
              <w:t>根据编制指南以及相关导则的技术要求，监测数据时效性符合规定</w:t>
            </w:r>
            <w:r>
              <w:rPr>
                <w:rFonts w:hint="eastAsia"/>
                <w:color w:val="auto"/>
                <w:lang w:val="en-US" w:eastAsia="zh-CN"/>
              </w:rPr>
              <w:t>。具体监测数据及统计结果具体如下：</w:t>
            </w:r>
          </w:p>
          <w:p w14:paraId="060C557C">
            <w:pPr>
              <w:adjustRightInd w:val="0"/>
              <w:snapToGrid w:val="0"/>
              <w:spacing w:before="120" w:beforeLines="50"/>
              <w:jc w:val="center"/>
              <w:rPr>
                <w:rFonts w:hint="eastAsia"/>
                <w:b/>
                <w:bCs/>
                <w:color w:val="auto"/>
                <w:kern w:val="0"/>
                <w:szCs w:val="21"/>
              </w:rPr>
            </w:pPr>
            <w:r>
              <w:rPr>
                <w:rFonts w:hint="eastAsia"/>
                <w:b/>
                <w:bCs/>
                <w:color w:val="auto"/>
                <w:kern w:val="0"/>
                <w:szCs w:val="21"/>
              </w:rPr>
              <w:t>表</w:t>
            </w:r>
            <w:r>
              <w:rPr>
                <w:rFonts w:hint="eastAsia"/>
                <w:b/>
                <w:bCs/>
                <w:color w:val="auto"/>
                <w:kern w:val="0"/>
                <w:szCs w:val="21"/>
                <w:lang w:val="en-US" w:eastAsia="zh-CN"/>
              </w:rPr>
              <w:t>3-2</w:t>
            </w:r>
            <w:r>
              <w:rPr>
                <w:rFonts w:hint="eastAsia"/>
                <w:b/>
                <w:bCs/>
                <w:color w:val="auto"/>
                <w:kern w:val="0"/>
                <w:szCs w:val="21"/>
              </w:rPr>
              <w:t xml:space="preserve">  地下水</w:t>
            </w:r>
            <w:r>
              <w:rPr>
                <w:rFonts w:hint="eastAsia"/>
                <w:b/>
                <w:bCs/>
                <w:color w:val="auto"/>
                <w:kern w:val="0"/>
                <w:szCs w:val="21"/>
                <w:lang w:val="en-US" w:eastAsia="zh-CN"/>
              </w:rPr>
              <w:t>例行检测</w:t>
            </w:r>
            <w:r>
              <w:rPr>
                <w:rFonts w:hint="eastAsia"/>
                <w:b/>
                <w:bCs/>
                <w:color w:val="auto"/>
                <w:kern w:val="0"/>
                <w:szCs w:val="21"/>
              </w:rPr>
              <w:t>结果一览表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54"/>
              <w:gridCol w:w="820"/>
              <w:gridCol w:w="1305"/>
              <w:gridCol w:w="1827"/>
              <w:gridCol w:w="1044"/>
              <w:gridCol w:w="1171"/>
            </w:tblGrid>
            <w:tr w14:paraId="6C36C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20521099">
                  <w:pPr>
                    <w:pStyle w:val="60"/>
                    <w:rPr>
                      <w:color w:val="auto"/>
                      <w:sz w:val="18"/>
                      <w:szCs w:val="18"/>
                    </w:rPr>
                  </w:pPr>
                  <w:r>
                    <w:rPr>
                      <w:rFonts w:hint="eastAsia"/>
                      <w:color w:val="auto"/>
                      <w:sz w:val="18"/>
                      <w:szCs w:val="18"/>
                    </w:rPr>
                    <w:t>监测项目</w:t>
                  </w:r>
                </w:p>
              </w:tc>
              <w:tc>
                <w:tcPr>
                  <w:tcW w:w="820" w:type="dxa"/>
                  <w:vAlign w:val="center"/>
                </w:tcPr>
                <w:p w14:paraId="07538AD6">
                  <w:pPr>
                    <w:pStyle w:val="60"/>
                    <w:rPr>
                      <w:color w:val="auto"/>
                      <w:sz w:val="18"/>
                      <w:szCs w:val="18"/>
                    </w:rPr>
                  </w:pPr>
                  <w:r>
                    <w:rPr>
                      <w:rFonts w:hint="eastAsia"/>
                      <w:color w:val="auto"/>
                      <w:sz w:val="18"/>
                      <w:szCs w:val="18"/>
                    </w:rPr>
                    <w:t>单位</w:t>
                  </w:r>
                </w:p>
              </w:tc>
              <w:tc>
                <w:tcPr>
                  <w:tcW w:w="1305" w:type="dxa"/>
                  <w:vAlign w:val="center"/>
                </w:tcPr>
                <w:p w14:paraId="558D4947">
                  <w:pPr>
                    <w:pStyle w:val="60"/>
                    <w:rPr>
                      <w:color w:val="auto"/>
                      <w:sz w:val="18"/>
                      <w:szCs w:val="18"/>
                    </w:rPr>
                  </w:pPr>
                  <w:r>
                    <w:rPr>
                      <w:rFonts w:hint="eastAsia"/>
                      <w:color w:val="auto"/>
                      <w:sz w:val="18"/>
                      <w:szCs w:val="18"/>
                    </w:rPr>
                    <w:t>监测结果</w:t>
                  </w:r>
                </w:p>
              </w:tc>
              <w:tc>
                <w:tcPr>
                  <w:tcW w:w="1829" w:type="dxa"/>
                  <w:vAlign w:val="center"/>
                </w:tcPr>
                <w:p w14:paraId="14C3DE40">
                  <w:pPr>
                    <w:pStyle w:val="60"/>
                    <w:rPr>
                      <w:rFonts w:hint="default" w:eastAsia="宋体"/>
                      <w:color w:val="auto"/>
                      <w:sz w:val="18"/>
                      <w:szCs w:val="18"/>
                      <w:lang w:val="en-US" w:eastAsia="zh-CN"/>
                    </w:rPr>
                  </w:pPr>
                  <w:r>
                    <w:rPr>
                      <w:rFonts w:hint="eastAsia"/>
                      <w:color w:val="auto"/>
                      <w:sz w:val="18"/>
                      <w:szCs w:val="18"/>
                      <w:lang w:val="en-US" w:eastAsia="zh-CN"/>
                    </w:rPr>
                    <w:t>监测项目</w:t>
                  </w:r>
                </w:p>
              </w:tc>
              <w:tc>
                <w:tcPr>
                  <w:tcW w:w="1045" w:type="dxa"/>
                  <w:vAlign w:val="center"/>
                </w:tcPr>
                <w:p w14:paraId="10BAA318">
                  <w:pPr>
                    <w:pStyle w:val="60"/>
                    <w:rPr>
                      <w:rFonts w:hint="eastAsia" w:eastAsia="宋体"/>
                      <w:color w:val="auto"/>
                      <w:sz w:val="18"/>
                      <w:szCs w:val="18"/>
                      <w:lang w:val="en-US" w:eastAsia="zh-CN"/>
                    </w:rPr>
                  </w:pPr>
                  <w:r>
                    <w:rPr>
                      <w:rFonts w:hint="eastAsia"/>
                      <w:color w:val="auto"/>
                      <w:sz w:val="18"/>
                      <w:szCs w:val="18"/>
                      <w:lang w:val="en-US" w:eastAsia="zh-CN"/>
                    </w:rPr>
                    <w:t>单位</w:t>
                  </w:r>
                </w:p>
              </w:tc>
              <w:tc>
                <w:tcPr>
                  <w:tcW w:w="1172" w:type="dxa"/>
                  <w:vAlign w:val="center"/>
                </w:tcPr>
                <w:p w14:paraId="5E470109">
                  <w:pPr>
                    <w:pStyle w:val="60"/>
                    <w:rPr>
                      <w:rFonts w:hint="eastAsia" w:eastAsia="宋体"/>
                      <w:color w:val="auto"/>
                      <w:sz w:val="18"/>
                      <w:szCs w:val="18"/>
                      <w:lang w:val="en-US" w:eastAsia="zh-CN"/>
                    </w:rPr>
                  </w:pPr>
                  <w:r>
                    <w:rPr>
                      <w:rFonts w:hint="eastAsia"/>
                      <w:color w:val="auto"/>
                      <w:sz w:val="18"/>
                      <w:szCs w:val="18"/>
                      <w:lang w:val="en-US" w:eastAsia="zh-CN"/>
                    </w:rPr>
                    <w:t>监测结果</w:t>
                  </w:r>
                </w:p>
              </w:tc>
            </w:tr>
            <w:tr w14:paraId="2E335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1A008140">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pH</w:t>
                  </w:r>
                </w:p>
              </w:tc>
              <w:tc>
                <w:tcPr>
                  <w:tcW w:w="820" w:type="dxa"/>
                  <w:shd w:val="clear" w:color="auto" w:fill="auto"/>
                  <w:vAlign w:val="center"/>
                </w:tcPr>
                <w:p w14:paraId="7AF24784">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无量纲</w:t>
                  </w:r>
                </w:p>
              </w:tc>
              <w:tc>
                <w:tcPr>
                  <w:tcW w:w="1305" w:type="dxa"/>
                  <w:shd w:val="clear" w:color="auto" w:fill="auto"/>
                  <w:vAlign w:val="center"/>
                </w:tcPr>
                <w:p w14:paraId="4B4B7AE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7.4（24.9℃）</w:t>
                  </w:r>
                </w:p>
              </w:tc>
              <w:tc>
                <w:tcPr>
                  <w:tcW w:w="1829" w:type="dxa"/>
                  <w:shd w:val="clear" w:color="auto" w:fill="auto"/>
                  <w:vAlign w:val="center"/>
                </w:tcPr>
                <w:p w14:paraId="6402517F">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挥发酚</w:t>
                  </w:r>
                </w:p>
              </w:tc>
              <w:tc>
                <w:tcPr>
                  <w:tcW w:w="1045" w:type="dxa"/>
                  <w:shd w:val="clear" w:color="auto" w:fill="auto"/>
                  <w:vAlign w:val="center"/>
                </w:tcPr>
                <w:p w14:paraId="61A88AE8">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mg/L</w:t>
                  </w:r>
                </w:p>
              </w:tc>
              <w:tc>
                <w:tcPr>
                  <w:tcW w:w="1172" w:type="dxa"/>
                  <w:shd w:val="clear" w:color="auto" w:fill="auto"/>
                  <w:vAlign w:val="center"/>
                </w:tcPr>
                <w:p w14:paraId="24AD4F1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0.0003L</w:t>
                  </w:r>
                </w:p>
              </w:tc>
            </w:tr>
            <w:tr w14:paraId="3FA16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537F78D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色度</w:t>
                  </w:r>
                </w:p>
              </w:tc>
              <w:tc>
                <w:tcPr>
                  <w:tcW w:w="820" w:type="dxa"/>
                  <w:shd w:val="clear" w:color="auto" w:fill="auto"/>
                  <w:vAlign w:val="center"/>
                </w:tcPr>
                <w:p w14:paraId="5DA2AE8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度</w:t>
                  </w:r>
                </w:p>
              </w:tc>
              <w:tc>
                <w:tcPr>
                  <w:tcW w:w="1305" w:type="dxa"/>
                  <w:shd w:val="clear" w:color="auto" w:fill="auto"/>
                  <w:vAlign w:val="center"/>
                </w:tcPr>
                <w:p w14:paraId="327307E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c>
                <w:tcPr>
                  <w:tcW w:w="1829" w:type="dxa"/>
                  <w:shd w:val="clear" w:color="auto" w:fill="auto"/>
                  <w:vAlign w:val="center"/>
                </w:tcPr>
                <w:p w14:paraId="13009BD1">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锰</w:t>
                  </w:r>
                </w:p>
              </w:tc>
              <w:tc>
                <w:tcPr>
                  <w:tcW w:w="1045" w:type="dxa"/>
                  <w:shd w:val="clear" w:color="auto" w:fill="auto"/>
                  <w:vAlign w:val="center"/>
                </w:tcPr>
                <w:p w14:paraId="369B435B">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2D52C87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0.01L</w:t>
                  </w:r>
                </w:p>
              </w:tc>
            </w:tr>
            <w:tr w14:paraId="5C03F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1C94A777">
                  <w:pPr>
                    <w:pStyle w:val="60"/>
                    <w:rPr>
                      <w:rFonts w:hint="eastAsia" w:eastAsia="宋体"/>
                      <w:color w:val="auto"/>
                      <w:sz w:val="18"/>
                      <w:szCs w:val="18"/>
                      <w:lang w:val="en-US" w:eastAsia="zh-CN"/>
                    </w:rPr>
                  </w:pPr>
                  <w:r>
                    <w:rPr>
                      <w:rFonts w:hint="eastAsia"/>
                      <w:color w:val="auto"/>
                      <w:sz w:val="18"/>
                      <w:szCs w:val="18"/>
                      <w:lang w:val="en-US" w:eastAsia="zh-CN"/>
                    </w:rPr>
                    <w:t>臭和味</w:t>
                  </w:r>
                </w:p>
              </w:tc>
              <w:tc>
                <w:tcPr>
                  <w:tcW w:w="820" w:type="dxa"/>
                  <w:vAlign w:val="center"/>
                </w:tcPr>
                <w:p w14:paraId="36B0FB6F">
                  <w:pPr>
                    <w:pStyle w:val="60"/>
                    <w:rPr>
                      <w:rFonts w:hint="default" w:eastAsia="宋体"/>
                      <w:color w:val="auto"/>
                      <w:sz w:val="18"/>
                      <w:szCs w:val="18"/>
                      <w:lang w:val="en-US" w:eastAsia="zh-CN"/>
                    </w:rPr>
                  </w:pPr>
                  <w:r>
                    <w:rPr>
                      <w:rFonts w:hint="eastAsia"/>
                      <w:color w:val="auto"/>
                      <w:sz w:val="18"/>
                      <w:szCs w:val="18"/>
                      <w:lang w:val="en-US" w:eastAsia="zh-CN"/>
                    </w:rPr>
                    <w:t>--</w:t>
                  </w:r>
                </w:p>
              </w:tc>
              <w:tc>
                <w:tcPr>
                  <w:tcW w:w="1305" w:type="dxa"/>
                  <w:vAlign w:val="center"/>
                </w:tcPr>
                <w:p w14:paraId="33910B61">
                  <w:pPr>
                    <w:pStyle w:val="60"/>
                    <w:rPr>
                      <w:rFonts w:hint="eastAsia" w:eastAsia="宋体"/>
                      <w:color w:val="auto"/>
                      <w:sz w:val="18"/>
                      <w:szCs w:val="18"/>
                      <w:lang w:val="en-US" w:eastAsia="zh-CN"/>
                    </w:rPr>
                  </w:pPr>
                  <w:r>
                    <w:rPr>
                      <w:rFonts w:hint="eastAsia"/>
                      <w:color w:val="auto"/>
                      <w:sz w:val="18"/>
                      <w:szCs w:val="18"/>
                      <w:lang w:val="en-US" w:eastAsia="zh-CN"/>
                    </w:rPr>
                    <w:t>无</w:t>
                  </w:r>
                </w:p>
              </w:tc>
              <w:tc>
                <w:tcPr>
                  <w:tcW w:w="1829" w:type="dxa"/>
                  <w:shd w:val="clear" w:color="auto" w:fill="auto"/>
                  <w:vAlign w:val="center"/>
                </w:tcPr>
                <w:p w14:paraId="1376915F">
                  <w:pPr>
                    <w:pStyle w:val="60"/>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铜</w:t>
                  </w:r>
                </w:p>
              </w:tc>
              <w:tc>
                <w:tcPr>
                  <w:tcW w:w="1045" w:type="dxa"/>
                  <w:shd w:val="clear" w:color="auto" w:fill="auto"/>
                  <w:vAlign w:val="center"/>
                </w:tcPr>
                <w:p w14:paraId="59648040">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3A4DCD9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1L</w:t>
                  </w:r>
                </w:p>
              </w:tc>
            </w:tr>
            <w:tr w14:paraId="07A7F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07A09697">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总硬度</w:t>
                  </w:r>
                </w:p>
              </w:tc>
              <w:tc>
                <w:tcPr>
                  <w:tcW w:w="820" w:type="dxa"/>
                  <w:shd w:val="clear" w:color="auto" w:fill="auto"/>
                  <w:vAlign w:val="center"/>
                </w:tcPr>
                <w:p w14:paraId="773737BF">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66FEB50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428</w:t>
                  </w:r>
                </w:p>
              </w:tc>
              <w:tc>
                <w:tcPr>
                  <w:tcW w:w="1829" w:type="dxa"/>
                  <w:shd w:val="clear" w:color="auto" w:fill="auto"/>
                  <w:vAlign w:val="center"/>
                </w:tcPr>
                <w:p w14:paraId="0EB031EC">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铅</w:t>
                  </w:r>
                </w:p>
              </w:tc>
              <w:tc>
                <w:tcPr>
                  <w:tcW w:w="1045" w:type="dxa"/>
                  <w:shd w:val="clear" w:color="auto" w:fill="auto"/>
                  <w:vAlign w:val="center"/>
                </w:tcPr>
                <w:p w14:paraId="22A959FD">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μg/L</w:t>
                  </w:r>
                </w:p>
              </w:tc>
              <w:tc>
                <w:tcPr>
                  <w:tcW w:w="1172" w:type="dxa"/>
                  <w:shd w:val="clear" w:color="auto" w:fill="auto"/>
                  <w:vAlign w:val="center"/>
                </w:tcPr>
                <w:p w14:paraId="5DBD39B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10L</w:t>
                  </w:r>
                </w:p>
              </w:tc>
            </w:tr>
            <w:tr w14:paraId="63D50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4036240E">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溶解性总固体</w:t>
                  </w:r>
                </w:p>
              </w:tc>
              <w:tc>
                <w:tcPr>
                  <w:tcW w:w="820" w:type="dxa"/>
                  <w:shd w:val="clear" w:color="auto" w:fill="auto"/>
                  <w:vAlign w:val="center"/>
                </w:tcPr>
                <w:p w14:paraId="19554865">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52B8B24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567</w:t>
                  </w:r>
                </w:p>
              </w:tc>
              <w:tc>
                <w:tcPr>
                  <w:tcW w:w="1829" w:type="dxa"/>
                  <w:shd w:val="clear" w:color="auto" w:fill="auto"/>
                  <w:vAlign w:val="center"/>
                </w:tcPr>
                <w:p w14:paraId="620EC36C">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镉</w:t>
                  </w:r>
                </w:p>
              </w:tc>
              <w:tc>
                <w:tcPr>
                  <w:tcW w:w="1045" w:type="dxa"/>
                  <w:shd w:val="clear" w:color="auto" w:fill="auto"/>
                  <w:vAlign w:val="center"/>
                </w:tcPr>
                <w:p w14:paraId="199F6448">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μg/L</w:t>
                  </w:r>
                </w:p>
              </w:tc>
              <w:tc>
                <w:tcPr>
                  <w:tcW w:w="1172" w:type="dxa"/>
                  <w:shd w:val="clear" w:color="auto" w:fill="auto"/>
                  <w:vAlign w:val="center"/>
                </w:tcPr>
                <w:p w14:paraId="618AB57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1L</w:t>
                  </w:r>
                </w:p>
              </w:tc>
            </w:tr>
            <w:tr w14:paraId="6B407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28CCCE1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浑浊度</w:t>
                  </w:r>
                </w:p>
              </w:tc>
              <w:tc>
                <w:tcPr>
                  <w:tcW w:w="820" w:type="dxa"/>
                  <w:shd w:val="clear" w:color="auto" w:fill="auto"/>
                  <w:vAlign w:val="center"/>
                </w:tcPr>
                <w:p w14:paraId="5FF6FFB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NTU</w:t>
                  </w:r>
                </w:p>
              </w:tc>
              <w:tc>
                <w:tcPr>
                  <w:tcW w:w="1305" w:type="dxa"/>
                  <w:shd w:val="clear" w:color="auto" w:fill="auto"/>
                  <w:vAlign w:val="center"/>
                </w:tcPr>
                <w:p w14:paraId="2E2B42E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0.8</w:t>
                  </w:r>
                </w:p>
              </w:tc>
              <w:tc>
                <w:tcPr>
                  <w:tcW w:w="1829" w:type="dxa"/>
                  <w:shd w:val="clear" w:color="auto" w:fill="auto"/>
                  <w:vAlign w:val="center"/>
                </w:tcPr>
                <w:p w14:paraId="023702D3">
                  <w:pPr>
                    <w:pStyle w:val="60"/>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锌</w:t>
                  </w:r>
                </w:p>
              </w:tc>
              <w:tc>
                <w:tcPr>
                  <w:tcW w:w="1045" w:type="dxa"/>
                  <w:shd w:val="clear" w:color="auto" w:fill="auto"/>
                  <w:vAlign w:val="center"/>
                </w:tcPr>
                <w:p w14:paraId="12DD70D2">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mg/L</w:t>
                  </w:r>
                </w:p>
              </w:tc>
              <w:tc>
                <w:tcPr>
                  <w:tcW w:w="1172" w:type="dxa"/>
                  <w:shd w:val="clear" w:color="auto" w:fill="auto"/>
                  <w:vAlign w:val="center"/>
                </w:tcPr>
                <w:p w14:paraId="6BDF54F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0.05L</w:t>
                  </w:r>
                </w:p>
              </w:tc>
            </w:tr>
            <w:tr w14:paraId="4AAD4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37B20DE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肉眼可见物</w:t>
                  </w:r>
                </w:p>
              </w:tc>
              <w:tc>
                <w:tcPr>
                  <w:tcW w:w="820" w:type="dxa"/>
                  <w:shd w:val="clear" w:color="auto" w:fill="auto"/>
                  <w:vAlign w:val="center"/>
                </w:tcPr>
                <w:p w14:paraId="18E22C02">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305" w:type="dxa"/>
                  <w:shd w:val="clear" w:color="auto" w:fill="auto"/>
                  <w:vAlign w:val="center"/>
                </w:tcPr>
                <w:p w14:paraId="3E00177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无</w:t>
                  </w:r>
                </w:p>
              </w:tc>
              <w:tc>
                <w:tcPr>
                  <w:tcW w:w="1829" w:type="dxa"/>
                  <w:shd w:val="clear" w:color="auto" w:fill="auto"/>
                  <w:vAlign w:val="center"/>
                </w:tcPr>
                <w:p w14:paraId="23C21F7E">
                  <w:pPr>
                    <w:pStyle w:val="60"/>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铝</w:t>
                  </w:r>
                </w:p>
              </w:tc>
              <w:tc>
                <w:tcPr>
                  <w:tcW w:w="1045" w:type="dxa"/>
                  <w:shd w:val="clear" w:color="auto" w:fill="auto"/>
                  <w:vAlign w:val="center"/>
                </w:tcPr>
                <w:p w14:paraId="5B41D860">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7ADBF11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10L</w:t>
                  </w:r>
                </w:p>
              </w:tc>
            </w:tr>
            <w:tr w14:paraId="044C4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31F7770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阴离子表面活性剂</w:t>
                  </w:r>
                </w:p>
              </w:tc>
              <w:tc>
                <w:tcPr>
                  <w:tcW w:w="820" w:type="dxa"/>
                  <w:shd w:val="clear" w:color="auto" w:fill="auto"/>
                  <w:vAlign w:val="center"/>
                </w:tcPr>
                <w:p w14:paraId="1A2FCFB1">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1A62E3A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0.05L</w:t>
                  </w:r>
                </w:p>
              </w:tc>
              <w:tc>
                <w:tcPr>
                  <w:tcW w:w="1829" w:type="dxa"/>
                  <w:shd w:val="clear" w:color="auto" w:fill="auto"/>
                  <w:vAlign w:val="center"/>
                </w:tcPr>
                <w:p w14:paraId="4B26E302">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铁</w:t>
                  </w:r>
                </w:p>
              </w:tc>
              <w:tc>
                <w:tcPr>
                  <w:tcW w:w="1045" w:type="dxa"/>
                  <w:shd w:val="clear" w:color="auto" w:fill="auto"/>
                  <w:vAlign w:val="center"/>
                </w:tcPr>
                <w:p w14:paraId="7D1B0C48">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28CA201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0.03L</w:t>
                  </w:r>
                </w:p>
              </w:tc>
            </w:tr>
            <w:tr w14:paraId="6BAD4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1E6D0170">
                  <w:pPr>
                    <w:pStyle w:val="60"/>
                    <w:rPr>
                      <w:rFonts w:hint="eastAsia" w:eastAsia="宋体"/>
                      <w:color w:val="auto"/>
                      <w:sz w:val="18"/>
                      <w:szCs w:val="18"/>
                      <w:lang w:val="en-US" w:eastAsia="zh-CN"/>
                    </w:rPr>
                  </w:pPr>
                  <w:r>
                    <w:rPr>
                      <w:rFonts w:hint="eastAsia"/>
                      <w:color w:val="auto"/>
                      <w:sz w:val="18"/>
                      <w:szCs w:val="18"/>
                      <w:lang w:val="en-US" w:eastAsia="zh-CN"/>
                    </w:rPr>
                    <w:t>高锰酸盐指数</w:t>
                  </w:r>
                </w:p>
              </w:tc>
              <w:tc>
                <w:tcPr>
                  <w:tcW w:w="820" w:type="dxa"/>
                  <w:vAlign w:val="center"/>
                </w:tcPr>
                <w:p w14:paraId="4B2C3BFD">
                  <w:pPr>
                    <w:pStyle w:val="60"/>
                    <w:rPr>
                      <w:rFonts w:hint="eastAsia"/>
                      <w:color w:val="auto"/>
                      <w:sz w:val="18"/>
                      <w:szCs w:val="18"/>
                    </w:rPr>
                  </w:pPr>
                  <w:r>
                    <w:rPr>
                      <w:color w:val="auto"/>
                      <w:sz w:val="18"/>
                      <w:szCs w:val="18"/>
                    </w:rPr>
                    <w:t>mg/L</w:t>
                  </w:r>
                </w:p>
              </w:tc>
              <w:tc>
                <w:tcPr>
                  <w:tcW w:w="1305" w:type="dxa"/>
                  <w:vAlign w:val="center"/>
                </w:tcPr>
                <w:p w14:paraId="350A3DA4">
                  <w:pPr>
                    <w:pStyle w:val="60"/>
                    <w:rPr>
                      <w:rFonts w:hint="default" w:eastAsia="宋体"/>
                      <w:color w:val="auto"/>
                      <w:sz w:val="18"/>
                      <w:szCs w:val="18"/>
                      <w:lang w:val="en-US" w:eastAsia="zh-CN"/>
                    </w:rPr>
                  </w:pPr>
                  <w:r>
                    <w:rPr>
                      <w:rFonts w:hint="eastAsia"/>
                      <w:color w:val="auto"/>
                      <w:sz w:val="18"/>
                      <w:szCs w:val="18"/>
                      <w:lang w:val="en-US" w:eastAsia="zh-CN"/>
                    </w:rPr>
                    <w:t>2.58</w:t>
                  </w:r>
                </w:p>
              </w:tc>
              <w:tc>
                <w:tcPr>
                  <w:tcW w:w="1829" w:type="dxa"/>
                  <w:shd w:val="clear" w:color="auto" w:fill="auto"/>
                  <w:vAlign w:val="center"/>
                </w:tcPr>
                <w:p w14:paraId="0F4B804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钠</w:t>
                  </w:r>
                </w:p>
              </w:tc>
              <w:tc>
                <w:tcPr>
                  <w:tcW w:w="1045" w:type="dxa"/>
                  <w:shd w:val="clear" w:color="auto" w:fill="auto"/>
                  <w:vAlign w:val="center"/>
                </w:tcPr>
                <w:p w14:paraId="75516CB2">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mg/L</w:t>
                  </w:r>
                </w:p>
              </w:tc>
              <w:tc>
                <w:tcPr>
                  <w:tcW w:w="1172" w:type="dxa"/>
                  <w:shd w:val="clear" w:color="auto" w:fill="auto"/>
                  <w:vAlign w:val="center"/>
                </w:tcPr>
                <w:p w14:paraId="412F5FBC">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33.8</w:t>
                  </w:r>
                </w:p>
              </w:tc>
            </w:tr>
            <w:tr w14:paraId="67F32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4E045EB9">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硝酸盐（以N计）</w:t>
                  </w:r>
                </w:p>
              </w:tc>
              <w:tc>
                <w:tcPr>
                  <w:tcW w:w="820" w:type="dxa"/>
                  <w:shd w:val="clear" w:color="auto" w:fill="auto"/>
                  <w:vAlign w:val="center"/>
                </w:tcPr>
                <w:p w14:paraId="7E711247">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vAlign w:val="center"/>
                </w:tcPr>
                <w:p w14:paraId="0DC63B13">
                  <w:pPr>
                    <w:pStyle w:val="60"/>
                    <w:rPr>
                      <w:rFonts w:hint="default" w:eastAsia="宋体"/>
                      <w:color w:val="auto"/>
                      <w:sz w:val="18"/>
                      <w:szCs w:val="18"/>
                      <w:lang w:val="en-US" w:eastAsia="zh-CN"/>
                    </w:rPr>
                  </w:pPr>
                  <w:r>
                    <w:rPr>
                      <w:rFonts w:hint="eastAsia"/>
                      <w:color w:val="auto"/>
                      <w:sz w:val="18"/>
                      <w:szCs w:val="18"/>
                      <w:lang w:val="en-US" w:eastAsia="zh-CN"/>
                    </w:rPr>
                    <w:t>0.55</w:t>
                  </w:r>
                </w:p>
              </w:tc>
              <w:tc>
                <w:tcPr>
                  <w:tcW w:w="1829" w:type="dxa"/>
                  <w:shd w:val="clear" w:color="auto" w:fill="auto"/>
                  <w:vAlign w:val="center"/>
                </w:tcPr>
                <w:p w14:paraId="0B464826">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汞</w:t>
                  </w:r>
                </w:p>
              </w:tc>
              <w:tc>
                <w:tcPr>
                  <w:tcW w:w="1045" w:type="dxa"/>
                  <w:shd w:val="clear" w:color="auto" w:fill="auto"/>
                  <w:vAlign w:val="center"/>
                </w:tcPr>
                <w:p w14:paraId="03664196">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475F73D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0.04L</w:t>
                  </w:r>
                </w:p>
              </w:tc>
            </w:tr>
            <w:tr w14:paraId="29A85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7652EAA7">
                  <w:pPr>
                    <w:pStyle w:val="60"/>
                    <w:rPr>
                      <w:rFonts w:hint="eastAsia" w:ascii="Times New Roman" w:hAnsi="Times New Roman" w:eastAsia="宋体" w:cs="Times New Roman"/>
                      <w:color w:val="auto"/>
                      <w:kern w:val="2"/>
                      <w:sz w:val="18"/>
                      <w:szCs w:val="18"/>
                      <w:lang w:val="en-US" w:eastAsia="zh-CN" w:bidi="ar-SA"/>
                    </w:rPr>
                  </w:pPr>
                  <w:r>
                    <w:rPr>
                      <w:color w:val="auto"/>
                      <w:sz w:val="18"/>
                      <w:szCs w:val="18"/>
                    </w:rPr>
                    <w:t>氟化物</w:t>
                  </w:r>
                </w:p>
              </w:tc>
              <w:tc>
                <w:tcPr>
                  <w:tcW w:w="820" w:type="dxa"/>
                  <w:shd w:val="clear" w:color="auto" w:fill="auto"/>
                  <w:vAlign w:val="center"/>
                </w:tcPr>
                <w:p w14:paraId="6600F7C9">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4E2EC23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0.40</w:t>
                  </w:r>
                </w:p>
              </w:tc>
              <w:tc>
                <w:tcPr>
                  <w:tcW w:w="1829" w:type="dxa"/>
                  <w:shd w:val="clear" w:color="auto" w:fill="auto"/>
                  <w:vAlign w:val="center"/>
                </w:tcPr>
                <w:p w14:paraId="653C9B9D">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砷</w:t>
                  </w:r>
                </w:p>
              </w:tc>
              <w:tc>
                <w:tcPr>
                  <w:tcW w:w="1045" w:type="dxa"/>
                  <w:shd w:val="clear" w:color="auto" w:fill="auto"/>
                  <w:vAlign w:val="center"/>
                </w:tcPr>
                <w:p w14:paraId="612AC5E7">
                  <w:pPr>
                    <w:pStyle w:val="60"/>
                    <w:rPr>
                      <w:rFonts w:ascii="Times New Roman" w:hAnsi="Times New Roman" w:eastAsia="宋体" w:cs="Times New Roman"/>
                      <w:color w:val="auto"/>
                      <w:kern w:val="2"/>
                      <w:sz w:val="18"/>
                      <w:szCs w:val="18"/>
                      <w:lang w:val="zh-CN"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40F7100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0.3L</w:t>
                  </w:r>
                </w:p>
              </w:tc>
            </w:tr>
            <w:tr w14:paraId="50C0D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3ABA1DE0">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亚硝酸盐（以N计）</w:t>
                  </w:r>
                </w:p>
              </w:tc>
              <w:tc>
                <w:tcPr>
                  <w:tcW w:w="820" w:type="dxa"/>
                  <w:shd w:val="clear" w:color="auto" w:fill="auto"/>
                  <w:vAlign w:val="center"/>
                </w:tcPr>
                <w:p w14:paraId="1118E289">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vAlign w:val="center"/>
                </w:tcPr>
                <w:p w14:paraId="02B7522D">
                  <w:pPr>
                    <w:pStyle w:val="60"/>
                    <w:rPr>
                      <w:rFonts w:hint="default" w:eastAsia="宋体"/>
                      <w:color w:val="auto"/>
                      <w:sz w:val="18"/>
                      <w:szCs w:val="18"/>
                      <w:lang w:val="en-US" w:eastAsia="zh-CN"/>
                    </w:rPr>
                  </w:pPr>
                  <w:r>
                    <w:rPr>
                      <w:rFonts w:hint="eastAsia"/>
                      <w:color w:val="auto"/>
                      <w:sz w:val="18"/>
                      <w:szCs w:val="18"/>
                      <w:lang w:val="en-US" w:eastAsia="zh-CN"/>
                    </w:rPr>
                    <w:t>0.416</w:t>
                  </w:r>
                </w:p>
              </w:tc>
              <w:tc>
                <w:tcPr>
                  <w:tcW w:w="1829" w:type="dxa"/>
                  <w:shd w:val="clear" w:color="auto" w:fill="auto"/>
                  <w:vAlign w:val="center"/>
                </w:tcPr>
                <w:p w14:paraId="7D7008D2">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硒</w:t>
                  </w:r>
                </w:p>
              </w:tc>
              <w:tc>
                <w:tcPr>
                  <w:tcW w:w="1045" w:type="dxa"/>
                  <w:shd w:val="clear" w:color="auto" w:fill="auto"/>
                  <w:vAlign w:val="center"/>
                </w:tcPr>
                <w:p w14:paraId="4E0F5C85">
                  <w:pPr>
                    <w:pStyle w:val="60"/>
                    <w:rPr>
                      <w:rFonts w:ascii="Times New Roman" w:hAnsi="Times New Roman" w:eastAsia="宋体" w:cs="Times New Roman"/>
                      <w:color w:val="auto"/>
                      <w:kern w:val="2"/>
                      <w:sz w:val="18"/>
                      <w:szCs w:val="18"/>
                      <w:lang w:val="zh-CN" w:eastAsia="zh-CN" w:bidi="ar-SA"/>
                    </w:rPr>
                  </w:pPr>
                  <w:r>
                    <w:rPr>
                      <w:color w:val="auto"/>
                      <w:sz w:val="18"/>
                      <w:szCs w:val="18"/>
                    </w:rPr>
                    <w:t>μg</w:t>
                  </w:r>
                  <w:r>
                    <w:rPr>
                      <w:rFonts w:hint="eastAsia"/>
                      <w:color w:val="auto"/>
                      <w:sz w:val="18"/>
                      <w:szCs w:val="18"/>
                    </w:rPr>
                    <w:t>/L</w:t>
                  </w:r>
                </w:p>
              </w:tc>
              <w:tc>
                <w:tcPr>
                  <w:tcW w:w="1172" w:type="dxa"/>
                  <w:shd w:val="clear" w:color="auto" w:fill="auto"/>
                  <w:vAlign w:val="center"/>
                </w:tcPr>
                <w:p w14:paraId="3E5D3A73">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0.4L</w:t>
                  </w:r>
                </w:p>
              </w:tc>
            </w:tr>
            <w:tr w14:paraId="4B66B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102EA65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三氯甲烷</w:t>
                  </w:r>
                </w:p>
              </w:tc>
              <w:tc>
                <w:tcPr>
                  <w:tcW w:w="820" w:type="dxa"/>
                  <w:shd w:val="clear" w:color="auto" w:fill="auto"/>
                  <w:vAlign w:val="center"/>
                </w:tcPr>
                <w:p w14:paraId="68B0922D">
                  <w:pPr>
                    <w:pStyle w:val="60"/>
                    <w:rPr>
                      <w:rFonts w:ascii="Times New Roman" w:hAnsi="Times New Roman" w:eastAsia="宋体" w:cs="Times New Roman"/>
                      <w:color w:val="auto"/>
                      <w:kern w:val="2"/>
                      <w:sz w:val="18"/>
                      <w:szCs w:val="18"/>
                      <w:lang w:val="zh-CN" w:eastAsia="zh-CN" w:bidi="ar-SA"/>
                    </w:rPr>
                  </w:pPr>
                  <w:r>
                    <w:rPr>
                      <w:color w:val="auto"/>
                      <w:sz w:val="18"/>
                      <w:szCs w:val="18"/>
                    </w:rPr>
                    <w:t>μg</w:t>
                  </w:r>
                  <w:r>
                    <w:rPr>
                      <w:rFonts w:hint="eastAsia"/>
                      <w:color w:val="auto"/>
                      <w:sz w:val="18"/>
                      <w:szCs w:val="18"/>
                    </w:rPr>
                    <w:t>/L</w:t>
                  </w:r>
                </w:p>
              </w:tc>
              <w:tc>
                <w:tcPr>
                  <w:tcW w:w="1305" w:type="dxa"/>
                  <w:vAlign w:val="center"/>
                </w:tcPr>
                <w:p w14:paraId="58E4AD20">
                  <w:pPr>
                    <w:pStyle w:val="60"/>
                    <w:rPr>
                      <w:rFonts w:hint="default" w:eastAsia="宋体"/>
                      <w:color w:val="auto"/>
                      <w:sz w:val="18"/>
                      <w:szCs w:val="18"/>
                      <w:lang w:val="en-US" w:eastAsia="zh-CN"/>
                    </w:rPr>
                  </w:pPr>
                  <w:r>
                    <w:rPr>
                      <w:rFonts w:hint="eastAsia"/>
                      <w:color w:val="auto"/>
                      <w:sz w:val="18"/>
                      <w:szCs w:val="18"/>
                      <w:lang w:val="en-US" w:eastAsia="zh-CN"/>
                    </w:rPr>
                    <w:t>0.4L</w:t>
                  </w:r>
                </w:p>
              </w:tc>
              <w:tc>
                <w:tcPr>
                  <w:tcW w:w="1829" w:type="dxa"/>
                  <w:shd w:val="clear" w:color="auto" w:fill="auto"/>
                  <w:vAlign w:val="center"/>
                </w:tcPr>
                <w:p w14:paraId="430DB899">
                  <w:pPr>
                    <w:pStyle w:val="60"/>
                    <w:rPr>
                      <w:rFonts w:ascii="Times New Roman" w:hAnsi="Times New Roman" w:eastAsia="宋体" w:cs="Times New Roman"/>
                      <w:color w:val="auto"/>
                      <w:kern w:val="2"/>
                      <w:sz w:val="18"/>
                      <w:szCs w:val="18"/>
                      <w:lang w:val="zh-CN" w:eastAsia="zh-CN" w:bidi="ar-SA"/>
                    </w:rPr>
                  </w:pPr>
                  <w:r>
                    <w:rPr>
                      <w:color w:val="auto"/>
                      <w:sz w:val="18"/>
                      <w:szCs w:val="18"/>
                    </w:rPr>
                    <w:t>氨氮（以N计）</w:t>
                  </w:r>
                </w:p>
              </w:tc>
              <w:tc>
                <w:tcPr>
                  <w:tcW w:w="1045" w:type="dxa"/>
                  <w:shd w:val="clear" w:color="auto" w:fill="auto"/>
                  <w:vAlign w:val="center"/>
                </w:tcPr>
                <w:p w14:paraId="006FA425">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55F8DBC2">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0.48</w:t>
                  </w:r>
                </w:p>
              </w:tc>
            </w:tr>
            <w:tr w14:paraId="0CDA3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3E6D9C5E">
                  <w:pPr>
                    <w:pStyle w:val="60"/>
                    <w:rPr>
                      <w:rFonts w:hint="eastAsia" w:eastAsia="宋体"/>
                      <w:color w:val="auto"/>
                      <w:sz w:val="18"/>
                      <w:szCs w:val="18"/>
                      <w:lang w:val="en-US" w:eastAsia="zh-CN"/>
                    </w:rPr>
                  </w:pPr>
                  <w:r>
                    <w:rPr>
                      <w:rFonts w:hint="eastAsia"/>
                      <w:color w:val="auto"/>
                      <w:sz w:val="18"/>
                      <w:szCs w:val="18"/>
                      <w:lang w:val="en-US" w:eastAsia="zh-CN"/>
                    </w:rPr>
                    <w:t>四氯化碳</w:t>
                  </w:r>
                </w:p>
              </w:tc>
              <w:tc>
                <w:tcPr>
                  <w:tcW w:w="820" w:type="dxa"/>
                  <w:vAlign w:val="center"/>
                </w:tcPr>
                <w:p w14:paraId="0E14928D">
                  <w:pPr>
                    <w:pStyle w:val="60"/>
                    <w:rPr>
                      <w:color w:val="auto"/>
                      <w:sz w:val="18"/>
                      <w:szCs w:val="18"/>
                    </w:rPr>
                  </w:pPr>
                  <w:r>
                    <w:rPr>
                      <w:color w:val="auto"/>
                      <w:sz w:val="18"/>
                      <w:szCs w:val="18"/>
                    </w:rPr>
                    <w:t>μg</w:t>
                  </w:r>
                  <w:r>
                    <w:rPr>
                      <w:rFonts w:hint="eastAsia"/>
                      <w:color w:val="auto"/>
                      <w:sz w:val="18"/>
                      <w:szCs w:val="18"/>
                    </w:rPr>
                    <w:t>/L</w:t>
                  </w:r>
                </w:p>
              </w:tc>
              <w:tc>
                <w:tcPr>
                  <w:tcW w:w="1305" w:type="dxa"/>
                  <w:vAlign w:val="center"/>
                </w:tcPr>
                <w:p w14:paraId="4646DAE1">
                  <w:pPr>
                    <w:pStyle w:val="60"/>
                    <w:rPr>
                      <w:rFonts w:hint="default" w:eastAsia="宋体"/>
                      <w:color w:val="auto"/>
                      <w:sz w:val="18"/>
                      <w:szCs w:val="18"/>
                      <w:lang w:val="en-US" w:eastAsia="zh-CN"/>
                    </w:rPr>
                  </w:pPr>
                  <w:r>
                    <w:rPr>
                      <w:rFonts w:hint="eastAsia"/>
                      <w:color w:val="auto"/>
                      <w:sz w:val="18"/>
                      <w:szCs w:val="18"/>
                      <w:lang w:val="en-US" w:eastAsia="zh-CN"/>
                    </w:rPr>
                    <w:t>0.4L</w:t>
                  </w:r>
                </w:p>
              </w:tc>
              <w:tc>
                <w:tcPr>
                  <w:tcW w:w="1829" w:type="dxa"/>
                  <w:shd w:val="clear" w:color="auto" w:fill="auto"/>
                  <w:vAlign w:val="center"/>
                </w:tcPr>
                <w:p w14:paraId="046975FF">
                  <w:pPr>
                    <w:pStyle w:val="60"/>
                    <w:rPr>
                      <w:rFonts w:ascii="Times New Roman" w:hAnsi="Times New Roman" w:eastAsia="宋体" w:cs="Times New Roman"/>
                      <w:color w:val="auto"/>
                      <w:kern w:val="2"/>
                      <w:sz w:val="18"/>
                      <w:szCs w:val="18"/>
                      <w:lang w:val="zh-CN" w:eastAsia="zh-CN" w:bidi="ar-SA"/>
                    </w:rPr>
                  </w:pPr>
                  <w:r>
                    <w:rPr>
                      <w:color w:val="auto"/>
                      <w:sz w:val="18"/>
                      <w:szCs w:val="18"/>
                    </w:rPr>
                    <w:t>硫化物</w:t>
                  </w:r>
                </w:p>
              </w:tc>
              <w:tc>
                <w:tcPr>
                  <w:tcW w:w="1045" w:type="dxa"/>
                  <w:shd w:val="clear" w:color="auto" w:fill="auto"/>
                  <w:vAlign w:val="center"/>
                </w:tcPr>
                <w:p w14:paraId="5CE072C1">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299F3C0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0.003L</w:t>
                  </w:r>
                </w:p>
              </w:tc>
            </w:tr>
            <w:tr w14:paraId="76F1B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2B3D1363">
                  <w:pPr>
                    <w:pStyle w:val="60"/>
                    <w:rPr>
                      <w:rFonts w:hint="default" w:eastAsia="宋体"/>
                      <w:color w:val="auto"/>
                      <w:sz w:val="18"/>
                      <w:szCs w:val="18"/>
                      <w:lang w:val="en-US" w:eastAsia="zh-CN"/>
                    </w:rPr>
                  </w:pPr>
                  <w:r>
                    <w:rPr>
                      <w:rFonts w:hint="eastAsia"/>
                      <w:color w:val="auto"/>
                      <w:sz w:val="18"/>
                      <w:szCs w:val="18"/>
                      <w:lang w:val="en-US" w:eastAsia="zh-CN"/>
                    </w:rPr>
                    <w:t>苯</w:t>
                  </w:r>
                </w:p>
              </w:tc>
              <w:tc>
                <w:tcPr>
                  <w:tcW w:w="820" w:type="dxa"/>
                  <w:vAlign w:val="center"/>
                </w:tcPr>
                <w:p w14:paraId="611D7DB4">
                  <w:pPr>
                    <w:pStyle w:val="60"/>
                    <w:rPr>
                      <w:rFonts w:hint="eastAsia" w:eastAsia="宋体"/>
                      <w:color w:val="auto"/>
                      <w:sz w:val="18"/>
                      <w:szCs w:val="18"/>
                      <w:lang w:val="en-US" w:eastAsia="zh-CN"/>
                    </w:rPr>
                  </w:pPr>
                  <w:r>
                    <w:rPr>
                      <w:color w:val="auto"/>
                      <w:sz w:val="18"/>
                      <w:szCs w:val="18"/>
                    </w:rPr>
                    <w:t>μg</w:t>
                  </w:r>
                  <w:r>
                    <w:rPr>
                      <w:rFonts w:hint="eastAsia"/>
                      <w:color w:val="auto"/>
                      <w:sz w:val="18"/>
                      <w:szCs w:val="18"/>
                    </w:rPr>
                    <w:t>/L</w:t>
                  </w:r>
                </w:p>
              </w:tc>
              <w:tc>
                <w:tcPr>
                  <w:tcW w:w="1305" w:type="dxa"/>
                  <w:vAlign w:val="center"/>
                </w:tcPr>
                <w:p w14:paraId="436C39D5">
                  <w:pPr>
                    <w:pStyle w:val="60"/>
                    <w:rPr>
                      <w:rFonts w:hint="default" w:eastAsia="宋体"/>
                      <w:color w:val="auto"/>
                      <w:sz w:val="18"/>
                      <w:szCs w:val="18"/>
                      <w:lang w:val="en-US" w:eastAsia="zh-CN"/>
                    </w:rPr>
                  </w:pPr>
                  <w:r>
                    <w:rPr>
                      <w:rFonts w:hint="eastAsia"/>
                      <w:color w:val="auto"/>
                      <w:sz w:val="18"/>
                      <w:szCs w:val="18"/>
                      <w:lang w:val="en-US" w:eastAsia="zh-CN"/>
                    </w:rPr>
                    <w:t>0.4L</w:t>
                  </w:r>
                </w:p>
              </w:tc>
              <w:tc>
                <w:tcPr>
                  <w:tcW w:w="1829" w:type="dxa"/>
                  <w:shd w:val="clear" w:color="auto" w:fill="auto"/>
                  <w:vAlign w:val="center"/>
                </w:tcPr>
                <w:p w14:paraId="7C7F29B2">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碘化物</w:t>
                  </w:r>
                </w:p>
              </w:tc>
              <w:tc>
                <w:tcPr>
                  <w:tcW w:w="1045" w:type="dxa"/>
                  <w:shd w:val="clear" w:color="auto" w:fill="auto"/>
                  <w:vAlign w:val="center"/>
                </w:tcPr>
                <w:p w14:paraId="356F7A44">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10B24C1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0.002L</w:t>
                  </w:r>
                </w:p>
              </w:tc>
            </w:tr>
            <w:tr w14:paraId="4D395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vAlign w:val="center"/>
                </w:tcPr>
                <w:p w14:paraId="31D4B400">
                  <w:pPr>
                    <w:pStyle w:val="60"/>
                    <w:rPr>
                      <w:rFonts w:hint="default" w:eastAsia="宋体"/>
                      <w:color w:val="auto"/>
                      <w:sz w:val="18"/>
                      <w:szCs w:val="18"/>
                      <w:lang w:val="en-US" w:eastAsia="zh-CN"/>
                    </w:rPr>
                  </w:pPr>
                  <w:r>
                    <w:rPr>
                      <w:rFonts w:hint="eastAsia"/>
                      <w:color w:val="auto"/>
                      <w:sz w:val="18"/>
                      <w:szCs w:val="18"/>
                      <w:lang w:val="en-US" w:eastAsia="zh-CN"/>
                    </w:rPr>
                    <w:t>甲苯</w:t>
                  </w:r>
                </w:p>
              </w:tc>
              <w:tc>
                <w:tcPr>
                  <w:tcW w:w="820" w:type="dxa"/>
                  <w:vAlign w:val="center"/>
                </w:tcPr>
                <w:p w14:paraId="480A3659">
                  <w:pPr>
                    <w:pStyle w:val="60"/>
                    <w:rPr>
                      <w:rFonts w:hint="default" w:eastAsia="宋体"/>
                      <w:color w:val="auto"/>
                      <w:sz w:val="18"/>
                      <w:szCs w:val="18"/>
                      <w:lang w:val="en-US" w:eastAsia="zh-CN"/>
                    </w:rPr>
                  </w:pPr>
                  <w:r>
                    <w:rPr>
                      <w:color w:val="auto"/>
                      <w:sz w:val="18"/>
                      <w:szCs w:val="18"/>
                    </w:rPr>
                    <w:t>μg</w:t>
                  </w:r>
                  <w:r>
                    <w:rPr>
                      <w:rFonts w:hint="eastAsia"/>
                      <w:color w:val="auto"/>
                      <w:sz w:val="18"/>
                      <w:szCs w:val="18"/>
                    </w:rPr>
                    <w:t>/L</w:t>
                  </w:r>
                </w:p>
              </w:tc>
              <w:tc>
                <w:tcPr>
                  <w:tcW w:w="1305" w:type="dxa"/>
                  <w:vAlign w:val="center"/>
                </w:tcPr>
                <w:p w14:paraId="4AD3BFB6">
                  <w:pPr>
                    <w:pStyle w:val="60"/>
                    <w:rPr>
                      <w:rFonts w:hint="default" w:eastAsia="宋体"/>
                      <w:color w:val="auto"/>
                      <w:sz w:val="18"/>
                      <w:szCs w:val="18"/>
                      <w:lang w:val="en-US" w:eastAsia="zh-CN"/>
                    </w:rPr>
                  </w:pPr>
                  <w:r>
                    <w:rPr>
                      <w:rFonts w:hint="eastAsia"/>
                      <w:color w:val="auto"/>
                      <w:sz w:val="18"/>
                      <w:szCs w:val="18"/>
                      <w:lang w:val="en-US" w:eastAsia="zh-CN"/>
                    </w:rPr>
                    <w:t>0.3L</w:t>
                  </w:r>
                </w:p>
              </w:tc>
              <w:tc>
                <w:tcPr>
                  <w:tcW w:w="1829" w:type="dxa"/>
                  <w:shd w:val="clear" w:color="auto" w:fill="auto"/>
                  <w:vAlign w:val="center"/>
                </w:tcPr>
                <w:p w14:paraId="01161487">
                  <w:pPr>
                    <w:pStyle w:val="60"/>
                    <w:rPr>
                      <w:rFonts w:ascii="Times New Roman" w:hAnsi="Times New Roman" w:eastAsia="宋体" w:cs="Times New Roman"/>
                      <w:color w:val="auto"/>
                      <w:kern w:val="2"/>
                      <w:sz w:val="18"/>
                      <w:szCs w:val="18"/>
                      <w:lang w:val="zh-CN" w:eastAsia="zh-CN" w:bidi="ar-SA"/>
                    </w:rPr>
                  </w:pPr>
                  <w:r>
                    <w:rPr>
                      <w:color w:val="auto"/>
                      <w:sz w:val="18"/>
                      <w:szCs w:val="18"/>
                    </w:rPr>
                    <w:t>硫酸盐</w:t>
                  </w:r>
                </w:p>
              </w:tc>
              <w:tc>
                <w:tcPr>
                  <w:tcW w:w="1045" w:type="dxa"/>
                  <w:shd w:val="clear" w:color="auto" w:fill="auto"/>
                  <w:vAlign w:val="center"/>
                </w:tcPr>
                <w:p w14:paraId="471E2B53">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6B70F66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76.6</w:t>
                  </w:r>
                </w:p>
              </w:tc>
            </w:tr>
            <w:tr w14:paraId="01024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17597724">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氯化物</w:t>
                  </w:r>
                </w:p>
              </w:tc>
              <w:tc>
                <w:tcPr>
                  <w:tcW w:w="820" w:type="dxa"/>
                  <w:shd w:val="clear" w:color="auto" w:fill="auto"/>
                  <w:vAlign w:val="center"/>
                </w:tcPr>
                <w:p w14:paraId="5E3C55A6">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mg/L</w:t>
                  </w:r>
                </w:p>
              </w:tc>
              <w:tc>
                <w:tcPr>
                  <w:tcW w:w="1305" w:type="dxa"/>
                  <w:shd w:val="clear" w:color="auto" w:fill="auto"/>
                  <w:vAlign w:val="center"/>
                </w:tcPr>
                <w:p w14:paraId="4BAEBCA3">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98.5</w:t>
                  </w:r>
                </w:p>
              </w:tc>
              <w:tc>
                <w:tcPr>
                  <w:tcW w:w="1829" w:type="dxa"/>
                  <w:shd w:val="clear" w:color="auto" w:fill="auto"/>
                  <w:vAlign w:val="center"/>
                </w:tcPr>
                <w:p w14:paraId="3104930D">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石油类</w:t>
                  </w:r>
                </w:p>
              </w:tc>
              <w:tc>
                <w:tcPr>
                  <w:tcW w:w="1045" w:type="dxa"/>
                  <w:shd w:val="clear" w:color="auto" w:fill="auto"/>
                  <w:vAlign w:val="center"/>
                </w:tcPr>
                <w:p w14:paraId="178A35F6">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2C44E8D9">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0.01L</w:t>
                  </w:r>
                </w:p>
              </w:tc>
            </w:tr>
            <w:tr w14:paraId="0577A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4ED3CE66">
                  <w:pPr>
                    <w:pStyle w:val="60"/>
                    <w:rPr>
                      <w:rFonts w:hint="default" w:ascii="Times New Roman" w:hAnsi="Times New Roman" w:eastAsia="宋体" w:cs="Times New Roman"/>
                      <w:color w:val="auto"/>
                      <w:kern w:val="2"/>
                      <w:sz w:val="18"/>
                      <w:szCs w:val="18"/>
                      <w:lang w:val="zh-CN" w:eastAsia="zh-CN" w:bidi="ar-SA"/>
                    </w:rPr>
                  </w:pPr>
                  <w:r>
                    <w:rPr>
                      <w:color w:val="auto"/>
                      <w:sz w:val="18"/>
                      <w:szCs w:val="18"/>
                    </w:rPr>
                    <w:t>六价铬</w:t>
                  </w:r>
                </w:p>
              </w:tc>
              <w:tc>
                <w:tcPr>
                  <w:tcW w:w="820" w:type="dxa"/>
                  <w:shd w:val="clear" w:color="auto" w:fill="auto"/>
                  <w:vAlign w:val="center"/>
                </w:tcPr>
                <w:p w14:paraId="2EA1F620">
                  <w:pPr>
                    <w:pStyle w:val="60"/>
                    <w:rPr>
                      <w:rFonts w:hint="default"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166BEB1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0.004L</w:t>
                  </w:r>
                </w:p>
              </w:tc>
              <w:tc>
                <w:tcPr>
                  <w:tcW w:w="1829" w:type="dxa"/>
                  <w:shd w:val="clear" w:color="auto" w:fill="auto"/>
                  <w:vAlign w:val="center"/>
                </w:tcPr>
                <w:p w14:paraId="1896B1D8">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甲醇</w:t>
                  </w:r>
                </w:p>
              </w:tc>
              <w:tc>
                <w:tcPr>
                  <w:tcW w:w="1045" w:type="dxa"/>
                  <w:shd w:val="clear" w:color="auto" w:fill="auto"/>
                  <w:vAlign w:val="center"/>
                </w:tcPr>
                <w:p w14:paraId="68317306">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4C1698E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0.2L</w:t>
                  </w:r>
                </w:p>
              </w:tc>
            </w:tr>
            <w:tr w14:paraId="2374F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56" w:type="dxa"/>
                  <w:shd w:val="clear" w:color="auto" w:fill="auto"/>
                  <w:vAlign w:val="center"/>
                </w:tcPr>
                <w:p w14:paraId="5A549E0B">
                  <w:pPr>
                    <w:pStyle w:val="60"/>
                    <w:rPr>
                      <w:rFonts w:ascii="Times New Roman" w:hAnsi="Times New Roman" w:eastAsia="宋体" w:cs="Times New Roman"/>
                      <w:color w:val="auto"/>
                      <w:kern w:val="2"/>
                      <w:sz w:val="18"/>
                      <w:szCs w:val="18"/>
                      <w:lang w:val="zh-CN" w:eastAsia="zh-CN" w:bidi="ar-SA"/>
                    </w:rPr>
                  </w:pPr>
                  <w:r>
                    <w:rPr>
                      <w:color w:val="auto"/>
                      <w:sz w:val="18"/>
                      <w:szCs w:val="18"/>
                    </w:rPr>
                    <w:t>氰化物</w:t>
                  </w:r>
                </w:p>
              </w:tc>
              <w:tc>
                <w:tcPr>
                  <w:tcW w:w="820" w:type="dxa"/>
                  <w:shd w:val="clear" w:color="auto" w:fill="auto"/>
                  <w:vAlign w:val="center"/>
                </w:tcPr>
                <w:p w14:paraId="7B3FF724">
                  <w:pPr>
                    <w:pStyle w:val="60"/>
                    <w:rPr>
                      <w:rFonts w:ascii="Times New Roman" w:hAnsi="Times New Roman" w:eastAsia="宋体" w:cs="Times New Roman"/>
                      <w:color w:val="auto"/>
                      <w:kern w:val="2"/>
                      <w:sz w:val="18"/>
                      <w:szCs w:val="18"/>
                      <w:lang w:val="zh-CN" w:eastAsia="zh-CN" w:bidi="ar-SA"/>
                    </w:rPr>
                  </w:pPr>
                  <w:r>
                    <w:rPr>
                      <w:color w:val="auto"/>
                      <w:sz w:val="18"/>
                      <w:szCs w:val="18"/>
                    </w:rPr>
                    <w:t>mg/L</w:t>
                  </w:r>
                </w:p>
              </w:tc>
              <w:tc>
                <w:tcPr>
                  <w:tcW w:w="1305" w:type="dxa"/>
                  <w:shd w:val="clear" w:color="auto" w:fill="auto"/>
                  <w:vAlign w:val="center"/>
                </w:tcPr>
                <w:p w14:paraId="5FF9168A">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0.002L</w:t>
                  </w:r>
                </w:p>
              </w:tc>
              <w:tc>
                <w:tcPr>
                  <w:tcW w:w="1829" w:type="dxa"/>
                  <w:shd w:val="clear" w:color="auto" w:fill="auto"/>
                  <w:vAlign w:val="center"/>
                </w:tcPr>
                <w:p w14:paraId="1B3D277E">
                  <w:pPr>
                    <w:pStyle w:val="60"/>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甲醛</w:t>
                  </w:r>
                </w:p>
              </w:tc>
              <w:tc>
                <w:tcPr>
                  <w:tcW w:w="1045" w:type="dxa"/>
                  <w:shd w:val="clear" w:color="auto" w:fill="auto"/>
                  <w:vAlign w:val="center"/>
                </w:tcPr>
                <w:p w14:paraId="1420CC8A">
                  <w:pPr>
                    <w:pStyle w:val="60"/>
                    <w:rPr>
                      <w:rFonts w:hint="default" w:ascii="Times New Roman" w:hAnsi="Times New Roman" w:eastAsia="宋体" w:cs="Times New Roman"/>
                      <w:color w:val="auto"/>
                      <w:kern w:val="2"/>
                      <w:sz w:val="18"/>
                      <w:szCs w:val="18"/>
                      <w:lang w:val="zh-CN" w:eastAsia="zh-CN" w:bidi="ar-SA"/>
                    </w:rPr>
                  </w:pPr>
                  <w:r>
                    <w:rPr>
                      <w:color w:val="auto"/>
                      <w:sz w:val="18"/>
                      <w:szCs w:val="18"/>
                    </w:rPr>
                    <w:t>mg/L</w:t>
                  </w:r>
                </w:p>
              </w:tc>
              <w:tc>
                <w:tcPr>
                  <w:tcW w:w="1172" w:type="dxa"/>
                  <w:shd w:val="clear" w:color="auto" w:fill="auto"/>
                  <w:vAlign w:val="center"/>
                </w:tcPr>
                <w:p w14:paraId="495393B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0.05L</w:t>
                  </w:r>
                </w:p>
              </w:tc>
            </w:tr>
          </w:tbl>
          <w:p w14:paraId="45085EBB">
            <w:pPr>
              <w:adjustRightInd w:val="0"/>
              <w:snapToGrid w:val="0"/>
              <w:spacing w:before="120" w:beforeLines="50"/>
              <w:jc w:val="center"/>
              <w:rPr>
                <w:rFonts w:hint="eastAsia"/>
                <w:b/>
                <w:bCs/>
                <w:color w:val="auto"/>
                <w:kern w:val="0"/>
                <w:szCs w:val="21"/>
              </w:rPr>
            </w:pPr>
            <w:r>
              <w:rPr>
                <w:rFonts w:hint="eastAsia"/>
                <w:b/>
                <w:bCs/>
                <w:color w:val="auto"/>
                <w:kern w:val="0"/>
                <w:szCs w:val="21"/>
              </w:rPr>
              <w:t>表3-</w:t>
            </w:r>
            <w:r>
              <w:rPr>
                <w:rFonts w:hint="eastAsia"/>
                <w:b/>
                <w:bCs/>
                <w:color w:val="auto"/>
                <w:kern w:val="0"/>
                <w:szCs w:val="21"/>
                <w:lang w:val="en-US" w:eastAsia="zh-CN"/>
              </w:rPr>
              <w:t>3</w:t>
            </w:r>
            <w:r>
              <w:rPr>
                <w:rFonts w:hint="eastAsia"/>
                <w:b/>
                <w:bCs/>
                <w:color w:val="auto"/>
                <w:kern w:val="0"/>
                <w:szCs w:val="21"/>
              </w:rPr>
              <w:t xml:space="preserve">  地下水水质现状评价结果汇总表</w:t>
            </w:r>
          </w:p>
          <w:tbl>
            <w:tblPr>
              <w:tblStyle w:val="22"/>
              <w:tblW w:w="842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35"/>
              <w:gridCol w:w="3857"/>
              <w:gridCol w:w="3529"/>
            </w:tblGrid>
            <w:tr w14:paraId="219419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tblHeader/>
                <w:jc w:val="center"/>
              </w:trPr>
              <w:tc>
                <w:tcPr>
                  <w:tcW w:w="1035" w:type="dxa"/>
                  <w:tcBorders>
                    <w:tl2br w:val="nil"/>
                    <w:tr2bl w:val="nil"/>
                  </w:tcBorders>
                  <w:vAlign w:val="center"/>
                </w:tcPr>
                <w:p w14:paraId="76371B14">
                  <w:pPr>
                    <w:pStyle w:val="60"/>
                    <w:rPr>
                      <w:b/>
                      <w:bCs/>
                      <w:color w:val="auto"/>
                      <w:sz w:val="18"/>
                      <w:szCs w:val="18"/>
                    </w:rPr>
                  </w:pPr>
                  <w:r>
                    <w:rPr>
                      <w:b/>
                      <w:bCs/>
                      <w:color w:val="auto"/>
                      <w:sz w:val="18"/>
                      <w:szCs w:val="18"/>
                    </w:rPr>
                    <w:t>序号</w:t>
                  </w:r>
                </w:p>
              </w:tc>
              <w:tc>
                <w:tcPr>
                  <w:tcW w:w="3857" w:type="dxa"/>
                  <w:tcBorders>
                    <w:tl2br w:val="nil"/>
                    <w:tr2bl w:val="nil"/>
                  </w:tcBorders>
                  <w:vAlign w:val="center"/>
                </w:tcPr>
                <w:p w14:paraId="3B16B24C">
                  <w:pPr>
                    <w:pStyle w:val="60"/>
                    <w:rPr>
                      <w:b/>
                      <w:bCs/>
                      <w:color w:val="auto"/>
                      <w:sz w:val="18"/>
                      <w:szCs w:val="18"/>
                    </w:rPr>
                  </w:pPr>
                  <w:r>
                    <w:rPr>
                      <w:b/>
                      <w:bCs/>
                      <w:color w:val="auto"/>
                      <w:sz w:val="18"/>
                      <w:szCs w:val="18"/>
                    </w:rPr>
                    <w:t>评价因子</w:t>
                  </w:r>
                </w:p>
              </w:tc>
              <w:tc>
                <w:tcPr>
                  <w:tcW w:w="3529" w:type="dxa"/>
                  <w:tcBorders>
                    <w:tl2br w:val="nil"/>
                    <w:tr2bl w:val="nil"/>
                  </w:tcBorders>
                  <w:vAlign w:val="center"/>
                </w:tcPr>
                <w:p w14:paraId="6079D913">
                  <w:pPr>
                    <w:pStyle w:val="60"/>
                    <w:rPr>
                      <w:b/>
                      <w:bCs/>
                      <w:color w:val="auto"/>
                      <w:sz w:val="18"/>
                      <w:szCs w:val="18"/>
                    </w:rPr>
                  </w:pPr>
                  <w:r>
                    <w:rPr>
                      <w:b/>
                      <w:bCs/>
                      <w:color w:val="auto"/>
                      <w:sz w:val="18"/>
                      <w:szCs w:val="18"/>
                    </w:rPr>
                    <w:t>标准指数</w:t>
                  </w:r>
                </w:p>
              </w:tc>
            </w:tr>
            <w:tr w14:paraId="558811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vAlign w:val="center"/>
                </w:tcPr>
                <w:p w14:paraId="699AF25D">
                  <w:pPr>
                    <w:pStyle w:val="60"/>
                    <w:rPr>
                      <w:color w:val="auto"/>
                      <w:sz w:val="18"/>
                      <w:szCs w:val="18"/>
                    </w:rPr>
                  </w:pPr>
                  <w:r>
                    <w:rPr>
                      <w:color w:val="auto"/>
                      <w:sz w:val="18"/>
                      <w:szCs w:val="18"/>
                    </w:rPr>
                    <w:t>1</w:t>
                  </w:r>
                </w:p>
              </w:tc>
              <w:tc>
                <w:tcPr>
                  <w:tcW w:w="3857" w:type="dxa"/>
                  <w:tcBorders>
                    <w:tl2br w:val="nil"/>
                    <w:tr2bl w:val="nil"/>
                  </w:tcBorders>
                  <w:shd w:val="clear" w:color="auto" w:fill="auto"/>
                  <w:vAlign w:val="center"/>
                </w:tcPr>
                <w:p w14:paraId="7850C408">
                  <w:pPr>
                    <w:pStyle w:val="60"/>
                    <w:rPr>
                      <w:rFonts w:ascii="Times New Roman" w:hAnsi="Times New Roman" w:eastAsia="宋体" w:cs="Times New Roman"/>
                      <w:color w:val="auto"/>
                      <w:kern w:val="2"/>
                      <w:sz w:val="18"/>
                      <w:szCs w:val="18"/>
                      <w:lang w:val="zh-CN" w:eastAsia="zh-CN" w:bidi="ar-SA"/>
                    </w:rPr>
                  </w:pPr>
                  <w:r>
                    <w:rPr>
                      <w:color w:val="auto"/>
                      <w:sz w:val="18"/>
                      <w:szCs w:val="18"/>
                    </w:rPr>
                    <w:t>pH</w:t>
                  </w:r>
                </w:p>
              </w:tc>
              <w:tc>
                <w:tcPr>
                  <w:tcW w:w="3529" w:type="dxa"/>
                  <w:tcBorders>
                    <w:tl2br w:val="nil"/>
                    <w:tr2bl w:val="nil"/>
                  </w:tcBorders>
                  <w:shd w:val="clear" w:color="auto" w:fill="auto"/>
                  <w:vAlign w:val="center"/>
                </w:tcPr>
                <w:p w14:paraId="4D7D567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0.200</w:t>
                  </w:r>
                </w:p>
              </w:tc>
            </w:tr>
            <w:tr w14:paraId="1DA877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vAlign w:val="center"/>
                </w:tcPr>
                <w:p w14:paraId="6024A2D6">
                  <w:pPr>
                    <w:pStyle w:val="60"/>
                    <w:rPr>
                      <w:color w:val="auto"/>
                      <w:sz w:val="18"/>
                      <w:szCs w:val="18"/>
                    </w:rPr>
                  </w:pPr>
                  <w:r>
                    <w:rPr>
                      <w:color w:val="auto"/>
                      <w:sz w:val="18"/>
                      <w:szCs w:val="18"/>
                    </w:rPr>
                    <w:t>2</w:t>
                  </w:r>
                </w:p>
              </w:tc>
              <w:tc>
                <w:tcPr>
                  <w:tcW w:w="3857" w:type="dxa"/>
                  <w:tcBorders>
                    <w:tl2br w:val="nil"/>
                    <w:tr2bl w:val="nil"/>
                  </w:tcBorders>
                  <w:shd w:val="clear" w:color="auto" w:fill="auto"/>
                  <w:vAlign w:val="center"/>
                </w:tcPr>
                <w:p w14:paraId="7887E19A">
                  <w:pPr>
                    <w:pStyle w:val="60"/>
                    <w:rPr>
                      <w:rFonts w:ascii="Times New Roman" w:hAnsi="Times New Roman" w:eastAsia="宋体" w:cs="Times New Roman"/>
                      <w:color w:val="auto"/>
                      <w:kern w:val="2"/>
                      <w:sz w:val="18"/>
                      <w:szCs w:val="18"/>
                      <w:lang w:val="zh-CN" w:eastAsia="zh-CN" w:bidi="ar-SA"/>
                    </w:rPr>
                  </w:pPr>
                  <w:r>
                    <w:rPr>
                      <w:color w:val="auto"/>
                      <w:sz w:val="18"/>
                      <w:szCs w:val="18"/>
                    </w:rPr>
                    <w:t>总硬度</w:t>
                  </w:r>
                </w:p>
              </w:tc>
              <w:tc>
                <w:tcPr>
                  <w:tcW w:w="3529" w:type="dxa"/>
                  <w:tcBorders>
                    <w:tl2br w:val="nil"/>
                    <w:tr2bl w:val="nil"/>
                  </w:tcBorders>
                  <w:shd w:val="clear" w:color="auto" w:fill="auto"/>
                  <w:vAlign w:val="center"/>
                </w:tcPr>
                <w:p w14:paraId="0FE6C670">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0.951</w:t>
                  </w:r>
                </w:p>
              </w:tc>
            </w:tr>
            <w:tr w14:paraId="411C97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vAlign w:val="center"/>
                </w:tcPr>
                <w:p w14:paraId="6303C00C">
                  <w:pPr>
                    <w:pStyle w:val="60"/>
                    <w:rPr>
                      <w:color w:val="auto"/>
                      <w:sz w:val="18"/>
                      <w:szCs w:val="18"/>
                    </w:rPr>
                  </w:pPr>
                  <w:r>
                    <w:rPr>
                      <w:color w:val="auto"/>
                      <w:sz w:val="18"/>
                      <w:szCs w:val="18"/>
                    </w:rPr>
                    <w:t>3</w:t>
                  </w:r>
                </w:p>
              </w:tc>
              <w:tc>
                <w:tcPr>
                  <w:tcW w:w="3857" w:type="dxa"/>
                  <w:tcBorders>
                    <w:tl2br w:val="nil"/>
                    <w:tr2bl w:val="nil"/>
                  </w:tcBorders>
                  <w:shd w:val="clear" w:color="auto" w:fill="auto"/>
                  <w:vAlign w:val="center"/>
                </w:tcPr>
                <w:p w14:paraId="21EB7FE7">
                  <w:pPr>
                    <w:pStyle w:val="60"/>
                    <w:rPr>
                      <w:rFonts w:ascii="Times New Roman" w:hAnsi="Times New Roman" w:eastAsia="宋体" w:cs="Times New Roman"/>
                      <w:color w:val="auto"/>
                      <w:kern w:val="2"/>
                      <w:sz w:val="18"/>
                      <w:szCs w:val="18"/>
                      <w:lang w:val="zh-CN" w:eastAsia="zh-CN" w:bidi="ar-SA"/>
                    </w:rPr>
                  </w:pPr>
                  <w:r>
                    <w:rPr>
                      <w:color w:val="auto"/>
                      <w:sz w:val="18"/>
                      <w:szCs w:val="18"/>
                    </w:rPr>
                    <w:t>溶解性总固体</w:t>
                  </w:r>
                </w:p>
              </w:tc>
              <w:tc>
                <w:tcPr>
                  <w:tcW w:w="3529" w:type="dxa"/>
                  <w:tcBorders>
                    <w:tl2br w:val="nil"/>
                    <w:tr2bl w:val="nil"/>
                  </w:tcBorders>
                  <w:shd w:val="clear" w:color="auto" w:fill="auto"/>
                  <w:vAlign w:val="center"/>
                </w:tcPr>
                <w:p w14:paraId="629677D7">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0.567</w:t>
                  </w:r>
                </w:p>
              </w:tc>
            </w:tr>
            <w:tr w14:paraId="346AD1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vAlign w:val="center"/>
                </w:tcPr>
                <w:p w14:paraId="00EF2963">
                  <w:pPr>
                    <w:pStyle w:val="60"/>
                    <w:rPr>
                      <w:color w:val="auto"/>
                      <w:sz w:val="18"/>
                      <w:szCs w:val="18"/>
                    </w:rPr>
                  </w:pPr>
                  <w:r>
                    <w:rPr>
                      <w:color w:val="auto"/>
                      <w:sz w:val="18"/>
                      <w:szCs w:val="18"/>
                    </w:rPr>
                    <w:t>4</w:t>
                  </w:r>
                </w:p>
              </w:tc>
              <w:tc>
                <w:tcPr>
                  <w:tcW w:w="3857" w:type="dxa"/>
                  <w:tcBorders>
                    <w:tl2br w:val="nil"/>
                    <w:tr2bl w:val="nil"/>
                  </w:tcBorders>
                  <w:vAlign w:val="center"/>
                </w:tcPr>
                <w:p w14:paraId="721365AC">
                  <w:pPr>
                    <w:pStyle w:val="60"/>
                    <w:rPr>
                      <w:rFonts w:hint="eastAsia" w:eastAsia="宋体"/>
                      <w:color w:val="auto"/>
                      <w:sz w:val="18"/>
                      <w:szCs w:val="18"/>
                      <w:lang w:val="en-US" w:eastAsia="zh-CN"/>
                    </w:rPr>
                  </w:pPr>
                  <w:r>
                    <w:rPr>
                      <w:rFonts w:hint="eastAsia"/>
                      <w:color w:val="auto"/>
                      <w:sz w:val="18"/>
                      <w:szCs w:val="18"/>
                      <w:lang w:val="en-US" w:eastAsia="zh-CN"/>
                    </w:rPr>
                    <w:t>浑浊度</w:t>
                  </w:r>
                </w:p>
              </w:tc>
              <w:tc>
                <w:tcPr>
                  <w:tcW w:w="3529" w:type="dxa"/>
                  <w:tcBorders>
                    <w:tl2br w:val="nil"/>
                    <w:tr2bl w:val="nil"/>
                  </w:tcBorders>
                  <w:vAlign w:val="center"/>
                </w:tcPr>
                <w:p w14:paraId="6D3065D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0.267</w:t>
                  </w:r>
                </w:p>
              </w:tc>
            </w:tr>
            <w:tr w14:paraId="1CEBBB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41506CE2">
                  <w:pPr>
                    <w:pStyle w:val="60"/>
                    <w:rPr>
                      <w:rFonts w:ascii="Times New Roman" w:hAnsi="Times New Roman" w:eastAsia="宋体" w:cs="Times New Roman"/>
                      <w:color w:val="auto"/>
                      <w:kern w:val="2"/>
                      <w:sz w:val="18"/>
                      <w:szCs w:val="18"/>
                      <w:lang w:val="zh-CN" w:eastAsia="zh-CN" w:bidi="ar-SA"/>
                    </w:rPr>
                  </w:pPr>
                  <w:r>
                    <w:rPr>
                      <w:color w:val="auto"/>
                      <w:sz w:val="18"/>
                      <w:szCs w:val="18"/>
                    </w:rPr>
                    <w:t>5</w:t>
                  </w:r>
                </w:p>
              </w:tc>
              <w:tc>
                <w:tcPr>
                  <w:tcW w:w="3857" w:type="dxa"/>
                  <w:tcBorders>
                    <w:tl2br w:val="nil"/>
                    <w:tr2bl w:val="nil"/>
                  </w:tcBorders>
                  <w:shd w:val="clear" w:color="auto" w:fill="auto"/>
                  <w:vAlign w:val="center"/>
                </w:tcPr>
                <w:p w14:paraId="63A115D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高锰酸盐指数（以O</w:t>
                  </w:r>
                  <w:r>
                    <w:rPr>
                      <w:rFonts w:hint="eastAsia"/>
                      <w:color w:val="auto"/>
                      <w:sz w:val="18"/>
                      <w:szCs w:val="18"/>
                      <w:vertAlign w:val="subscript"/>
                    </w:rPr>
                    <w:t>2</w:t>
                  </w:r>
                  <w:r>
                    <w:rPr>
                      <w:rFonts w:hint="eastAsia"/>
                      <w:color w:val="auto"/>
                      <w:sz w:val="18"/>
                      <w:szCs w:val="18"/>
                    </w:rPr>
                    <w:t>计）</w:t>
                  </w:r>
                </w:p>
              </w:tc>
              <w:tc>
                <w:tcPr>
                  <w:tcW w:w="3529" w:type="dxa"/>
                  <w:tcBorders>
                    <w:tl2br w:val="nil"/>
                    <w:tr2bl w:val="nil"/>
                  </w:tcBorders>
                  <w:shd w:val="clear" w:color="auto" w:fill="auto"/>
                  <w:vAlign w:val="center"/>
                </w:tcPr>
                <w:p w14:paraId="4051A100">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0.860</w:t>
                  </w:r>
                </w:p>
              </w:tc>
            </w:tr>
            <w:tr w14:paraId="447967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1C510077">
                  <w:pPr>
                    <w:pStyle w:val="60"/>
                    <w:rPr>
                      <w:rFonts w:ascii="Times New Roman" w:hAnsi="Times New Roman" w:eastAsia="宋体" w:cs="Times New Roman"/>
                      <w:color w:val="auto"/>
                      <w:kern w:val="2"/>
                      <w:sz w:val="18"/>
                      <w:szCs w:val="18"/>
                      <w:lang w:val="zh-CN" w:eastAsia="zh-CN" w:bidi="ar-SA"/>
                    </w:rPr>
                  </w:pPr>
                  <w:r>
                    <w:rPr>
                      <w:color w:val="auto"/>
                      <w:sz w:val="18"/>
                      <w:szCs w:val="18"/>
                    </w:rPr>
                    <w:t>6</w:t>
                  </w:r>
                </w:p>
              </w:tc>
              <w:tc>
                <w:tcPr>
                  <w:tcW w:w="3857" w:type="dxa"/>
                  <w:tcBorders>
                    <w:tl2br w:val="nil"/>
                    <w:tr2bl w:val="nil"/>
                  </w:tcBorders>
                  <w:shd w:val="clear" w:color="auto" w:fill="auto"/>
                  <w:vAlign w:val="center"/>
                </w:tcPr>
                <w:p w14:paraId="668515E0">
                  <w:pPr>
                    <w:pStyle w:val="60"/>
                    <w:rPr>
                      <w:rFonts w:hint="eastAsia"/>
                      <w:color w:val="auto"/>
                      <w:sz w:val="18"/>
                      <w:szCs w:val="18"/>
                    </w:rPr>
                  </w:pPr>
                  <w:r>
                    <w:rPr>
                      <w:color w:val="auto"/>
                      <w:sz w:val="18"/>
                      <w:szCs w:val="18"/>
                    </w:rPr>
                    <w:t>硝酸盐(以N计)</w:t>
                  </w:r>
                </w:p>
              </w:tc>
              <w:tc>
                <w:tcPr>
                  <w:tcW w:w="3529" w:type="dxa"/>
                  <w:tcBorders>
                    <w:tl2br w:val="nil"/>
                    <w:tr2bl w:val="nil"/>
                  </w:tcBorders>
                  <w:shd w:val="clear" w:color="auto" w:fill="auto"/>
                  <w:vAlign w:val="center"/>
                </w:tcPr>
                <w:p w14:paraId="321E69AB">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0.028</w:t>
                  </w:r>
                </w:p>
              </w:tc>
            </w:tr>
            <w:tr w14:paraId="2AFC1F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0EE922E0">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7</w:t>
                  </w:r>
                </w:p>
              </w:tc>
              <w:tc>
                <w:tcPr>
                  <w:tcW w:w="3857" w:type="dxa"/>
                  <w:tcBorders>
                    <w:tl2br w:val="nil"/>
                    <w:tr2bl w:val="nil"/>
                  </w:tcBorders>
                  <w:shd w:val="clear" w:color="auto" w:fill="auto"/>
                  <w:vAlign w:val="center"/>
                </w:tcPr>
                <w:p w14:paraId="02B53451">
                  <w:pPr>
                    <w:pStyle w:val="60"/>
                    <w:rPr>
                      <w:color w:val="auto"/>
                      <w:sz w:val="18"/>
                      <w:szCs w:val="18"/>
                    </w:rPr>
                  </w:pPr>
                  <w:r>
                    <w:rPr>
                      <w:color w:val="auto"/>
                      <w:sz w:val="18"/>
                      <w:szCs w:val="18"/>
                    </w:rPr>
                    <w:t>氟化物</w:t>
                  </w:r>
                </w:p>
              </w:tc>
              <w:tc>
                <w:tcPr>
                  <w:tcW w:w="3529" w:type="dxa"/>
                  <w:tcBorders>
                    <w:tl2br w:val="nil"/>
                    <w:tr2bl w:val="nil"/>
                  </w:tcBorders>
                  <w:shd w:val="clear" w:color="auto" w:fill="auto"/>
                  <w:vAlign w:val="center"/>
                </w:tcPr>
                <w:p w14:paraId="25AC811D">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0.400</w:t>
                  </w:r>
                </w:p>
              </w:tc>
            </w:tr>
            <w:tr w14:paraId="423F14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2BB1711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8</w:t>
                  </w:r>
                </w:p>
              </w:tc>
              <w:tc>
                <w:tcPr>
                  <w:tcW w:w="3857" w:type="dxa"/>
                  <w:tcBorders>
                    <w:tl2br w:val="nil"/>
                    <w:tr2bl w:val="nil"/>
                  </w:tcBorders>
                  <w:shd w:val="clear" w:color="auto" w:fill="auto"/>
                  <w:vAlign w:val="center"/>
                </w:tcPr>
                <w:p w14:paraId="061982FA">
                  <w:pPr>
                    <w:pStyle w:val="60"/>
                    <w:rPr>
                      <w:rFonts w:hint="eastAsia"/>
                      <w:color w:val="auto"/>
                      <w:sz w:val="18"/>
                      <w:szCs w:val="18"/>
                    </w:rPr>
                  </w:pPr>
                  <w:r>
                    <w:rPr>
                      <w:color w:val="auto"/>
                      <w:sz w:val="18"/>
                      <w:szCs w:val="18"/>
                    </w:rPr>
                    <w:t>亚硝酸盐(以N计)</w:t>
                  </w:r>
                </w:p>
              </w:tc>
              <w:tc>
                <w:tcPr>
                  <w:tcW w:w="3529" w:type="dxa"/>
                  <w:tcBorders>
                    <w:tl2br w:val="nil"/>
                    <w:tr2bl w:val="nil"/>
                  </w:tcBorders>
                  <w:shd w:val="clear" w:color="auto" w:fill="auto"/>
                  <w:vAlign w:val="center"/>
                </w:tcPr>
                <w:p w14:paraId="15B1FBF9">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0.461</w:t>
                  </w:r>
                </w:p>
              </w:tc>
            </w:tr>
            <w:tr w14:paraId="65FEEA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00E63CC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9</w:t>
                  </w:r>
                </w:p>
              </w:tc>
              <w:tc>
                <w:tcPr>
                  <w:tcW w:w="3857" w:type="dxa"/>
                  <w:tcBorders>
                    <w:tl2br w:val="nil"/>
                    <w:tr2bl w:val="nil"/>
                  </w:tcBorders>
                  <w:vAlign w:val="center"/>
                </w:tcPr>
                <w:p w14:paraId="1BB66AF2">
                  <w:pPr>
                    <w:pStyle w:val="60"/>
                    <w:rPr>
                      <w:color w:val="auto"/>
                      <w:sz w:val="18"/>
                      <w:szCs w:val="18"/>
                    </w:rPr>
                  </w:pPr>
                  <w:r>
                    <w:rPr>
                      <w:color w:val="auto"/>
                      <w:sz w:val="18"/>
                      <w:szCs w:val="18"/>
                    </w:rPr>
                    <w:t>氯化物</w:t>
                  </w:r>
                </w:p>
              </w:tc>
              <w:tc>
                <w:tcPr>
                  <w:tcW w:w="3529" w:type="dxa"/>
                  <w:tcBorders>
                    <w:tl2br w:val="nil"/>
                    <w:tr2bl w:val="nil"/>
                  </w:tcBorders>
                  <w:vAlign w:val="center"/>
                </w:tcPr>
                <w:p w14:paraId="403198C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0.394</w:t>
                  </w:r>
                </w:p>
              </w:tc>
            </w:tr>
            <w:tr w14:paraId="01F59E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7F77466E">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10</w:t>
                  </w:r>
                </w:p>
              </w:tc>
              <w:tc>
                <w:tcPr>
                  <w:tcW w:w="3857" w:type="dxa"/>
                  <w:tcBorders>
                    <w:tl2br w:val="nil"/>
                    <w:tr2bl w:val="nil"/>
                  </w:tcBorders>
                  <w:shd w:val="clear" w:color="auto" w:fill="auto"/>
                  <w:vAlign w:val="center"/>
                </w:tcPr>
                <w:p w14:paraId="1DD5D58F">
                  <w:pPr>
                    <w:pStyle w:val="60"/>
                    <w:rPr>
                      <w:rFonts w:ascii="Times New Roman" w:hAnsi="Times New Roman" w:eastAsia="宋体" w:cs="Times New Roman"/>
                      <w:color w:val="auto"/>
                      <w:kern w:val="2"/>
                      <w:sz w:val="18"/>
                      <w:szCs w:val="18"/>
                      <w:lang w:val="zh-CN" w:eastAsia="zh-CN" w:bidi="ar-SA"/>
                    </w:rPr>
                  </w:pPr>
                  <w:r>
                    <w:rPr>
                      <w:color w:val="auto"/>
                      <w:sz w:val="18"/>
                      <w:szCs w:val="18"/>
                    </w:rPr>
                    <w:t>钠</w:t>
                  </w:r>
                </w:p>
              </w:tc>
              <w:tc>
                <w:tcPr>
                  <w:tcW w:w="3529" w:type="dxa"/>
                  <w:tcBorders>
                    <w:tl2br w:val="nil"/>
                    <w:tr2bl w:val="nil"/>
                  </w:tcBorders>
                  <w:shd w:val="clear" w:color="auto" w:fill="auto"/>
                  <w:vAlign w:val="center"/>
                </w:tcPr>
                <w:p w14:paraId="2F6EA27F">
                  <w:pPr>
                    <w:pStyle w:val="60"/>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0.169</w:t>
                  </w:r>
                </w:p>
              </w:tc>
            </w:tr>
            <w:tr w14:paraId="07A80F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485DD02B">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11</w:t>
                  </w:r>
                </w:p>
              </w:tc>
              <w:tc>
                <w:tcPr>
                  <w:tcW w:w="3857" w:type="dxa"/>
                  <w:tcBorders>
                    <w:tl2br w:val="nil"/>
                    <w:tr2bl w:val="nil"/>
                  </w:tcBorders>
                  <w:vAlign w:val="center"/>
                </w:tcPr>
                <w:p w14:paraId="5207EB0B">
                  <w:pPr>
                    <w:pStyle w:val="60"/>
                    <w:rPr>
                      <w:color w:val="auto"/>
                      <w:sz w:val="18"/>
                      <w:szCs w:val="18"/>
                    </w:rPr>
                  </w:pPr>
                  <w:r>
                    <w:rPr>
                      <w:color w:val="auto"/>
                      <w:sz w:val="18"/>
                      <w:szCs w:val="18"/>
                    </w:rPr>
                    <w:t>氨氮</w:t>
                  </w:r>
                </w:p>
              </w:tc>
              <w:tc>
                <w:tcPr>
                  <w:tcW w:w="3529" w:type="dxa"/>
                  <w:tcBorders>
                    <w:tl2br w:val="nil"/>
                    <w:tr2bl w:val="nil"/>
                  </w:tcBorders>
                  <w:vAlign w:val="center"/>
                </w:tcPr>
                <w:p w14:paraId="14D0F4A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0.960</w:t>
                  </w:r>
                </w:p>
              </w:tc>
            </w:tr>
            <w:tr w14:paraId="719798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1035" w:type="dxa"/>
                  <w:tcBorders>
                    <w:tl2br w:val="nil"/>
                    <w:tr2bl w:val="nil"/>
                  </w:tcBorders>
                  <w:shd w:val="clear" w:color="auto" w:fill="auto"/>
                  <w:vAlign w:val="center"/>
                </w:tcPr>
                <w:p w14:paraId="556AB02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12</w:t>
                  </w:r>
                </w:p>
              </w:tc>
              <w:tc>
                <w:tcPr>
                  <w:tcW w:w="3857" w:type="dxa"/>
                  <w:tcBorders>
                    <w:tl2br w:val="nil"/>
                    <w:tr2bl w:val="nil"/>
                  </w:tcBorders>
                  <w:vAlign w:val="center"/>
                </w:tcPr>
                <w:p w14:paraId="78F5A182">
                  <w:pPr>
                    <w:pStyle w:val="60"/>
                    <w:rPr>
                      <w:color w:val="auto"/>
                      <w:sz w:val="18"/>
                      <w:szCs w:val="18"/>
                    </w:rPr>
                  </w:pPr>
                  <w:r>
                    <w:rPr>
                      <w:color w:val="auto"/>
                      <w:sz w:val="18"/>
                      <w:szCs w:val="18"/>
                    </w:rPr>
                    <w:t>硫酸盐</w:t>
                  </w:r>
                </w:p>
              </w:tc>
              <w:tc>
                <w:tcPr>
                  <w:tcW w:w="3529" w:type="dxa"/>
                  <w:tcBorders>
                    <w:tl2br w:val="nil"/>
                    <w:tr2bl w:val="nil"/>
                  </w:tcBorders>
                  <w:vAlign w:val="center"/>
                </w:tcPr>
                <w:p w14:paraId="0241FF6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0.306</w:t>
                  </w:r>
                </w:p>
              </w:tc>
            </w:tr>
            <w:tr w14:paraId="483B8A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4" w:hRule="atLeast"/>
                <w:jc w:val="center"/>
              </w:trPr>
              <w:tc>
                <w:tcPr>
                  <w:tcW w:w="8421" w:type="dxa"/>
                  <w:gridSpan w:val="3"/>
                  <w:tcBorders>
                    <w:tl2br w:val="nil"/>
                    <w:tr2bl w:val="nil"/>
                  </w:tcBorders>
                  <w:shd w:val="clear" w:color="auto" w:fill="auto"/>
                  <w:vAlign w:val="center"/>
                </w:tcPr>
                <w:p w14:paraId="06182BEC">
                  <w:pPr>
                    <w:pStyle w:val="60"/>
                    <w:jc w:val="both"/>
                    <w:rPr>
                      <w:rFonts w:hint="default"/>
                      <w:b w:val="0"/>
                      <w:bCs w:val="0"/>
                      <w:color w:val="auto"/>
                      <w:sz w:val="18"/>
                      <w:szCs w:val="18"/>
                      <w:lang w:val="en-US" w:eastAsia="zh-CN"/>
                    </w:rPr>
                  </w:pPr>
                  <w:r>
                    <w:rPr>
                      <w:rFonts w:hint="eastAsia"/>
                      <w:b w:val="0"/>
                      <w:bCs w:val="0"/>
                      <w:color w:val="auto"/>
                      <w:sz w:val="18"/>
                      <w:szCs w:val="18"/>
                      <w:lang w:val="en-US" w:eastAsia="zh-CN"/>
                    </w:rPr>
                    <w:t>备注：未检出的不予评价。</w:t>
                  </w:r>
                </w:p>
              </w:tc>
            </w:tr>
          </w:tbl>
          <w:p w14:paraId="0C3E4CC2">
            <w:pPr>
              <w:autoSpaceDE w:val="0"/>
              <w:autoSpaceDN w:val="0"/>
              <w:adjustRightInd w:val="0"/>
              <w:snapToGrid w:val="0"/>
              <w:spacing w:line="440" w:lineRule="exact"/>
              <w:ind w:firstLine="420" w:firstLineChars="200"/>
              <w:rPr>
                <w:rFonts w:hint="eastAsia" w:cs="Times New Roman"/>
                <w:color w:val="auto"/>
                <w:lang w:val="en-US" w:eastAsia="zh-CN"/>
              </w:rPr>
            </w:pPr>
          </w:p>
          <w:p w14:paraId="597672B2">
            <w:pPr>
              <w:autoSpaceDE w:val="0"/>
              <w:autoSpaceDN w:val="0"/>
              <w:adjustRightInd w:val="0"/>
              <w:snapToGrid w:val="0"/>
              <w:spacing w:line="440" w:lineRule="exact"/>
              <w:ind w:firstLine="420" w:firstLineChars="200"/>
              <w:rPr>
                <w:rFonts w:hint="eastAsia" w:cs="Times New Roman"/>
                <w:color w:val="auto"/>
                <w:lang w:val="en-US" w:eastAsia="zh-CN"/>
              </w:rPr>
            </w:pPr>
          </w:p>
          <w:p w14:paraId="552FA172">
            <w:pPr>
              <w:autoSpaceDE w:val="0"/>
              <w:autoSpaceDN w:val="0"/>
              <w:adjustRightInd w:val="0"/>
              <w:snapToGrid w:val="0"/>
              <w:spacing w:line="440" w:lineRule="exact"/>
              <w:ind w:firstLine="420" w:firstLineChars="200"/>
              <w:rPr>
                <w:color w:val="auto"/>
              </w:rPr>
            </w:pPr>
            <w:r>
              <w:rPr>
                <w:rFonts w:hint="eastAsia" w:cs="Times New Roman"/>
                <w:color w:val="auto"/>
                <w:lang w:val="en-US" w:eastAsia="zh-CN"/>
              </w:rPr>
              <w:t>根据上表数据</w:t>
            </w:r>
            <w:r>
              <w:rPr>
                <w:rFonts w:cs="Times New Roman"/>
                <w:color w:val="auto"/>
              </w:rPr>
              <w:t>，项目所在区域地下水环境质量</w:t>
            </w:r>
            <w:r>
              <w:rPr>
                <w:rFonts w:hint="eastAsia" w:cs="Times New Roman"/>
                <w:color w:val="auto"/>
                <w:lang w:val="en-US" w:eastAsia="zh-CN"/>
              </w:rPr>
              <w:t>能够</w:t>
            </w:r>
            <w:r>
              <w:rPr>
                <w:rFonts w:cs="Times New Roman"/>
                <w:color w:val="auto"/>
              </w:rPr>
              <w:t>满足《地下水质量标准》(GB/T14848-2017)Ⅲ类标准要求。</w:t>
            </w:r>
          </w:p>
          <w:p w14:paraId="763351B5">
            <w:pPr>
              <w:autoSpaceDE w:val="0"/>
              <w:autoSpaceDN w:val="0"/>
              <w:adjustRightInd w:val="0"/>
              <w:snapToGrid w:val="0"/>
              <w:spacing w:line="440" w:lineRule="exact"/>
              <w:ind w:firstLine="422" w:firstLineChars="200"/>
              <w:rPr>
                <w:rFonts w:hint="default" w:eastAsia="宋体"/>
                <w:b/>
                <w:bCs/>
                <w:color w:val="auto"/>
                <w:highlight w:val="none"/>
                <w:lang w:val="en-US" w:eastAsia="zh-CN"/>
              </w:rPr>
            </w:pPr>
            <w:r>
              <w:rPr>
                <w:rFonts w:hint="eastAsia"/>
                <w:b/>
                <w:bCs/>
                <w:color w:val="auto"/>
                <w:highlight w:val="none"/>
                <w:lang w:val="en-US" w:eastAsia="zh-CN"/>
              </w:rPr>
              <w:t>5、土壤</w:t>
            </w:r>
          </w:p>
          <w:p w14:paraId="34DC8E7D">
            <w:pPr>
              <w:autoSpaceDE w:val="0"/>
              <w:autoSpaceDN w:val="0"/>
              <w:adjustRightInd w:val="0"/>
              <w:snapToGrid w:val="0"/>
              <w:spacing w:line="440" w:lineRule="exact"/>
              <w:ind w:firstLine="420" w:firstLineChars="200"/>
              <w:rPr>
                <w:color w:val="auto"/>
              </w:rPr>
            </w:pPr>
            <w:r>
              <w:rPr>
                <w:rFonts w:ascii="Times New Roman"/>
                <w:color w:val="auto"/>
                <w:sz w:val="21"/>
                <w:szCs w:val="21"/>
              </w:rPr>
              <w:t>为了解本项目区域</w:t>
            </w:r>
            <w:r>
              <w:rPr>
                <w:rFonts w:hint="eastAsia" w:ascii="Times New Roman"/>
                <w:color w:val="auto"/>
                <w:sz w:val="21"/>
                <w:szCs w:val="21"/>
              </w:rPr>
              <w:t>土壤</w:t>
            </w:r>
            <w:r>
              <w:rPr>
                <w:rFonts w:ascii="Times New Roman"/>
                <w:color w:val="auto"/>
                <w:sz w:val="21"/>
                <w:szCs w:val="21"/>
              </w:rPr>
              <w:t>环境质量现状</w:t>
            </w:r>
            <w:r>
              <w:rPr>
                <w:rFonts w:hint="eastAsia" w:ascii="Times New Roman"/>
                <w:color w:val="auto"/>
                <w:sz w:val="21"/>
                <w:szCs w:val="21"/>
                <w:lang w:eastAsia="zh-CN"/>
              </w:rPr>
              <w:t>，</w:t>
            </w:r>
            <w:r>
              <w:rPr>
                <w:rFonts w:hint="eastAsia"/>
                <w:color w:val="auto"/>
                <w:lang w:val="en-US" w:eastAsia="zh-CN"/>
              </w:rPr>
              <w:t>本次环评引用</w:t>
            </w:r>
            <w:r>
              <w:rPr>
                <w:rFonts w:hint="eastAsia"/>
                <w:color w:val="auto"/>
                <w:szCs w:val="24"/>
                <w:lang w:val="en-US" w:eastAsia="zh-CN"/>
              </w:rPr>
              <w:t>2026年1月山东九盛检测科技有限公司出具的山东诚光工贸有限公司土壤例行检测报告“九盛（检）字2025第12131号”</w:t>
            </w:r>
            <w:r>
              <w:rPr>
                <w:rFonts w:hint="eastAsia"/>
                <w:color w:val="auto"/>
                <w:lang w:val="en-US" w:eastAsia="zh-CN"/>
              </w:rPr>
              <w:t>，</w:t>
            </w:r>
            <w:r>
              <w:rPr>
                <w:rFonts w:ascii="Times New Roman"/>
                <w:color w:val="auto"/>
                <w:sz w:val="21"/>
                <w:szCs w:val="21"/>
              </w:rPr>
              <w:t>根据编制指南以及相关导则的技术要求，监测数据时效性符合规定</w:t>
            </w:r>
            <w:r>
              <w:rPr>
                <w:rFonts w:hint="eastAsia"/>
                <w:color w:val="auto"/>
                <w:lang w:val="en-US" w:eastAsia="zh-CN"/>
              </w:rPr>
              <w:t>。具体监测数据及统计结果如下：</w:t>
            </w:r>
          </w:p>
          <w:p w14:paraId="60294638">
            <w:pPr>
              <w:adjustRightInd w:val="0"/>
              <w:snapToGrid w:val="0"/>
              <w:spacing w:before="120" w:beforeLines="50"/>
              <w:jc w:val="center"/>
              <w:rPr>
                <w:rFonts w:hint="eastAsia"/>
                <w:b/>
                <w:bCs/>
                <w:color w:val="auto"/>
                <w:kern w:val="0"/>
                <w:szCs w:val="21"/>
              </w:rPr>
            </w:pPr>
            <w:r>
              <w:rPr>
                <w:rFonts w:hint="eastAsia"/>
                <w:b/>
                <w:bCs/>
                <w:color w:val="auto"/>
                <w:kern w:val="0"/>
                <w:szCs w:val="21"/>
              </w:rPr>
              <w:t>表</w:t>
            </w:r>
            <w:r>
              <w:rPr>
                <w:rFonts w:hint="eastAsia"/>
                <w:b/>
                <w:bCs/>
                <w:color w:val="auto"/>
                <w:kern w:val="0"/>
                <w:szCs w:val="21"/>
                <w:lang w:val="en-US" w:eastAsia="zh-CN"/>
              </w:rPr>
              <w:t>3-4</w:t>
            </w:r>
            <w:r>
              <w:rPr>
                <w:rFonts w:hint="eastAsia"/>
                <w:b/>
                <w:bCs/>
                <w:color w:val="auto"/>
                <w:kern w:val="0"/>
                <w:szCs w:val="21"/>
              </w:rPr>
              <w:t xml:space="preserve">  土壤</w:t>
            </w:r>
            <w:r>
              <w:rPr>
                <w:rFonts w:hint="eastAsia"/>
                <w:b/>
                <w:bCs/>
                <w:color w:val="auto"/>
                <w:kern w:val="0"/>
                <w:szCs w:val="21"/>
                <w:lang w:val="en-US" w:eastAsia="zh-CN"/>
              </w:rPr>
              <w:t>例行</w:t>
            </w:r>
            <w:r>
              <w:rPr>
                <w:rFonts w:hint="eastAsia"/>
                <w:b/>
                <w:bCs/>
                <w:color w:val="auto"/>
                <w:kern w:val="0"/>
                <w:szCs w:val="21"/>
              </w:rPr>
              <w:t>监测结果一览表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06"/>
              <w:gridCol w:w="758"/>
              <w:gridCol w:w="878"/>
              <w:gridCol w:w="17"/>
              <w:gridCol w:w="873"/>
              <w:gridCol w:w="25"/>
              <w:gridCol w:w="864"/>
              <w:gridCol w:w="32"/>
              <w:gridCol w:w="854"/>
              <w:gridCol w:w="42"/>
              <w:gridCol w:w="839"/>
              <w:gridCol w:w="59"/>
              <w:gridCol w:w="820"/>
              <w:gridCol w:w="85"/>
              <w:gridCol w:w="994"/>
              <w:gridCol w:w="77"/>
              <w:gridCol w:w="898"/>
            </w:tblGrid>
            <w:tr w14:paraId="526A8D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vAlign w:val="center"/>
                </w:tcPr>
                <w:p w14:paraId="2A77AEA8">
                  <w:pPr>
                    <w:pStyle w:val="60"/>
                    <w:rPr>
                      <w:color w:val="auto"/>
                      <w:sz w:val="18"/>
                      <w:szCs w:val="18"/>
                    </w:rPr>
                  </w:pPr>
                  <w:r>
                    <w:rPr>
                      <w:color w:val="auto"/>
                      <w:sz w:val="18"/>
                      <w:szCs w:val="18"/>
                    </w:rPr>
                    <w:t>监测</w:t>
                  </w:r>
                </w:p>
                <w:p w14:paraId="4C74347A">
                  <w:pPr>
                    <w:pStyle w:val="60"/>
                    <w:rPr>
                      <w:color w:val="auto"/>
                      <w:sz w:val="18"/>
                      <w:szCs w:val="18"/>
                    </w:rPr>
                  </w:pPr>
                  <w:r>
                    <w:rPr>
                      <w:color w:val="auto"/>
                      <w:sz w:val="18"/>
                      <w:szCs w:val="18"/>
                    </w:rPr>
                    <w:t>点位</w:t>
                  </w:r>
                </w:p>
              </w:tc>
              <w:tc>
                <w:tcPr>
                  <w:tcW w:w="760" w:type="dxa"/>
                  <w:vMerge w:val="restart"/>
                  <w:vAlign w:val="center"/>
                </w:tcPr>
                <w:p w14:paraId="210E172C">
                  <w:pPr>
                    <w:pStyle w:val="60"/>
                    <w:rPr>
                      <w:color w:val="auto"/>
                      <w:sz w:val="18"/>
                      <w:szCs w:val="18"/>
                    </w:rPr>
                  </w:pPr>
                  <w:r>
                    <w:rPr>
                      <w:color w:val="auto"/>
                      <w:sz w:val="18"/>
                      <w:szCs w:val="18"/>
                    </w:rPr>
                    <w:t>取样层次</w:t>
                  </w:r>
                </w:p>
              </w:tc>
              <w:tc>
                <w:tcPr>
                  <w:tcW w:w="7359" w:type="dxa"/>
                  <w:gridSpan w:val="15"/>
                  <w:vAlign w:val="center"/>
                </w:tcPr>
                <w:p w14:paraId="349BA736">
                  <w:pPr>
                    <w:pStyle w:val="60"/>
                    <w:rPr>
                      <w:color w:val="auto"/>
                      <w:sz w:val="18"/>
                      <w:szCs w:val="18"/>
                    </w:rPr>
                  </w:pPr>
                  <w:r>
                    <w:rPr>
                      <w:color w:val="auto"/>
                      <w:sz w:val="18"/>
                      <w:szCs w:val="18"/>
                    </w:rPr>
                    <w:t>监测项目与结果</w:t>
                  </w:r>
                </w:p>
              </w:tc>
            </w:tr>
            <w:tr w14:paraId="2DF622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vAlign w:val="center"/>
                </w:tcPr>
                <w:p w14:paraId="5CB9806D">
                  <w:pPr>
                    <w:pStyle w:val="60"/>
                    <w:rPr>
                      <w:color w:val="auto"/>
                      <w:sz w:val="18"/>
                      <w:szCs w:val="18"/>
                    </w:rPr>
                  </w:pPr>
                </w:p>
              </w:tc>
              <w:tc>
                <w:tcPr>
                  <w:tcW w:w="760" w:type="dxa"/>
                  <w:vMerge w:val="continue"/>
                  <w:vAlign w:val="center"/>
                </w:tcPr>
                <w:p w14:paraId="5380CDEE">
                  <w:pPr>
                    <w:pStyle w:val="60"/>
                    <w:rPr>
                      <w:color w:val="auto"/>
                      <w:sz w:val="18"/>
                      <w:szCs w:val="18"/>
                    </w:rPr>
                  </w:pPr>
                </w:p>
              </w:tc>
              <w:tc>
                <w:tcPr>
                  <w:tcW w:w="896" w:type="dxa"/>
                  <w:gridSpan w:val="2"/>
                  <w:shd w:val="clear" w:color="auto" w:fill="auto"/>
                  <w:vAlign w:val="center"/>
                </w:tcPr>
                <w:p w14:paraId="79E009F1">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砷</w:t>
                  </w:r>
                </w:p>
                <w:p w14:paraId="18E43426">
                  <w:pPr>
                    <w:pStyle w:val="60"/>
                    <w:rPr>
                      <w:rFonts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(mg/kg)</w:t>
                  </w:r>
                </w:p>
              </w:tc>
              <w:tc>
                <w:tcPr>
                  <w:tcW w:w="898" w:type="dxa"/>
                  <w:gridSpan w:val="2"/>
                  <w:shd w:val="clear" w:color="auto" w:fill="auto"/>
                  <w:vAlign w:val="center"/>
                </w:tcPr>
                <w:p w14:paraId="5DA9BF46">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镉</w:t>
                  </w:r>
                </w:p>
                <w:p w14:paraId="77C38154">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896" w:type="dxa"/>
                  <w:gridSpan w:val="2"/>
                  <w:shd w:val="clear" w:color="auto" w:fill="auto"/>
                  <w:vAlign w:val="center"/>
                </w:tcPr>
                <w:p w14:paraId="4F804C2C">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铜</w:t>
                  </w:r>
                </w:p>
                <w:p w14:paraId="74D32C2E">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896" w:type="dxa"/>
                  <w:gridSpan w:val="2"/>
                  <w:shd w:val="clear" w:color="auto" w:fill="auto"/>
                  <w:vAlign w:val="center"/>
                </w:tcPr>
                <w:p w14:paraId="6973615A">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铅</w:t>
                  </w:r>
                </w:p>
                <w:p w14:paraId="47F4ED6B">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898" w:type="dxa"/>
                  <w:gridSpan w:val="2"/>
                  <w:shd w:val="clear" w:color="auto" w:fill="auto"/>
                  <w:vAlign w:val="center"/>
                </w:tcPr>
                <w:p w14:paraId="42D493B7">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汞</w:t>
                  </w:r>
                </w:p>
                <w:p w14:paraId="1AAEA0B0">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905" w:type="dxa"/>
                  <w:gridSpan w:val="2"/>
                  <w:shd w:val="clear" w:color="auto" w:fill="auto"/>
                  <w:vAlign w:val="center"/>
                </w:tcPr>
                <w:p w14:paraId="356D8B7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六价铬</w:t>
                  </w:r>
                  <w:r>
                    <w:rPr>
                      <w:rFonts w:hint="eastAsia" w:ascii="Times New Roman" w:hAnsi="Times New Roman" w:eastAsia="宋体" w:cs="Times New Roman"/>
                      <w:color w:val="auto"/>
                      <w:kern w:val="2"/>
                      <w:sz w:val="18"/>
                      <w:szCs w:val="18"/>
                      <w:lang w:val="zh-CN" w:eastAsia="zh-CN" w:bidi="ar-SA"/>
                    </w:rPr>
                    <w:t>(mg/kg)</w:t>
                  </w:r>
                </w:p>
              </w:tc>
              <w:tc>
                <w:tcPr>
                  <w:tcW w:w="1071" w:type="dxa"/>
                  <w:gridSpan w:val="2"/>
                  <w:shd w:val="clear" w:color="auto" w:fill="auto"/>
                  <w:vAlign w:val="center"/>
                </w:tcPr>
                <w:p w14:paraId="46B646F8">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镍</w:t>
                  </w:r>
                </w:p>
                <w:p w14:paraId="6B8FA771">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899" w:type="dxa"/>
                  <w:shd w:val="clear" w:color="auto" w:fill="auto"/>
                  <w:vAlign w:val="center"/>
                </w:tcPr>
                <w:p w14:paraId="7AEA2F7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四氯化碳（</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r>
            <w:tr w14:paraId="0895F5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26A3CFCC">
                  <w:pPr>
                    <w:pStyle w:val="60"/>
                    <w:rPr>
                      <w:color w:val="auto"/>
                      <w:sz w:val="18"/>
                      <w:szCs w:val="18"/>
                    </w:rPr>
                  </w:pPr>
                  <w:r>
                    <w:rPr>
                      <w:color w:val="auto"/>
                      <w:sz w:val="18"/>
                      <w:szCs w:val="18"/>
                    </w:rPr>
                    <w:t>1#</w:t>
                  </w:r>
                </w:p>
              </w:tc>
              <w:tc>
                <w:tcPr>
                  <w:tcW w:w="760" w:type="dxa"/>
                  <w:vAlign w:val="center"/>
                </w:tcPr>
                <w:p w14:paraId="75677E20">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96" w:type="dxa"/>
                  <w:gridSpan w:val="2"/>
                  <w:shd w:val="clear" w:color="auto" w:fill="auto"/>
                  <w:vAlign w:val="center"/>
                </w:tcPr>
                <w:p w14:paraId="453088F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10.7</w:t>
                  </w:r>
                </w:p>
              </w:tc>
              <w:tc>
                <w:tcPr>
                  <w:tcW w:w="898" w:type="dxa"/>
                  <w:gridSpan w:val="2"/>
                  <w:shd w:val="clear" w:color="auto" w:fill="auto"/>
                  <w:vAlign w:val="center"/>
                </w:tcPr>
                <w:p w14:paraId="4E32CE8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0.22</w:t>
                  </w:r>
                </w:p>
              </w:tc>
              <w:tc>
                <w:tcPr>
                  <w:tcW w:w="896" w:type="dxa"/>
                  <w:gridSpan w:val="2"/>
                  <w:shd w:val="clear" w:color="auto" w:fill="auto"/>
                  <w:vAlign w:val="center"/>
                </w:tcPr>
                <w:p w14:paraId="6F006DD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54</w:t>
                  </w:r>
                </w:p>
              </w:tc>
              <w:tc>
                <w:tcPr>
                  <w:tcW w:w="896" w:type="dxa"/>
                  <w:gridSpan w:val="2"/>
                  <w:shd w:val="clear" w:color="auto" w:fill="auto"/>
                  <w:vAlign w:val="center"/>
                </w:tcPr>
                <w:p w14:paraId="38BEE8D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w:t>
                  </w:r>
                </w:p>
              </w:tc>
              <w:tc>
                <w:tcPr>
                  <w:tcW w:w="898" w:type="dxa"/>
                  <w:gridSpan w:val="2"/>
                  <w:shd w:val="clear" w:color="auto" w:fill="auto"/>
                  <w:vAlign w:val="center"/>
                </w:tcPr>
                <w:p w14:paraId="113EC2A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0.052</w:t>
                  </w:r>
                </w:p>
              </w:tc>
              <w:tc>
                <w:tcPr>
                  <w:tcW w:w="905" w:type="dxa"/>
                  <w:gridSpan w:val="2"/>
                  <w:shd w:val="clear" w:color="auto" w:fill="auto"/>
                  <w:vAlign w:val="center"/>
                </w:tcPr>
                <w:p w14:paraId="74EA659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50AA484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35</w:t>
                  </w:r>
                </w:p>
              </w:tc>
              <w:tc>
                <w:tcPr>
                  <w:tcW w:w="899" w:type="dxa"/>
                  <w:shd w:val="clear" w:color="auto" w:fill="auto"/>
                  <w:vAlign w:val="center"/>
                </w:tcPr>
                <w:p w14:paraId="59B2DBF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9.4</w:t>
                  </w:r>
                </w:p>
              </w:tc>
            </w:tr>
            <w:tr w14:paraId="61BB24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3E8BF745">
                  <w:pPr>
                    <w:pStyle w:val="60"/>
                    <w:rPr>
                      <w:color w:val="auto"/>
                      <w:sz w:val="18"/>
                      <w:szCs w:val="18"/>
                    </w:rPr>
                  </w:pPr>
                  <w:r>
                    <w:rPr>
                      <w:color w:val="auto"/>
                      <w:sz w:val="18"/>
                      <w:szCs w:val="18"/>
                    </w:rPr>
                    <w:t>2#</w:t>
                  </w:r>
                </w:p>
              </w:tc>
              <w:tc>
                <w:tcPr>
                  <w:tcW w:w="760" w:type="dxa"/>
                  <w:vAlign w:val="center"/>
                </w:tcPr>
                <w:p w14:paraId="1A99D834">
                  <w:pPr>
                    <w:pStyle w:val="60"/>
                    <w:rPr>
                      <w:color w:val="auto"/>
                      <w:sz w:val="18"/>
                      <w:szCs w:val="18"/>
                    </w:rPr>
                  </w:pPr>
                  <w:r>
                    <w:rPr>
                      <w:color w:val="auto"/>
                      <w:sz w:val="18"/>
                      <w:szCs w:val="18"/>
                    </w:rPr>
                    <w:t>0~0.5m</w:t>
                  </w:r>
                </w:p>
              </w:tc>
              <w:tc>
                <w:tcPr>
                  <w:tcW w:w="896" w:type="dxa"/>
                  <w:gridSpan w:val="2"/>
                  <w:shd w:val="clear" w:color="auto" w:fill="auto"/>
                  <w:vAlign w:val="center"/>
                </w:tcPr>
                <w:p w14:paraId="3699FE5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5.12</w:t>
                  </w:r>
                </w:p>
              </w:tc>
              <w:tc>
                <w:tcPr>
                  <w:tcW w:w="898" w:type="dxa"/>
                  <w:gridSpan w:val="2"/>
                  <w:shd w:val="clear" w:color="auto" w:fill="auto"/>
                  <w:vAlign w:val="center"/>
                </w:tcPr>
                <w:p w14:paraId="1D01984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0.21</w:t>
                  </w:r>
                </w:p>
              </w:tc>
              <w:tc>
                <w:tcPr>
                  <w:tcW w:w="896" w:type="dxa"/>
                  <w:gridSpan w:val="2"/>
                  <w:shd w:val="clear" w:color="auto" w:fill="auto"/>
                  <w:vAlign w:val="center"/>
                </w:tcPr>
                <w:p w14:paraId="4288611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29</w:t>
                  </w:r>
                </w:p>
              </w:tc>
              <w:tc>
                <w:tcPr>
                  <w:tcW w:w="896" w:type="dxa"/>
                  <w:gridSpan w:val="2"/>
                  <w:shd w:val="clear" w:color="auto" w:fill="auto"/>
                  <w:vAlign w:val="center"/>
                </w:tcPr>
                <w:p w14:paraId="676BD9A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w:t>
                  </w:r>
                </w:p>
              </w:tc>
              <w:tc>
                <w:tcPr>
                  <w:tcW w:w="898" w:type="dxa"/>
                  <w:gridSpan w:val="2"/>
                  <w:shd w:val="clear" w:color="auto" w:fill="auto"/>
                  <w:vAlign w:val="center"/>
                </w:tcPr>
                <w:p w14:paraId="50A15B2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0.061</w:t>
                  </w:r>
                </w:p>
              </w:tc>
              <w:tc>
                <w:tcPr>
                  <w:tcW w:w="905" w:type="dxa"/>
                  <w:gridSpan w:val="2"/>
                  <w:shd w:val="clear" w:color="auto" w:fill="auto"/>
                  <w:vAlign w:val="center"/>
                </w:tcPr>
                <w:p w14:paraId="1536E513">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182E564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27</w:t>
                  </w:r>
                </w:p>
              </w:tc>
              <w:tc>
                <w:tcPr>
                  <w:tcW w:w="899" w:type="dxa"/>
                  <w:shd w:val="clear" w:color="auto" w:fill="auto"/>
                  <w:vAlign w:val="center"/>
                </w:tcPr>
                <w:p w14:paraId="7EF815D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14.2</w:t>
                  </w:r>
                </w:p>
              </w:tc>
            </w:tr>
            <w:tr w14:paraId="0ABD3A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28309CAF">
                  <w:pPr>
                    <w:pStyle w:val="60"/>
                    <w:rPr>
                      <w:color w:val="auto"/>
                      <w:sz w:val="18"/>
                      <w:szCs w:val="18"/>
                    </w:rPr>
                  </w:pPr>
                  <w:r>
                    <w:rPr>
                      <w:color w:val="auto"/>
                      <w:sz w:val="18"/>
                      <w:szCs w:val="18"/>
                    </w:rPr>
                    <w:t>3#</w:t>
                  </w:r>
                </w:p>
              </w:tc>
              <w:tc>
                <w:tcPr>
                  <w:tcW w:w="760" w:type="dxa"/>
                  <w:vAlign w:val="center"/>
                </w:tcPr>
                <w:p w14:paraId="6BF7BC6A">
                  <w:pPr>
                    <w:pStyle w:val="60"/>
                    <w:rPr>
                      <w:color w:val="auto"/>
                      <w:sz w:val="18"/>
                      <w:szCs w:val="18"/>
                    </w:rPr>
                  </w:pPr>
                  <w:r>
                    <w:rPr>
                      <w:color w:val="auto"/>
                      <w:sz w:val="18"/>
                      <w:szCs w:val="18"/>
                    </w:rPr>
                    <w:t>0~0.5m</w:t>
                  </w:r>
                </w:p>
              </w:tc>
              <w:tc>
                <w:tcPr>
                  <w:tcW w:w="896" w:type="dxa"/>
                  <w:gridSpan w:val="2"/>
                  <w:shd w:val="clear" w:color="auto" w:fill="auto"/>
                  <w:vAlign w:val="center"/>
                </w:tcPr>
                <w:p w14:paraId="0878750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9.15</w:t>
                  </w:r>
                </w:p>
              </w:tc>
              <w:tc>
                <w:tcPr>
                  <w:tcW w:w="898" w:type="dxa"/>
                  <w:gridSpan w:val="2"/>
                  <w:shd w:val="clear" w:color="auto" w:fill="auto"/>
                  <w:vAlign w:val="center"/>
                </w:tcPr>
                <w:p w14:paraId="3DFE0FF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0.23</w:t>
                  </w:r>
                </w:p>
              </w:tc>
              <w:tc>
                <w:tcPr>
                  <w:tcW w:w="896" w:type="dxa"/>
                  <w:gridSpan w:val="2"/>
                  <w:shd w:val="clear" w:color="auto" w:fill="auto"/>
                  <w:vAlign w:val="center"/>
                </w:tcPr>
                <w:p w14:paraId="16CD6EB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w:t>
                  </w:r>
                </w:p>
              </w:tc>
              <w:tc>
                <w:tcPr>
                  <w:tcW w:w="896" w:type="dxa"/>
                  <w:gridSpan w:val="2"/>
                  <w:shd w:val="clear" w:color="auto" w:fill="auto"/>
                  <w:vAlign w:val="center"/>
                </w:tcPr>
                <w:p w14:paraId="476BE28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20</w:t>
                  </w:r>
                </w:p>
              </w:tc>
              <w:tc>
                <w:tcPr>
                  <w:tcW w:w="898" w:type="dxa"/>
                  <w:gridSpan w:val="2"/>
                  <w:shd w:val="clear" w:color="auto" w:fill="auto"/>
                  <w:vAlign w:val="center"/>
                </w:tcPr>
                <w:p w14:paraId="4A080A4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0.063</w:t>
                  </w:r>
                </w:p>
              </w:tc>
              <w:tc>
                <w:tcPr>
                  <w:tcW w:w="905" w:type="dxa"/>
                  <w:gridSpan w:val="2"/>
                  <w:shd w:val="clear" w:color="auto" w:fill="auto"/>
                  <w:vAlign w:val="center"/>
                </w:tcPr>
                <w:p w14:paraId="63009282">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7A908F3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w:t>
                  </w:r>
                </w:p>
              </w:tc>
              <w:tc>
                <w:tcPr>
                  <w:tcW w:w="899" w:type="dxa"/>
                  <w:shd w:val="clear" w:color="auto" w:fill="auto"/>
                  <w:vAlign w:val="center"/>
                </w:tcPr>
                <w:p w14:paraId="4964A00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11.3</w:t>
                  </w:r>
                </w:p>
              </w:tc>
            </w:tr>
            <w:tr w14:paraId="2D626B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7398B9AD">
                  <w:pPr>
                    <w:pStyle w:val="60"/>
                    <w:rPr>
                      <w:color w:val="auto"/>
                      <w:sz w:val="18"/>
                      <w:szCs w:val="18"/>
                    </w:rPr>
                  </w:pPr>
                  <w:r>
                    <w:rPr>
                      <w:color w:val="auto"/>
                      <w:sz w:val="18"/>
                      <w:szCs w:val="18"/>
                    </w:rPr>
                    <w:t>4#</w:t>
                  </w:r>
                </w:p>
              </w:tc>
              <w:tc>
                <w:tcPr>
                  <w:tcW w:w="760" w:type="dxa"/>
                  <w:vAlign w:val="center"/>
                </w:tcPr>
                <w:p w14:paraId="451807FA">
                  <w:pPr>
                    <w:pStyle w:val="60"/>
                    <w:rPr>
                      <w:color w:val="auto"/>
                      <w:sz w:val="18"/>
                      <w:szCs w:val="18"/>
                    </w:rPr>
                  </w:pPr>
                  <w:r>
                    <w:rPr>
                      <w:color w:val="auto"/>
                      <w:sz w:val="18"/>
                      <w:szCs w:val="18"/>
                    </w:rPr>
                    <w:t>0~0.5m</w:t>
                  </w:r>
                </w:p>
              </w:tc>
              <w:tc>
                <w:tcPr>
                  <w:tcW w:w="896" w:type="dxa"/>
                  <w:gridSpan w:val="2"/>
                  <w:shd w:val="clear" w:color="auto" w:fill="auto"/>
                  <w:vAlign w:val="center"/>
                </w:tcPr>
                <w:p w14:paraId="6A19E44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9.11</w:t>
                  </w:r>
                </w:p>
              </w:tc>
              <w:tc>
                <w:tcPr>
                  <w:tcW w:w="898" w:type="dxa"/>
                  <w:gridSpan w:val="2"/>
                  <w:shd w:val="clear" w:color="auto" w:fill="auto"/>
                  <w:vAlign w:val="center"/>
                </w:tcPr>
                <w:p w14:paraId="7B426D4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0.21</w:t>
                  </w:r>
                </w:p>
              </w:tc>
              <w:tc>
                <w:tcPr>
                  <w:tcW w:w="896" w:type="dxa"/>
                  <w:gridSpan w:val="2"/>
                  <w:shd w:val="clear" w:color="auto" w:fill="auto"/>
                  <w:vAlign w:val="center"/>
                </w:tcPr>
                <w:p w14:paraId="537F79E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41</w:t>
                  </w:r>
                </w:p>
              </w:tc>
              <w:tc>
                <w:tcPr>
                  <w:tcW w:w="896" w:type="dxa"/>
                  <w:gridSpan w:val="2"/>
                  <w:shd w:val="clear" w:color="auto" w:fill="auto"/>
                  <w:vAlign w:val="center"/>
                </w:tcPr>
                <w:p w14:paraId="228520D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29</w:t>
                  </w:r>
                </w:p>
              </w:tc>
              <w:tc>
                <w:tcPr>
                  <w:tcW w:w="898" w:type="dxa"/>
                  <w:gridSpan w:val="2"/>
                  <w:shd w:val="clear" w:color="auto" w:fill="auto"/>
                  <w:vAlign w:val="center"/>
                </w:tcPr>
                <w:p w14:paraId="7DAD172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0.046</w:t>
                  </w:r>
                </w:p>
              </w:tc>
              <w:tc>
                <w:tcPr>
                  <w:tcW w:w="905" w:type="dxa"/>
                  <w:gridSpan w:val="2"/>
                  <w:shd w:val="clear" w:color="auto" w:fill="auto"/>
                  <w:vAlign w:val="center"/>
                </w:tcPr>
                <w:p w14:paraId="3D321B06">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663729E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51</w:t>
                  </w:r>
                </w:p>
              </w:tc>
              <w:tc>
                <w:tcPr>
                  <w:tcW w:w="899" w:type="dxa"/>
                  <w:shd w:val="clear" w:color="auto" w:fill="auto"/>
                  <w:vAlign w:val="center"/>
                </w:tcPr>
                <w:p w14:paraId="0CC41EE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11.8</w:t>
                  </w:r>
                </w:p>
              </w:tc>
            </w:tr>
            <w:tr w14:paraId="0A9980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798EB50B">
                  <w:pPr>
                    <w:pStyle w:val="60"/>
                    <w:rPr>
                      <w:color w:val="auto"/>
                      <w:sz w:val="18"/>
                      <w:szCs w:val="18"/>
                    </w:rPr>
                  </w:pPr>
                  <w:r>
                    <w:rPr>
                      <w:color w:val="auto"/>
                      <w:sz w:val="18"/>
                      <w:szCs w:val="18"/>
                    </w:rPr>
                    <w:t>5#</w:t>
                  </w:r>
                </w:p>
              </w:tc>
              <w:tc>
                <w:tcPr>
                  <w:tcW w:w="760" w:type="dxa"/>
                  <w:vAlign w:val="center"/>
                </w:tcPr>
                <w:p w14:paraId="72C467CC">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96" w:type="dxa"/>
                  <w:gridSpan w:val="2"/>
                  <w:shd w:val="clear" w:color="auto" w:fill="auto"/>
                  <w:vAlign w:val="center"/>
                </w:tcPr>
                <w:p w14:paraId="77EC0AC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13.0</w:t>
                  </w:r>
                </w:p>
              </w:tc>
              <w:tc>
                <w:tcPr>
                  <w:tcW w:w="898" w:type="dxa"/>
                  <w:gridSpan w:val="2"/>
                  <w:shd w:val="clear" w:color="auto" w:fill="auto"/>
                  <w:vAlign w:val="center"/>
                </w:tcPr>
                <w:p w14:paraId="2315792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0.20</w:t>
                  </w:r>
                </w:p>
              </w:tc>
              <w:tc>
                <w:tcPr>
                  <w:tcW w:w="896" w:type="dxa"/>
                  <w:gridSpan w:val="2"/>
                  <w:shd w:val="clear" w:color="auto" w:fill="auto"/>
                  <w:vAlign w:val="center"/>
                </w:tcPr>
                <w:p w14:paraId="3049182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34</w:t>
                  </w:r>
                </w:p>
              </w:tc>
              <w:tc>
                <w:tcPr>
                  <w:tcW w:w="896" w:type="dxa"/>
                  <w:gridSpan w:val="2"/>
                  <w:shd w:val="clear" w:color="auto" w:fill="auto"/>
                  <w:vAlign w:val="center"/>
                </w:tcPr>
                <w:p w14:paraId="2526F63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29</w:t>
                  </w:r>
                </w:p>
              </w:tc>
              <w:tc>
                <w:tcPr>
                  <w:tcW w:w="898" w:type="dxa"/>
                  <w:gridSpan w:val="2"/>
                  <w:shd w:val="clear" w:color="auto" w:fill="auto"/>
                  <w:vAlign w:val="center"/>
                </w:tcPr>
                <w:p w14:paraId="50F3F0E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0.048</w:t>
                  </w:r>
                </w:p>
              </w:tc>
              <w:tc>
                <w:tcPr>
                  <w:tcW w:w="905" w:type="dxa"/>
                  <w:gridSpan w:val="2"/>
                  <w:shd w:val="clear" w:color="auto" w:fill="auto"/>
                  <w:vAlign w:val="center"/>
                </w:tcPr>
                <w:p w14:paraId="37CF95E4">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05ECD67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62</w:t>
                  </w:r>
                </w:p>
              </w:tc>
              <w:tc>
                <w:tcPr>
                  <w:tcW w:w="899" w:type="dxa"/>
                  <w:shd w:val="clear" w:color="auto" w:fill="auto"/>
                  <w:vAlign w:val="center"/>
                </w:tcPr>
                <w:p w14:paraId="37AB590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11.9</w:t>
                  </w:r>
                </w:p>
              </w:tc>
            </w:tr>
            <w:tr w14:paraId="1767D1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0E88B3E4">
                  <w:pPr>
                    <w:pStyle w:val="60"/>
                    <w:rPr>
                      <w:rFonts w:hint="default" w:eastAsia="宋体"/>
                      <w:color w:val="auto"/>
                      <w:sz w:val="18"/>
                      <w:szCs w:val="18"/>
                      <w:lang w:val="en-US" w:eastAsia="zh-CN"/>
                    </w:rPr>
                  </w:pPr>
                  <w:r>
                    <w:rPr>
                      <w:rFonts w:hint="eastAsia"/>
                      <w:color w:val="auto"/>
                      <w:sz w:val="18"/>
                      <w:szCs w:val="18"/>
                      <w:lang w:val="en-US" w:eastAsia="zh-CN"/>
                    </w:rPr>
                    <w:t>6#</w:t>
                  </w:r>
                </w:p>
              </w:tc>
              <w:tc>
                <w:tcPr>
                  <w:tcW w:w="760" w:type="dxa"/>
                  <w:vAlign w:val="center"/>
                </w:tcPr>
                <w:p w14:paraId="0255ACAE">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96" w:type="dxa"/>
                  <w:gridSpan w:val="2"/>
                  <w:shd w:val="clear" w:color="auto" w:fill="auto"/>
                  <w:vAlign w:val="center"/>
                </w:tcPr>
                <w:p w14:paraId="79CDC5BB">
                  <w:pPr>
                    <w:pStyle w:val="60"/>
                    <w:rPr>
                      <w:rFonts w:hint="default" w:eastAsia="等线"/>
                      <w:color w:val="auto"/>
                      <w:sz w:val="18"/>
                      <w:szCs w:val="18"/>
                      <w:lang w:val="en-US" w:eastAsia="zh-CN"/>
                    </w:rPr>
                  </w:pPr>
                  <w:r>
                    <w:rPr>
                      <w:rFonts w:hint="eastAsia" w:eastAsia="等线"/>
                      <w:color w:val="auto"/>
                      <w:sz w:val="18"/>
                      <w:szCs w:val="18"/>
                      <w:lang w:val="en-US" w:eastAsia="zh-CN"/>
                    </w:rPr>
                    <w:t>8.92</w:t>
                  </w:r>
                </w:p>
              </w:tc>
              <w:tc>
                <w:tcPr>
                  <w:tcW w:w="898" w:type="dxa"/>
                  <w:gridSpan w:val="2"/>
                  <w:shd w:val="clear" w:color="auto" w:fill="auto"/>
                  <w:vAlign w:val="center"/>
                </w:tcPr>
                <w:p w14:paraId="5C0B867C">
                  <w:pPr>
                    <w:pStyle w:val="60"/>
                    <w:rPr>
                      <w:rFonts w:hint="default" w:eastAsia="等线"/>
                      <w:color w:val="auto"/>
                      <w:sz w:val="18"/>
                      <w:szCs w:val="18"/>
                      <w:lang w:val="en-US" w:eastAsia="zh-CN"/>
                    </w:rPr>
                  </w:pPr>
                  <w:r>
                    <w:rPr>
                      <w:rFonts w:hint="eastAsia" w:eastAsia="等线"/>
                      <w:color w:val="auto"/>
                      <w:sz w:val="18"/>
                      <w:szCs w:val="18"/>
                      <w:lang w:val="en-US" w:eastAsia="zh-CN"/>
                    </w:rPr>
                    <w:t>0.20</w:t>
                  </w:r>
                </w:p>
              </w:tc>
              <w:tc>
                <w:tcPr>
                  <w:tcW w:w="896" w:type="dxa"/>
                  <w:gridSpan w:val="2"/>
                  <w:shd w:val="clear" w:color="auto" w:fill="auto"/>
                  <w:vAlign w:val="center"/>
                </w:tcPr>
                <w:p w14:paraId="3724ED6B">
                  <w:pPr>
                    <w:pStyle w:val="60"/>
                    <w:rPr>
                      <w:rFonts w:hint="default" w:eastAsia="等线"/>
                      <w:color w:val="auto"/>
                      <w:sz w:val="18"/>
                      <w:szCs w:val="18"/>
                      <w:lang w:val="en-US" w:eastAsia="zh-CN"/>
                    </w:rPr>
                  </w:pPr>
                  <w:r>
                    <w:rPr>
                      <w:rFonts w:hint="eastAsia" w:eastAsia="等线"/>
                      <w:color w:val="auto"/>
                      <w:sz w:val="18"/>
                      <w:szCs w:val="18"/>
                      <w:lang w:val="en-US" w:eastAsia="zh-CN"/>
                    </w:rPr>
                    <w:t>32</w:t>
                  </w:r>
                </w:p>
              </w:tc>
              <w:tc>
                <w:tcPr>
                  <w:tcW w:w="896" w:type="dxa"/>
                  <w:gridSpan w:val="2"/>
                  <w:shd w:val="clear" w:color="auto" w:fill="auto"/>
                  <w:vAlign w:val="center"/>
                </w:tcPr>
                <w:p w14:paraId="5262BD33">
                  <w:pPr>
                    <w:pStyle w:val="60"/>
                    <w:rPr>
                      <w:rFonts w:hint="default" w:eastAsia="等线"/>
                      <w:color w:val="auto"/>
                      <w:sz w:val="18"/>
                      <w:szCs w:val="18"/>
                      <w:lang w:val="en-US" w:eastAsia="zh-CN"/>
                    </w:rPr>
                  </w:pPr>
                  <w:r>
                    <w:rPr>
                      <w:rFonts w:hint="eastAsia" w:eastAsia="等线"/>
                      <w:color w:val="auto"/>
                      <w:sz w:val="18"/>
                      <w:szCs w:val="18"/>
                      <w:lang w:val="en-US" w:eastAsia="zh-CN"/>
                    </w:rPr>
                    <w:t>28</w:t>
                  </w:r>
                </w:p>
              </w:tc>
              <w:tc>
                <w:tcPr>
                  <w:tcW w:w="898" w:type="dxa"/>
                  <w:gridSpan w:val="2"/>
                  <w:shd w:val="clear" w:color="auto" w:fill="auto"/>
                  <w:vAlign w:val="center"/>
                </w:tcPr>
                <w:p w14:paraId="61ECDB59">
                  <w:pPr>
                    <w:pStyle w:val="60"/>
                    <w:rPr>
                      <w:rFonts w:hint="default" w:eastAsia="等线"/>
                      <w:color w:val="auto"/>
                      <w:sz w:val="18"/>
                      <w:szCs w:val="18"/>
                      <w:lang w:val="en-US" w:eastAsia="zh-CN"/>
                    </w:rPr>
                  </w:pPr>
                  <w:r>
                    <w:rPr>
                      <w:rFonts w:hint="eastAsia" w:eastAsia="等线"/>
                      <w:color w:val="auto"/>
                      <w:sz w:val="18"/>
                      <w:szCs w:val="18"/>
                      <w:lang w:val="en-US" w:eastAsia="zh-CN"/>
                    </w:rPr>
                    <w:t>0.044</w:t>
                  </w:r>
                </w:p>
              </w:tc>
              <w:tc>
                <w:tcPr>
                  <w:tcW w:w="905" w:type="dxa"/>
                  <w:gridSpan w:val="2"/>
                  <w:shd w:val="clear" w:color="auto" w:fill="auto"/>
                  <w:vAlign w:val="center"/>
                </w:tcPr>
                <w:p w14:paraId="35399952">
                  <w:pPr>
                    <w:pStyle w:val="60"/>
                    <w:rPr>
                      <w:rFonts w:eastAsia="等线"/>
                      <w:color w:val="auto"/>
                      <w:sz w:val="18"/>
                      <w:szCs w:val="18"/>
                    </w:rPr>
                  </w:pPr>
                  <w:r>
                    <w:rPr>
                      <w:rFonts w:hint="eastAsia" w:cs="Times New Roman"/>
                      <w:color w:val="auto"/>
                      <w:kern w:val="2"/>
                      <w:sz w:val="18"/>
                      <w:szCs w:val="18"/>
                      <w:lang w:val="en-US" w:eastAsia="zh-CN" w:bidi="ar-SA"/>
                    </w:rPr>
                    <w:t>ND</w:t>
                  </w:r>
                </w:p>
              </w:tc>
              <w:tc>
                <w:tcPr>
                  <w:tcW w:w="1071" w:type="dxa"/>
                  <w:gridSpan w:val="2"/>
                  <w:shd w:val="clear" w:color="auto" w:fill="auto"/>
                  <w:vAlign w:val="center"/>
                </w:tcPr>
                <w:p w14:paraId="54578BE0">
                  <w:pPr>
                    <w:pStyle w:val="60"/>
                    <w:rPr>
                      <w:rFonts w:hint="default" w:eastAsia="等线"/>
                      <w:color w:val="auto"/>
                      <w:sz w:val="18"/>
                      <w:szCs w:val="18"/>
                      <w:lang w:val="en-US" w:eastAsia="zh-CN"/>
                    </w:rPr>
                  </w:pPr>
                  <w:r>
                    <w:rPr>
                      <w:rFonts w:hint="eastAsia" w:eastAsia="等线"/>
                      <w:color w:val="auto"/>
                      <w:sz w:val="18"/>
                      <w:szCs w:val="18"/>
                      <w:lang w:val="en-US" w:eastAsia="zh-CN"/>
                    </w:rPr>
                    <w:t>32</w:t>
                  </w:r>
                </w:p>
              </w:tc>
              <w:tc>
                <w:tcPr>
                  <w:tcW w:w="899" w:type="dxa"/>
                  <w:shd w:val="clear" w:color="auto" w:fill="auto"/>
                  <w:vAlign w:val="center"/>
                </w:tcPr>
                <w:p w14:paraId="05190447">
                  <w:pPr>
                    <w:pStyle w:val="60"/>
                    <w:rPr>
                      <w:rFonts w:hint="default" w:eastAsia="等线"/>
                      <w:color w:val="auto"/>
                      <w:sz w:val="18"/>
                      <w:szCs w:val="18"/>
                      <w:lang w:val="en-US" w:eastAsia="zh-CN"/>
                    </w:rPr>
                  </w:pPr>
                  <w:r>
                    <w:rPr>
                      <w:rFonts w:hint="eastAsia" w:eastAsia="等线"/>
                      <w:color w:val="auto"/>
                      <w:sz w:val="18"/>
                      <w:szCs w:val="18"/>
                      <w:lang w:val="en-US" w:eastAsia="zh-CN"/>
                    </w:rPr>
                    <w:t>12.0</w:t>
                  </w:r>
                </w:p>
              </w:tc>
            </w:tr>
            <w:tr w14:paraId="30401E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vAlign w:val="center"/>
                </w:tcPr>
                <w:p w14:paraId="1B9F82D4">
                  <w:pPr>
                    <w:pStyle w:val="60"/>
                    <w:rPr>
                      <w:color w:val="auto"/>
                      <w:sz w:val="18"/>
                      <w:szCs w:val="18"/>
                    </w:rPr>
                  </w:pPr>
                  <w:r>
                    <w:rPr>
                      <w:color w:val="auto"/>
                      <w:sz w:val="18"/>
                      <w:szCs w:val="18"/>
                    </w:rPr>
                    <w:t>监测</w:t>
                  </w:r>
                </w:p>
                <w:p w14:paraId="516AAEE5">
                  <w:pPr>
                    <w:pStyle w:val="60"/>
                    <w:rPr>
                      <w:color w:val="auto"/>
                      <w:sz w:val="18"/>
                      <w:szCs w:val="18"/>
                    </w:rPr>
                  </w:pPr>
                  <w:r>
                    <w:rPr>
                      <w:color w:val="auto"/>
                      <w:sz w:val="18"/>
                      <w:szCs w:val="18"/>
                    </w:rPr>
                    <w:t>点位</w:t>
                  </w:r>
                </w:p>
              </w:tc>
              <w:tc>
                <w:tcPr>
                  <w:tcW w:w="760" w:type="dxa"/>
                  <w:vMerge w:val="restart"/>
                  <w:vAlign w:val="center"/>
                </w:tcPr>
                <w:p w14:paraId="04C463A8">
                  <w:pPr>
                    <w:pStyle w:val="60"/>
                    <w:rPr>
                      <w:color w:val="auto"/>
                      <w:sz w:val="18"/>
                      <w:szCs w:val="18"/>
                    </w:rPr>
                  </w:pPr>
                  <w:r>
                    <w:rPr>
                      <w:color w:val="auto"/>
                      <w:sz w:val="18"/>
                      <w:szCs w:val="18"/>
                    </w:rPr>
                    <w:t>取样层次</w:t>
                  </w:r>
                </w:p>
              </w:tc>
              <w:tc>
                <w:tcPr>
                  <w:tcW w:w="7359" w:type="dxa"/>
                  <w:gridSpan w:val="15"/>
                  <w:vAlign w:val="center"/>
                </w:tcPr>
                <w:p w14:paraId="7D2FDD0C">
                  <w:pPr>
                    <w:pStyle w:val="60"/>
                    <w:rPr>
                      <w:color w:val="auto"/>
                      <w:sz w:val="18"/>
                      <w:szCs w:val="18"/>
                    </w:rPr>
                  </w:pPr>
                  <w:r>
                    <w:rPr>
                      <w:color w:val="auto"/>
                      <w:sz w:val="18"/>
                      <w:szCs w:val="18"/>
                    </w:rPr>
                    <w:t>监测项目与结果</w:t>
                  </w:r>
                </w:p>
              </w:tc>
            </w:tr>
            <w:tr w14:paraId="1E6F06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vAlign w:val="center"/>
                </w:tcPr>
                <w:p w14:paraId="26D857DB">
                  <w:pPr>
                    <w:pStyle w:val="60"/>
                    <w:rPr>
                      <w:color w:val="auto"/>
                      <w:sz w:val="18"/>
                      <w:szCs w:val="18"/>
                    </w:rPr>
                  </w:pPr>
                </w:p>
              </w:tc>
              <w:tc>
                <w:tcPr>
                  <w:tcW w:w="760" w:type="dxa"/>
                  <w:vMerge w:val="continue"/>
                  <w:vAlign w:val="center"/>
                </w:tcPr>
                <w:p w14:paraId="54AF3025">
                  <w:pPr>
                    <w:pStyle w:val="60"/>
                    <w:rPr>
                      <w:color w:val="auto"/>
                      <w:sz w:val="18"/>
                      <w:szCs w:val="18"/>
                    </w:rPr>
                  </w:pPr>
                </w:p>
              </w:tc>
              <w:tc>
                <w:tcPr>
                  <w:tcW w:w="896" w:type="dxa"/>
                  <w:gridSpan w:val="2"/>
                  <w:shd w:val="clear" w:color="auto" w:fill="auto"/>
                  <w:vAlign w:val="center"/>
                </w:tcPr>
                <w:p w14:paraId="03FD185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氯仿（</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98" w:type="dxa"/>
                  <w:gridSpan w:val="2"/>
                  <w:shd w:val="clear" w:color="auto" w:fill="auto"/>
                  <w:vAlign w:val="center"/>
                </w:tcPr>
                <w:p w14:paraId="423E08A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氯甲烷（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96" w:type="dxa"/>
                  <w:gridSpan w:val="2"/>
                  <w:shd w:val="clear" w:color="auto" w:fill="auto"/>
                  <w:vAlign w:val="center"/>
                </w:tcPr>
                <w:p w14:paraId="51A283C6">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96" w:type="dxa"/>
                  <w:gridSpan w:val="2"/>
                  <w:shd w:val="clear" w:color="auto" w:fill="auto"/>
                  <w:vAlign w:val="center"/>
                </w:tcPr>
                <w:p w14:paraId="684FB104">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98" w:type="dxa"/>
                  <w:gridSpan w:val="2"/>
                  <w:shd w:val="clear" w:color="auto" w:fill="auto"/>
                  <w:vAlign w:val="center"/>
                </w:tcPr>
                <w:p w14:paraId="56348CE6">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905" w:type="dxa"/>
                  <w:gridSpan w:val="2"/>
                  <w:shd w:val="clear" w:color="auto" w:fill="auto"/>
                  <w:vAlign w:val="center"/>
                </w:tcPr>
                <w:p w14:paraId="2EC05E65">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顺-</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1071" w:type="dxa"/>
                  <w:gridSpan w:val="2"/>
                  <w:shd w:val="clear" w:color="auto" w:fill="auto"/>
                  <w:vAlign w:val="center"/>
                </w:tcPr>
                <w:p w14:paraId="14D8AB9E">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反-</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99" w:type="dxa"/>
                  <w:shd w:val="clear" w:color="auto" w:fill="auto"/>
                  <w:vAlign w:val="center"/>
                </w:tcPr>
                <w:p w14:paraId="5FC7E46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二氯甲烷（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r>
            <w:tr w14:paraId="410787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52F035DF">
                  <w:pPr>
                    <w:pStyle w:val="60"/>
                    <w:rPr>
                      <w:color w:val="auto"/>
                      <w:sz w:val="18"/>
                      <w:szCs w:val="18"/>
                    </w:rPr>
                  </w:pPr>
                  <w:r>
                    <w:rPr>
                      <w:color w:val="auto"/>
                      <w:sz w:val="18"/>
                      <w:szCs w:val="18"/>
                    </w:rPr>
                    <w:t>1#</w:t>
                  </w:r>
                </w:p>
              </w:tc>
              <w:tc>
                <w:tcPr>
                  <w:tcW w:w="760" w:type="dxa"/>
                  <w:vAlign w:val="center"/>
                </w:tcPr>
                <w:p w14:paraId="644F9609">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96" w:type="dxa"/>
                  <w:gridSpan w:val="2"/>
                  <w:shd w:val="clear" w:color="auto" w:fill="auto"/>
                  <w:vAlign w:val="center"/>
                </w:tcPr>
                <w:p w14:paraId="4BB790E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4.8</w:t>
                  </w:r>
                </w:p>
              </w:tc>
              <w:tc>
                <w:tcPr>
                  <w:tcW w:w="898" w:type="dxa"/>
                  <w:gridSpan w:val="2"/>
                  <w:shd w:val="clear" w:color="auto" w:fill="auto"/>
                  <w:vAlign w:val="center"/>
                </w:tcPr>
                <w:p w14:paraId="7D3E08BD">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1F4FFD7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3.3</w:t>
                  </w:r>
                </w:p>
              </w:tc>
              <w:tc>
                <w:tcPr>
                  <w:tcW w:w="896" w:type="dxa"/>
                  <w:gridSpan w:val="2"/>
                  <w:shd w:val="clear" w:color="auto" w:fill="auto"/>
                  <w:vAlign w:val="center"/>
                </w:tcPr>
                <w:p w14:paraId="73AE466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2.2</w:t>
                  </w:r>
                </w:p>
              </w:tc>
              <w:tc>
                <w:tcPr>
                  <w:tcW w:w="898" w:type="dxa"/>
                  <w:gridSpan w:val="2"/>
                  <w:shd w:val="clear" w:color="auto" w:fill="auto"/>
                  <w:vAlign w:val="center"/>
                </w:tcPr>
                <w:p w14:paraId="747DA7F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19.1</w:t>
                  </w:r>
                </w:p>
              </w:tc>
              <w:tc>
                <w:tcPr>
                  <w:tcW w:w="905" w:type="dxa"/>
                  <w:gridSpan w:val="2"/>
                  <w:shd w:val="clear" w:color="auto" w:fill="auto"/>
                  <w:vAlign w:val="center"/>
                </w:tcPr>
                <w:p w14:paraId="5AF4AF3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2.6</w:t>
                  </w:r>
                </w:p>
              </w:tc>
              <w:tc>
                <w:tcPr>
                  <w:tcW w:w="1071" w:type="dxa"/>
                  <w:gridSpan w:val="2"/>
                  <w:shd w:val="clear" w:color="auto" w:fill="auto"/>
                  <w:vAlign w:val="center"/>
                </w:tcPr>
                <w:p w14:paraId="1A386F6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3.3</w:t>
                  </w:r>
                </w:p>
              </w:tc>
              <w:tc>
                <w:tcPr>
                  <w:tcW w:w="899" w:type="dxa"/>
                  <w:shd w:val="clear" w:color="auto" w:fill="auto"/>
                  <w:vAlign w:val="center"/>
                </w:tcPr>
                <w:p w14:paraId="69F118C1">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63961E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4CB2E729">
                  <w:pPr>
                    <w:pStyle w:val="60"/>
                    <w:rPr>
                      <w:color w:val="auto"/>
                      <w:sz w:val="18"/>
                      <w:szCs w:val="18"/>
                    </w:rPr>
                  </w:pPr>
                  <w:r>
                    <w:rPr>
                      <w:color w:val="auto"/>
                      <w:sz w:val="18"/>
                      <w:szCs w:val="18"/>
                    </w:rPr>
                    <w:t>2#</w:t>
                  </w:r>
                </w:p>
              </w:tc>
              <w:tc>
                <w:tcPr>
                  <w:tcW w:w="760" w:type="dxa"/>
                  <w:vAlign w:val="center"/>
                </w:tcPr>
                <w:p w14:paraId="065AE1CC">
                  <w:pPr>
                    <w:pStyle w:val="60"/>
                    <w:rPr>
                      <w:color w:val="auto"/>
                      <w:sz w:val="18"/>
                      <w:szCs w:val="18"/>
                    </w:rPr>
                  </w:pPr>
                  <w:r>
                    <w:rPr>
                      <w:color w:val="auto"/>
                      <w:sz w:val="18"/>
                      <w:szCs w:val="18"/>
                    </w:rPr>
                    <w:t>0~0.5m</w:t>
                  </w:r>
                </w:p>
              </w:tc>
              <w:tc>
                <w:tcPr>
                  <w:tcW w:w="896" w:type="dxa"/>
                  <w:gridSpan w:val="2"/>
                  <w:shd w:val="clear" w:color="auto" w:fill="auto"/>
                  <w:vAlign w:val="center"/>
                </w:tcPr>
                <w:p w14:paraId="58EDAD2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6.5</w:t>
                  </w:r>
                </w:p>
              </w:tc>
              <w:tc>
                <w:tcPr>
                  <w:tcW w:w="898" w:type="dxa"/>
                  <w:gridSpan w:val="2"/>
                  <w:shd w:val="clear" w:color="auto" w:fill="auto"/>
                  <w:vAlign w:val="center"/>
                </w:tcPr>
                <w:p w14:paraId="2C68FF76">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42AFC89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4.2</w:t>
                  </w:r>
                </w:p>
              </w:tc>
              <w:tc>
                <w:tcPr>
                  <w:tcW w:w="896" w:type="dxa"/>
                  <w:gridSpan w:val="2"/>
                  <w:shd w:val="clear" w:color="auto" w:fill="auto"/>
                  <w:vAlign w:val="center"/>
                </w:tcPr>
                <w:p w14:paraId="0C1D260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3.1</w:t>
                  </w:r>
                </w:p>
              </w:tc>
              <w:tc>
                <w:tcPr>
                  <w:tcW w:w="898" w:type="dxa"/>
                  <w:gridSpan w:val="2"/>
                  <w:shd w:val="clear" w:color="auto" w:fill="auto"/>
                  <w:vAlign w:val="center"/>
                </w:tcPr>
                <w:p w14:paraId="09104CB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905" w:type="dxa"/>
                  <w:gridSpan w:val="2"/>
                  <w:shd w:val="clear" w:color="auto" w:fill="auto"/>
                  <w:vAlign w:val="center"/>
                </w:tcPr>
                <w:p w14:paraId="34407CB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2.5</w:t>
                  </w:r>
                </w:p>
              </w:tc>
              <w:tc>
                <w:tcPr>
                  <w:tcW w:w="1071" w:type="dxa"/>
                  <w:gridSpan w:val="2"/>
                  <w:shd w:val="clear" w:color="auto" w:fill="auto"/>
                  <w:vAlign w:val="center"/>
                </w:tcPr>
                <w:p w14:paraId="41A783D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5.4</w:t>
                  </w:r>
                </w:p>
              </w:tc>
              <w:tc>
                <w:tcPr>
                  <w:tcW w:w="899" w:type="dxa"/>
                  <w:shd w:val="clear" w:color="auto" w:fill="auto"/>
                  <w:vAlign w:val="center"/>
                </w:tcPr>
                <w:p w14:paraId="727DFA5A">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3D8119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3F4ACC1A">
                  <w:pPr>
                    <w:pStyle w:val="60"/>
                    <w:rPr>
                      <w:color w:val="auto"/>
                      <w:sz w:val="18"/>
                      <w:szCs w:val="18"/>
                    </w:rPr>
                  </w:pPr>
                  <w:r>
                    <w:rPr>
                      <w:color w:val="auto"/>
                      <w:sz w:val="18"/>
                      <w:szCs w:val="18"/>
                    </w:rPr>
                    <w:t>3#</w:t>
                  </w:r>
                </w:p>
              </w:tc>
              <w:tc>
                <w:tcPr>
                  <w:tcW w:w="760" w:type="dxa"/>
                  <w:vAlign w:val="center"/>
                </w:tcPr>
                <w:p w14:paraId="3384CF99">
                  <w:pPr>
                    <w:pStyle w:val="60"/>
                    <w:rPr>
                      <w:color w:val="auto"/>
                      <w:sz w:val="18"/>
                      <w:szCs w:val="18"/>
                    </w:rPr>
                  </w:pPr>
                  <w:r>
                    <w:rPr>
                      <w:color w:val="auto"/>
                      <w:sz w:val="18"/>
                      <w:szCs w:val="18"/>
                    </w:rPr>
                    <w:t>0~0.5m</w:t>
                  </w:r>
                </w:p>
              </w:tc>
              <w:tc>
                <w:tcPr>
                  <w:tcW w:w="896" w:type="dxa"/>
                  <w:gridSpan w:val="2"/>
                  <w:shd w:val="clear" w:color="auto" w:fill="auto"/>
                  <w:vAlign w:val="center"/>
                </w:tcPr>
                <w:p w14:paraId="6EEBE85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3.9</w:t>
                  </w:r>
                </w:p>
              </w:tc>
              <w:tc>
                <w:tcPr>
                  <w:tcW w:w="898" w:type="dxa"/>
                  <w:gridSpan w:val="2"/>
                  <w:shd w:val="clear" w:color="auto" w:fill="auto"/>
                  <w:vAlign w:val="center"/>
                </w:tcPr>
                <w:p w14:paraId="1387CA63">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445BDDB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3.5</w:t>
                  </w:r>
                </w:p>
              </w:tc>
              <w:tc>
                <w:tcPr>
                  <w:tcW w:w="896" w:type="dxa"/>
                  <w:gridSpan w:val="2"/>
                  <w:shd w:val="clear" w:color="auto" w:fill="auto"/>
                  <w:vAlign w:val="center"/>
                </w:tcPr>
                <w:p w14:paraId="5017DA0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1.7</w:t>
                  </w:r>
                </w:p>
              </w:tc>
              <w:tc>
                <w:tcPr>
                  <w:tcW w:w="898" w:type="dxa"/>
                  <w:gridSpan w:val="2"/>
                  <w:shd w:val="clear" w:color="auto" w:fill="auto"/>
                  <w:vAlign w:val="center"/>
                </w:tcPr>
                <w:p w14:paraId="5AF666F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10.3</w:t>
                  </w:r>
                </w:p>
              </w:tc>
              <w:tc>
                <w:tcPr>
                  <w:tcW w:w="905" w:type="dxa"/>
                  <w:gridSpan w:val="2"/>
                  <w:shd w:val="clear" w:color="auto" w:fill="auto"/>
                  <w:vAlign w:val="center"/>
                </w:tcPr>
                <w:p w14:paraId="3B29124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w:t>
                  </w:r>
                </w:p>
              </w:tc>
              <w:tc>
                <w:tcPr>
                  <w:tcW w:w="1071" w:type="dxa"/>
                  <w:gridSpan w:val="2"/>
                  <w:shd w:val="clear" w:color="auto" w:fill="auto"/>
                  <w:vAlign w:val="center"/>
                </w:tcPr>
                <w:p w14:paraId="5C389EB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4.4</w:t>
                  </w:r>
                </w:p>
              </w:tc>
              <w:tc>
                <w:tcPr>
                  <w:tcW w:w="899" w:type="dxa"/>
                  <w:shd w:val="clear" w:color="auto" w:fill="auto"/>
                  <w:vAlign w:val="center"/>
                </w:tcPr>
                <w:p w14:paraId="57FD3337">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3F25D0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0EA181A1">
                  <w:pPr>
                    <w:pStyle w:val="60"/>
                    <w:rPr>
                      <w:color w:val="auto"/>
                      <w:sz w:val="18"/>
                      <w:szCs w:val="18"/>
                    </w:rPr>
                  </w:pPr>
                  <w:r>
                    <w:rPr>
                      <w:color w:val="auto"/>
                      <w:sz w:val="18"/>
                      <w:szCs w:val="18"/>
                    </w:rPr>
                    <w:t>4#</w:t>
                  </w:r>
                </w:p>
              </w:tc>
              <w:tc>
                <w:tcPr>
                  <w:tcW w:w="760" w:type="dxa"/>
                  <w:vAlign w:val="center"/>
                </w:tcPr>
                <w:p w14:paraId="64F6B3CF">
                  <w:pPr>
                    <w:pStyle w:val="60"/>
                    <w:rPr>
                      <w:color w:val="auto"/>
                      <w:sz w:val="18"/>
                      <w:szCs w:val="18"/>
                    </w:rPr>
                  </w:pPr>
                  <w:r>
                    <w:rPr>
                      <w:color w:val="auto"/>
                      <w:sz w:val="18"/>
                      <w:szCs w:val="18"/>
                    </w:rPr>
                    <w:t>0~0.5m</w:t>
                  </w:r>
                </w:p>
              </w:tc>
              <w:tc>
                <w:tcPr>
                  <w:tcW w:w="896" w:type="dxa"/>
                  <w:gridSpan w:val="2"/>
                  <w:shd w:val="clear" w:color="auto" w:fill="auto"/>
                  <w:vAlign w:val="center"/>
                </w:tcPr>
                <w:p w14:paraId="74C0F19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4.4</w:t>
                  </w:r>
                </w:p>
              </w:tc>
              <w:tc>
                <w:tcPr>
                  <w:tcW w:w="898" w:type="dxa"/>
                  <w:gridSpan w:val="2"/>
                  <w:shd w:val="clear" w:color="auto" w:fill="auto"/>
                  <w:vAlign w:val="center"/>
                </w:tcPr>
                <w:p w14:paraId="755D9DE7">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14936F5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3.9</w:t>
                  </w:r>
                </w:p>
              </w:tc>
              <w:tc>
                <w:tcPr>
                  <w:tcW w:w="896" w:type="dxa"/>
                  <w:gridSpan w:val="2"/>
                  <w:shd w:val="clear" w:color="auto" w:fill="auto"/>
                  <w:vAlign w:val="center"/>
                </w:tcPr>
                <w:p w14:paraId="5054F3D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2.0</w:t>
                  </w:r>
                </w:p>
              </w:tc>
              <w:tc>
                <w:tcPr>
                  <w:tcW w:w="898" w:type="dxa"/>
                  <w:gridSpan w:val="2"/>
                  <w:shd w:val="clear" w:color="auto" w:fill="auto"/>
                  <w:vAlign w:val="center"/>
                </w:tcPr>
                <w:p w14:paraId="19C5BD3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7.1</w:t>
                  </w:r>
                </w:p>
              </w:tc>
              <w:tc>
                <w:tcPr>
                  <w:tcW w:w="905" w:type="dxa"/>
                  <w:gridSpan w:val="2"/>
                  <w:shd w:val="clear" w:color="auto" w:fill="auto"/>
                  <w:vAlign w:val="center"/>
                </w:tcPr>
                <w:p w14:paraId="7335E4D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2.7</w:t>
                  </w:r>
                </w:p>
              </w:tc>
              <w:tc>
                <w:tcPr>
                  <w:tcW w:w="1071" w:type="dxa"/>
                  <w:gridSpan w:val="2"/>
                  <w:shd w:val="clear" w:color="auto" w:fill="auto"/>
                  <w:vAlign w:val="center"/>
                </w:tcPr>
                <w:p w14:paraId="7BD4D6B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4.4</w:t>
                  </w:r>
                </w:p>
              </w:tc>
              <w:tc>
                <w:tcPr>
                  <w:tcW w:w="899" w:type="dxa"/>
                  <w:shd w:val="clear" w:color="auto" w:fill="auto"/>
                  <w:vAlign w:val="center"/>
                </w:tcPr>
                <w:p w14:paraId="37E268B2">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3FBDF3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1388BD3D">
                  <w:pPr>
                    <w:pStyle w:val="60"/>
                    <w:rPr>
                      <w:color w:val="auto"/>
                      <w:sz w:val="18"/>
                      <w:szCs w:val="18"/>
                    </w:rPr>
                  </w:pPr>
                  <w:r>
                    <w:rPr>
                      <w:color w:val="auto"/>
                      <w:sz w:val="18"/>
                      <w:szCs w:val="18"/>
                    </w:rPr>
                    <w:t>5#</w:t>
                  </w:r>
                </w:p>
              </w:tc>
              <w:tc>
                <w:tcPr>
                  <w:tcW w:w="760" w:type="dxa"/>
                  <w:vAlign w:val="center"/>
                </w:tcPr>
                <w:p w14:paraId="7FD07FF5">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96" w:type="dxa"/>
                  <w:gridSpan w:val="2"/>
                  <w:shd w:val="clear" w:color="auto" w:fill="auto"/>
                  <w:vAlign w:val="center"/>
                </w:tcPr>
                <w:p w14:paraId="330B32D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4.9</w:t>
                  </w:r>
                </w:p>
              </w:tc>
              <w:tc>
                <w:tcPr>
                  <w:tcW w:w="898" w:type="dxa"/>
                  <w:gridSpan w:val="2"/>
                  <w:shd w:val="clear" w:color="auto" w:fill="auto"/>
                  <w:vAlign w:val="center"/>
                </w:tcPr>
                <w:p w14:paraId="702FE8BD">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1EE9ED6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4.2</w:t>
                  </w:r>
                </w:p>
              </w:tc>
              <w:tc>
                <w:tcPr>
                  <w:tcW w:w="896" w:type="dxa"/>
                  <w:gridSpan w:val="2"/>
                  <w:shd w:val="clear" w:color="auto" w:fill="auto"/>
                  <w:vAlign w:val="center"/>
                </w:tcPr>
                <w:p w14:paraId="47F1FAB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3.2</w:t>
                  </w:r>
                </w:p>
              </w:tc>
              <w:tc>
                <w:tcPr>
                  <w:tcW w:w="898" w:type="dxa"/>
                  <w:gridSpan w:val="2"/>
                  <w:shd w:val="clear" w:color="auto" w:fill="auto"/>
                  <w:vAlign w:val="center"/>
                </w:tcPr>
                <w:p w14:paraId="13C4066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9.2</w:t>
                  </w:r>
                </w:p>
              </w:tc>
              <w:tc>
                <w:tcPr>
                  <w:tcW w:w="905" w:type="dxa"/>
                  <w:gridSpan w:val="2"/>
                  <w:shd w:val="clear" w:color="auto" w:fill="auto"/>
                  <w:vAlign w:val="center"/>
                </w:tcPr>
                <w:p w14:paraId="0BF8F84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3.2</w:t>
                  </w:r>
                </w:p>
              </w:tc>
              <w:tc>
                <w:tcPr>
                  <w:tcW w:w="1071" w:type="dxa"/>
                  <w:gridSpan w:val="2"/>
                  <w:shd w:val="clear" w:color="auto" w:fill="auto"/>
                  <w:vAlign w:val="center"/>
                </w:tcPr>
                <w:p w14:paraId="60BA293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4.7</w:t>
                  </w:r>
                </w:p>
              </w:tc>
              <w:tc>
                <w:tcPr>
                  <w:tcW w:w="899" w:type="dxa"/>
                  <w:shd w:val="clear" w:color="auto" w:fill="auto"/>
                  <w:vAlign w:val="center"/>
                </w:tcPr>
                <w:p w14:paraId="7E6CD79D">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49AEF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10FEBB69">
                  <w:pPr>
                    <w:pStyle w:val="60"/>
                    <w:rPr>
                      <w:rFonts w:hint="default" w:eastAsia="宋体"/>
                      <w:color w:val="auto"/>
                      <w:sz w:val="18"/>
                      <w:szCs w:val="18"/>
                      <w:lang w:val="en-US" w:eastAsia="zh-CN"/>
                    </w:rPr>
                  </w:pPr>
                  <w:r>
                    <w:rPr>
                      <w:rFonts w:hint="eastAsia"/>
                      <w:color w:val="auto"/>
                      <w:sz w:val="18"/>
                      <w:szCs w:val="18"/>
                      <w:lang w:val="en-US" w:eastAsia="zh-CN"/>
                    </w:rPr>
                    <w:t>6#</w:t>
                  </w:r>
                </w:p>
              </w:tc>
              <w:tc>
                <w:tcPr>
                  <w:tcW w:w="760" w:type="dxa"/>
                  <w:vAlign w:val="center"/>
                </w:tcPr>
                <w:p w14:paraId="15D3BDE2">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96" w:type="dxa"/>
                  <w:gridSpan w:val="2"/>
                  <w:shd w:val="clear" w:color="auto" w:fill="auto"/>
                  <w:vAlign w:val="center"/>
                </w:tcPr>
                <w:p w14:paraId="263A280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6.1</w:t>
                  </w:r>
                </w:p>
              </w:tc>
              <w:tc>
                <w:tcPr>
                  <w:tcW w:w="898" w:type="dxa"/>
                  <w:gridSpan w:val="2"/>
                  <w:shd w:val="clear" w:color="auto" w:fill="auto"/>
                  <w:vAlign w:val="center"/>
                </w:tcPr>
                <w:p w14:paraId="27D13E75">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6" w:type="dxa"/>
                  <w:gridSpan w:val="2"/>
                  <w:shd w:val="clear" w:color="auto" w:fill="auto"/>
                  <w:vAlign w:val="center"/>
                </w:tcPr>
                <w:p w14:paraId="784A65C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4.3</w:t>
                  </w:r>
                </w:p>
              </w:tc>
              <w:tc>
                <w:tcPr>
                  <w:tcW w:w="896" w:type="dxa"/>
                  <w:gridSpan w:val="2"/>
                  <w:shd w:val="clear" w:color="auto" w:fill="auto"/>
                  <w:vAlign w:val="center"/>
                </w:tcPr>
                <w:p w14:paraId="1C5EDA6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5.2</w:t>
                  </w:r>
                </w:p>
              </w:tc>
              <w:tc>
                <w:tcPr>
                  <w:tcW w:w="898" w:type="dxa"/>
                  <w:gridSpan w:val="2"/>
                  <w:shd w:val="clear" w:color="auto" w:fill="auto"/>
                  <w:vAlign w:val="center"/>
                </w:tcPr>
                <w:p w14:paraId="51E3ACA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8.4</w:t>
                  </w:r>
                </w:p>
              </w:tc>
              <w:tc>
                <w:tcPr>
                  <w:tcW w:w="905" w:type="dxa"/>
                  <w:gridSpan w:val="2"/>
                  <w:shd w:val="clear" w:color="auto" w:fill="auto"/>
                  <w:vAlign w:val="center"/>
                </w:tcPr>
                <w:p w14:paraId="3EE7679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4.1</w:t>
                  </w:r>
                </w:p>
              </w:tc>
              <w:tc>
                <w:tcPr>
                  <w:tcW w:w="1071" w:type="dxa"/>
                  <w:gridSpan w:val="2"/>
                  <w:shd w:val="clear" w:color="auto" w:fill="auto"/>
                  <w:vAlign w:val="center"/>
                </w:tcPr>
                <w:p w14:paraId="6465FC1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3.4</w:t>
                  </w:r>
                </w:p>
              </w:tc>
              <w:tc>
                <w:tcPr>
                  <w:tcW w:w="899" w:type="dxa"/>
                  <w:shd w:val="clear" w:color="auto" w:fill="auto"/>
                  <w:vAlign w:val="center"/>
                </w:tcPr>
                <w:p w14:paraId="2A9C5F1F">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6E4AB9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vAlign w:val="center"/>
                </w:tcPr>
                <w:p w14:paraId="4CC621D7">
                  <w:pPr>
                    <w:pStyle w:val="60"/>
                    <w:rPr>
                      <w:color w:val="auto"/>
                      <w:sz w:val="18"/>
                      <w:szCs w:val="18"/>
                    </w:rPr>
                  </w:pPr>
                  <w:r>
                    <w:rPr>
                      <w:color w:val="auto"/>
                      <w:sz w:val="18"/>
                      <w:szCs w:val="18"/>
                    </w:rPr>
                    <w:t>监测</w:t>
                  </w:r>
                </w:p>
                <w:p w14:paraId="680D15E9">
                  <w:pPr>
                    <w:pStyle w:val="60"/>
                    <w:rPr>
                      <w:color w:val="auto"/>
                      <w:sz w:val="18"/>
                      <w:szCs w:val="18"/>
                    </w:rPr>
                  </w:pPr>
                  <w:r>
                    <w:rPr>
                      <w:color w:val="auto"/>
                      <w:sz w:val="18"/>
                      <w:szCs w:val="18"/>
                    </w:rPr>
                    <w:t>点位</w:t>
                  </w:r>
                </w:p>
              </w:tc>
              <w:tc>
                <w:tcPr>
                  <w:tcW w:w="760" w:type="dxa"/>
                  <w:vMerge w:val="restart"/>
                  <w:vAlign w:val="center"/>
                </w:tcPr>
                <w:p w14:paraId="590E7F8F">
                  <w:pPr>
                    <w:pStyle w:val="60"/>
                    <w:rPr>
                      <w:color w:val="auto"/>
                      <w:sz w:val="18"/>
                      <w:szCs w:val="18"/>
                    </w:rPr>
                  </w:pPr>
                  <w:r>
                    <w:rPr>
                      <w:color w:val="auto"/>
                      <w:sz w:val="18"/>
                      <w:szCs w:val="18"/>
                    </w:rPr>
                    <w:t>取样层次</w:t>
                  </w:r>
                </w:p>
              </w:tc>
              <w:tc>
                <w:tcPr>
                  <w:tcW w:w="7359" w:type="dxa"/>
                  <w:gridSpan w:val="15"/>
                  <w:vAlign w:val="center"/>
                </w:tcPr>
                <w:p w14:paraId="1C406AB7">
                  <w:pPr>
                    <w:pStyle w:val="60"/>
                    <w:rPr>
                      <w:color w:val="auto"/>
                      <w:sz w:val="18"/>
                      <w:szCs w:val="18"/>
                    </w:rPr>
                  </w:pPr>
                  <w:r>
                    <w:rPr>
                      <w:color w:val="auto"/>
                      <w:sz w:val="18"/>
                      <w:szCs w:val="18"/>
                    </w:rPr>
                    <w:t>监测项目与结果</w:t>
                  </w:r>
                </w:p>
              </w:tc>
            </w:tr>
            <w:tr w14:paraId="42471E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vAlign w:val="center"/>
                </w:tcPr>
                <w:p w14:paraId="43AF1D96">
                  <w:pPr>
                    <w:pStyle w:val="60"/>
                    <w:rPr>
                      <w:color w:val="auto"/>
                      <w:sz w:val="18"/>
                      <w:szCs w:val="18"/>
                    </w:rPr>
                  </w:pPr>
                </w:p>
              </w:tc>
              <w:tc>
                <w:tcPr>
                  <w:tcW w:w="760" w:type="dxa"/>
                  <w:vMerge w:val="continue"/>
                  <w:vAlign w:val="center"/>
                </w:tcPr>
                <w:p w14:paraId="300ED158">
                  <w:pPr>
                    <w:pStyle w:val="60"/>
                    <w:rPr>
                      <w:color w:val="auto"/>
                      <w:sz w:val="18"/>
                      <w:szCs w:val="18"/>
                    </w:rPr>
                  </w:pPr>
                </w:p>
              </w:tc>
              <w:tc>
                <w:tcPr>
                  <w:tcW w:w="879" w:type="dxa"/>
                  <w:shd w:val="clear" w:color="auto" w:fill="auto"/>
                  <w:vAlign w:val="center"/>
                </w:tcPr>
                <w:p w14:paraId="3AE45478">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氯丙烷</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90" w:type="dxa"/>
                  <w:gridSpan w:val="2"/>
                  <w:shd w:val="clear" w:color="auto" w:fill="auto"/>
                  <w:vAlign w:val="center"/>
                </w:tcPr>
                <w:p w14:paraId="19A4A39E">
                  <w:pPr>
                    <w:pStyle w:val="60"/>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,1.2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四氯乙烷（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89" w:type="dxa"/>
                  <w:gridSpan w:val="2"/>
                  <w:shd w:val="clear" w:color="auto" w:fill="auto"/>
                  <w:vAlign w:val="center"/>
                </w:tcPr>
                <w:p w14:paraId="05C16672">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,2.2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四氯乙烷（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86" w:type="dxa"/>
                  <w:gridSpan w:val="2"/>
                  <w:shd w:val="clear" w:color="auto" w:fill="auto"/>
                  <w:vAlign w:val="center"/>
                </w:tcPr>
                <w:p w14:paraId="35DC10F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四氯乙烯（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81" w:type="dxa"/>
                  <w:gridSpan w:val="2"/>
                  <w:shd w:val="clear" w:color="auto" w:fill="auto"/>
                  <w:vAlign w:val="center"/>
                </w:tcPr>
                <w:p w14:paraId="418C9F28">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879" w:type="dxa"/>
                  <w:gridSpan w:val="2"/>
                  <w:shd w:val="clear" w:color="auto" w:fill="auto"/>
                  <w:vAlign w:val="center"/>
                </w:tcPr>
                <w:p w14:paraId="5E9A26A6">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1079" w:type="dxa"/>
                  <w:gridSpan w:val="2"/>
                  <w:shd w:val="clear" w:color="auto" w:fill="auto"/>
                  <w:vAlign w:val="center"/>
                </w:tcPr>
                <w:p w14:paraId="340E7DA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三氯乙烯（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976" w:type="dxa"/>
                  <w:gridSpan w:val="2"/>
                  <w:shd w:val="clear" w:color="auto" w:fill="auto"/>
                  <w:vAlign w:val="center"/>
                </w:tcPr>
                <w:p w14:paraId="311CB248">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2,3</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r>
            <w:tr w14:paraId="3FA2B9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4A94676D">
                  <w:pPr>
                    <w:pStyle w:val="60"/>
                    <w:rPr>
                      <w:color w:val="auto"/>
                      <w:sz w:val="18"/>
                      <w:szCs w:val="18"/>
                    </w:rPr>
                  </w:pPr>
                  <w:r>
                    <w:rPr>
                      <w:color w:val="auto"/>
                      <w:sz w:val="18"/>
                      <w:szCs w:val="18"/>
                    </w:rPr>
                    <w:t>1#</w:t>
                  </w:r>
                </w:p>
              </w:tc>
              <w:tc>
                <w:tcPr>
                  <w:tcW w:w="760" w:type="dxa"/>
                  <w:vAlign w:val="center"/>
                </w:tcPr>
                <w:p w14:paraId="3A50908C">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65B93FF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w:t>
                  </w:r>
                </w:p>
              </w:tc>
              <w:tc>
                <w:tcPr>
                  <w:tcW w:w="890" w:type="dxa"/>
                  <w:gridSpan w:val="2"/>
                  <w:shd w:val="clear" w:color="auto" w:fill="auto"/>
                  <w:vAlign w:val="center"/>
                </w:tcPr>
                <w:p w14:paraId="42A61B7E">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24319344">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1186FC0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24.1</w:t>
                  </w:r>
                </w:p>
              </w:tc>
              <w:tc>
                <w:tcPr>
                  <w:tcW w:w="881" w:type="dxa"/>
                  <w:gridSpan w:val="2"/>
                  <w:shd w:val="clear" w:color="auto" w:fill="auto"/>
                  <w:vAlign w:val="center"/>
                </w:tcPr>
                <w:p w14:paraId="0A2A5C4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6.5</w:t>
                  </w:r>
                </w:p>
              </w:tc>
              <w:tc>
                <w:tcPr>
                  <w:tcW w:w="879" w:type="dxa"/>
                  <w:gridSpan w:val="2"/>
                  <w:shd w:val="clear" w:color="auto" w:fill="auto"/>
                  <w:vAlign w:val="center"/>
                </w:tcPr>
                <w:p w14:paraId="59DBFBE8">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7470A83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3.7</w:t>
                  </w:r>
                </w:p>
              </w:tc>
              <w:tc>
                <w:tcPr>
                  <w:tcW w:w="976" w:type="dxa"/>
                  <w:gridSpan w:val="2"/>
                  <w:shd w:val="clear" w:color="auto" w:fill="auto"/>
                  <w:vAlign w:val="center"/>
                </w:tcPr>
                <w:p w14:paraId="59F91CF6">
                  <w:pPr>
                    <w:pStyle w:val="60"/>
                    <w:rPr>
                      <w:rFonts w:hint="default"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7D0EA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1D80855E">
                  <w:pPr>
                    <w:pStyle w:val="60"/>
                    <w:rPr>
                      <w:color w:val="auto"/>
                      <w:sz w:val="18"/>
                      <w:szCs w:val="18"/>
                    </w:rPr>
                  </w:pPr>
                  <w:r>
                    <w:rPr>
                      <w:color w:val="auto"/>
                      <w:sz w:val="18"/>
                      <w:szCs w:val="18"/>
                    </w:rPr>
                    <w:t>2#</w:t>
                  </w:r>
                </w:p>
              </w:tc>
              <w:tc>
                <w:tcPr>
                  <w:tcW w:w="760" w:type="dxa"/>
                  <w:vAlign w:val="center"/>
                </w:tcPr>
                <w:p w14:paraId="66891933">
                  <w:pPr>
                    <w:pStyle w:val="60"/>
                    <w:rPr>
                      <w:color w:val="auto"/>
                      <w:sz w:val="18"/>
                      <w:szCs w:val="18"/>
                    </w:rPr>
                  </w:pPr>
                  <w:r>
                    <w:rPr>
                      <w:color w:val="auto"/>
                      <w:sz w:val="18"/>
                      <w:szCs w:val="18"/>
                    </w:rPr>
                    <w:t>0~0.5m</w:t>
                  </w:r>
                </w:p>
              </w:tc>
              <w:tc>
                <w:tcPr>
                  <w:tcW w:w="879" w:type="dxa"/>
                  <w:shd w:val="clear" w:color="auto" w:fill="auto"/>
                  <w:vAlign w:val="center"/>
                </w:tcPr>
                <w:p w14:paraId="79F48F3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890" w:type="dxa"/>
                  <w:gridSpan w:val="2"/>
                  <w:shd w:val="clear" w:color="auto" w:fill="auto"/>
                  <w:vAlign w:val="center"/>
                </w:tcPr>
                <w:p w14:paraId="40F1EE8D">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4A2E9B10">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66BE6BA7">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42C29A6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879" w:type="dxa"/>
                  <w:gridSpan w:val="2"/>
                  <w:shd w:val="clear" w:color="auto" w:fill="auto"/>
                  <w:vAlign w:val="center"/>
                </w:tcPr>
                <w:p w14:paraId="54B0B850">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43B165C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4.4</w:t>
                  </w:r>
                </w:p>
              </w:tc>
              <w:tc>
                <w:tcPr>
                  <w:tcW w:w="976" w:type="dxa"/>
                  <w:gridSpan w:val="2"/>
                  <w:shd w:val="clear" w:color="auto" w:fill="auto"/>
                  <w:vAlign w:val="center"/>
                </w:tcPr>
                <w:p w14:paraId="549C07E2">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789008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340ED75B">
                  <w:pPr>
                    <w:pStyle w:val="60"/>
                    <w:rPr>
                      <w:color w:val="auto"/>
                      <w:sz w:val="18"/>
                      <w:szCs w:val="18"/>
                    </w:rPr>
                  </w:pPr>
                  <w:r>
                    <w:rPr>
                      <w:color w:val="auto"/>
                      <w:sz w:val="18"/>
                      <w:szCs w:val="18"/>
                    </w:rPr>
                    <w:t>3#</w:t>
                  </w:r>
                </w:p>
              </w:tc>
              <w:tc>
                <w:tcPr>
                  <w:tcW w:w="760" w:type="dxa"/>
                  <w:vAlign w:val="center"/>
                </w:tcPr>
                <w:p w14:paraId="386882B2">
                  <w:pPr>
                    <w:pStyle w:val="60"/>
                    <w:rPr>
                      <w:color w:val="auto"/>
                      <w:sz w:val="18"/>
                      <w:szCs w:val="18"/>
                    </w:rPr>
                  </w:pPr>
                  <w:r>
                    <w:rPr>
                      <w:color w:val="auto"/>
                      <w:sz w:val="18"/>
                      <w:szCs w:val="18"/>
                    </w:rPr>
                    <w:t>0~0.5m</w:t>
                  </w:r>
                </w:p>
              </w:tc>
              <w:tc>
                <w:tcPr>
                  <w:tcW w:w="879" w:type="dxa"/>
                  <w:shd w:val="clear" w:color="auto" w:fill="auto"/>
                  <w:vAlign w:val="center"/>
                </w:tcPr>
                <w:p w14:paraId="0D0A799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w:t>
                  </w:r>
                </w:p>
              </w:tc>
              <w:tc>
                <w:tcPr>
                  <w:tcW w:w="890" w:type="dxa"/>
                  <w:gridSpan w:val="2"/>
                  <w:shd w:val="clear" w:color="auto" w:fill="auto"/>
                  <w:vAlign w:val="center"/>
                </w:tcPr>
                <w:p w14:paraId="71D2B564">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49DDA85F">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3CF8B8C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15.2</w:t>
                  </w:r>
                </w:p>
              </w:tc>
              <w:tc>
                <w:tcPr>
                  <w:tcW w:w="881" w:type="dxa"/>
                  <w:gridSpan w:val="2"/>
                  <w:shd w:val="clear" w:color="auto" w:fill="auto"/>
                  <w:vAlign w:val="center"/>
                </w:tcPr>
                <w:p w14:paraId="1CA4D3C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7.7</w:t>
                  </w:r>
                </w:p>
              </w:tc>
              <w:tc>
                <w:tcPr>
                  <w:tcW w:w="879" w:type="dxa"/>
                  <w:gridSpan w:val="2"/>
                  <w:shd w:val="clear" w:color="auto" w:fill="auto"/>
                  <w:vAlign w:val="center"/>
                </w:tcPr>
                <w:p w14:paraId="6ABFE5FC">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7E2CB49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4.3</w:t>
                  </w:r>
                </w:p>
              </w:tc>
              <w:tc>
                <w:tcPr>
                  <w:tcW w:w="976" w:type="dxa"/>
                  <w:gridSpan w:val="2"/>
                  <w:shd w:val="clear" w:color="auto" w:fill="auto"/>
                  <w:vAlign w:val="center"/>
                </w:tcPr>
                <w:p w14:paraId="3515BC11">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7409B7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754EA1E4">
                  <w:pPr>
                    <w:pStyle w:val="60"/>
                    <w:rPr>
                      <w:color w:val="auto"/>
                      <w:sz w:val="18"/>
                      <w:szCs w:val="18"/>
                    </w:rPr>
                  </w:pPr>
                  <w:r>
                    <w:rPr>
                      <w:color w:val="auto"/>
                      <w:sz w:val="18"/>
                      <w:szCs w:val="18"/>
                    </w:rPr>
                    <w:t>4#</w:t>
                  </w:r>
                </w:p>
              </w:tc>
              <w:tc>
                <w:tcPr>
                  <w:tcW w:w="760" w:type="dxa"/>
                  <w:vAlign w:val="center"/>
                </w:tcPr>
                <w:p w14:paraId="64A5A63B">
                  <w:pPr>
                    <w:pStyle w:val="60"/>
                    <w:rPr>
                      <w:color w:val="auto"/>
                      <w:sz w:val="18"/>
                      <w:szCs w:val="18"/>
                    </w:rPr>
                  </w:pPr>
                  <w:r>
                    <w:rPr>
                      <w:color w:val="auto"/>
                      <w:sz w:val="18"/>
                      <w:szCs w:val="18"/>
                    </w:rPr>
                    <w:t>0~0.5m</w:t>
                  </w:r>
                </w:p>
              </w:tc>
              <w:tc>
                <w:tcPr>
                  <w:tcW w:w="879" w:type="dxa"/>
                  <w:shd w:val="clear" w:color="auto" w:fill="auto"/>
                  <w:vAlign w:val="center"/>
                </w:tcPr>
                <w:p w14:paraId="1CB47DC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c>
                <w:tcPr>
                  <w:tcW w:w="890" w:type="dxa"/>
                  <w:gridSpan w:val="2"/>
                  <w:shd w:val="clear" w:color="auto" w:fill="auto"/>
                  <w:vAlign w:val="center"/>
                </w:tcPr>
                <w:p w14:paraId="3F4D9CF0">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3D7F6ECF">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026CB46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11.3</w:t>
                  </w:r>
                </w:p>
              </w:tc>
              <w:tc>
                <w:tcPr>
                  <w:tcW w:w="881" w:type="dxa"/>
                  <w:gridSpan w:val="2"/>
                  <w:shd w:val="clear" w:color="auto" w:fill="auto"/>
                  <w:vAlign w:val="center"/>
                </w:tcPr>
                <w:p w14:paraId="32BDD48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8.4</w:t>
                  </w:r>
                </w:p>
              </w:tc>
              <w:tc>
                <w:tcPr>
                  <w:tcW w:w="879" w:type="dxa"/>
                  <w:gridSpan w:val="2"/>
                  <w:shd w:val="clear" w:color="auto" w:fill="auto"/>
                  <w:vAlign w:val="center"/>
                </w:tcPr>
                <w:p w14:paraId="56BED933">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5917ED4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4.9</w:t>
                  </w:r>
                </w:p>
              </w:tc>
              <w:tc>
                <w:tcPr>
                  <w:tcW w:w="976" w:type="dxa"/>
                  <w:gridSpan w:val="2"/>
                  <w:shd w:val="clear" w:color="auto" w:fill="auto"/>
                  <w:vAlign w:val="center"/>
                </w:tcPr>
                <w:p w14:paraId="31D12A75">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1E3A9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42EC8B76">
                  <w:pPr>
                    <w:pStyle w:val="60"/>
                    <w:rPr>
                      <w:color w:val="auto"/>
                      <w:sz w:val="18"/>
                      <w:szCs w:val="18"/>
                    </w:rPr>
                  </w:pPr>
                  <w:r>
                    <w:rPr>
                      <w:color w:val="auto"/>
                      <w:sz w:val="18"/>
                      <w:szCs w:val="18"/>
                    </w:rPr>
                    <w:t>5#</w:t>
                  </w:r>
                </w:p>
              </w:tc>
              <w:tc>
                <w:tcPr>
                  <w:tcW w:w="760" w:type="dxa"/>
                  <w:vAlign w:val="center"/>
                </w:tcPr>
                <w:p w14:paraId="07AF052A">
                  <w:pPr>
                    <w:pStyle w:val="60"/>
                    <w:rPr>
                      <w:color w:val="auto"/>
                      <w:sz w:val="18"/>
                      <w:szCs w:val="18"/>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722D4FB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1.7</w:t>
                  </w:r>
                </w:p>
              </w:tc>
              <w:tc>
                <w:tcPr>
                  <w:tcW w:w="890" w:type="dxa"/>
                  <w:gridSpan w:val="2"/>
                  <w:shd w:val="clear" w:color="auto" w:fill="auto"/>
                  <w:vAlign w:val="center"/>
                </w:tcPr>
                <w:p w14:paraId="45CE6CF7">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74B25154">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3F833940">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49E6491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7.9</w:t>
                  </w:r>
                </w:p>
              </w:tc>
              <w:tc>
                <w:tcPr>
                  <w:tcW w:w="879" w:type="dxa"/>
                  <w:gridSpan w:val="2"/>
                  <w:shd w:val="clear" w:color="auto" w:fill="auto"/>
                  <w:vAlign w:val="center"/>
                </w:tcPr>
                <w:p w14:paraId="25C1D812">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63FC242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4.6</w:t>
                  </w:r>
                </w:p>
              </w:tc>
              <w:tc>
                <w:tcPr>
                  <w:tcW w:w="976" w:type="dxa"/>
                  <w:gridSpan w:val="2"/>
                  <w:shd w:val="clear" w:color="auto" w:fill="auto"/>
                  <w:vAlign w:val="center"/>
                </w:tcPr>
                <w:p w14:paraId="1768B840">
                  <w:pPr>
                    <w:pStyle w:val="60"/>
                    <w:rPr>
                      <w:rFonts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AEAB8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Align w:val="center"/>
                </w:tcPr>
                <w:p w14:paraId="6CC80720">
                  <w:pPr>
                    <w:pStyle w:val="60"/>
                    <w:rPr>
                      <w:rFonts w:hint="default" w:eastAsia="宋体"/>
                      <w:color w:val="auto"/>
                      <w:sz w:val="18"/>
                      <w:szCs w:val="18"/>
                      <w:lang w:val="en-US" w:eastAsia="zh-CN"/>
                    </w:rPr>
                  </w:pPr>
                  <w:r>
                    <w:rPr>
                      <w:rFonts w:hint="eastAsia"/>
                      <w:color w:val="auto"/>
                      <w:sz w:val="18"/>
                      <w:szCs w:val="18"/>
                      <w:lang w:val="en-US" w:eastAsia="zh-CN"/>
                    </w:rPr>
                    <w:t>6#</w:t>
                  </w:r>
                </w:p>
              </w:tc>
              <w:tc>
                <w:tcPr>
                  <w:tcW w:w="760" w:type="dxa"/>
                  <w:vAlign w:val="center"/>
                </w:tcPr>
                <w:p w14:paraId="409CBF0A">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79" w:type="dxa"/>
                  <w:shd w:val="clear" w:color="auto" w:fill="auto"/>
                  <w:vAlign w:val="center"/>
                </w:tcPr>
                <w:p w14:paraId="5F2B419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890" w:type="dxa"/>
                  <w:gridSpan w:val="2"/>
                  <w:shd w:val="clear" w:color="auto" w:fill="auto"/>
                  <w:vAlign w:val="center"/>
                </w:tcPr>
                <w:p w14:paraId="7DDA6E9E">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01FF74EB">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2BCFDED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24.8</w:t>
                  </w:r>
                </w:p>
              </w:tc>
              <w:tc>
                <w:tcPr>
                  <w:tcW w:w="881" w:type="dxa"/>
                  <w:gridSpan w:val="2"/>
                  <w:shd w:val="clear" w:color="auto" w:fill="auto"/>
                  <w:vAlign w:val="center"/>
                </w:tcPr>
                <w:p w14:paraId="3A586AA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7.5</w:t>
                  </w:r>
                </w:p>
              </w:tc>
              <w:tc>
                <w:tcPr>
                  <w:tcW w:w="879" w:type="dxa"/>
                  <w:gridSpan w:val="2"/>
                  <w:shd w:val="clear" w:color="auto" w:fill="auto"/>
                  <w:vAlign w:val="center"/>
                </w:tcPr>
                <w:p w14:paraId="01CC9551">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4E212AB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5.8</w:t>
                  </w:r>
                </w:p>
              </w:tc>
              <w:tc>
                <w:tcPr>
                  <w:tcW w:w="976" w:type="dxa"/>
                  <w:gridSpan w:val="2"/>
                  <w:shd w:val="clear" w:color="auto" w:fill="auto"/>
                  <w:vAlign w:val="center"/>
                </w:tcPr>
                <w:p w14:paraId="42448EC2">
                  <w:pPr>
                    <w:pStyle w:val="60"/>
                    <w:rPr>
                      <w:rFonts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6020AF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shd w:val="clear" w:color="auto" w:fill="auto"/>
                  <w:vAlign w:val="center"/>
                </w:tcPr>
                <w:p w14:paraId="22E4806D">
                  <w:pPr>
                    <w:pStyle w:val="60"/>
                    <w:rPr>
                      <w:color w:val="auto"/>
                      <w:sz w:val="18"/>
                      <w:szCs w:val="18"/>
                    </w:rPr>
                  </w:pPr>
                  <w:r>
                    <w:rPr>
                      <w:color w:val="auto"/>
                      <w:sz w:val="18"/>
                      <w:szCs w:val="18"/>
                    </w:rPr>
                    <w:t>监测</w:t>
                  </w:r>
                </w:p>
                <w:p w14:paraId="302A3CCC">
                  <w:pPr>
                    <w:pStyle w:val="60"/>
                    <w:rPr>
                      <w:rFonts w:ascii="Times New Roman" w:hAnsi="Times New Roman" w:eastAsia="宋体" w:cs="Times New Roman"/>
                      <w:color w:val="auto"/>
                      <w:kern w:val="2"/>
                      <w:sz w:val="18"/>
                      <w:szCs w:val="18"/>
                      <w:lang w:val="zh-CN" w:eastAsia="zh-CN" w:bidi="ar-SA"/>
                    </w:rPr>
                  </w:pPr>
                  <w:r>
                    <w:rPr>
                      <w:color w:val="auto"/>
                      <w:sz w:val="18"/>
                      <w:szCs w:val="18"/>
                    </w:rPr>
                    <w:t>点位</w:t>
                  </w:r>
                </w:p>
              </w:tc>
              <w:tc>
                <w:tcPr>
                  <w:tcW w:w="760" w:type="dxa"/>
                  <w:vMerge w:val="restart"/>
                  <w:shd w:val="clear" w:color="auto" w:fill="auto"/>
                  <w:vAlign w:val="center"/>
                </w:tcPr>
                <w:p w14:paraId="442E7C2B">
                  <w:pPr>
                    <w:pStyle w:val="60"/>
                    <w:rPr>
                      <w:rFonts w:ascii="Times New Roman" w:hAnsi="Times New Roman" w:eastAsia="宋体" w:cs="Times New Roman"/>
                      <w:color w:val="auto"/>
                      <w:kern w:val="2"/>
                      <w:sz w:val="18"/>
                      <w:szCs w:val="18"/>
                      <w:lang w:val="zh-CN" w:eastAsia="zh-CN" w:bidi="ar-SA"/>
                    </w:rPr>
                  </w:pPr>
                  <w:r>
                    <w:rPr>
                      <w:color w:val="auto"/>
                      <w:sz w:val="18"/>
                      <w:szCs w:val="18"/>
                    </w:rPr>
                    <w:t>取样层次</w:t>
                  </w:r>
                </w:p>
              </w:tc>
              <w:tc>
                <w:tcPr>
                  <w:tcW w:w="7359" w:type="dxa"/>
                  <w:gridSpan w:val="15"/>
                  <w:shd w:val="clear" w:color="auto" w:fill="auto"/>
                  <w:vAlign w:val="center"/>
                </w:tcPr>
                <w:p w14:paraId="578D4B43">
                  <w:pPr>
                    <w:pStyle w:val="60"/>
                    <w:rPr>
                      <w:rFonts w:hint="eastAsia"/>
                      <w:color w:val="auto"/>
                      <w:sz w:val="18"/>
                      <w:szCs w:val="18"/>
                    </w:rPr>
                  </w:pPr>
                  <w:r>
                    <w:rPr>
                      <w:color w:val="auto"/>
                      <w:sz w:val="18"/>
                      <w:szCs w:val="18"/>
                    </w:rPr>
                    <w:t>监测项目与结果</w:t>
                  </w:r>
                </w:p>
              </w:tc>
            </w:tr>
            <w:tr w14:paraId="3BF266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tcPr>
                <w:p w14:paraId="0B9FFF72">
                  <w:pPr>
                    <w:pStyle w:val="60"/>
                    <w:rPr>
                      <w:color w:val="auto"/>
                      <w:sz w:val="18"/>
                      <w:szCs w:val="18"/>
                    </w:rPr>
                  </w:pPr>
                </w:p>
              </w:tc>
              <w:tc>
                <w:tcPr>
                  <w:tcW w:w="760" w:type="dxa"/>
                  <w:vMerge w:val="continue"/>
                </w:tcPr>
                <w:p w14:paraId="09903B93">
                  <w:pPr>
                    <w:pStyle w:val="60"/>
                    <w:rPr>
                      <w:color w:val="auto"/>
                      <w:sz w:val="18"/>
                      <w:szCs w:val="18"/>
                    </w:rPr>
                  </w:pPr>
                </w:p>
              </w:tc>
              <w:tc>
                <w:tcPr>
                  <w:tcW w:w="879" w:type="dxa"/>
                  <w:shd w:val="clear" w:color="auto" w:fill="auto"/>
                  <w:vAlign w:val="center"/>
                </w:tcPr>
                <w:p w14:paraId="7AD46147">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苯</w:t>
                  </w:r>
                </w:p>
                <w:p w14:paraId="1B28B663">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90" w:type="dxa"/>
                  <w:gridSpan w:val="2"/>
                  <w:shd w:val="clear" w:color="auto" w:fill="auto"/>
                  <w:vAlign w:val="center"/>
                </w:tcPr>
                <w:p w14:paraId="3AB75B4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氯乙烯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89" w:type="dxa"/>
                  <w:gridSpan w:val="2"/>
                  <w:shd w:val="clear" w:color="auto" w:fill="auto"/>
                  <w:vAlign w:val="center"/>
                </w:tcPr>
                <w:p w14:paraId="2B5D297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86" w:type="dxa"/>
                  <w:gridSpan w:val="2"/>
                  <w:shd w:val="clear" w:color="auto" w:fill="auto"/>
                  <w:vAlign w:val="center"/>
                </w:tcPr>
                <w:p w14:paraId="6835C70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1,2-二氯苯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81" w:type="dxa"/>
                  <w:gridSpan w:val="2"/>
                  <w:shd w:val="clear" w:color="auto" w:fill="auto"/>
                  <w:vAlign w:val="center"/>
                </w:tcPr>
                <w:p w14:paraId="275AB31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乙苯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79" w:type="dxa"/>
                  <w:gridSpan w:val="2"/>
                  <w:shd w:val="clear" w:color="auto" w:fill="auto"/>
                  <w:vAlign w:val="center"/>
                </w:tcPr>
                <w:p w14:paraId="1F77F79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1079" w:type="dxa"/>
                  <w:gridSpan w:val="2"/>
                  <w:shd w:val="clear" w:color="auto" w:fill="auto"/>
                  <w:vAlign w:val="center"/>
                </w:tcPr>
                <w:p w14:paraId="57E8D31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苯乙烯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976" w:type="dxa"/>
                  <w:gridSpan w:val="2"/>
                  <w:shd w:val="clear" w:color="auto" w:fill="auto"/>
                  <w:vAlign w:val="center"/>
                </w:tcPr>
                <w:p w14:paraId="1C2B031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间/对二甲苯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r>
            <w:tr w14:paraId="344BC1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712F8F65">
                  <w:pPr>
                    <w:pStyle w:val="60"/>
                    <w:rPr>
                      <w:rFonts w:ascii="Times New Roman" w:hAnsi="Times New Roman" w:eastAsia="宋体" w:cs="Times New Roman"/>
                      <w:color w:val="auto"/>
                      <w:kern w:val="2"/>
                      <w:sz w:val="18"/>
                      <w:szCs w:val="18"/>
                      <w:lang w:val="zh-CN" w:eastAsia="zh-CN" w:bidi="ar-SA"/>
                    </w:rPr>
                  </w:pPr>
                  <w:r>
                    <w:rPr>
                      <w:color w:val="auto"/>
                      <w:sz w:val="18"/>
                      <w:szCs w:val="18"/>
                    </w:rPr>
                    <w:t>1#</w:t>
                  </w:r>
                </w:p>
              </w:tc>
              <w:tc>
                <w:tcPr>
                  <w:tcW w:w="0" w:type="auto"/>
                  <w:shd w:val="clear" w:color="auto" w:fill="auto"/>
                  <w:vAlign w:val="center"/>
                </w:tcPr>
                <w:p w14:paraId="6312C03C">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7898D99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w:t>
                  </w:r>
                </w:p>
              </w:tc>
              <w:tc>
                <w:tcPr>
                  <w:tcW w:w="890" w:type="dxa"/>
                  <w:gridSpan w:val="2"/>
                  <w:shd w:val="clear" w:color="auto" w:fill="auto"/>
                  <w:vAlign w:val="center"/>
                </w:tcPr>
                <w:p w14:paraId="0657277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w:t>
                  </w:r>
                </w:p>
              </w:tc>
              <w:tc>
                <w:tcPr>
                  <w:tcW w:w="889" w:type="dxa"/>
                  <w:gridSpan w:val="2"/>
                  <w:shd w:val="clear" w:color="auto" w:fill="auto"/>
                  <w:vAlign w:val="center"/>
                </w:tcPr>
                <w:p w14:paraId="309FA7CD">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3621EE4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41E1E11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5D01AB6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6F916E7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38E10E2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27DD8D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7B36253D">
                  <w:pPr>
                    <w:pStyle w:val="60"/>
                    <w:rPr>
                      <w:rFonts w:ascii="Times New Roman" w:hAnsi="Times New Roman" w:eastAsia="宋体" w:cs="Times New Roman"/>
                      <w:color w:val="auto"/>
                      <w:kern w:val="2"/>
                      <w:sz w:val="18"/>
                      <w:szCs w:val="18"/>
                      <w:lang w:val="zh-CN" w:eastAsia="zh-CN" w:bidi="ar-SA"/>
                    </w:rPr>
                  </w:pPr>
                  <w:r>
                    <w:rPr>
                      <w:color w:val="auto"/>
                      <w:sz w:val="18"/>
                      <w:szCs w:val="18"/>
                    </w:rPr>
                    <w:t>2#</w:t>
                  </w:r>
                </w:p>
              </w:tc>
              <w:tc>
                <w:tcPr>
                  <w:tcW w:w="0" w:type="auto"/>
                  <w:shd w:val="clear" w:color="auto" w:fill="auto"/>
                  <w:vAlign w:val="center"/>
                </w:tcPr>
                <w:p w14:paraId="51A3A82F">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4CC9A85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3.5</w:t>
                  </w:r>
                </w:p>
              </w:tc>
              <w:tc>
                <w:tcPr>
                  <w:tcW w:w="890" w:type="dxa"/>
                  <w:gridSpan w:val="2"/>
                  <w:shd w:val="clear" w:color="auto" w:fill="auto"/>
                  <w:vAlign w:val="center"/>
                </w:tcPr>
                <w:p w14:paraId="7018934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w:t>
                  </w:r>
                </w:p>
              </w:tc>
              <w:tc>
                <w:tcPr>
                  <w:tcW w:w="889" w:type="dxa"/>
                  <w:gridSpan w:val="2"/>
                  <w:shd w:val="clear" w:color="auto" w:fill="auto"/>
                  <w:vAlign w:val="center"/>
                </w:tcPr>
                <w:p w14:paraId="1D9C013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54D5B9D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37817A8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1.7</w:t>
                  </w:r>
                </w:p>
              </w:tc>
              <w:tc>
                <w:tcPr>
                  <w:tcW w:w="879" w:type="dxa"/>
                  <w:gridSpan w:val="2"/>
                  <w:shd w:val="clear" w:color="auto" w:fill="auto"/>
                  <w:vAlign w:val="center"/>
                </w:tcPr>
                <w:p w14:paraId="48BBD43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1079" w:type="dxa"/>
                  <w:gridSpan w:val="2"/>
                  <w:shd w:val="clear" w:color="auto" w:fill="auto"/>
                  <w:vAlign w:val="center"/>
                </w:tcPr>
                <w:p w14:paraId="4207AC9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54E677D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r>
            <w:tr w14:paraId="23CD86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785FA438">
                  <w:pPr>
                    <w:pStyle w:val="60"/>
                    <w:rPr>
                      <w:rFonts w:ascii="Times New Roman" w:hAnsi="Times New Roman" w:eastAsia="宋体" w:cs="Times New Roman"/>
                      <w:color w:val="auto"/>
                      <w:kern w:val="2"/>
                      <w:sz w:val="18"/>
                      <w:szCs w:val="18"/>
                      <w:lang w:val="zh-CN" w:eastAsia="zh-CN" w:bidi="ar-SA"/>
                    </w:rPr>
                  </w:pPr>
                  <w:r>
                    <w:rPr>
                      <w:color w:val="auto"/>
                      <w:sz w:val="18"/>
                      <w:szCs w:val="18"/>
                    </w:rPr>
                    <w:t>3#</w:t>
                  </w:r>
                </w:p>
              </w:tc>
              <w:tc>
                <w:tcPr>
                  <w:tcW w:w="0" w:type="auto"/>
                  <w:shd w:val="clear" w:color="auto" w:fill="auto"/>
                  <w:vAlign w:val="center"/>
                </w:tcPr>
                <w:p w14:paraId="6E6F115F">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7E91B1C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2.5</w:t>
                  </w:r>
                </w:p>
              </w:tc>
              <w:tc>
                <w:tcPr>
                  <w:tcW w:w="890" w:type="dxa"/>
                  <w:gridSpan w:val="2"/>
                  <w:shd w:val="clear" w:color="auto" w:fill="auto"/>
                  <w:vAlign w:val="center"/>
                </w:tcPr>
                <w:p w14:paraId="620BA89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w:t>
                  </w:r>
                </w:p>
              </w:tc>
              <w:tc>
                <w:tcPr>
                  <w:tcW w:w="889" w:type="dxa"/>
                  <w:gridSpan w:val="2"/>
                  <w:shd w:val="clear" w:color="auto" w:fill="auto"/>
                  <w:vAlign w:val="center"/>
                </w:tcPr>
                <w:p w14:paraId="7178A6D1">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1E9BBA6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3733AA1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6717F42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079" w:type="dxa"/>
                  <w:gridSpan w:val="2"/>
                  <w:shd w:val="clear" w:color="auto" w:fill="auto"/>
                  <w:vAlign w:val="center"/>
                </w:tcPr>
                <w:p w14:paraId="40BA619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62CE13D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4F9F5A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5EE2807B">
                  <w:pPr>
                    <w:pStyle w:val="60"/>
                    <w:rPr>
                      <w:rFonts w:ascii="Times New Roman" w:hAnsi="Times New Roman" w:eastAsia="宋体" w:cs="Times New Roman"/>
                      <w:color w:val="auto"/>
                      <w:kern w:val="2"/>
                      <w:sz w:val="18"/>
                      <w:szCs w:val="18"/>
                      <w:lang w:val="zh-CN" w:eastAsia="zh-CN" w:bidi="ar-SA"/>
                    </w:rPr>
                  </w:pPr>
                  <w:r>
                    <w:rPr>
                      <w:color w:val="auto"/>
                      <w:sz w:val="18"/>
                      <w:szCs w:val="18"/>
                    </w:rPr>
                    <w:t>4#</w:t>
                  </w:r>
                </w:p>
              </w:tc>
              <w:tc>
                <w:tcPr>
                  <w:tcW w:w="0" w:type="auto"/>
                  <w:shd w:val="clear" w:color="auto" w:fill="auto"/>
                  <w:vAlign w:val="center"/>
                </w:tcPr>
                <w:p w14:paraId="70292DC7">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5AB2F94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2.8</w:t>
                  </w:r>
                </w:p>
              </w:tc>
              <w:tc>
                <w:tcPr>
                  <w:tcW w:w="890" w:type="dxa"/>
                  <w:gridSpan w:val="2"/>
                  <w:shd w:val="clear" w:color="auto" w:fill="auto"/>
                  <w:vAlign w:val="center"/>
                </w:tcPr>
                <w:p w14:paraId="5C652BA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36E93FA9">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0DCF132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1D66B04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1.3</w:t>
                  </w:r>
                </w:p>
              </w:tc>
              <w:tc>
                <w:tcPr>
                  <w:tcW w:w="879" w:type="dxa"/>
                  <w:gridSpan w:val="2"/>
                  <w:shd w:val="clear" w:color="auto" w:fill="auto"/>
                  <w:vAlign w:val="center"/>
                </w:tcPr>
                <w:p w14:paraId="68D4E60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1.9</w:t>
                  </w:r>
                </w:p>
              </w:tc>
              <w:tc>
                <w:tcPr>
                  <w:tcW w:w="1079" w:type="dxa"/>
                  <w:gridSpan w:val="2"/>
                  <w:shd w:val="clear" w:color="auto" w:fill="auto"/>
                  <w:vAlign w:val="center"/>
                </w:tcPr>
                <w:p w14:paraId="2995091F">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3F01E89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4F45A4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03F5AFAB">
                  <w:pPr>
                    <w:pStyle w:val="60"/>
                    <w:rPr>
                      <w:rFonts w:ascii="Times New Roman" w:hAnsi="Times New Roman" w:eastAsia="宋体" w:cs="Times New Roman"/>
                      <w:color w:val="auto"/>
                      <w:kern w:val="2"/>
                      <w:sz w:val="18"/>
                      <w:szCs w:val="18"/>
                      <w:lang w:val="zh-CN" w:eastAsia="zh-CN" w:bidi="ar-SA"/>
                    </w:rPr>
                  </w:pPr>
                  <w:r>
                    <w:rPr>
                      <w:color w:val="auto"/>
                      <w:sz w:val="18"/>
                      <w:szCs w:val="18"/>
                    </w:rPr>
                    <w:t>5#</w:t>
                  </w:r>
                </w:p>
              </w:tc>
              <w:tc>
                <w:tcPr>
                  <w:tcW w:w="0" w:type="auto"/>
                  <w:shd w:val="clear" w:color="auto" w:fill="auto"/>
                  <w:vAlign w:val="center"/>
                </w:tcPr>
                <w:p w14:paraId="36020C50">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0F562EE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3.1</w:t>
                  </w:r>
                </w:p>
              </w:tc>
              <w:tc>
                <w:tcPr>
                  <w:tcW w:w="890" w:type="dxa"/>
                  <w:gridSpan w:val="2"/>
                  <w:shd w:val="clear" w:color="auto" w:fill="auto"/>
                  <w:vAlign w:val="center"/>
                </w:tcPr>
                <w:p w14:paraId="0FEA99F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c>
                <w:tcPr>
                  <w:tcW w:w="889" w:type="dxa"/>
                  <w:gridSpan w:val="2"/>
                  <w:shd w:val="clear" w:color="auto" w:fill="auto"/>
                  <w:vAlign w:val="center"/>
                </w:tcPr>
                <w:p w14:paraId="02D4048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3D1F7829">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1375D1B5">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45B3663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079" w:type="dxa"/>
                  <w:gridSpan w:val="2"/>
                  <w:shd w:val="clear" w:color="auto" w:fill="auto"/>
                  <w:vAlign w:val="center"/>
                </w:tcPr>
                <w:p w14:paraId="4E3CDB9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4AA0240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316319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6A1332D1">
                  <w:pPr>
                    <w:pStyle w:val="60"/>
                    <w:rPr>
                      <w:rFonts w:hint="default" w:eastAsia="宋体"/>
                      <w:color w:val="auto"/>
                      <w:sz w:val="18"/>
                      <w:szCs w:val="18"/>
                      <w:lang w:val="en-US" w:eastAsia="zh-CN"/>
                    </w:rPr>
                  </w:pPr>
                  <w:r>
                    <w:rPr>
                      <w:rFonts w:hint="eastAsia"/>
                      <w:color w:val="auto"/>
                      <w:sz w:val="18"/>
                      <w:szCs w:val="18"/>
                      <w:lang w:val="en-US" w:eastAsia="zh-CN"/>
                    </w:rPr>
                    <w:t>6#</w:t>
                  </w:r>
                </w:p>
              </w:tc>
              <w:tc>
                <w:tcPr>
                  <w:tcW w:w="0" w:type="auto"/>
                  <w:shd w:val="clear" w:color="auto" w:fill="auto"/>
                  <w:vAlign w:val="center"/>
                </w:tcPr>
                <w:p w14:paraId="2A6B7262">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79" w:type="dxa"/>
                  <w:shd w:val="clear" w:color="auto" w:fill="auto"/>
                  <w:vAlign w:val="center"/>
                </w:tcPr>
                <w:p w14:paraId="7DF7586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3.8</w:t>
                  </w:r>
                </w:p>
              </w:tc>
              <w:tc>
                <w:tcPr>
                  <w:tcW w:w="890" w:type="dxa"/>
                  <w:gridSpan w:val="2"/>
                  <w:shd w:val="clear" w:color="auto" w:fill="auto"/>
                  <w:vAlign w:val="center"/>
                </w:tcPr>
                <w:p w14:paraId="26DEB15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059A40B6">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133B8D71">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5CE2A321">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1338438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2.0</w:t>
                  </w:r>
                </w:p>
              </w:tc>
              <w:tc>
                <w:tcPr>
                  <w:tcW w:w="1079" w:type="dxa"/>
                  <w:gridSpan w:val="2"/>
                  <w:shd w:val="clear" w:color="auto" w:fill="auto"/>
                  <w:vAlign w:val="center"/>
                </w:tcPr>
                <w:p w14:paraId="26F83F86">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585AEC54">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513E9A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shd w:val="clear" w:color="auto" w:fill="auto"/>
                  <w:vAlign w:val="center"/>
                </w:tcPr>
                <w:p w14:paraId="472DA0D9">
                  <w:pPr>
                    <w:pStyle w:val="60"/>
                    <w:rPr>
                      <w:color w:val="auto"/>
                      <w:sz w:val="18"/>
                      <w:szCs w:val="18"/>
                    </w:rPr>
                  </w:pPr>
                  <w:r>
                    <w:rPr>
                      <w:color w:val="auto"/>
                      <w:sz w:val="18"/>
                      <w:szCs w:val="18"/>
                    </w:rPr>
                    <w:t>监测</w:t>
                  </w:r>
                </w:p>
                <w:p w14:paraId="615D5B01">
                  <w:pPr>
                    <w:pStyle w:val="60"/>
                    <w:rPr>
                      <w:rFonts w:ascii="Times New Roman" w:hAnsi="Times New Roman" w:eastAsia="宋体" w:cs="Times New Roman"/>
                      <w:color w:val="auto"/>
                      <w:kern w:val="2"/>
                      <w:sz w:val="18"/>
                      <w:szCs w:val="18"/>
                      <w:lang w:val="zh-CN" w:eastAsia="zh-CN" w:bidi="ar-SA"/>
                    </w:rPr>
                  </w:pPr>
                  <w:r>
                    <w:rPr>
                      <w:color w:val="auto"/>
                      <w:sz w:val="18"/>
                      <w:szCs w:val="18"/>
                    </w:rPr>
                    <w:t>点位</w:t>
                  </w:r>
                </w:p>
              </w:tc>
              <w:tc>
                <w:tcPr>
                  <w:tcW w:w="760" w:type="dxa"/>
                  <w:vMerge w:val="restart"/>
                  <w:shd w:val="clear" w:color="auto" w:fill="auto"/>
                  <w:vAlign w:val="center"/>
                </w:tcPr>
                <w:p w14:paraId="40C6F116">
                  <w:pPr>
                    <w:pStyle w:val="60"/>
                    <w:rPr>
                      <w:rFonts w:ascii="Times New Roman" w:hAnsi="Times New Roman" w:eastAsia="宋体" w:cs="Times New Roman"/>
                      <w:color w:val="auto"/>
                      <w:kern w:val="2"/>
                      <w:sz w:val="18"/>
                      <w:szCs w:val="18"/>
                      <w:lang w:val="zh-CN" w:eastAsia="zh-CN" w:bidi="ar-SA"/>
                    </w:rPr>
                  </w:pPr>
                  <w:r>
                    <w:rPr>
                      <w:color w:val="auto"/>
                      <w:sz w:val="18"/>
                      <w:szCs w:val="18"/>
                    </w:rPr>
                    <w:t>取样层次</w:t>
                  </w:r>
                </w:p>
              </w:tc>
              <w:tc>
                <w:tcPr>
                  <w:tcW w:w="7359" w:type="dxa"/>
                  <w:gridSpan w:val="15"/>
                  <w:shd w:val="clear" w:color="auto" w:fill="auto"/>
                  <w:vAlign w:val="center"/>
                </w:tcPr>
                <w:p w14:paraId="2D402ED2">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监测项目与结果</w:t>
                  </w:r>
                </w:p>
              </w:tc>
            </w:tr>
            <w:tr w14:paraId="443F0F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tcPr>
                <w:p w14:paraId="5A7BE2AC">
                  <w:pPr>
                    <w:pStyle w:val="60"/>
                    <w:rPr>
                      <w:color w:val="auto"/>
                      <w:sz w:val="18"/>
                      <w:szCs w:val="18"/>
                    </w:rPr>
                  </w:pPr>
                </w:p>
              </w:tc>
              <w:tc>
                <w:tcPr>
                  <w:tcW w:w="760" w:type="dxa"/>
                  <w:vMerge w:val="continue"/>
                </w:tcPr>
                <w:p w14:paraId="478DBCB2">
                  <w:pPr>
                    <w:pStyle w:val="60"/>
                    <w:rPr>
                      <w:color w:val="auto"/>
                      <w:sz w:val="18"/>
                      <w:szCs w:val="18"/>
                    </w:rPr>
                  </w:pPr>
                </w:p>
              </w:tc>
              <w:tc>
                <w:tcPr>
                  <w:tcW w:w="879" w:type="dxa"/>
                  <w:shd w:val="clear" w:color="auto" w:fill="auto"/>
                  <w:vAlign w:val="center"/>
                </w:tcPr>
                <w:p w14:paraId="71FC56F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邻二甲苯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90" w:type="dxa"/>
                  <w:gridSpan w:val="2"/>
                  <w:shd w:val="clear" w:color="auto" w:fill="auto"/>
                  <w:vAlign w:val="center"/>
                </w:tcPr>
                <w:p w14:paraId="6DCC58C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1,4-二氯苯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889" w:type="dxa"/>
                  <w:gridSpan w:val="2"/>
                  <w:shd w:val="clear" w:color="auto" w:fill="auto"/>
                  <w:vAlign w:val="center"/>
                </w:tcPr>
                <w:p w14:paraId="1E393E2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硝基苯</w:t>
                  </w:r>
                  <w:r>
                    <w:rPr>
                      <w:rFonts w:hint="eastAsia" w:ascii="Times New Roman" w:hAnsi="Times New Roman" w:eastAsia="宋体" w:cs="Times New Roman"/>
                      <w:color w:val="auto"/>
                      <w:kern w:val="2"/>
                      <w:sz w:val="18"/>
                      <w:szCs w:val="18"/>
                      <w:lang w:val="zh-CN" w:eastAsia="zh-CN" w:bidi="ar-SA"/>
                    </w:rPr>
                    <w:t>(mg/kg)</w:t>
                  </w:r>
                </w:p>
              </w:tc>
              <w:tc>
                <w:tcPr>
                  <w:tcW w:w="886" w:type="dxa"/>
                  <w:gridSpan w:val="2"/>
                  <w:shd w:val="clear" w:color="auto" w:fill="auto"/>
                  <w:vAlign w:val="center"/>
                </w:tcPr>
                <w:p w14:paraId="4577AC7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苯胺</w:t>
                  </w:r>
                  <w:r>
                    <w:rPr>
                      <w:rFonts w:hint="eastAsia" w:ascii="Times New Roman" w:hAnsi="Times New Roman" w:eastAsia="宋体" w:cs="Times New Roman"/>
                      <w:color w:val="auto"/>
                      <w:kern w:val="2"/>
                      <w:sz w:val="18"/>
                      <w:szCs w:val="18"/>
                      <w:lang w:val="zh-CN" w:eastAsia="zh-CN" w:bidi="ar-SA"/>
                    </w:rPr>
                    <w:t>(mg/kg)</w:t>
                  </w:r>
                </w:p>
              </w:tc>
              <w:tc>
                <w:tcPr>
                  <w:tcW w:w="881" w:type="dxa"/>
                  <w:gridSpan w:val="2"/>
                  <w:shd w:val="clear" w:color="auto" w:fill="auto"/>
                  <w:vAlign w:val="center"/>
                </w:tcPr>
                <w:p w14:paraId="1BA8C94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2-氯酚</w:t>
                  </w:r>
                  <w:r>
                    <w:rPr>
                      <w:rFonts w:hint="eastAsia" w:ascii="Times New Roman" w:hAnsi="Times New Roman" w:eastAsia="宋体" w:cs="Times New Roman"/>
                      <w:color w:val="auto"/>
                      <w:kern w:val="2"/>
                      <w:sz w:val="18"/>
                      <w:szCs w:val="18"/>
                      <w:lang w:val="zh-CN" w:eastAsia="zh-CN" w:bidi="ar-SA"/>
                    </w:rPr>
                    <w:t>(mg/kg)</w:t>
                  </w:r>
                </w:p>
              </w:tc>
              <w:tc>
                <w:tcPr>
                  <w:tcW w:w="879" w:type="dxa"/>
                  <w:gridSpan w:val="2"/>
                  <w:shd w:val="clear" w:color="auto" w:fill="auto"/>
                  <w:vAlign w:val="center"/>
                </w:tcPr>
                <w:p w14:paraId="34B46ED1">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苯并[α]蒽</w:t>
                  </w:r>
                  <w:r>
                    <w:rPr>
                      <w:rFonts w:hint="eastAsia" w:ascii="Times New Roman" w:hAnsi="Times New Roman" w:eastAsia="宋体" w:cs="Times New Roman"/>
                      <w:color w:val="auto"/>
                      <w:kern w:val="2"/>
                      <w:sz w:val="18"/>
                      <w:szCs w:val="18"/>
                      <w:lang w:val="zh-CN" w:eastAsia="zh-CN" w:bidi="ar-SA"/>
                    </w:rPr>
                    <w:t>(mg/kg)</w:t>
                  </w:r>
                </w:p>
              </w:tc>
              <w:tc>
                <w:tcPr>
                  <w:tcW w:w="1079" w:type="dxa"/>
                  <w:gridSpan w:val="2"/>
                  <w:shd w:val="clear" w:color="auto" w:fill="auto"/>
                  <w:vAlign w:val="center"/>
                </w:tcPr>
                <w:p w14:paraId="7CC930F9">
                  <w:pPr>
                    <w:pStyle w:val="60"/>
                    <w:rPr>
                      <w:rFonts w:hint="eastAsia" w:ascii="Times New Roman" w:hAnsi="Times New Roman" w:eastAsia="宋体" w:cs="Times New Roman"/>
                      <w:color w:val="auto"/>
                      <w:kern w:val="2"/>
                      <w:sz w:val="18"/>
                      <w:szCs w:val="18"/>
                      <w:lang w:val="zh-CN" w:eastAsia="zh-CN" w:bidi="ar-SA"/>
                    </w:rPr>
                  </w:pPr>
                  <w:r>
                    <w:rPr>
                      <w:rFonts w:hint="default" w:ascii="Times New Roman" w:hAnsi="Times New Roman" w:cs="Times New Roman"/>
                      <w:color w:val="auto"/>
                      <w:kern w:val="2"/>
                      <w:sz w:val="18"/>
                      <w:szCs w:val="18"/>
                      <w:lang w:val="en-US" w:eastAsia="zh-CN" w:bidi="ar-SA"/>
                    </w:rPr>
                    <w:t>苯并[α]</w:t>
                  </w:r>
                  <w:r>
                    <w:rPr>
                      <w:rFonts w:hint="eastAsia" w:cs="Times New Roman"/>
                      <w:color w:val="auto"/>
                      <w:kern w:val="2"/>
                      <w:sz w:val="18"/>
                      <w:szCs w:val="18"/>
                      <w:lang w:val="en-US" w:eastAsia="zh-CN" w:bidi="ar-SA"/>
                    </w:rPr>
                    <w:t>芘</w:t>
                  </w:r>
                  <w:r>
                    <w:rPr>
                      <w:rFonts w:hint="eastAsia" w:ascii="Times New Roman" w:hAnsi="Times New Roman" w:eastAsia="宋体" w:cs="Times New Roman"/>
                      <w:color w:val="auto"/>
                      <w:kern w:val="2"/>
                      <w:sz w:val="18"/>
                      <w:szCs w:val="18"/>
                      <w:lang w:val="zh-CN" w:eastAsia="zh-CN" w:bidi="ar-SA"/>
                    </w:rPr>
                    <w:t>(mg/kg)</w:t>
                  </w:r>
                </w:p>
              </w:tc>
              <w:tc>
                <w:tcPr>
                  <w:tcW w:w="976" w:type="dxa"/>
                  <w:gridSpan w:val="2"/>
                  <w:shd w:val="clear" w:color="auto" w:fill="auto"/>
                  <w:vAlign w:val="center"/>
                </w:tcPr>
                <w:p w14:paraId="0E0E3B3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苯并</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b</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荧蒽</w:t>
                  </w:r>
                  <w:r>
                    <w:rPr>
                      <w:rFonts w:hint="eastAsia" w:ascii="Times New Roman" w:hAnsi="Times New Roman" w:eastAsia="宋体" w:cs="Times New Roman"/>
                      <w:color w:val="auto"/>
                      <w:kern w:val="2"/>
                      <w:sz w:val="18"/>
                      <w:szCs w:val="18"/>
                      <w:lang w:val="zh-CN" w:eastAsia="zh-CN" w:bidi="ar-SA"/>
                    </w:rPr>
                    <w:t>(mg/kg)</w:t>
                  </w:r>
                </w:p>
              </w:tc>
            </w:tr>
            <w:tr w14:paraId="363E69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41DBDA30">
                  <w:pPr>
                    <w:pStyle w:val="60"/>
                    <w:rPr>
                      <w:rFonts w:ascii="Times New Roman" w:hAnsi="Times New Roman" w:eastAsia="宋体" w:cs="Times New Roman"/>
                      <w:color w:val="auto"/>
                      <w:kern w:val="2"/>
                      <w:sz w:val="18"/>
                      <w:szCs w:val="18"/>
                      <w:lang w:val="zh-CN" w:eastAsia="zh-CN" w:bidi="ar-SA"/>
                    </w:rPr>
                  </w:pPr>
                  <w:r>
                    <w:rPr>
                      <w:color w:val="auto"/>
                      <w:sz w:val="18"/>
                      <w:szCs w:val="18"/>
                    </w:rPr>
                    <w:t>1#</w:t>
                  </w:r>
                </w:p>
              </w:tc>
              <w:tc>
                <w:tcPr>
                  <w:tcW w:w="0" w:type="auto"/>
                  <w:shd w:val="clear" w:color="auto" w:fill="auto"/>
                  <w:vAlign w:val="center"/>
                </w:tcPr>
                <w:p w14:paraId="200AFFE9">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7658A7D1">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14794FF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754023A9">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26C24AF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6BB9369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26BE3C1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520D285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5886E8B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CE15E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745E1F33">
                  <w:pPr>
                    <w:pStyle w:val="60"/>
                    <w:rPr>
                      <w:rFonts w:ascii="Times New Roman" w:hAnsi="Times New Roman" w:eastAsia="宋体" w:cs="Times New Roman"/>
                      <w:color w:val="auto"/>
                      <w:kern w:val="2"/>
                      <w:sz w:val="18"/>
                      <w:szCs w:val="18"/>
                      <w:lang w:val="zh-CN" w:eastAsia="zh-CN" w:bidi="ar-SA"/>
                    </w:rPr>
                  </w:pPr>
                  <w:r>
                    <w:rPr>
                      <w:color w:val="auto"/>
                      <w:sz w:val="18"/>
                      <w:szCs w:val="18"/>
                    </w:rPr>
                    <w:t>2#</w:t>
                  </w:r>
                </w:p>
              </w:tc>
              <w:tc>
                <w:tcPr>
                  <w:tcW w:w="0" w:type="auto"/>
                  <w:shd w:val="clear" w:color="auto" w:fill="auto"/>
                  <w:vAlign w:val="center"/>
                </w:tcPr>
                <w:p w14:paraId="06A36417">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7FAC72E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7FD653B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48C95A2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6AFA682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730B280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6AE58466">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369F14C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2ECC517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60BBBE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61195EA5">
                  <w:pPr>
                    <w:pStyle w:val="60"/>
                    <w:rPr>
                      <w:rFonts w:ascii="Times New Roman" w:hAnsi="Times New Roman" w:eastAsia="宋体" w:cs="Times New Roman"/>
                      <w:color w:val="auto"/>
                      <w:kern w:val="2"/>
                      <w:sz w:val="18"/>
                      <w:szCs w:val="18"/>
                      <w:lang w:val="zh-CN" w:eastAsia="zh-CN" w:bidi="ar-SA"/>
                    </w:rPr>
                  </w:pPr>
                  <w:r>
                    <w:rPr>
                      <w:color w:val="auto"/>
                      <w:sz w:val="18"/>
                      <w:szCs w:val="18"/>
                    </w:rPr>
                    <w:t>3#</w:t>
                  </w:r>
                </w:p>
              </w:tc>
              <w:tc>
                <w:tcPr>
                  <w:tcW w:w="0" w:type="auto"/>
                  <w:shd w:val="clear" w:color="auto" w:fill="auto"/>
                  <w:vAlign w:val="center"/>
                </w:tcPr>
                <w:p w14:paraId="3DCA57C0">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7EE4B5D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265DE99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732EBE1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6EC03A6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74E598E5">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7F45F41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54D929C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3D344025">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6734A4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21ACA762">
                  <w:pPr>
                    <w:pStyle w:val="60"/>
                    <w:rPr>
                      <w:rFonts w:ascii="Times New Roman" w:hAnsi="Times New Roman" w:eastAsia="宋体" w:cs="Times New Roman"/>
                      <w:color w:val="auto"/>
                      <w:kern w:val="2"/>
                      <w:sz w:val="18"/>
                      <w:szCs w:val="18"/>
                      <w:lang w:val="zh-CN" w:eastAsia="zh-CN" w:bidi="ar-SA"/>
                    </w:rPr>
                  </w:pPr>
                  <w:r>
                    <w:rPr>
                      <w:color w:val="auto"/>
                      <w:sz w:val="18"/>
                      <w:szCs w:val="18"/>
                    </w:rPr>
                    <w:t>4#</w:t>
                  </w:r>
                </w:p>
              </w:tc>
              <w:tc>
                <w:tcPr>
                  <w:tcW w:w="0" w:type="auto"/>
                  <w:shd w:val="clear" w:color="auto" w:fill="auto"/>
                  <w:vAlign w:val="center"/>
                </w:tcPr>
                <w:p w14:paraId="02AF1B8E">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0597701D">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3A8E3EC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2D6C3F1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57E066B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1A6677C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25DE7CF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6270434D">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71B1FB2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C3494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7AB19BF1">
                  <w:pPr>
                    <w:pStyle w:val="60"/>
                    <w:rPr>
                      <w:rFonts w:ascii="Times New Roman" w:hAnsi="Times New Roman" w:eastAsia="宋体" w:cs="Times New Roman"/>
                      <w:color w:val="auto"/>
                      <w:kern w:val="2"/>
                      <w:sz w:val="18"/>
                      <w:szCs w:val="18"/>
                      <w:lang w:val="zh-CN" w:eastAsia="zh-CN" w:bidi="ar-SA"/>
                    </w:rPr>
                  </w:pPr>
                  <w:r>
                    <w:rPr>
                      <w:color w:val="auto"/>
                      <w:sz w:val="18"/>
                      <w:szCs w:val="18"/>
                    </w:rPr>
                    <w:t>5#</w:t>
                  </w:r>
                </w:p>
              </w:tc>
              <w:tc>
                <w:tcPr>
                  <w:tcW w:w="0" w:type="auto"/>
                  <w:shd w:val="clear" w:color="auto" w:fill="auto"/>
                  <w:vAlign w:val="center"/>
                </w:tcPr>
                <w:p w14:paraId="33875174">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15C1CCB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5884BB4D">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401792D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2AA05C91">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0602EF7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46EE6FFA">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5C639FC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1E1DD519">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48D37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61F07671">
                  <w:pPr>
                    <w:pStyle w:val="60"/>
                    <w:rPr>
                      <w:rFonts w:hint="default" w:eastAsia="宋体"/>
                      <w:color w:val="auto"/>
                      <w:sz w:val="18"/>
                      <w:szCs w:val="18"/>
                      <w:lang w:val="en-US" w:eastAsia="zh-CN"/>
                    </w:rPr>
                  </w:pPr>
                  <w:r>
                    <w:rPr>
                      <w:rFonts w:hint="eastAsia"/>
                      <w:color w:val="auto"/>
                      <w:sz w:val="18"/>
                      <w:szCs w:val="18"/>
                      <w:lang w:val="en-US" w:eastAsia="zh-CN"/>
                    </w:rPr>
                    <w:t>6#</w:t>
                  </w:r>
                </w:p>
              </w:tc>
              <w:tc>
                <w:tcPr>
                  <w:tcW w:w="0" w:type="auto"/>
                  <w:shd w:val="clear" w:color="auto" w:fill="auto"/>
                  <w:vAlign w:val="center"/>
                </w:tcPr>
                <w:p w14:paraId="6B2DC3E1">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79" w:type="dxa"/>
                  <w:shd w:val="clear" w:color="auto" w:fill="auto"/>
                  <w:vAlign w:val="center"/>
                </w:tcPr>
                <w:p w14:paraId="6CB2E02D">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7015D4BC">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62817BEF">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71A0DE42">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63F7BFCD">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123BD97E">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1079" w:type="dxa"/>
                  <w:gridSpan w:val="2"/>
                  <w:shd w:val="clear" w:color="auto" w:fill="auto"/>
                  <w:vAlign w:val="center"/>
                </w:tcPr>
                <w:p w14:paraId="2A466A95">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76" w:type="dxa"/>
                  <w:gridSpan w:val="2"/>
                  <w:shd w:val="clear" w:color="auto" w:fill="auto"/>
                  <w:vAlign w:val="center"/>
                </w:tcPr>
                <w:p w14:paraId="5ED953F1">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14F97E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restart"/>
                  <w:shd w:val="clear" w:color="auto" w:fill="auto"/>
                  <w:vAlign w:val="center"/>
                </w:tcPr>
                <w:p w14:paraId="4DE88DB6">
                  <w:pPr>
                    <w:pStyle w:val="60"/>
                    <w:rPr>
                      <w:color w:val="auto"/>
                      <w:sz w:val="18"/>
                      <w:szCs w:val="18"/>
                    </w:rPr>
                  </w:pPr>
                  <w:r>
                    <w:rPr>
                      <w:color w:val="auto"/>
                      <w:sz w:val="18"/>
                      <w:szCs w:val="18"/>
                    </w:rPr>
                    <w:t>监测</w:t>
                  </w:r>
                </w:p>
                <w:p w14:paraId="37F55D4E">
                  <w:pPr>
                    <w:pStyle w:val="60"/>
                    <w:rPr>
                      <w:rFonts w:ascii="Times New Roman" w:hAnsi="Times New Roman" w:eastAsia="宋体" w:cs="Times New Roman"/>
                      <w:color w:val="auto"/>
                      <w:kern w:val="2"/>
                      <w:sz w:val="18"/>
                      <w:szCs w:val="18"/>
                      <w:lang w:val="zh-CN" w:eastAsia="zh-CN" w:bidi="ar-SA"/>
                    </w:rPr>
                  </w:pPr>
                  <w:r>
                    <w:rPr>
                      <w:color w:val="auto"/>
                      <w:sz w:val="18"/>
                      <w:szCs w:val="18"/>
                    </w:rPr>
                    <w:t>点位</w:t>
                  </w:r>
                </w:p>
              </w:tc>
              <w:tc>
                <w:tcPr>
                  <w:tcW w:w="760" w:type="dxa"/>
                  <w:vMerge w:val="restart"/>
                  <w:shd w:val="clear" w:color="auto" w:fill="auto"/>
                  <w:vAlign w:val="center"/>
                </w:tcPr>
                <w:p w14:paraId="17CDE5E4">
                  <w:pPr>
                    <w:pStyle w:val="60"/>
                    <w:rPr>
                      <w:rFonts w:ascii="Times New Roman" w:hAnsi="Times New Roman" w:eastAsia="宋体" w:cs="Times New Roman"/>
                      <w:color w:val="auto"/>
                      <w:kern w:val="2"/>
                      <w:sz w:val="18"/>
                      <w:szCs w:val="18"/>
                      <w:lang w:val="zh-CN" w:eastAsia="zh-CN" w:bidi="ar-SA"/>
                    </w:rPr>
                  </w:pPr>
                  <w:r>
                    <w:rPr>
                      <w:color w:val="auto"/>
                      <w:sz w:val="18"/>
                      <w:szCs w:val="18"/>
                    </w:rPr>
                    <w:t>取样层次</w:t>
                  </w:r>
                </w:p>
              </w:tc>
              <w:tc>
                <w:tcPr>
                  <w:tcW w:w="7359" w:type="dxa"/>
                  <w:gridSpan w:val="15"/>
                  <w:shd w:val="clear" w:color="auto" w:fill="auto"/>
                  <w:vAlign w:val="center"/>
                </w:tcPr>
                <w:p w14:paraId="2C5435C2">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监测项目与结果</w:t>
                  </w:r>
                </w:p>
              </w:tc>
            </w:tr>
            <w:tr w14:paraId="64CE23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vMerge w:val="continue"/>
                </w:tcPr>
                <w:p w14:paraId="694CC8FD">
                  <w:pPr>
                    <w:pStyle w:val="60"/>
                    <w:rPr>
                      <w:color w:val="auto"/>
                      <w:sz w:val="18"/>
                      <w:szCs w:val="18"/>
                    </w:rPr>
                  </w:pPr>
                </w:p>
              </w:tc>
              <w:tc>
                <w:tcPr>
                  <w:tcW w:w="760" w:type="dxa"/>
                  <w:vMerge w:val="continue"/>
                </w:tcPr>
                <w:p w14:paraId="2D590C57">
                  <w:pPr>
                    <w:pStyle w:val="60"/>
                    <w:rPr>
                      <w:color w:val="auto"/>
                      <w:sz w:val="18"/>
                      <w:szCs w:val="18"/>
                    </w:rPr>
                  </w:pPr>
                </w:p>
              </w:tc>
              <w:tc>
                <w:tcPr>
                  <w:tcW w:w="879" w:type="dxa"/>
                  <w:shd w:val="clear" w:color="auto" w:fill="auto"/>
                  <w:vAlign w:val="center"/>
                </w:tcPr>
                <w:p w14:paraId="7EA3964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苯并</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k</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荧蒽</w:t>
                  </w:r>
                  <w:r>
                    <w:rPr>
                      <w:rFonts w:hint="eastAsia" w:ascii="Times New Roman" w:hAnsi="Times New Roman" w:eastAsia="宋体" w:cs="Times New Roman"/>
                      <w:color w:val="auto"/>
                      <w:kern w:val="2"/>
                      <w:sz w:val="18"/>
                      <w:szCs w:val="18"/>
                      <w:lang w:val="zh-CN" w:eastAsia="zh-CN" w:bidi="ar-SA"/>
                    </w:rPr>
                    <w:t>(mg/kg)</w:t>
                  </w:r>
                </w:p>
              </w:tc>
              <w:tc>
                <w:tcPr>
                  <w:tcW w:w="890" w:type="dxa"/>
                  <w:gridSpan w:val="2"/>
                  <w:shd w:val="clear" w:color="auto" w:fill="auto"/>
                  <w:vAlign w:val="center"/>
                </w:tcPr>
                <w:p w14:paraId="435265B8">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䓛</w:t>
                  </w:r>
                </w:p>
                <w:p w14:paraId="5E740F5C">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(mg/kg)</w:t>
                  </w:r>
                </w:p>
              </w:tc>
              <w:tc>
                <w:tcPr>
                  <w:tcW w:w="889" w:type="dxa"/>
                  <w:gridSpan w:val="2"/>
                  <w:shd w:val="clear" w:color="auto" w:fill="auto"/>
                  <w:vAlign w:val="center"/>
                </w:tcPr>
                <w:p w14:paraId="69BDC21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二苯并[a,h]蒽</w:t>
                  </w:r>
                  <w:r>
                    <w:rPr>
                      <w:rFonts w:hint="eastAsia" w:ascii="Times New Roman" w:hAnsi="Times New Roman" w:eastAsia="宋体" w:cs="Times New Roman"/>
                      <w:color w:val="auto"/>
                      <w:kern w:val="2"/>
                      <w:sz w:val="18"/>
                      <w:szCs w:val="18"/>
                      <w:lang w:val="zh-CN" w:eastAsia="zh-CN" w:bidi="ar-SA"/>
                    </w:rPr>
                    <w:t>(mg/kg)</w:t>
                  </w:r>
                </w:p>
              </w:tc>
              <w:tc>
                <w:tcPr>
                  <w:tcW w:w="886" w:type="dxa"/>
                  <w:gridSpan w:val="2"/>
                  <w:shd w:val="clear" w:color="auto" w:fill="auto"/>
                  <w:vAlign w:val="center"/>
                </w:tcPr>
                <w:p w14:paraId="5228971B">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茚并[1,2,3-cd]芘(mg/kg)</w:t>
                  </w:r>
                </w:p>
              </w:tc>
              <w:tc>
                <w:tcPr>
                  <w:tcW w:w="881" w:type="dxa"/>
                  <w:gridSpan w:val="2"/>
                  <w:shd w:val="clear" w:color="auto" w:fill="auto"/>
                  <w:vAlign w:val="center"/>
                </w:tcPr>
                <w:p w14:paraId="645EEE39">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萘</w:t>
                  </w:r>
                </w:p>
                <w:p w14:paraId="7FA956EA">
                  <w:pPr>
                    <w:pStyle w:val="6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zh-CN" w:eastAsia="zh-CN" w:bidi="ar-SA"/>
                    </w:rPr>
                    <w:t>(mg/kg)</w:t>
                  </w:r>
                </w:p>
              </w:tc>
              <w:tc>
                <w:tcPr>
                  <w:tcW w:w="879" w:type="dxa"/>
                  <w:gridSpan w:val="2"/>
                  <w:shd w:val="clear" w:color="auto" w:fill="auto"/>
                  <w:vAlign w:val="center"/>
                </w:tcPr>
                <w:p w14:paraId="6327C466">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pH值</w:t>
                  </w:r>
                </w:p>
                <w:p w14:paraId="6E98592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（无量纲）</w:t>
                  </w:r>
                </w:p>
              </w:tc>
              <w:tc>
                <w:tcPr>
                  <w:tcW w:w="1079" w:type="dxa"/>
                  <w:gridSpan w:val="2"/>
                  <w:shd w:val="clear" w:color="auto" w:fill="auto"/>
                  <w:vAlign w:val="center"/>
                </w:tcPr>
                <w:p w14:paraId="5DC6D29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石油烃（C10-C40）</w:t>
                  </w:r>
                  <w:r>
                    <w:rPr>
                      <w:rFonts w:hint="eastAsia" w:ascii="Times New Roman" w:hAnsi="Times New Roman" w:eastAsia="宋体" w:cs="Times New Roman"/>
                      <w:color w:val="auto"/>
                      <w:kern w:val="2"/>
                      <w:sz w:val="18"/>
                      <w:szCs w:val="18"/>
                      <w:lang w:val="zh-CN" w:eastAsia="zh-CN" w:bidi="ar-SA"/>
                    </w:rPr>
                    <w:t>(mg/kg)</w:t>
                  </w:r>
                </w:p>
              </w:tc>
              <w:tc>
                <w:tcPr>
                  <w:tcW w:w="976" w:type="dxa"/>
                  <w:gridSpan w:val="2"/>
                  <w:shd w:val="clear" w:color="auto" w:fill="auto"/>
                  <w:vAlign w:val="center"/>
                </w:tcPr>
                <w:p w14:paraId="201FE2B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甲醛</w:t>
                  </w:r>
                  <w:r>
                    <w:rPr>
                      <w:rFonts w:hint="eastAsia" w:ascii="Times New Roman" w:hAnsi="Times New Roman" w:eastAsia="宋体" w:cs="Times New Roman"/>
                      <w:color w:val="auto"/>
                      <w:kern w:val="2"/>
                      <w:sz w:val="18"/>
                      <w:szCs w:val="18"/>
                      <w:lang w:val="zh-CN" w:eastAsia="zh-CN" w:bidi="ar-SA"/>
                    </w:rPr>
                    <w:t>(mg/kg)</w:t>
                  </w:r>
                </w:p>
              </w:tc>
            </w:tr>
            <w:tr w14:paraId="3AF5FE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2C3F4698">
                  <w:pPr>
                    <w:pStyle w:val="60"/>
                    <w:rPr>
                      <w:rFonts w:ascii="Times New Roman" w:hAnsi="Times New Roman" w:eastAsia="宋体" w:cs="Times New Roman"/>
                      <w:color w:val="auto"/>
                      <w:kern w:val="2"/>
                      <w:sz w:val="18"/>
                      <w:szCs w:val="18"/>
                      <w:lang w:val="zh-CN" w:eastAsia="zh-CN" w:bidi="ar-SA"/>
                    </w:rPr>
                  </w:pPr>
                  <w:r>
                    <w:rPr>
                      <w:color w:val="auto"/>
                      <w:sz w:val="18"/>
                      <w:szCs w:val="18"/>
                    </w:rPr>
                    <w:t>1#</w:t>
                  </w:r>
                </w:p>
              </w:tc>
              <w:tc>
                <w:tcPr>
                  <w:tcW w:w="0" w:type="auto"/>
                  <w:shd w:val="clear" w:color="auto" w:fill="auto"/>
                  <w:vAlign w:val="center"/>
                </w:tcPr>
                <w:p w14:paraId="052428BF">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6D5113D1">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31FF13BB">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9" w:type="dxa"/>
                  <w:gridSpan w:val="2"/>
                  <w:shd w:val="clear" w:color="auto" w:fill="auto"/>
                  <w:vAlign w:val="center"/>
                </w:tcPr>
                <w:p w14:paraId="2E18883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6" w:type="dxa"/>
                  <w:gridSpan w:val="2"/>
                  <w:shd w:val="clear" w:color="auto" w:fill="auto"/>
                  <w:vAlign w:val="center"/>
                </w:tcPr>
                <w:p w14:paraId="725D0065">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5D93DE7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478814C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7.96</w:t>
                  </w:r>
                </w:p>
              </w:tc>
              <w:tc>
                <w:tcPr>
                  <w:tcW w:w="1079" w:type="dxa"/>
                  <w:gridSpan w:val="2"/>
                  <w:shd w:val="clear" w:color="auto" w:fill="auto"/>
                  <w:vAlign w:val="center"/>
                </w:tcPr>
                <w:p w14:paraId="193B8E4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31</w:t>
                  </w:r>
                </w:p>
              </w:tc>
              <w:tc>
                <w:tcPr>
                  <w:tcW w:w="976" w:type="dxa"/>
                  <w:gridSpan w:val="2"/>
                  <w:shd w:val="clear" w:color="auto" w:fill="auto"/>
                  <w:vAlign w:val="center"/>
                </w:tcPr>
                <w:p w14:paraId="0EA581A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1BD094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6F3C6300">
                  <w:pPr>
                    <w:pStyle w:val="60"/>
                    <w:rPr>
                      <w:rFonts w:ascii="Times New Roman" w:hAnsi="Times New Roman" w:eastAsia="宋体" w:cs="Times New Roman"/>
                      <w:color w:val="auto"/>
                      <w:kern w:val="2"/>
                      <w:sz w:val="18"/>
                      <w:szCs w:val="18"/>
                      <w:lang w:val="zh-CN" w:eastAsia="zh-CN" w:bidi="ar-SA"/>
                    </w:rPr>
                  </w:pPr>
                  <w:r>
                    <w:rPr>
                      <w:color w:val="auto"/>
                      <w:sz w:val="18"/>
                      <w:szCs w:val="18"/>
                    </w:rPr>
                    <w:t>2#</w:t>
                  </w:r>
                </w:p>
              </w:tc>
              <w:tc>
                <w:tcPr>
                  <w:tcW w:w="0" w:type="auto"/>
                  <w:shd w:val="clear" w:color="auto" w:fill="auto"/>
                  <w:vAlign w:val="center"/>
                </w:tcPr>
                <w:p w14:paraId="58164CE7">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5C1BC60F">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5D5FF1D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21" w:type="dxa"/>
                  <w:gridSpan w:val="3"/>
                  <w:shd w:val="clear" w:color="auto" w:fill="auto"/>
                  <w:vAlign w:val="center"/>
                </w:tcPr>
                <w:p w14:paraId="2E44E33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54" w:type="dxa"/>
                  <w:shd w:val="clear" w:color="auto" w:fill="auto"/>
                  <w:vAlign w:val="center"/>
                </w:tcPr>
                <w:p w14:paraId="487C0A2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481E028F">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0A72F44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7.78</w:t>
                  </w:r>
                </w:p>
              </w:tc>
              <w:tc>
                <w:tcPr>
                  <w:tcW w:w="1079" w:type="dxa"/>
                  <w:gridSpan w:val="2"/>
                  <w:shd w:val="clear" w:color="auto" w:fill="auto"/>
                  <w:vAlign w:val="center"/>
                </w:tcPr>
                <w:p w14:paraId="3350971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22</w:t>
                  </w:r>
                </w:p>
              </w:tc>
              <w:tc>
                <w:tcPr>
                  <w:tcW w:w="976" w:type="dxa"/>
                  <w:gridSpan w:val="2"/>
                  <w:shd w:val="clear" w:color="auto" w:fill="auto"/>
                  <w:vAlign w:val="center"/>
                </w:tcPr>
                <w:p w14:paraId="59D5172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7D633A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7A4EBE57">
                  <w:pPr>
                    <w:pStyle w:val="60"/>
                    <w:rPr>
                      <w:rFonts w:ascii="Times New Roman" w:hAnsi="Times New Roman" w:eastAsia="宋体" w:cs="Times New Roman"/>
                      <w:color w:val="auto"/>
                      <w:kern w:val="2"/>
                      <w:sz w:val="18"/>
                      <w:szCs w:val="18"/>
                      <w:lang w:val="zh-CN" w:eastAsia="zh-CN" w:bidi="ar-SA"/>
                    </w:rPr>
                  </w:pPr>
                  <w:r>
                    <w:rPr>
                      <w:color w:val="auto"/>
                      <w:sz w:val="18"/>
                      <w:szCs w:val="18"/>
                    </w:rPr>
                    <w:t>3#</w:t>
                  </w:r>
                </w:p>
              </w:tc>
              <w:tc>
                <w:tcPr>
                  <w:tcW w:w="0" w:type="auto"/>
                  <w:shd w:val="clear" w:color="auto" w:fill="auto"/>
                  <w:vAlign w:val="center"/>
                </w:tcPr>
                <w:p w14:paraId="1443D13B">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2423825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3D943DE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21" w:type="dxa"/>
                  <w:gridSpan w:val="3"/>
                  <w:shd w:val="clear" w:color="auto" w:fill="auto"/>
                  <w:vAlign w:val="center"/>
                </w:tcPr>
                <w:p w14:paraId="212E2F94">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54" w:type="dxa"/>
                  <w:shd w:val="clear" w:color="auto" w:fill="auto"/>
                  <w:vAlign w:val="center"/>
                </w:tcPr>
                <w:p w14:paraId="2F5A5AC3">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12FA39F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4060DA6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7.57</w:t>
                  </w:r>
                </w:p>
              </w:tc>
              <w:tc>
                <w:tcPr>
                  <w:tcW w:w="1079" w:type="dxa"/>
                  <w:gridSpan w:val="2"/>
                  <w:shd w:val="clear" w:color="auto" w:fill="auto"/>
                  <w:vAlign w:val="center"/>
                </w:tcPr>
                <w:p w14:paraId="0C6C001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27</w:t>
                  </w:r>
                </w:p>
              </w:tc>
              <w:tc>
                <w:tcPr>
                  <w:tcW w:w="976" w:type="dxa"/>
                  <w:gridSpan w:val="2"/>
                  <w:shd w:val="clear" w:color="auto" w:fill="auto"/>
                  <w:vAlign w:val="center"/>
                </w:tcPr>
                <w:p w14:paraId="7E42CD2C">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1A6DC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308" w:type="dxa"/>
                  <w:shd w:val="clear" w:color="auto" w:fill="auto"/>
                  <w:vAlign w:val="center"/>
                </w:tcPr>
                <w:p w14:paraId="710582FF">
                  <w:pPr>
                    <w:pStyle w:val="60"/>
                    <w:rPr>
                      <w:rFonts w:ascii="Times New Roman" w:hAnsi="Times New Roman" w:eastAsia="宋体" w:cs="Times New Roman"/>
                      <w:color w:val="auto"/>
                      <w:kern w:val="2"/>
                      <w:sz w:val="18"/>
                      <w:szCs w:val="18"/>
                      <w:lang w:val="zh-CN" w:eastAsia="zh-CN" w:bidi="ar-SA"/>
                    </w:rPr>
                  </w:pPr>
                  <w:r>
                    <w:rPr>
                      <w:color w:val="auto"/>
                      <w:sz w:val="18"/>
                      <w:szCs w:val="18"/>
                    </w:rPr>
                    <w:t>4#</w:t>
                  </w:r>
                </w:p>
              </w:tc>
              <w:tc>
                <w:tcPr>
                  <w:tcW w:w="0" w:type="auto"/>
                  <w:shd w:val="clear" w:color="auto" w:fill="auto"/>
                  <w:vAlign w:val="center"/>
                </w:tcPr>
                <w:p w14:paraId="19406AA4">
                  <w:pPr>
                    <w:pStyle w:val="60"/>
                    <w:rPr>
                      <w:rFonts w:ascii="Times New Roman" w:hAnsi="Times New Roman" w:eastAsia="宋体" w:cs="Times New Roman"/>
                      <w:color w:val="auto"/>
                      <w:kern w:val="2"/>
                      <w:sz w:val="18"/>
                      <w:szCs w:val="18"/>
                      <w:lang w:val="zh-CN" w:eastAsia="zh-CN" w:bidi="ar-SA"/>
                    </w:rPr>
                  </w:pPr>
                  <w:r>
                    <w:rPr>
                      <w:color w:val="auto"/>
                      <w:sz w:val="18"/>
                      <w:szCs w:val="18"/>
                    </w:rPr>
                    <w:t>0~0.5m</w:t>
                  </w:r>
                </w:p>
              </w:tc>
              <w:tc>
                <w:tcPr>
                  <w:tcW w:w="879" w:type="dxa"/>
                  <w:shd w:val="clear" w:color="auto" w:fill="auto"/>
                  <w:vAlign w:val="center"/>
                </w:tcPr>
                <w:p w14:paraId="4C85EF0A">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3F1768C5">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21" w:type="dxa"/>
                  <w:gridSpan w:val="3"/>
                  <w:shd w:val="clear" w:color="auto" w:fill="auto"/>
                  <w:vAlign w:val="center"/>
                </w:tcPr>
                <w:p w14:paraId="2B1BA42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54" w:type="dxa"/>
                  <w:shd w:val="clear" w:color="auto" w:fill="auto"/>
                  <w:vAlign w:val="center"/>
                </w:tcPr>
                <w:p w14:paraId="4817A10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3609DFF7">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4E88B54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7.58</w:t>
                  </w:r>
                </w:p>
              </w:tc>
              <w:tc>
                <w:tcPr>
                  <w:tcW w:w="1079" w:type="dxa"/>
                  <w:gridSpan w:val="2"/>
                  <w:shd w:val="clear" w:color="auto" w:fill="auto"/>
                  <w:vAlign w:val="center"/>
                </w:tcPr>
                <w:p w14:paraId="6E59049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60</w:t>
                  </w:r>
                </w:p>
              </w:tc>
              <w:tc>
                <w:tcPr>
                  <w:tcW w:w="976" w:type="dxa"/>
                  <w:gridSpan w:val="2"/>
                  <w:shd w:val="clear" w:color="auto" w:fill="auto"/>
                  <w:vAlign w:val="center"/>
                </w:tcPr>
                <w:p w14:paraId="5A358B32">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74567A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651426D9">
                  <w:pPr>
                    <w:pStyle w:val="60"/>
                    <w:rPr>
                      <w:rFonts w:ascii="Times New Roman" w:hAnsi="Times New Roman" w:eastAsia="宋体" w:cs="Times New Roman"/>
                      <w:color w:val="auto"/>
                      <w:kern w:val="2"/>
                      <w:sz w:val="18"/>
                      <w:szCs w:val="18"/>
                      <w:lang w:val="zh-CN" w:eastAsia="zh-CN" w:bidi="ar-SA"/>
                    </w:rPr>
                  </w:pPr>
                  <w:r>
                    <w:rPr>
                      <w:color w:val="auto"/>
                      <w:sz w:val="18"/>
                      <w:szCs w:val="18"/>
                    </w:rPr>
                    <w:t>5#</w:t>
                  </w:r>
                </w:p>
              </w:tc>
              <w:tc>
                <w:tcPr>
                  <w:tcW w:w="0" w:type="auto"/>
                  <w:shd w:val="clear" w:color="auto" w:fill="auto"/>
                  <w:vAlign w:val="center"/>
                </w:tcPr>
                <w:p w14:paraId="129AE864">
                  <w:pPr>
                    <w:pStyle w:val="60"/>
                    <w:rPr>
                      <w:rFonts w:ascii="Times New Roman" w:hAnsi="Times New Roman" w:eastAsia="宋体" w:cs="Times New Roman"/>
                      <w:color w:val="auto"/>
                      <w:kern w:val="2"/>
                      <w:sz w:val="18"/>
                      <w:szCs w:val="18"/>
                      <w:lang w:val="zh-CN" w:eastAsia="zh-CN" w:bidi="ar-SA"/>
                    </w:rPr>
                  </w:pPr>
                  <w:r>
                    <w:rPr>
                      <w:color w:val="auto"/>
                      <w:sz w:val="18"/>
                      <w:szCs w:val="18"/>
                    </w:rPr>
                    <w:t>0~0.</w:t>
                  </w:r>
                  <w:r>
                    <w:rPr>
                      <w:rFonts w:hint="eastAsia"/>
                      <w:color w:val="auto"/>
                      <w:sz w:val="18"/>
                      <w:szCs w:val="18"/>
                      <w:lang w:val="en-US" w:eastAsia="zh-CN"/>
                    </w:rPr>
                    <w:t>5</w:t>
                  </w:r>
                  <w:r>
                    <w:rPr>
                      <w:color w:val="auto"/>
                      <w:sz w:val="18"/>
                      <w:szCs w:val="18"/>
                    </w:rPr>
                    <w:t>m</w:t>
                  </w:r>
                </w:p>
              </w:tc>
              <w:tc>
                <w:tcPr>
                  <w:tcW w:w="879" w:type="dxa"/>
                  <w:shd w:val="clear" w:color="auto" w:fill="auto"/>
                  <w:vAlign w:val="center"/>
                </w:tcPr>
                <w:p w14:paraId="7D6460F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07DF9B70">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21" w:type="dxa"/>
                  <w:gridSpan w:val="3"/>
                  <w:shd w:val="clear" w:color="auto" w:fill="auto"/>
                  <w:vAlign w:val="center"/>
                </w:tcPr>
                <w:p w14:paraId="16084474">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54" w:type="dxa"/>
                  <w:shd w:val="clear" w:color="auto" w:fill="auto"/>
                  <w:vAlign w:val="center"/>
                </w:tcPr>
                <w:p w14:paraId="01B13809">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4BF7A36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128FB71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7.88</w:t>
                  </w:r>
                </w:p>
              </w:tc>
              <w:tc>
                <w:tcPr>
                  <w:tcW w:w="1079" w:type="dxa"/>
                  <w:gridSpan w:val="2"/>
                  <w:shd w:val="clear" w:color="auto" w:fill="auto"/>
                  <w:vAlign w:val="center"/>
                </w:tcPr>
                <w:p w14:paraId="4CBD75C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19</w:t>
                  </w:r>
                </w:p>
              </w:tc>
              <w:tc>
                <w:tcPr>
                  <w:tcW w:w="976" w:type="dxa"/>
                  <w:gridSpan w:val="2"/>
                  <w:shd w:val="clear" w:color="auto" w:fill="auto"/>
                  <w:vAlign w:val="center"/>
                </w:tcPr>
                <w:p w14:paraId="0814F048">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0C9123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0" w:type="auto"/>
                  <w:shd w:val="clear" w:color="auto" w:fill="auto"/>
                  <w:vAlign w:val="center"/>
                </w:tcPr>
                <w:p w14:paraId="535AC15B">
                  <w:pPr>
                    <w:pStyle w:val="60"/>
                    <w:rPr>
                      <w:rFonts w:hint="default" w:eastAsia="宋体"/>
                      <w:color w:val="auto"/>
                      <w:sz w:val="18"/>
                      <w:szCs w:val="18"/>
                      <w:lang w:val="en-US" w:eastAsia="zh-CN"/>
                    </w:rPr>
                  </w:pPr>
                  <w:r>
                    <w:rPr>
                      <w:rFonts w:hint="eastAsia"/>
                      <w:color w:val="auto"/>
                      <w:sz w:val="18"/>
                      <w:szCs w:val="18"/>
                      <w:lang w:val="en-US" w:eastAsia="zh-CN"/>
                    </w:rPr>
                    <w:t xml:space="preserve">6# </w:t>
                  </w:r>
                </w:p>
              </w:tc>
              <w:tc>
                <w:tcPr>
                  <w:tcW w:w="0" w:type="auto"/>
                  <w:shd w:val="clear" w:color="auto" w:fill="auto"/>
                  <w:vAlign w:val="center"/>
                </w:tcPr>
                <w:p w14:paraId="5C6852B0">
                  <w:pPr>
                    <w:pStyle w:val="60"/>
                    <w:rPr>
                      <w:rFonts w:hint="default" w:eastAsia="宋体"/>
                      <w:color w:val="auto"/>
                      <w:sz w:val="18"/>
                      <w:szCs w:val="18"/>
                      <w:lang w:val="en-US" w:eastAsia="zh-CN"/>
                    </w:rPr>
                  </w:pPr>
                  <w:r>
                    <w:rPr>
                      <w:rFonts w:hint="eastAsia"/>
                      <w:color w:val="auto"/>
                      <w:sz w:val="18"/>
                      <w:szCs w:val="18"/>
                      <w:lang w:val="en-US" w:eastAsia="zh-CN"/>
                    </w:rPr>
                    <w:t>0~0.5m</w:t>
                  </w:r>
                </w:p>
              </w:tc>
              <w:tc>
                <w:tcPr>
                  <w:tcW w:w="879" w:type="dxa"/>
                  <w:shd w:val="clear" w:color="auto" w:fill="auto"/>
                  <w:vAlign w:val="center"/>
                </w:tcPr>
                <w:p w14:paraId="706E25BF">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90" w:type="dxa"/>
                  <w:gridSpan w:val="2"/>
                  <w:shd w:val="clear" w:color="auto" w:fill="auto"/>
                  <w:vAlign w:val="center"/>
                </w:tcPr>
                <w:p w14:paraId="43FE6C55">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921" w:type="dxa"/>
                  <w:gridSpan w:val="3"/>
                  <w:shd w:val="clear" w:color="auto" w:fill="auto"/>
                  <w:vAlign w:val="center"/>
                </w:tcPr>
                <w:p w14:paraId="03C3C079">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54" w:type="dxa"/>
                  <w:shd w:val="clear" w:color="auto" w:fill="auto"/>
                  <w:vAlign w:val="center"/>
                </w:tcPr>
                <w:p w14:paraId="409F4866">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81" w:type="dxa"/>
                  <w:gridSpan w:val="2"/>
                  <w:shd w:val="clear" w:color="auto" w:fill="auto"/>
                  <w:vAlign w:val="center"/>
                </w:tcPr>
                <w:p w14:paraId="28E7EEE2">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c>
                <w:tcPr>
                  <w:tcW w:w="879" w:type="dxa"/>
                  <w:gridSpan w:val="2"/>
                  <w:shd w:val="clear" w:color="auto" w:fill="auto"/>
                  <w:vAlign w:val="center"/>
                </w:tcPr>
                <w:p w14:paraId="69EE25C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7.81</w:t>
                  </w:r>
                </w:p>
              </w:tc>
              <w:tc>
                <w:tcPr>
                  <w:tcW w:w="1079" w:type="dxa"/>
                  <w:gridSpan w:val="2"/>
                  <w:shd w:val="clear" w:color="auto" w:fill="auto"/>
                  <w:vAlign w:val="center"/>
                </w:tcPr>
                <w:p w14:paraId="5F8530CF">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18</w:t>
                  </w:r>
                </w:p>
              </w:tc>
              <w:tc>
                <w:tcPr>
                  <w:tcW w:w="976" w:type="dxa"/>
                  <w:gridSpan w:val="2"/>
                  <w:shd w:val="clear" w:color="auto" w:fill="auto"/>
                  <w:vAlign w:val="center"/>
                </w:tcPr>
                <w:p w14:paraId="30655FE4">
                  <w:pPr>
                    <w:pStyle w:val="60"/>
                    <w:rPr>
                      <w:rFonts w:hint="eastAsia" w:ascii="Times New Roman" w:hAnsi="Times New Roman" w:eastAsia="等线" w:cs="Times New Roman"/>
                      <w:color w:val="auto"/>
                      <w:kern w:val="2"/>
                      <w:sz w:val="18"/>
                      <w:szCs w:val="18"/>
                      <w:lang w:val="zh-CN" w:eastAsia="zh-CN" w:bidi="ar-SA"/>
                    </w:rPr>
                  </w:pPr>
                  <w:r>
                    <w:rPr>
                      <w:rFonts w:hint="eastAsia" w:cs="Times New Roman"/>
                      <w:color w:val="auto"/>
                      <w:kern w:val="2"/>
                      <w:sz w:val="18"/>
                      <w:szCs w:val="18"/>
                      <w:lang w:val="en-US" w:eastAsia="zh-CN" w:bidi="ar-SA"/>
                    </w:rPr>
                    <w:t>ND</w:t>
                  </w:r>
                </w:p>
              </w:tc>
            </w:tr>
            <w:tr w14:paraId="427AA7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8427" w:type="dxa"/>
                  <w:gridSpan w:val="17"/>
                  <w:shd w:val="clear" w:color="auto" w:fill="auto"/>
                  <w:vAlign w:val="center"/>
                </w:tcPr>
                <w:p w14:paraId="30B76584">
                  <w:pPr>
                    <w:pStyle w:val="60"/>
                    <w:jc w:val="both"/>
                    <w:rPr>
                      <w:rFonts w:hint="default" w:eastAsia="宋体"/>
                      <w:color w:val="auto"/>
                      <w:sz w:val="18"/>
                      <w:szCs w:val="18"/>
                      <w:lang w:val="en-US" w:eastAsia="zh-CN"/>
                    </w:rPr>
                  </w:pPr>
                  <w:r>
                    <w:rPr>
                      <w:rFonts w:hint="eastAsia"/>
                      <w:color w:val="auto"/>
                      <w:sz w:val="18"/>
                      <w:szCs w:val="18"/>
                      <w:lang w:val="en-US" w:eastAsia="zh-CN"/>
                    </w:rPr>
                    <w:t>备注：ND代表未检出。</w:t>
                  </w:r>
                </w:p>
              </w:tc>
            </w:tr>
          </w:tbl>
          <w:p w14:paraId="1D3FAD06">
            <w:pPr>
              <w:autoSpaceDE w:val="0"/>
              <w:autoSpaceDN w:val="0"/>
              <w:adjustRightInd w:val="0"/>
              <w:snapToGrid w:val="0"/>
              <w:spacing w:before="120" w:beforeLines="50"/>
              <w:ind w:firstLine="211" w:firstLineChars="100"/>
              <w:jc w:val="center"/>
              <w:rPr>
                <w:color w:val="auto"/>
              </w:rPr>
            </w:pPr>
            <w:r>
              <w:rPr>
                <w:b/>
                <w:bCs/>
                <w:color w:val="auto"/>
                <w:szCs w:val="21"/>
              </w:rPr>
              <w:t>表</w:t>
            </w:r>
            <w:r>
              <w:rPr>
                <w:rFonts w:hint="eastAsia"/>
                <w:b/>
                <w:bCs/>
                <w:color w:val="auto"/>
                <w:szCs w:val="21"/>
              </w:rPr>
              <w:t>3-5</w:t>
            </w:r>
            <w:r>
              <w:rPr>
                <w:b/>
                <w:bCs/>
                <w:color w:val="auto"/>
                <w:szCs w:val="21"/>
              </w:rPr>
              <w:t xml:space="preserve">  </w:t>
            </w:r>
            <w:r>
              <w:rPr>
                <w:rFonts w:hint="eastAsia"/>
                <w:b/>
                <w:bCs/>
                <w:color w:val="auto"/>
                <w:szCs w:val="21"/>
              </w:rPr>
              <w:t>土壤环境现状评价统计分析结果表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985"/>
              <w:gridCol w:w="1036"/>
              <w:gridCol w:w="689"/>
              <w:gridCol w:w="630"/>
              <w:gridCol w:w="586"/>
              <w:gridCol w:w="659"/>
              <w:gridCol w:w="625"/>
              <w:gridCol w:w="664"/>
              <w:gridCol w:w="544"/>
            </w:tblGrid>
            <w:tr w14:paraId="5BFECB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349DA22F">
                  <w:pPr>
                    <w:pStyle w:val="60"/>
                    <w:rPr>
                      <w:color w:val="auto"/>
                      <w:sz w:val="18"/>
                      <w:szCs w:val="18"/>
                    </w:rPr>
                  </w:pPr>
                  <w:r>
                    <w:rPr>
                      <w:color w:val="auto"/>
                      <w:sz w:val="18"/>
                      <w:szCs w:val="18"/>
                    </w:rPr>
                    <w:t>监测</w:t>
                  </w:r>
                  <w:r>
                    <w:rPr>
                      <w:rFonts w:hint="eastAsia"/>
                      <w:color w:val="auto"/>
                      <w:sz w:val="18"/>
                      <w:szCs w:val="18"/>
                    </w:rPr>
                    <w:t>指标</w:t>
                  </w:r>
                </w:p>
              </w:tc>
              <w:tc>
                <w:tcPr>
                  <w:tcW w:w="615" w:type="pct"/>
                  <w:tcBorders>
                    <w:tl2br w:val="nil"/>
                    <w:tr2bl w:val="nil"/>
                  </w:tcBorders>
                  <w:vAlign w:val="center"/>
                </w:tcPr>
                <w:p w14:paraId="1E63ABF5">
                  <w:pPr>
                    <w:pStyle w:val="60"/>
                    <w:rPr>
                      <w:color w:val="auto"/>
                      <w:sz w:val="18"/>
                      <w:szCs w:val="18"/>
                    </w:rPr>
                  </w:pPr>
                  <w:r>
                    <w:rPr>
                      <w:color w:val="auto"/>
                      <w:sz w:val="18"/>
                      <w:szCs w:val="18"/>
                    </w:rPr>
                    <w:t>样本数量</w:t>
                  </w:r>
                  <w:r>
                    <w:rPr>
                      <w:rFonts w:hint="eastAsia"/>
                      <w:color w:val="auto"/>
                      <w:sz w:val="18"/>
                      <w:szCs w:val="18"/>
                    </w:rPr>
                    <w:t>/个</w:t>
                  </w:r>
                </w:p>
              </w:tc>
              <w:tc>
                <w:tcPr>
                  <w:tcW w:w="409" w:type="pct"/>
                  <w:tcBorders>
                    <w:tl2br w:val="nil"/>
                    <w:tr2bl w:val="nil"/>
                  </w:tcBorders>
                  <w:vAlign w:val="center"/>
                </w:tcPr>
                <w:p w14:paraId="70C8A965">
                  <w:pPr>
                    <w:pStyle w:val="60"/>
                    <w:rPr>
                      <w:color w:val="auto"/>
                      <w:sz w:val="18"/>
                      <w:szCs w:val="18"/>
                    </w:rPr>
                  </w:pPr>
                  <w:r>
                    <w:rPr>
                      <w:color w:val="auto"/>
                      <w:sz w:val="18"/>
                      <w:szCs w:val="18"/>
                    </w:rPr>
                    <w:t>最大值</w:t>
                  </w:r>
                </w:p>
              </w:tc>
              <w:tc>
                <w:tcPr>
                  <w:tcW w:w="374" w:type="pct"/>
                  <w:tcBorders>
                    <w:tl2br w:val="nil"/>
                    <w:tr2bl w:val="nil"/>
                  </w:tcBorders>
                  <w:vAlign w:val="center"/>
                </w:tcPr>
                <w:p w14:paraId="5D178E43">
                  <w:pPr>
                    <w:pStyle w:val="60"/>
                    <w:rPr>
                      <w:color w:val="auto"/>
                      <w:sz w:val="18"/>
                      <w:szCs w:val="18"/>
                    </w:rPr>
                  </w:pPr>
                  <w:r>
                    <w:rPr>
                      <w:color w:val="auto"/>
                      <w:sz w:val="18"/>
                      <w:szCs w:val="18"/>
                    </w:rPr>
                    <w:t>最</w:t>
                  </w:r>
                  <w:r>
                    <w:rPr>
                      <w:rFonts w:hint="eastAsia"/>
                      <w:color w:val="auto"/>
                      <w:sz w:val="18"/>
                      <w:szCs w:val="18"/>
                    </w:rPr>
                    <w:t>小</w:t>
                  </w:r>
                  <w:r>
                    <w:rPr>
                      <w:color w:val="auto"/>
                      <w:sz w:val="18"/>
                      <w:szCs w:val="18"/>
                    </w:rPr>
                    <w:t>值</w:t>
                  </w:r>
                </w:p>
              </w:tc>
              <w:tc>
                <w:tcPr>
                  <w:tcW w:w="348" w:type="pct"/>
                  <w:tcBorders>
                    <w:tl2br w:val="nil"/>
                    <w:tr2bl w:val="nil"/>
                  </w:tcBorders>
                  <w:vAlign w:val="center"/>
                </w:tcPr>
                <w:p w14:paraId="6BB982DE">
                  <w:pPr>
                    <w:pStyle w:val="60"/>
                    <w:rPr>
                      <w:color w:val="auto"/>
                      <w:sz w:val="18"/>
                      <w:szCs w:val="18"/>
                    </w:rPr>
                  </w:pPr>
                  <w:r>
                    <w:rPr>
                      <w:color w:val="auto"/>
                      <w:sz w:val="18"/>
                      <w:szCs w:val="18"/>
                    </w:rPr>
                    <w:t>均值</w:t>
                  </w:r>
                </w:p>
              </w:tc>
              <w:tc>
                <w:tcPr>
                  <w:tcW w:w="391" w:type="pct"/>
                  <w:tcBorders>
                    <w:tl2br w:val="nil"/>
                    <w:tr2bl w:val="nil"/>
                  </w:tcBorders>
                  <w:vAlign w:val="center"/>
                </w:tcPr>
                <w:p w14:paraId="46DE7962">
                  <w:pPr>
                    <w:pStyle w:val="60"/>
                    <w:rPr>
                      <w:color w:val="auto"/>
                      <w:sz w:val="18"/>
                      <w:szCs w:val="18"/>
                    </w:rPr>
                  </w:pPr>
                  <w:r>
                    <w:rPr>
                      <w:color w:val="auto"/>
                      <w:sz w:val="18"/>
                      <w:szCs w:val="18"/>
                    </w:rPr>
                    <w:t>标准差</w:t>
                  </w:r>
                </w:p>
              </w:tc>
              <w:tc>
                <w:tcPr>
                  <w:tcW w:w="371" w:type="pct"/>
                  <w:tcBorders>
                    <w:tl2br w:val="nil"/>
                    <w:tr2bl w:val="nil"/>
                  </w:tcBorders>
                  <w:vAlign w:val="center"/>
                </w:tcPr>
                <w:p w14:paraId="5FE36C75">
                  <w:pPr>
                    <w:pStyle w:val="60"/>
                    <w:rPr>
                      <w:color w:val="auto"/>
                      <w:sz w:val="18"/>
                      <w:szCs w:val="18"/>
                    </w:rPr>
                  </w:pPr>
                  <w:r>
                    <w:rPr>
                      <w:color w:val="auto"/>
                      <w:sz w:val="18"/>
                      <w:szCs w:val="18"/>
                    </w:rPr>
                    <w:t>检出率</w:t>
                  </w:r>
                </w:p>
              </w:tc>
              <w:tc>
                <w:tcPr>
                  <w:tcW w:w="394" w:type="pct"/>
                  <w:tcBorders>
                    <w:tl2br w:val="nil"/>
                    <w:tr2bl w:val="nil"/>
                  </w:tcBorders>
                  <w:vAlign w:val="center"/>
                </w:tcPr>
                <w:p w14:paraId="32C4A5C3">
                  <w:pPr>
                    <w:pStyle w:val="60"/>
                    <w:rPr>
                      <w:color w:val="auto"/>
                      <w:sz w:val="18"/>
                      <w:szCs w:val="18"/>
                    </w:rPr>
                  </w:pPr>
                  <w:r>
                    <w:rPr>
                      <w:color w:val="auto"/>
                      <w:sz w:val="18"/>
                      <w:szCs w:val="18"/>
                    </w:rPr>
                    <w:t>超标率</w:t>
                  </w:r>
                </w:p>
              </w:tc>
              <w:tc>
                <w:tcPr>
                  <w:tcW w:w="323" w:type="pct"/>
                  <w:tcBorders>
                    <w:tl2br w:val="nil"/>
                    <w:tr2bl w:val="nil"/>
                  </w:tcBorders>
                  <w:vAlign w:val="center"/>
                </w:tcPr>
                <w:p w14:paraId="3D17FAD6">
                  <w:pPr>
                    <w:pStyle w:val="60"/>
                    <w:rPr>
                      <w:color w:val="auto"/>
                      <w:sz w:val="18"/>
                      <w:szCs w:val="18"/>
                    </w:rPr>
                  </w:pPr>
                  <w:r>
                    <w:rPr>
                      <w:color w:val="auto"/>
                      <w:sz w:val="18"/>
                      <w:szCs w:val="18"/>
                    </w:rPr>
                    <w:t>最大超标倍数</w:t>
                  </w:r>
                </w:p>
              </w:tc>
            </w:tr>
            <w:tr w14:paraId="3FAF52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5FDF7E00">
                  <w:pPr>
                    <w:pStyle w:val="60"/>
                    <w:rPr>
                      <w:color w:val="auto"/>
                      <w:sz w:val="18"/>
                      <w:szCs w:val="18"/>
                    </w:rPr>
                  </w:pPr>
                  <w:r>
                    <w:rPr>
                      <w:rFonts w:hint="eastAsia"/>
                      <w:color w:val="auto"/>
                      <w:sz w:val="18"/>
                      <w:szCs w:val="18"/>
                    </w:rPr>
                    <w:t>砷</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71494CE4">
                  <w:pPr>
                    <w:pStyle w:val="60"/>
                    <w:rPr>
                      <w:rFonts w:hint="eastAsia" w:eastAsia="宋体"/>
                      <w:color w:val="auto"/>
                      <w:sz w:val="18"/>
                      <w:szCs w:val="18"/>
                      <w:lang w:val="en-US" w:eastAsia="zh-CN"/>
                    </w:rPr>
                  </w:pPr>
                  <w:r>
                    <w:rPr>
                      <w:rFonts w:hint="eastAsia"/>
                      <w:color w:val="auto"/>
                      <w:sz w:val="18"/>
                      <w:szCs w:val="18"/>
                      <w:lang w:val="en-US" w:eastAsia="zh-CN"/>
                    </w:rPr>
                    <w:t>6</w:t>
                  </w:r>
                </w:p>
              </w:tc>
              <w:tc>
                <w:tcPr>
                  <w:tcW w:w="409" w:type="pct"/>
                  <w:tcBorders>
                    <w:tl2br w:val="nil"/>
                    <w:tr2bl w:val="nil"/>
                  </w:tcBorders>
                  <w:vAlign w:val="center"/>
                </w:tcPr>
                <w:p w14:paraId="52906984">
                  <w:pPr>
                    <w:pStyle w:val="60"/>
                    <w:rPr>
                      <w:rFonts w:hint="default" w:eastAsia="宋体"/>
                      <w:color w:val="auto"/>
                      <w:sz w:val="18"/>
                      <w:szCs w:val="18"/>
                      <w:lang w:val="en-US" w:eastAsia="zh-CN"/>
                    </w:rPr>
                  </w:pPr>
                  <w:r>
                    <w:rPr>
                      <w:rFonts w:hint="eastAsia"/>
                      <w:color w:val="auto"/>
                      <w:sz w:val="18"/>
                      <w:szCs w:val="18"/>
                      <w:lang w:val="en-US" w:eastAsia="zh-CN"/>
                    </w:rPr>
                    <w:t>13</w:t>
                  </w:r>
                </w:p>
              </w:tc>
              <w:tc>
                <w:tcPr>
                  <w:tcW w:w="374" w:type="pct"/>
                  <w:tcBorders>
                    <w:tl2br w:val="nil"/>
                    <w:tr2bl w:val="nil"/>
                  </w:tcBorders>
                  <w:vAlign w:val="center"/>
                </w:tcPr>
                <w:p w14:paraId="1FD896EE">
                  <w:pPr>
                    <w:pStyle w:val="60"/>
                    <w:rPr>
                      <w:rFonts w:hint="default" w:eastAsia="宋体"/>
                      <w:color w:val="auto"/>
                      <w:sz w:val="18"/>
                      <w:szCs w:val="18"/>
                      <w:lang w:val="en-US" w:eastAsia="zh-CN"/>
                    </w:rPr>
                  </w:pPr>
                  <w:r>
                    <w:rPr>
                      <w:rFonts w:hint="eastAsia"/>
                      <w:color w:val="auto"/>
                      <w:sz w:val="18"/>
                      <w:szCs w:val="18"/>
                      <w:lang w:val="en-US" w:eastAsia="zh-CN"/>
                    </w:rPr>
                    <w:t>5.12</w:t>
                  </w:r>
                </w:p>
              </w:tc>
              <w:tc>
                <w:tcPr>
                  <w:tcW w:w="348" w:type="pct"/>
                  <w:tcBorders>
                    <w:tl2br w:val="nil"/>
                    <w:tr2bl w:val="nil"/>
                  </w:tcBorders>
                  <w:vAlign w:val="center"/>
                </w:tcPr>
                <w:p w14:paraId="7E86654B">
                  <w:pPr>
                    <w:pStyle w:val="60"/>
                    <w:rPr>
                      <w:rFonts w:hint="default" w:eastAsia="宋体"/>
                      <w:color w:val="auto"/>
                      <w:sz w:val="18"/>
                      <w:szCs w:val="18"/>
                      <w:lang w:val="en-US" w:eastAsia="zh-CN"/>
                    </w:rPr>
                  </w:pPr>
                  <w:r>
                    <w:rPr>
                      <w:rFonts w:hint="eastAsia"/>
                      <w:color w:val="auto"/>
                      <w:sz w:val="18"/>
                      <w:szCs w:val="18"/>
                      <w:lang w:val="en-US" w:eastAsia="zh-CN"/>
                    </w:rPr>
                    <w:t>9.33</w:t>
                  </w:r>
                </w:p>
              </w:tc>
              <w:tc>
                <w:tcPr>
                  <w:tcW w:w="391" w:type="pct"/>
                  <w:tcBorders>
                    <w:tl2br w:val="nil"/>
                    <w:tr2bl w:val="nil"/>
                  </w:tcBorders>
                  <w:vAlign w:val="center"/>
                </w:tcPr>
                <w:p w14:paraId="7E98F959">
                  <w:pPr>
                    <w:pStyle w:val="60"/>
                    <w:rPr>
                      <w:rFonts w:hint="default" w:eastAsia="宋体"/>
                      <w:color w:val="auto"/>
                      <w:sz w:val="18"/>
                      <w:szCs w:val="18"/>
                      <w:lang w:val="en-US" w:eastAsia="zh-CN"/>
                    </w:rPr>
                  </w:pPr>
                  <w:r>
                    <w:rPr>
                      <w:rFonts w:hint="eastAsia"/>
                      <w:color w:val="auto"/>
                      <w:sz w:val="18"/>
                      <w:szCs w:val="18"/>
                      <w:lang w:val="en-US" w:eastAsia="zh-CN"/>
                    </w:rPr>
                    <w:t>2.58</w:t>
                  </w:r>
                </w:p>
              </w:tc>
              <w:tc>
                <w:tcPr>
                  <w:tcW w:w="371" w:type="pct"/>
                  <w:tcBorders>
                    <w:tl2br w:val="nil"/>
                    <w:tr2bl w:val="nil"/>
                  </w:tcBorders>
                  <w:vAlign w:val="center"/>
                </w:tcPr>
                <w:p w14:paraId="2FDF72E0">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D74E730">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F7EA051">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1334A8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2084FE07">
                  <w:pPr>
                    <w:pStyle w:val="60"/>
                    <w:rPr>
                      <w:color w:val="auto"/>
                      <w:sz w:val="18"/>
                      <w:szCs w:val="18"/>
                    </w:rPr>
                  </w:pPr>
                  <w:r>
                    <w:rPr>
                      <w:rFonts w:hint="eastAsia"/>
                      <w:color w:val="auto"/>
                      <w:sz w:val="18"/>
                      <w:szCs w:val="18"/>
                    </w:rPr>
                    <w:t>镉</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4F83A7BF">
                  <w:pPr>
                    <w:pStyle w:val="60"/>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756BBC1D">
                  <w:pPr>
                    <w:pStyle w:val="60"/>
                    <w:rPr>
                      <w:rFonts w:hint="default" w:eastAsia="宋体"/>
                      <w:color w:val="auto"/>
                      <w:sz w:val="18"/>
                      <w:szCs w:val="18"/>
                      <w:lang w:val="en-US" w:eastAsia="zh-CN"/>
                    </w:rPr>
                  </w:pPr>
                  <w:r>
                    <w:rPr>
                      <w:rFonts w:hint="eastAsia"/>
                      <w:color w:val="auto"/>
                      <w:sz w:val="18"/>
                      <w:szCs w:val="18"/>
                      <w:lang w:val="en-US" w:eastAsia="zh-CN"/>
                    </w:rPr>
                    <w:t>0.23</w:t>
                  </w:r>
                </w:p>
              </w:tc>
              <w:tc>
                <w:tcPr>
                  <w:tcW w:w="374" w:type="pct"/>
                  <w:tcBorders>
                    <w:tl2br w:val="nil"/>
                    <w:tr2bl w:val="nil"/>
                  </w:tcBorders>
                  <w:vAlign w:val="center"/>
                </w:tcPr>
                <w:p w14:paraId="62FFC581">
                  <w:pPr>
                    <w:pStyle w:val="60"/>
                    <w:rPr>
                      <w:rFonts w:hint="default" w:eastAsia="宋体"/>
                      <w:color w:val="auto"/>
                      <w:sz w:val="18"/>
                      <w:szCs w:val="18"/>
                      <w:lang w:val="en-US" w:eastAsia="zh-CN"/>
                    </w:rPr>
                  </w:pPr>
                  <w:r>
                    <w:rPr>
                      <w:rFonts w:hint="eastAsia"/>
                      <w:color w:val="auto"/>
                      <w:sz w:val="18"/>
                      <w:szCs w:val="18"/>
                      <w:lang w:val="en-US" w:eastAsia="zh-CN"/>
                    </w:rPr>
                    <w:t>0.20</w:t>
                  </w:r>
                </w:p>
              </w:tc>
              <w:tc>
                <w:tcPr>
                  <w:tcW w:w="348" w:type="pct"/>
                  <w:tcBorders>
                    <w:tl2br w:val="nil"/>
                    <w:tr2bl w:val="nil"/>
                  </w:tcBorders>
                  <w:vAlign w:val="center"/>
                </w:tcPr>
                <w:p w14:paraId="4248D55B">
                  <w:pPr>
                    <w:pStyle w:val="60"/>
                    <w:rPr>
                      <w:rFonts w:hint="default" w:eastAsia="宋体"/>
                      <w:color w:val="auto"/>
                      <w:sz w:val="18"/>
                      <w:szCs w:val="18"/>
                      <w:lang w:val="en-US" w:eastAsia="zh-CN"/>
                    </w:rPr>
                  </w:pPr>
                  <w:r>
                    <w:rPr>
                      <w:rFonts w:hint="eastAsia"/>
                      <w:color w:val="auto"/>
                      <w:sz w:val="18"/>
                      <w:szCs w:val="18"/>
                      <w:lang w:val="en-US" w:eastAsia="zh-CN"/>
                    </w:rPr>
                    <w:t>0.21</w:t>
                  </w:r>
                </w:p>
              </w:tc>
              <w:tc>
                <w:tcPr>
                  <w:tcW w:w="391" w:type="pct"/>
                  <w:tcBorders>
                    <w:tl2br w:val="nil"/>
                    <w:tr2bl w:val="nil"/>
                  </w:tcBorders>
                  <w:vAlign w:val="center"/>
                </w:tcPr>
                <w:p w14:paraId="01F9510E">
                  <w:pPr>
                    <w:pStyle w:val="60"/>
                    <w:rPr>
                      <w:rFonts w:hint="default" w:eastAsia="宋体"/>
                      <w:color w:val="auto"/>
                      <w:sz w:val="18"/>
                      <w:szCs w:val="18"/>
                      <w:lang w:val="en-US" w:eastAsia="zh-CN"/>
                    </w:rPr>
                  </w:pPr>
                  <w:r>
                    <w:rPr>
                      <w:rFonts w:hint="eastAsia"/>
                      <w:color w:val="auto"/>
                      <w:sz w:val="18"/>
                      <w:szCs w:val="18"/>
                      <w:lang w:val="en-US" w:eastAsia="zh-CN"/>
                    </w:rPr>
                    <w:t>0.01</w:t>
                  </w:r>
                </w:p>
              </w:tc>
              <w:tc>
                <w:tcPr>
                  <w:tcW w:w="371" w:type="pct"/>
                  <w:tcBorders>
                    <w:tl2br w:val="nil"/>
                    <w:tr2bl w:val="nil"/>
                  </w:tcBorders>
                  <w:vAlign w:val="center"/>
                </w:tcPr>
                <w:p w14:paraId="28AC50ED">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22FD7044">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00AF75E">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7B6365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71E4EBAB">
                  <w:pPr>
                    <w:pStyle w:val="60"/>
                    <w:rPr>
                      <w:color w:val="auto"/>
                      <w:sz w:val="18"/>
                      <w:szCs w:val="18"/>
                    </w:rPr>
                  </w:pPr>
                  <w:r>
                    <w:rPr>
                      <w:rFonts w:hint="eastAsia"/>
                      <w:color w:val="auto"/>
                      <w:sz w:val="18"/>
                      <w:szCs w:val="18"/>
                    </w:rPr>
                    <w:t>铜</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2FC4567A">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68E73CC3">
                  <w:pPr>
                    <w:pStyle w:val="60"/>
                    <w:rPr>
                      <w:rFonts w:hint="default" w:eastAsia="宋体"/>
                      <w:color w:val="auto"/>
                      <w:sz w:val="18"/>
                      <w:szCs w:val="18"/>
                      <w:lang w:val="en-US" w:eastAsia="zh-CN"/>
                    </w:rPr>
                  </w:pPr>
                  <w:r>
                    <w:rPr>
                      <w:rFonts w:hint="eastAsia"/>
                      <w:color w:val="auto"/>
                      <w:sz w:val="18"/>
                      <w:szCs w:val="18"/>
                      <w:lang w:val="en-US" w:eastAsia="zh-CN"/>
                    </w:rPr>
                    <w:t>54</w:t>
                  </w:r>
                </w:p>
              </w:tc>
              <w:tc>
                <w:tcPr>
                  <w:tcW w:w="374" w:type="pct"/>
                  <w:tcBorders>
                    <w:tl2br w:val="nil"/>
                    <w:tr2bl w:val="nil"/>
                  </w:tcBorders>
                  <w:vAlign w:val="center"/>
                </w:tcPr>
                <w:p w14:paraId="69C00BB5">
                  <w:pPr>
                    <w:pStyle w:val="60"/>
                    <w:rPr>
                      <w:rFonts w:hint="default" w:eastAsia="宋体"/>
                      <w:color w:val="auto"/>
                      <w:sz w:val="18"/>
                      <w:szCs w:val="18"/>
                      <w:lang w:val="en-US" w:eastAsia="zh-CN"/>
                    </w:rPr>
                  </w:pPr>
                  <w:r>
                    <w:rPr>
                      <w:rFonts w:hint="eastAsia"/>
                      <w:color w:val="auto"/>
                      <w:sz w:val="18"/>
                      <w:szCs w:val="18"/>
                      <w:lang w:val="en-US" w:eastAsia="zh-CN"/>
                    </w:rPr>
                    <w:t>29</w:t>
                  </w:r>
                </w:p>
              </w:tc>
              <w:tc>
                <w:tcPr>
                  <w:tcW w:w="348" w:type="pct"/>
                  <w:tcBorders>
                    <w:tl2br w:val="nil"/>
                    <w:tr2bl w:val="nil"/>
                  </w:tcBorders>
                  <w:vAlign w:val="center"/>
                </w:tcPr>
                <w:p w14:paraId="6D95FE1C">
                  <w:pPr>
                    <w:pStyle w:val="60"/>
                    <w:rPr>
                      <w:rFonts w:hint="default" w:eastAsia="宋体"/>
                      <w:color w:val="auto"/>
                      <w:sz w:val="18"/>
                      <w:szCs w:val="18"/>
                      <w:lang w:val="en-US" w:eastAsia="zh-CN"/>
                    </w:rPr>
                  </w:pPr>
                  <w:r>
                    <w:rPr>
                      <w:rFonts w:hint="eastAsia"/>
                      <w:color w:val="auto"/>
                      <w:sz w:val="18"/>
                      <w:szCs w:val="18"/>
                      <w:lang w:val="en-US" w:eastAsia="zh-CN"/>
                    </w:rPr>
                    <w:t>36.7</w:t>
                  </w:r>
                </w:p>
              </w:tc>
              <w:tc>
                <w:tcPr>
                  <w:tcW w:w="391" w:type="pct"/>
                  <w:tcBorders>
                    <w:tl2br w:val="nil"/>
                    <w:tr2bl w:val="nil"/>
                  </w:tcBorders>
                  <w:vAlign w:val="center"/>
                </w:tcPr>
                <w:p w14:paraId="6BA5689B">
                  <w:pPr>
                    <w:pStyle w:val="60"/>
                    <w:rPr>
                      <w:rFonts w:hint="default" w:eastAsia="宋体"/>
                      <w:color w:val="auto"/>
                      <w:sz w:val="18"/>
                      <w:szCs w:val="18"/>
                      <w:lang w:val="en-US" w:eastAsia="zh-CN"/>
                    </w:rPr>
                  </w:pPr>
                  <w:r>
                    <w:rPr>
                      <w:rFonts w:hint="eastAsia"/>
                      <w:color w:val="auto"/>
                      <w:sz w:val="18"/>
                      <w:szCs w:val="18"/>
                      <w:lang w:val="en-US" w:eastAsia="zh-CN"/>
                    </w:rPr>
                    <w:t>9.50</w:t>
                  </w:r>
                </w:p>
              </w:tc>
              <w:tc>
                <w:tcPr>
                  <w:tcW w:w="371" w:type="pct"/>
                  <w:tcBorders>
                    <w:tl2br w:val="nil"/>
                    <w:tr2bl w:val="nil"/>
                  </w:tcBorders>
                  <w:vAlign w:val="center"/>
                </w:tcPr>
                <w:p w14:paraId="6676E246">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2AB6ECA">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71B90C98">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043A91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0F8142F8">
                  <w:pPr>
                    <w:pStyle w:val="60"/>
                    <w:rPr>
                      <w:color w:val="auto"/>
                      <w:sz w:val="18"/>
                      <w:szCs w:val="18"/>
                    </w:rPr>
                  </w:pPr>
                  <w:r>
                    <w:rPr>
                      <w:rFonts w:hint="eastAsia"/>
                      <w:color w:val="auto"/>
                      <w:sz w:val="18"/>
                      <w:szCs w:val="18"/>
                    </w:rPr>
                    <w:t>铅</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4BD0E534">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0E0554C9">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374" w:type="pct"/>
                  <w:tcBorders>
                    <w:tl2br w:val="nil"/>
                    <w:tr2bl w:val="nil"/>
                  </w:tcBorders>
                  <w:vAlign w:val="center"/>
                </w:tcPr>
                <w:p w14:paraId="48F00019">
                  <w:pPr>
                    <w:pStyle w:val="60"/>
                    <w:rPr>
                      <w:rFonts w:hint="default" w:eastAsia="宋体"/>
                      <w:color w:val="auto"/>
                      <w:sz w:val="18"/>
                      <w:szCs w:val="18"/>
                      <w:lang w:val="en-US" w:eastAsia="zh-CN"/>
                    </w:rPr>
                  </w:pPr>
                  <w:r>
                    <w:rPr>
                      <w:rFonts w:hint="eastAsia"/>
                      <w:color w:val="auto"/>
                      <w:sz w:val="18"/>
                      <w:szCs w:val="18"/>
                      <w:lang w:val="en-US" w:eastAsia="zh-CN"/>
                    </w:rPr>
                    <w:t>20</w:t>
                  </w:r>
                </w:p>
              </w:tc>
              <w:tc>
                <w:tcPr>
                  <w:tcW w:w="348" w:type="pct"/>
                  <w:tcBorders>
                    <w:tl2br w:val="nil"/>
                    <w:tr2bl w:val="nil"/>
                  </w:tcBorders>
                  <w:vAlign w:val="center"/>
                </w:tcPr>
                <w:p w14:paraId="4C0BFE64">
                  <w:pPr>
                    <w:pStyle w:val="60"/>
                    <w:rPr>
                      <w:rFonts w:hint="default" w:eastAsia="宋体"/>
                      <w:color w:val="auto"/>
                      <w:sz w:val="18"/>
                      <w:szCs w:val="18"/>
                      <w:lang w:val="en-US" w:eastAsia="zh-CN"/>
                    </w:rPr>
                  </w:pPr>
                  <w:r>
                    <w:rPr>
                      <w:rFonts w:hint="eastAsia"/>
                      <w:color w:val="auto"/>
                      <w:sz w:val="18"/>
                      <w:szCs w:val="18"/>
                      <w:lang w:val="en-US" w:eastAsia="zh-CN"/>
                    </w:rPr>
                    <w:t>27.7</w:t>
                  </w:r>
                </w:p>
              </w:tc>
              <w:tc>
                <w:tcPr>
                  <w:tcW w:w="391" w:type="pct"/>
                  <w:tcBorders>
                    <w:tl2br w:val="nil"/>
                    <w:tr2bl w:val="nil"/>
                  </w:tcBorders>
                  <w:vAlign w:val="center"/>
                </w:tcPr>
                <w:p w14:paraId="1A764293">
                  <w:pPr>
                    <w:pStyle w:val="60"/>
                    <w:rPr>
                      <w:rFonts w:hint="default" w:eastAsia="宋体"/>
                      <w:color w:val="auto"/>
                      <w:sz w:val="18"/>
                      <w:szCs w:val="18"/>
                      <w:lang w:val="en-US" w:eastAsia="zh-CN"/>
                    </w:rPr>
                  </w:pPr>
                  <w:r>
                    <w:rPr>
                      <w:rFonts w:hint="eastAsia"/>
                      <w:color w:val="auto"/>
                      <w:sz w:val="18"/>
                      <w:szCs w:val="18"/>
                      <w:lang w:val="en-US" w:eastAsia="zh-CN"/>
                    </w:rPr>
                    <w:t>3.83</w:t>
                  </w:r>
                </w:p>
              </w:tc>
              <w:tc>
                <w:tcPr>
                  <w:tcW w:w="371" w:type="pct"/>
                  <w:tcBorders>
                    <w:tl2br w:val="nil"/>
                    <w:tr2bl w:val="nil"/>
                  </w:tcBorders>
                  <w:vAlign w:val="center"/>
                </w:tcPr>
                <w:p w14:paraId="086E3996">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72679907">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272180EA">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21FC27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74B99344">
                  <w:pPr>
                    <w:pStyle w:val="60"/>
                    <w:rPr>
                      <w:color w:val="auto"/>
                      <w:sz w:val="18"/>
                      <w:szCs w:val="18"/>
                    </w:rPr>
                  </w:pPr>
                  <w:r>
                    <w:rPr>
                      <w:rFonts w:hint="eastAsia"/>
                      <w:color w:val="auto"/>
                      <w:sz w:val="18"/>
                      <w:szCs w:val="18"/>
                    </w:rPr>
                    <w:t>汞</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0333AC92">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1EA05502">
                  <w:pPr>
                    <w:pStyle w:val="60"/>
                    <w:rPr>
                      <w:rFonts w:hint="default" w:eastAsia="宋体"/>
                      <w:color w:val="auto"/>
                      <w:sz w:val="18"/>
                      <w:szCs w:val="18"/>
                      <w:lang w:val="en-US" w:eastAsia="zh-CN"/>
                    </w:rPr>
                  </w:pPr>
                  <w:r>
                    <w:rPr>
                      <w:rFonts w:hint="eastAsia"/>
                      <w:color w:val="auto"/>
                      <w:sz w:val="18"/>
                      <w:szCs w:val="18"/>
                      <w:lang w:val="en-US" w:eastAsia="zh-CN"/>
                    </w:rPr>
                    <w:t>0.063</w:t>
                  </w:r>
                </w:p>
              </w:tc>
              <w:tc>
                <w:tcPr>
                  <w:tcW w:w="374" w:type="pct"/>
                  <w:tcBorders>
                    <w:tl2br w:val="nil"/>
                    <w:tr2bl w:val="nil"/>
                  </w:tcBorders>
                  <w:vAlign w:val="center"/>
                </w:tcPr>
                <w:p w14:paraId="25B101B5">
                  <w:pPr>
                    <w:pStyle w:val="60"/>
                    <w:rPr>
                      <w:rFonts w:hint="default" w:eastAsia="宋体"/>
                      <w:color w:val="auto"/>
                      <w:sz w:val="18"/>
                      <w:szCs w:val="18"/>
                      <w:lang w:val="en-US" w:eastAsia="zh-CN"/>
                    </w:rPr>
                  </w:pPr>
                  <w:r>
                    <w:rPr>
                      <w:rFonts w:hint="eastAsia"/>
                      <w:color w:val="auto"/>
                      <w:sz w:val="18"/>
                      <w:szCs w:val="18"/>
                      <w:lang w:val="en-US" w:eastAsia="zh-CN"/>
                    </w:rPr>
                    <w:t>0.044</w:t>
                  </w:r>
                </w:p>
              </w:tc>
              <w:tc>
                <w:tcPr>
                  <w:tcW w:w="348" w:type="pct"/>
                  <w:tcBorders>
                    <w:tl2br w:val="nil"/>
                    <w:tr2bl w:val="nil"/>
                  </w:tcBorders>
                  <w:vAlign w:val="center"/>
                </w:tcPr>
                <w:p w14:paraId="421BEDD2">
                  <w:pPr>
                    <w:pStyle w:val="60"/>
                    <w:rPr>
                      <w:rFonts w:hint="default" w:eastAsia="宋体"/>
                      <w:color w:val="auto"/>
                      <w:sz w:val="18"/>
                      <w:szCs w:val="18"/>
                      <w:lang w:val="en-US" w:eastAsia="zh-CN"/>
                    </w:rPr>
                  </w:pPr>
                  <w:r>
                    <w:rPr>
                      <w:rFonts w:hint="eastAsia"/>
                      <w:color w:val="auto"/>
                      <w:sz w:val="18"/>
                      <w:szCs w:val="18"/>
                      <w:lang w:val="en-US" w:eastAsia="zh-CN"/>
                    </w:rPr>
                    <w:t>0.052</w:t>
                  </w:r>
                </w:p>
              </w:tc>
              <w:tc>
                <w:tcPr>
                  <w:tcW w:w="391" w:type="pct"/>
                  <w:tcBorders>
                    <w:tl2br w:val="nil"/>
                    <w:tr2bl w:val="nil"/>
                  </w:tcBorders>
                  <w:vAlign w:val="center"/>
                </w:tcPr>
                <w:p w14:paraId="1E03F9AC">
                  <w:pPr>
                    <w:pStyle w:val="60"/>
                    <w:rPr>
                      <w:rFonts w:hint="default" w:eastAsia="宋体"/>
                      <w:color w:val="auto"/>
                      <w:sz w:val="18"/>
                      <w:szCs w:val="18"/>
                      <w:lang w:val="en-US" w:eastAsia="zh-CN"/>
                    </w:rPr>
                  </w:pPr>
                  <w:r>
                    <w:rPr>
                      <w:rFonts w:hint="eastAsia"/>
                      <w:color w:val="auto"/>
                      <w:sz w:val="18"/>
                      <w:szCs w:val="18"/>
                      <w:lang w:val="en-US" w:eastAsia="zh-CN"/>
                    </w:rPr>
                    <w:t>0.01</w:t>
                  </w:r>
                </w:p>
              </w:tc>
              <w:tc>
                <w:tcPr>
                  <w:tcW w:w="371" w:type="pct"/>
                  <w:tcBorders>
                    <w:tl2br w:val="nil"/>
                    <w:tr2bl w:val="nil"/>
                  </w:tcBorders>
                  <w:vAlign w:val="center"/>
                </w:tcPr>
                <w:p w14:paraId="50B73820">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6DEAE017">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124C1BB">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7FD205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66F9F765">
                  <w:pPr>
                    <w:pStyle w:val="60"/>
                    <w:rPr>
                      <w:color w:val="auto"/>
                      <w:sz w:val="18"/>
                      <w:szCs w:val="18"/>
                    </w:rPr>
                  </w:pPr>
                  <w:r>
                    <w:rPr>
                      <w:rFonts w:hint="eastAsia"/>
                      <w:color w:val="auto"/>
                      <w:sz w:val="18"/>
                      <w:szCs w:val="18"/>
                    </w:rPr>
                    <w:t>六价铬</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4B2B9A79">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68626AB4">
                  <w:pPr>
                    <w:pStyle w:val="60"/>
                    <w:rPr>
                      <w:rFonts w:hint="eastAsia" w:eastAsia="宋体"/>
                      <w:color w:val="auto"/>
                      <w:sz w:val="18"/>
                      <w:szCs w:val="18"/>
                      <w:lang w:val="en-US" w:eastAsia="zh-CN"/>
                    </w:rPr>
                  </w:pPr>
                  <w:r>
                    <w:rPr>
                      <w:color w:val="auto"/>
                      <w:sz w:val="18"/>
                      <w:szCs w:val="18"/>
                    </w:rPr>
                    <w:t>未检出</w:t>
                  </w:r>
                </w:p>
              </w:tc>
              <w:tc>
                <w:tcPr>
                  <w:tcW w:w="374" w:type="pct"/>
                  <w:tcBorders>
                    <w:tl2br w:val="nil"/>
                    <w:tr2bl w:val="nil"/>
                  </w:tcBorders>
                  <w:vAlign w:val="center"/>
                </w:tcPr>
                <w:p w14:paraId="10400E09">
                  <w:pPr>
                    <w:pStyle w:val="60"/>
                    <w:rPr>
                      <w:color w:val="auto"/>
                      <w:sz w:val="18"/>
                      <w:szCs w:val="18"/>
                    </w:rPr>
                  </w:pPr>
                  <w:r>
                    <w:rPr>
                      <w:rFonts w:hint="eastAsia"/>
                      <w:color w:val="auto"/>
                      <w:sz w:val="18"/>
                      <w:szCs w:val="18"/>
                    </w:rPr>
                    <w:t>未检出</w:t>
                  </w:r>
                </w:p>
              </w:tc>
              <w:tc>
                <w:tcPr>
                  <w:tcW w:w="348" w:type="pct"/>
                  <w:tcBorders>
                    <w:tl2br w:val="nil"/>
                    <w:tr2bl w:val="nil"/>
                  </w:tcBorders>
                  <w:vAlign w:val="center"/>
                </w:tcPr>
                <w:p w14:paraId="325E0DBA">
                  <w:pPr>
                    <w:pStyle w:val="60"/>
                    <w:rPr>
                      <w:color w:val="auto"/>
                      <w:sz w:val="18"/>
                      <w:szCs w:val="18"/>
                    </w:rPr>
                  </w:pPr>
                  <w:r>
                    <w:rPr>
                      <w:rFonts w:hint="eastAsia"/>
                      <w:color w:val="auto"/>
                      <w:sz w:val="18"/>
                      <w:szCs w:val="18"/>
                    </w:rPr>
                    <w:t>/</w:t>
                  </w:r>
                </w:p>
              </w:tc>
              <w:tc>
                <w:tcPr>
                  <w:tcW w:w="391" w:type="pct"/>
                  <w:tcBorders>
                    <w:tl2br w:val="nil"/>
                    <w:tr2bl w:val="nil"/>
                  </w:tcBorders>
                  <w:vAlign w:val="center"/>
                </w:tcPr>
                <w:p w14:paraId="65AF9C15">
                  <w:pPr>
                    <w:pStyle w:val="60"/>
                    <w:rPr>
                      <w:color w:val="auto"/>
                      <w:sz w:val="18"/>
                      <w:szCs w:val="18"/>
                    </w:rPr>
                  </w:pPr>
                  <w:r>
                    <w:rPr>
                      <w:color w:val="auto"/>
                      <w:sz w:val="18"/>
                      <w:szCs w:val="18"/>
                    </w:rPr>
                    <w:t>/</w:t>
                  </w:r>
                </w:p>
              </w:tc>
              <w:tc>
                <w:tcPr>
                  <w:tcW w:w="371" w:type="pct"/>
                  <w:tcBorders>
                    <w:tl2br w:val="nil"/>
                    <w:tr2bl w:val="nil"/>
                  </w:tcBorders>
                  <w:vAlign w:val="center"/>
                </w:tcPr>
                <w:p w14:paraId="3C5F7846">
                  <w:pPr>
                    <w:pStyle w:val="60"/>
                    <w:rPr>
                      <w:color w:val="auto"/>
                      <w:sz w:val="18"/>
                      <w:szCs w:val="18"/>
                    </w:rPr>
                  </w:pPr>
                  <w:r>
                    <w:rPr>
                      <w:rFonts w:hint="eastAsia"/>
                      <w:color w:val="auto"/>
                      <w:sz w:val="18"/>
                      <w:szCs w:val="18"/>
                    </w:rPr>
                    <w:t>0</w:t>
                  </w:r>
                </w:p>
              </w:tc>
              <w:tc>
                <w:tcPr>
                  <w:tcW w:w="394" w:type="pct"/>
                  <w:tcBorders>
                    <w:tl2br w:val="nil"/>
                    <w:tr2bl w:val="nil"/>
                  </w:tcBorders>
                  <w:vAlign w:val="center"/>
                </w:tcPr>
                <w:p w14:paraId="5950350A">
                  <w:pPr>
                    <w:pStyle w:val="60"/>
                    <w:rPr>
                      <w:color w:val="auto"/>
                      <w:sz w:val="18"/>
                      <w:szCs w:val="18"/>
                    </w:rPr>
                  </w:pPr>
                  <w:r>
                    <w:rPr>
                      <w:rFonts w:hint="eastAsia"/>
                      <w:color w:val="auto"/>
                      <w:sz w:val="18"/>
                      <w:szCs w:val="18"/>
                    </w:rPr>
                    <w:t>0</w:t>
                  </w:r>
                </w:p>
              </w:tc>
              <w:tc>
                <w:tcPr>
                  <w:tcW w:w="323" w:type="pct"/>
                  <w:tcBorders>
                    <w:tl2br w:val="nil"/>
                    <w:tr2bl w:val="nil"/>
                  </w:tcBorders>
                  <w:vAlign w:val="center"/>
                </w:tcPr>
                <w:p w14:paraId="38270D64">
                  <w:pPr>
                    <w:pStyle w:val="60"/>
                    <w:rPr>
                      <w:color w:val="auto"/>
                      <w:sz w:val="18"/>
                      <w:szCs w:val="18"/>
                    </w:rPr>
                  </w:pPr>
                  <w:r>
                    <w:rPr>
                      <w:rFonts w:hint="eastAsia"/>
                      <w:color w:val="auto"/>
                      <w:sz w:val="18"/>
                      <w:szCs w:val="18"/>
                    </w:rPr>
                    <w:t>0</w:t>
                  </w:r>
                </w:p>
              </w:tc>
            </w:tr>
            <w:tr w14:paraId="012579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1772" w:type="pct"/>
                  <w:tcBorders>
                    <w:tl2br w:val="nil"/>
                    <w:tr2bl w:val="nil"/>
                  </w:tcBorders>
                  <w:vAlign w:val="center"/>
                </w:tcPr>
                <w:p w14:paraId="571526D6">
                  <w:pPr>
                    <w:pStyle w:val="60"/>
                    <w:rPr>
                      <w:color w:val="auto"/>
                      <w:sz w:val="18"/>
                      <w:szCs w:val="18"/>
                    </w:rPr>
                  </w:pPr>
                  <w:r>
                    <w:rPr>
                      <w:rFonts w:hint="eastAsia"/>
                      <w:color w:val="auto"/>
                      <w:sz w:val="18"/>
                      <w:szCs w:val="18"/>
                    </w:rPr>
                    <w:t>镍</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2A8DD8D9">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0BF09EA4">
                  <w:pPr>
                    <w:pStyle w:val="60"/>
                    <w:rPr>
                      <w:rFonts w:hint="default" w:eastAsia="宋体"/>
                      <w:color w:val="auto"/>
                      <w:sz w:val="18"/>
                      <w:szCs w:val="18"/>
                      <w:lang w:val="en-US" w:eastAsia="zh-CN"/>
                    </w:rPr>
                  </w:pPr>
                  <w:r>
                    <w:rPr>
                      <w:rFonts w:hint="eastAsia"/>
                      <w:color w:val="auto"/>
                      <w:sz w:val="18"/>
                      <w:szCs w:val="18"/>
                      <w:lang w:val="en-US" w:eastAsia="zh-CN"/>
                    </w:rPr>
                    <w:t>62</w:t>
                  </w:r>
                </w:p>
              </w:tc>
              <w:tc>
                <w:tcPr>
                  <w:tcW w:w="374" w:type="pct"/>
                  <w:tcBorders>
                    <w:tl2br w:val="nil"/>
                    <w:tr2bl w:val="nil"/>
                  </w:tcBorders>
                  <w:vAlign w:val="center"/>
                </w:tcPr>
                <w:p w14:paraId="60857672">
                  <w:pPr>
                    <w:pStyle w:val="60"/>
                    <w:rPr>
                      <w:rFonts w:hint="default" w:eastAsia="宋体"/>
                      <w:color w:val="auto"/>
                      <w:sz w:val="18"/>
                      <w:szCs w:val="18"/>
                      <w:lang w:val="en-US" w:eastAsia="zh-CN"/>
                    </w:rPr>
                  </w:pPr>
                  <w:r>
                    <w:rPr>
                      <w:rFonts w:hint="eastAsia"/>
                      <w:color w:val="auto"/>
                      <w:sz w:val="18"/>
                      <w:szCs w:val="18"/>
                      <w:lang w:val="en-US" w:eastAsia="zh-CN"/>
                    </w:rPr>
                    <w:t>23</w:t>
                  </w:r>
                </w:p>
              </w:tc>
              <w:tc>
                <w:tcPr>
                  <w:tcW w:w="348" w:type="pct"/>
                  <w:tcBorders>
                    <w:tl2br w:val="nil"/>
                    <w:tr2bl w:val="nil"/>
                  </w:tcBorders>
                  <w:vAlign w:val="center"/>
                </w:tcPr>
                <w:p w14:paraId="587B3DDE">
                  <w:pPr>
                    <w:pStyle w:val="60"/>
                    <w:rPr>
                      <w:rFonts w:hint="default" w:eastAsia="宋体"/>
                      <w:color w:val="auto"/>
                      <w:sz w:val="18"/>
                      <w:szCs w:val="18"/>
                      <w:lang w:val="en-US" w:eastAsia="zh-CN"/>
                    </w:rPr>
                  </w:pPr>
                  <w:r>
                    <w:rPr>
                      <w:rFonts w:hint="eastAsia"/>
                      <w:color w:val="auto"/>
                      <w:sz w:val="18"/>
                      <w:szCs w:val="18"/>
                      <w:lang w:val="en-US" w:eastAsia="zh-CN"/>
                    </w:rPr>
                    <w:t>38.3</w:t>
                  </w:r>
                </w:p>
              </w:tc>
              <w:tc>
                <w:tcPr>
                  <w:tcW w:w="391" w:type="pct"/>
                  <w:tcBorders>
                    <w:tl2br w:val="nil"/>
                    <w:tr2bl w:val="nil"/>
                  </w:tcBorders>
                  <w:vAlign w:val="center"/>
                </w:tcPr>
                <w:p w14:paraId="605464E5">
                  <w:pPr>
                    <w:pStyle w:val="60"/>
                    <w:rPr>
                      <w:rFonts w:hint="default" w:eastAsia="宋体"/>
                      <w:color w:val="auto"/>
                      <w:sz w:val="18"/>
                      <w:szCs w:val="18"/>
                      <w:lang w:val="en-US" w:eastAsia="zh-CN"/>
                    </w:rPr>
                  </w:pPr>
                  <w:r>
                    <w:rPr>
                      <w:rFonts w:hint="eastAsia"/>
                      <w:color w:val="auto"/>
                      <w:sz w:val="18"/>
                      <w:szCs w:val="18"/>
                      <w:lang w:val="en-US" w:eastAsia="zh-CN"/>
                    </w:rPr>
                    <w:t>15.07</w:t>
                  </w:r>
                </w:p>
              </w:tc>
              <w:tc>
                <w:tcPr>
                  <w:tcW w:w="371" w:type="pct"/>
                  <w:tcBorders>
                    <w:tl2br w:val="nil"/>
                    <w:tr2bl w:val="nil"/>
                  </w:tcBorders>
                  <w:vAlign w:val="center"/>
                </w:tcPr>
                <w:p w14:paraId="3FB4A841">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94" w:type="pct"/>
                  <w:tcBorders>
                    <w:tl2br w:val="nil"/>
                    <w:tr2bl w:val="nil"/>
                  </w:tcBorders>
                  <w:vAlign w:val="center"/>
                </w:tcPr>
                <w:p w14:paraId="18550267">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5E60D6A1">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747FB9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39070C36">
                  <w:pPr>
                    <w:pStyle w:val="60"/>
                    <w:rPr>
                      <w:rFonts w:hint="eastAsia" w:eastAsia="宋体"/>
                      <w:color w:val="auto"/>
                      <w:sz w:val="18"/>
                      <w:szCs w:val="18"/>
                      <w:lang w:val="en-US" w:eastAsia="zh-CN"/>
                    </w:rPr>
                  </w:pPr>
                  <w:r>
                    <w:rPr>
                      <w:rFonts w:hint="eastAsia"/>
                      <w:color w:val="auto"/>
                      <w:sz w:val="18"/>
                      <w:szCs w:val="18"/>
                      <w:lang w:val="en-US" w:eastAsia="zh-CN"/>
                    </w:rPr>
                    <w:t>四氯化碳</w:t>
                  </w:r>
                  <w:r>
                    <w:rPr>
                      <w:rFonts w:hint="eastAsia"/>
                      <w:color w:val="auto"/>
                      <w:sz w:val="18"/>
                      <w:szCs w:val="18"/>
                      <w:lang w:eastAsia="zh-CN"/>
                    </w:rPr>
                    <w:t>（</w:t>
                  </w:r>
                  <w:r>
                    <w:rPr>
                      <w:color w:val="auto"/>
                      <w:sz w:val="18"/>
                      <w:szCs w:val="18"/>
                    </w:rPr>
                    <w:t>mg/kg</w:t>
                  </w:r>
                  <w:r>
                    <w:rPr>
                      <w:rFonts w:hint="eastAsia"/>
                      <w:color w:val="auto"/>
                      <w:sz w:val="18"/>
                      <w:szCs w:val="18"/>
                      <w:lang w:eastAsia="zh-CN"/>
                    </w:rPr>
                    <w:t>）</w:t>
                  </w:r>
                </w:p>
              </w:tc>
              <w:tc>
                <w:tcPr>
                  <w:tcW w:w="615" w:type="pct"/>
                  <w:tcBorders>
                    <w:tl2br w:val="nil"/>
                    <w:tr2bl w:val="nil"/>
                  </w:tcBorders>
                  <w:vAlign w:val="center"/>
                </w:tcPr>
                <w:p w14:paraId="5E6C4E34">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7C0111E1">
                  <w:pPr>
                    <w:pStyle w:val="60"/>
                    <w:rPr>
                      <w:rFonts w:hint="default" w:eastAsia="宋体"/>
                      <w:color w:val="auto"/>
                      <w:sz w:val="18"/>
                      <w:szCs w:val="18"/>
                      <w:lang w:val="en-US" w:eastAsia="zh-CN"/>
                    </w:rPr>
                  </w:pPr>
                  <w:r>
                    <w:rPr>
                      <w:rFonts w:hint="eastAsia"/>
                      <w:color w:val="auto"/>
                      <w:sz w:val="18"/>
                      <w:szCs w:val="18"/>
                      <w:lang w:val="en-US" w:eastAsia="zh-CN"/>
                    </w:rPr>
                    <w:t>14.2</w:t>
                  </w:r>
                </w:p>
              </w:tc>
              <w:tc>
                <w:tcPr>
                  <w:tcW w:w="374" w:type="pct"/>
                  <w:tcBorders>
                    <w:tl2br w:val="nil"/>
                    <w:tr2bl w:val="nil"/>
                  </w:tcBorders>
                  <w:vAlign w:val="center"/>
                </w:tcPr>
                <w:p w14:paraId="5017E1A5">
                  <w:pPr>
                    <w:pStyle w:val="60"/>
                    <w:rPr>
                      <w:rFonts w:hint="default" w:eastAsia="宋体"/>
                      <w:color w:val="auto"/>
                      <w:sz w:val="18"/>
                      <w:szCs w:val="18"/>
                      <w:lang w:val="en-US" w:eastAsia="zh-CN"/>
                    </w:rPr>
                  </w:pPr>
                  <w:r>
                    <w:rPr>
                      <w:rFonts w:hint="eastAsia"/>
                      <w:color w:val="auto"/>
                      <w:sz w:val="18"/>
                      <w:szCs w:val="18"/>
                      <w:lang w:val="en-US" w:eastAsia="zh-CN"/>
                    </w:rPr>
                    <w:t>9.4</w:t>
                  </w:r>
                </w:p>
              </w:tc>
              <w:tc>
                <w:tcPr>
                  <w:tcW w:w="348" w:type="pct"/>
                  <w:tcBorders>
                    <w:tl2br w:val="nil"/>
                    <w:tr2bl w:val="nil"/>
                  </w:tcBorders>
                  <w:vAlign w:val="center"/>
                </w:tcPr>
                <w:p w14:paraId="3F3848FD">
                  <w:pPr>
                    <w:pStyle w:val="60"/>
                    <w:rPr>
                      <w:rFonts w:hint="default" w:eastAsia="宋体"/>
                      <w:color w:val="auto"/>
                      <w:sz w:val="18"/>
                      <w:szCs w:val="18"/>
                      <w:lang w:val="en-US" w:eastAsia="zh-CN"/>
                    </w:rPr>
                  </w:pPr>
                  <w:r>
                    <w:rPr>
                      <w:rFonts w:hint="eastAsia"/>
                      <w:color w:val="auto"/>
                      <w:sz w:val="18"/>
                      <w:szCs w:val="18"/>
                      <w:lang w:val="en-US" w:eastAsia="zh-CN"/>
                    </w:rPr>
                    <w:t>11.8</w:t>
                  </w:r>
                </w:p>
              </w:tc>
              <w:tc>
                <w:tcPr>
                  <w:tcW w:w="391" w:type="pct"/>
                  <w:tcBorders>
                    <w:tl2br w:val="nil"/>
                    <w:tr2bl w:val="nil"/>
                  </w:tcBorders>
                  <w:vAlign w:val="center"/>
                </w:tcPr>
                <w:p w14:paraId="6D54E7C7">
                  <w:pPr>
                    <w:pStyle w:val="60"/>
                    <w:rPr>
                      <w:rFonts w:hint="default" w:eastAsia="宋体"/>
                      <w:color w:val="auto"/>
                      <w:sz w:val="18"/>
                      <w:szCs w:val="18"/>
                      <w:lang w:val="en-US" w:eastAsia="zh-CN"/>
                    </w:rPr>
                  </w:pPr>
                  <w:r>
                    <w:rPr>
                      <w:rFonts w:hint="eastAsia"/>
                      <w:color w:val="auto"/>
                      <w:sz w:val="18"/>
                      <w:szCs w:val="18"/>
                      <w:lang w:val="en-US" w:eastAsia="zh-CN"/>
                    </w:rPr>
                    <w:t>1.54</w:t>
                  </w:r>
                </w:p>
              </w:tc>
              <w:tc>
                <w:tcPr>
                  <w:tcW w:w="371" w:type="pct"/>
                  <w:tcBorders>
                    <w:tl2br w:val="nil"/>
                    <w:tr2bl w:val="nil"/>
                  </w:tcBorders>
                  <w:vAlign w:val="center"/>
                </w:tcPr>
                <w:p w14:paraId="6D4C9D46">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2F3A7A7F">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717A1B8C">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3E6347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620B6D7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氯仿（</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6B72F16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vAlign w:val="center"/>
                </w:tcPr>
                <w:p w14:paraId="33A2E1D8">
                  <w:pPr>
                    <w:pStyle w:val="60"/>
                    <w:rPr>
                      <w:rFonts w:hint="default" w:eastAsia="宋体"/>
                      <w:color w:val="auto"/>
                      <w:sz w:val="18"/>
                      <w:szCs w:val="18"/>
                      <w:lang w:val="en-US" w:eastAsia="zh-CN"/>
                    </w:rPr>
                  </w:pPr>
                  <w:r>
                    <w:rPr>
                      <w:rFonts w:hint="eastAsia"/>
                      <w:color w:val="auto"/>
                      <w:sz w:val="18"/>
                      <w:szCs w:val="18"/>
                      <w:lang w:val="en-US" w:eastAsia="zh-CN"/>
                    </w:rPr>
                    <w:t>6.5</w:t>
                  </w:r>
                </w:p>
              </w:tc>
              <w:tc>
                <w:tcPr>
                  <w:tcW w:w="374" w:type="pct"/>
                  <w:tcBorders>
                    <w:tl2br w:val="nil"/>
                    <w:tr2bl w:val="nil"/>
                  </w:tcBorders>
                  <w:vAlign w:val="center"/>
                </w:tcPr>
                <w:p w14:paraId="0ABED996">
                  <w:pPr>
                    <w:pStyle w:val="60"/>
                    <w:rPr>
                      <w:rFonts w:hint="default" w:eastAsia="宋体"/>
                      <w:color w:val="auto"/>
                      <w:sz w:val="18"/>
                      <w:szCs w:val="18"/>
                      <w:lang w:val="en-US" w:eastAsia="zh-CN"/>
                    </w:rPr>
                  </w:pPr>
                  <w:r>
                    <w:rPr>
                      <w:rFonts w:hint="eastAsia"/>
                      <w:color w:val="auto"/>
                      <w:sz w:val="18"/>
                      <w:szCs w:val="18"/>
                      <w:lang w:val="en-US" w:eastAsia="zh-CN"/>
                    </w:rPr>
                    <w:t>3.9</w:t>
                  </w:r>
                </w:p>
              </w:tc>
              <w:tc>
                <w:tcPr>
                  <w:tcW w:w="348" w:type="pct"/>
                  <w:tcBorders>
                    <w:tl2br w:val="nil"/>
                    <w:tr2bl w:val="nil"/>
                  </w:tcBorders>
                  <w:vAlign w:val="center"/>
                </w:tcPr>
                <w:p w14:paraId="56AE1938">
                  <w:pPr>
                    <w:pStyle w:val="60"/>
                    <w:rPr>
                      <w:rFonts w:hint="default" w:eastAsia="宋体"/>
                      <w:color w:val="auto"/>
                      <w:sz w:val="18"/>
                      <w:szCs w:val="18"/>
                      <w:lang w:val="en-US" w:eastAsia="zh-CN"/>
                    </w:rPr>
                  </w:pPr>
                  <w:r>
                    <w:rPr>
                      <w:rFonts w:hint="eastAsia"/>
                      <w:color w:val="auto"/>
                      <w:sz w:val="18"/>
                      <w:szCs w:val="18"/>
                      <w:lang w:val="en-US" w:eastAsia="zh-CN"/>
                    </w:rPr>
                    <w:t>5.1</w:t>
                  </w:r>
                </w:p>
              </w:tc>
              <w:tc>
                <w:tcPr>
                  <w:tcW w:w="391" w:type="pct"/>
                  <w:tcBorders>
                    <w:tl2br w:val="nil"/>
                    <w:tr2bl w:val="nil"/>
                  </w:tcBorders>
                  <w:vAlign w:val="center"/>
                </w:tcPr>
                <w:p w14:paraId="700A6F5A">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71" w:type="pct"/>
                  <w:tcBorders>
                    <w:tl2br w:val="nil"/>
                    <w:tr2bl w:val="nil"/>
                  </w:tcBorders>
                  <w:vAlign w:val="center"/>
                </w:tcPr>
                <w:p w14:paraId="5B5ED31E">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FD616D0">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3361F80">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65CA66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7F9240A5">
                  <w:pPr>
                    <w:pStyle w:val="60"/>
                    <w:rPr>
                      <w:color w:val="auto"/>
                      <w:sz w:val="18"/>
                      <w:szCs w:val="18"/>
                    </w:rPr>
                  </w:pPr>
                  <w:r>
                    <w:rPr>
                      <w:rFonts w:hint="eastAsia" w:cs="Times New Roman"/>
                      <w:color w:val="auto"/>
                      <w:kern w:val="2"/>
                      <w:sz w:val="18"/>
                      <w:szCs w:val="18"/>
                      <w:lang w:val="en-US" w:eastAsia="zh-CN" w:bidi="ar-SA"/>
                    </w:rPr>
                    <w:t>氯甲烷（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28C7022A">
                  <w:pPr>
                    <w:jc w:val="center"/>
                    <w:rPr>
                      <w:color w:val="auto"/>
                      <w:sz w:val="18"/>
                      <w:szCs w:val="18"/>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5AAD85A">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363ADF6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0B98F25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0595ECD8">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63ABC9E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506D5592">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0D7893C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EFAD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75913918">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5F483C89">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147467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4.3</w:t>
                  </w:r>
                </w:p>
              </w:tc>
              <w:tc>
                <w:tcPr>
                  <w:tcW w:w="374" w:type="pct"/>
                  <w:tcBorders>
                    <w:tl2br w:val="nil"/>
                    <w:tr2bl w:val="nil"/>
                  </w:tcBorders>
                  <w:shd w:val="clear" w:color="auto" w:fill="auto"/>
                  <w:vAlign w:val="center"/>
                </w:tcPr>
                <w:p w14:paraId="5667E06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3.3</w:t>
                  </w:r>
                </w:p>
              </w:tc>
              <w:tc>
                <w:tcPr>
                  <w:tcW w:w="348" w:type="pct"/>
                  <w:tcBorders>
                    <w:tl2br w:val="nil"/>
                    <w:tr2bl w:val="nil"/>
                  </w:tcBorders>
                  <w:shd w:val="clear" w:color="auto" w:fill="auto"/>
                  <w:vAlign w:val="center"/>
                </w:tcPr>
                <w:p w14:paraId="6A18DC3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3.9</w:t>
                  </w:r>
                </w:p>
              </w:tc>
              <w:tc>
                <w:tcPr>
                  <w:tcW w:w="391" w:type="pct"/>
                  <w:tcBorders>
                    <w:tl2br w:val="nil"/>
                    <w:tr2bl w:val="nil"/>
                  </w:tcBorders>
                  <w:shd w:val="clear" w:color="auto" w:fill="auto"/>
                  <w:vAlign w:val="center"/>
                </w:tcPr>
                <w:p w14:paraId="56C4C2B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0.41</w:t>
                  </w:r>
                </w:p>
              </w:tc>
              <w:tc>
                <w:tcPr>
                  <w:tcW w:w="371" w:type="pct"/>
                  <w:tcBorders>
                    <w:tl2br w:val="nil"/>
                    <w:tr2bl w:val="nil"/>
                  </w:tcBorders>
                  <w:vAlign w:val="center"/>
                </w:tcPr>
                <w:p w14:paraId="556E7158">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08FF23C6">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F0C1E80">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59F9AF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3ED4C188">
                  <w:pPr>
                    <w:pStyle w:val="60"/>
                    <w:rPr>
                      <w:color w:val="auto"/>
                      <w:sz w:val="18"/>
                      <w:szCs w:val="18"/>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03114D76">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49D54D2E">
                  <w:pPr>
                    <w:pStyle w:val="60"/>
                    <w:rPr>
                      <w:rFonts w:hint="default" w:eastAsia="宋体"/>
                      <w:color w:val="auto"/>
                      <w:sz w:val="18"/>
                      <w:szCs w:val="18"/>
                      <w:lang w:val="en-US" w:eastAsia="zh-CN"/>
                    </w:rPr>
                  </w:pPr>
                  <w:r>
                    <w:rPr>
                      <w:rFonts w:hint="eastAsia"/>
                      <w:color w:val="auto"/>
                      <w:sz w:val="18"/>
                      <w:szCs w:val="18"/>
                      <w:lang w:val="en-US" w:eastAsia="zh-CN"/>
                    </w:rPr>
                    <w:t>5.2</w:t>
                  </w:r>
                </w:p>
              </w:tc>
              <w:tc>
                <w:tcPr>
                  <w:tcW w:w="374" w:type="pct"/>
                  <w:tcBorders>
                    <w:tl2br w:val="nil"/>
                    <w:tr2bl w:val="nil"/>
                  </w:tcBorders>
                  <w:vAlign w:val="center"/>
                </w:tcPr>
                <w:p w14:paraId="16FEC917">
                  <w:pPr>
                    <w:pStyle w:val="60"/>
                    <w:rPr>
                      <w:rFonts w:hint="default" w:eastAsia="宋体"/>
                      <w:color w:val="auto"/>
                      <w:sz w:val="18"/>
                      <w:szCs w:val="18"/>
                      <w:lang w:val="en-US" w:eastAsia="zh-CN"/>
                    </w:rPr>
                  </w:pPr>
                  <w:r>
                    <w:rPr>
                      <w:rFonts w:hint="eastAsia"/>
                      <w:color w:val="auto"/>
                      <w:sz w:val="18"/>
                      <w:szCs w:val="18"/>
                      <w:lang w:val="en-US" w:eastAsia="zh-CN"/>
                    </w:rPr>
                    <w:t>1.7</w:t>
                  </w:r>
                </w:p>
              </w:tc>
              <w:tc>
                <w:tcPr>
                  <w:tcW w:w="348" w:type="pct"/>
                  <w:tcBorders>
                    <w:tl2br w:val="nil"/>
                    <w:tr2bl w:val="nil"/>
                  </w:tcBorders>
                  <w:vAlign w:val="center"/>
                </w:tcPr>
                <w:p w14:paraId="477526A3">
                  <w:pPr>
                    <w:pStyle w:val="60"/>
                    <w:rPr>
                      <w:rFonts w:hint="default" w:eastAsia="宋体"/>
                      <w:color w:val="auto"/>
                      <w:sz w:val="18"/>
                      <w:szCs w:val="18"/>
                      <w:lang w:val="en-US" w:eastAsia="zh-CN"/>
                    </w:rPr>
                  </w:pPr>
                  <w:r>
                    <w:rPr>
                      <w:rFonts w:hint="eastAsia"/>
                      <w:color w:val="auto"/>
                      <w:sz w:val="18"/>
                      <w:szCs w:val="18"/>
                      <w:lang w:val="en-US" w:eastAsia="zh-CN"/>
                    </w:rPr>
                    <w:t>2.9</w:t>
                  </w:r>
                </w:p>
              </w:tc>
              <w:tc>
                <w:tcPr>
                  <w:tcW w:w="391" w:type="pct"/>
                  <w:tcBorders>
                    <w:tl2br w:val="nil"/>
                    <w:tr2bl w:val="nil"/>
                  </w:tcBorders>
                  <w:vAlign w:val="center"/>
                </w:tcPr>
                <w:p w14:paraId="7458064A">
                  <w:pPr>
                    <w:pStyle w:val="60"/>
                    <w:rPr>
                      <w:rFonts w:hint="default" w:eastAsia="宋体"/>
                      <w:color w:val="auto"/>
                      <w:sz w:val="18"/>
                      <w:szCs w:val="18"/>
                      <w:lang w:val="en-US" w:eastAsia="zh-CN"/>
                    </w:rPr>
                  </w:pPr>
                  <w:r>
                    <w:rPr>
                      <w:rFonts w:hint="eastAsia"/>
                      <w:color w:val="auto"/>
                      <w:sz w:val="18"/>
                      <w:szCs w:val="18"/>
                      <w:lang w:val="en-US" w:eastAsia="zh-CN"/>
                    </w:rPr>
                    <w:t>1.28</w:t>
                  </w:r>
                </w:p>
              </w:tc>
              <w:tc>
                <w:tcPr>
                  <w:tcW w:w="371" w:type="pct"/>
                  <w:tcBorders>
                    <w:tl2br w:val="nil"/>
                    <w:tr2bl w:val="nil"/>
                  </w:tcBorders>
                  <w:vAlign w:val="center"/>
                </w:tcPr>
                <w:p w14:paraId="6FF6453B">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5CAEE7B">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652BBCDF">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3A5919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04C3BFC3">
                  <w:pPr>
                    <w:pStyle w:val="60"/>
                    <w:rPr>
                      <w:color w:val="auto"/>
                      <w:sz w:val="18"/>
                      <w:szCs w:val="18"/>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64A041FA">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730FFF1D">
                  <w:pPr>
                    <w:pStyle w:val="60"/>
                    <w:rPr>
                      <w:rFonts w:hint="default" w:eastAsia="宋体"/>
                      <w:color w:val="auto"/>
                      <w:sz w:val="18"/>
                      <w:szCs w:val="18"/>
                      <w:lang w:val="en-US" w:eastAsia="zh-CN"/>
                    </w:rPr>
                  </w:pPr>
                  <w:r>
                    <w:rPr>
                      <w:rFonts w:hint="eastAsia"/>
                      <w:color w:val="auto"/>
                      <w:sz w:val="18"/>
                      <w:szCs w:val="18"/>
                      <w:lang w:val="en-US" w:eastAsia="zh-CN"/>
                    </w:rPr>
                    <w:t>19.1</w:t>
                  </w:r>
                </w:p>
              </w:tc>
              <w:tc>
                <w:tcPr>
                  <w:tcW w:w="374" w:type="pct"/>
                  <w:tcBorders>
                    <w:tl2br w:val="nil"/>
                    <w:tr2bl w:val="nil"/>
                  </w:tcBorders>
                  <w:vAlign w:val="center"/>
                </w:tcPr>
                <w:p w14:paraId="47BAFFEF">
                  <w:pPr>
                    <w:pStyle w:val="60"/>
                    <w:rPr>
                      <w:rFonts w:hint="default" w:eastAsia="宋体"/>
                      <w:color w:val="auto"/>
                      <w:sz w:val="18"/>
                      <w:szCs w:val="18"/>
                      <w:lang w:val="en-US" w:eastAsia="zh-CN"/>
                    </w:rPr>
                  </w:pPr>
                  <w:r>
                    <w:rPr>
                      <w:rFonts w:hint="eastAsia"/>
                      <w:color w:val="auto"/>
                      <w:sz w:val="18"/>
                      <w:szCs w:val="18"/>
                      <w:lang w:val="en-US" w:eastAsia="zh-CN"/>
                    </w:rPr>
                    <w:t>7.1</w:t>
                  </w:r>
                </w:p>
              </w:tc>
              <w:tc>
                <w:tcPr>
                  <w:tcW w:w="348" w:type="pct"/>
                  <w:tcBorders>
                    <w:tl2br w:val="nil"/>
                    <w:tr2bl w:val="nil"/>
                  </w:tcBorders>
                  <w:vAlign w:val="center"/>
                </w:tcPr>
                <w:p w14:paraId="6BF94C2A">
                  <w:pPr>
                    <w:pStyle w:val="60"/>
                    <w:rPr>
                      <w:rFonts w:hint="default" w:eastAsia="宋体"/>
                      <w:color w:val="auto"/>
                      <w:sz w:val="18"/>
                      <w:szCs w:val="18"/>
                      <w:lang w:val="en-US" w:eastAsia="zh-CN"/>
                    </w:rPr>
                  </w:pPr>
                  <w:r>
                    <w:rPr>
                      <w:rFonts w:hint="eastAsia"/>
                      <w:color w:val="auto"/>
                      <w:sz w:val="18"/>
                      <w:szCs w:val="18"/>
                      <w:lang w:val="en-US" w:eastAsia="zh-CN"/>
                    </w:rPr>
                    <w:t>10.5</w:t>
                  </w:r>
                </w:p>
              </w:tc>
              <w:tc>
                <w:tcPr>
                  <w:tcW w:w="391" w:type="pct"/>
                  <w:tcBorders>
                    <w:tl2br w:val="nil"/>
                    <w:tr2bl w:val="nil"/>
                  </w:tcBorders>
                  <w:vAlign w:val="center"/>
                </w:tcPr>
                <w:p w14:paraId="55EBC704">
                  <w:pPr>
                    <w:pStyle w:val="60"/>
                    <w:rPr>
                      <w:rFonts w:hint="default" w:eastAsia="宋体"/>
                      <w:color w:val="auto"/>
                      <w:sz w:val="18"/>
                      <w:szCs w:val="18"/>
                      <w:lang w:val="en-US" w:eastAsia="zh-CN"/>
                    </w:rPr>
                  </w:pPr>
                  <w:r>
                    <w:rPr>
                      <w:rFonts w:hint="eastAsia"/>
                      <w:color w:val="auto"/>
                      <w:sz w:val="18"/>
                      <w:szCs w:val="18"/>
                      <w:lang w:val="en-US" w:eastAsia="zh-CN"/>
                    </w:rPr>
                    <w:t>4.34</w:t>
                  </w:r>
                </w:p>
              </w:tc>
              <w:tc>
                <w:tcPr>
                  <w:tcW w:w="371" w:type="pct"/>
                  <w:tcBorders>
                    <w:tl2br w:val="nil"/>
                    <w:tr2bl w:val="nil"/>
                  </w:tcBorders>
                  <w:vAlign w:val="center"/>
                </w:tcPr>
                <w:p w14:paraId="513EC3B0">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6FE60B9B">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67581CE3">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71FF2A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55346F97">
                  <w:pPr>
                    <w:pStyle w:val="60"/>
                    <w:rPr>
                      <w:color w:val="auto"/>
                      <w:sz w:val="18"/>
                      <w:szCs w:val="18"/>
                    </w:rPr>
                  </w:pPr>
                  <w:r>
                    <w:rPr>
                      <w:rFonts w:hint="eastAsia" w:cs="Times New Roman"/>
                      <w:color w:val="auto"/>
                      <w:kern w:val="2"/>
                      <w:sz w:val="18"/>
                      <w:szCs w:val="18"/>
                      <w:lang w:val="en-US" w:eastAsia="zh-CN" w:bidi="ar-SA"/>
                    </w:rPr>
                    <w:t>顺-</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57A9E8E4">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2C586864">
                  <w:pPr>
                    <w:pStyle w:val="60"/>
                    <w:rPr>
                      <w:rFonts w:hint="default" w:eastAsia="宋体"/>
                      <w:color w:val="auto"/>
                      <w:sz w:val="18"/>
                      <w:szCs w:val="18"/>
                      <w:lang w:val="en-US" w:eastAsia="zh-CN"/>
                    </w:rPr>
                  </w:pPr>
                  <w:r>
                    <w:rPr>
                      <w:rFonts w:hint="eastAsia"/>
                      <w:color w:val="auto"/>
                      <w:sz w:val="18"/>
                      <w:szCs w:val="18"/>
                      <w:lang w:val="en-US" w:eastAsia="zh-CN"/>
                    </w:rPr>
                    <w:t>4.1</w:t>
                  </w:r>
                </w:p>
              </w:tc>
              <w:tc>
                <w:tcPr>
                  <w:tcW w:w="374" w:type="pct"/>
                  <w:tcBorders>
                    <w:tl2br w:val="nil"/>
                    <w:tr2bl w:val="nil"/>
                  </w:tcBorders>
                  <w:vAlign w:val="center"/>
                </w:tcPr>
                <w:p w14:paraId="56A99DF1">
                  <w:pPr>
                    <w:pStyle w:val="60"/>
                    <w:rPr>
                      <w:rFonts w:hint="default" w:eastAsia="宋体"/>
                      <w:color w:val="auto"/>
                      <w:sz w:val="18"/>
                      <w:szCs w:val="18"/>
                      <w:lang w:val="en-US" w:eastAsia="zh-CN"/>
                    </w:rPr>
                  </w:pPr>
                  <w:r>
                    <w:rPr>
                      <w:rFonts w:hint="eastAsia"/>
                      <w:color w:val="auto"/>
                      <w:sz w:val="18"/>
                      <w:szCs w:val="18"/>
                      <w:lang w:val="en-US" w:eastAsia="zh-CN"/>
                    </w:rPr>
                    <w:t>2.3</w:t>
                  </w:r>
                </w:p>
              </w:tc>
              <w:tc>
                <w:tcPr>
                  <w:tcW w:w="348" w:type="pct"/>
                  <w:tcBorders>
                    <w:tl2br w:val="nil"/>
                    <w:tr2bl w:val="nil"/>
                  </w:tcBorders>
                  <w:vAlign w:val="center"/>
                </w:tcPr>
                <w:p w14:paraId="441D09AE">
                  <w:pPr>
                    <w:pStyle w:val="60"/>
                    <w:rPr>
                      <w:rFonts w:hint="default" w:eastAsia="宋体"/>
                      <w:color w:val="auto"/>
                      <w:sz w:val="18"/>
                      <w:szCs w:val="18"/>
                      <w:lang w:val="en-US" w:eastAsia="zh-CN"/>
                    </w:rPr>
                  </w:pPr>
                  <w:r>
                    <w:rPr>
                      <w:rFonts w:hint="eastAsia"/>
                      <w:color w:val="auto"/>
                      <w:sz w:val="18"/>
                      <w:szCs w:val="18"/>
                      <w:lang w:val="en-US" w:eastAsia="zh-CN"/>
                    </w:rPr>
                    <w:t>2.9</w:t>
                  </w:r>
                </w:p>
              </w:tc>
              <w:tc>
                <w:tcPr>
                  <w:tcW w:w="391" w:type="pct"/>
                  <w:tcBorders>
                    <w:tl2br w:val="nil"/>
                    <w:tr2bl w:val="nil"/>
                  </w:tcBorders>
                  <w:vAlign w:val="center"/>
                </w:tcPr>
                <w:p w14:paraId="29093DF7">
                  <w:pPr>
                    <w:pStyle w:val="60"/>
                    <w:rPr>
                      <w:rFonts w:hint="default" w:eastAsia="宋体"/>
                      <w:color w:val="auto"/>
                      <w:sz w:val="18"/>
                      <w:szCs w:val="18"/>
                      <w:lang w:val="en-US" w:eastAsia="zh-CN"/>
                    </w:rPr>
                  </w:pPr>
                  <w:r>
                    <w:rPr>
                      <w:rFonts w:hint="eastAsia"/>
                      <w:color w:val="auto"/>
                      <w:sz w:val="18"/>
                      <w:szCs w:val="18"/>
                      <w:lang w:val="en-US" w:eastAsia="zh-CN"/>
                    </w:rPr>
                    <w:t>0.66</w:t>
                  </w:r>
                </w:p>
              </w:tc>
              <w:tc>
                <w:tcPr>
                  <w:tcW w:w="371" w:type="pct"/>
                  <w:tcBorders>
                    <w:tl2br w:val="nil"/>
                    <w:tr2bl w:val="nil"/>
                  </w:tcBorders>
                  <w:vAlign w:val="center"/>
                </w:tcPr>
                <w:p w14:paraId="629AF9D4">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6E6F36B2">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B922E18">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4C8833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155E3F9B">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反-</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44CD0F6E">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4D1EA8AC">
                  <w:pPr>
                    <w:pStyle w:val="60"/>
                    <w:rPr>
                      <w:rFonts w:hint="default" w:eastAsia="宋体"/>
                      <w:color w:val="auto"/>
                      <w:sz w:val="18"/>
                      <w:szCs w:val="18"/>
                      <w:lang w:val="en-US" w:eastAsia="zh-CN"/>
                    </w:rPr>
                  </w:pPr>
                  <w:r>
                    <w:rPr>
                      <w:rFonts w:hint="eastAsia"/>
                      <w:color w:val="auto"/>
                      <w:sz w:val="18"/>
                      <w:szCs w:val="18"/>
                      <w:lang w:val="en-US" w:eastAsia="zh-CN"/>
                    </w:rPr>
                    <w:t>5.4</w:t>
                  </w:r>
                </w:p>
              </w:tc>
              <w:tc>
                <w:tcPr>
                  <w:tcW w:w="374" w:type="pct"/>
                  <w:tcBorders>
                    <w:tl2br w:val="nil"/>
                    <w:tr2bl w:val="nil"/>
                  </w:tcBorders>
                  <w:vAlign w:val="center"/>
                </w:tcPr>
                <w:p w14:paraId="28618E2F">
                  <w:pPr>
                    <w:pStyle w:val="60"/>
                    <w:rPr>
                      <w:rFonts w:hint="default" w:eastAsia="宋体"/>
                      <w:color w:val="auto"/>
                      <w:sz w:val="18"/>
                      <w:szCs w:val="18"/>
                      <w:lang w:val="en-US" w:eastAsia="zh-CN"/>
                    </w:rPr>
                  </w:pPr>
                  <w:r>
                    <w:rPr>
                      <w:rFonts w:hint="eastAsia"/>
                      <w:color w:val="auto"/>
                      <w:sz w:val="18"/>
                      <w:szCs w:val="18"/>
                      <w:lang w:val="en-US" w:eastAsia="zh-CN"/>
                    </w:rPr>
                    <w:t>3.3</w:t>
                  </w:r>
                </w:p>
              </w:tc>
              <w:tc>
                <w:tcPr>
                  <w:tcW w:w="348" w:type="pct"/>
                  <w:tcBorders>
                    <w:tl2br w:val="nil"/>
                    <w:tr2bl w:val="nil"/>
                  </w:tcBorders>
                  <w:vAlign w:val="center"/>
                </w:tcPr>
                <w:p w14:paraId="4FD7CDA6">
                  <w:pPr>
                    <w:pStyle w:val="60"/>
                    <w:rPr>
                      <w:rFonts w:hint="default" w:eastAsia="宋体"/>
                      <w:color w:val="auto"/>
                      <w:sz w:val="18"/>
                      <w:szCs w:val="18"/>
                      <w:lang w:val="en-US" w:eastAsia="zh-CN"/>
                    </w:rPr>
                  </w:pPr>
                  <w:r>
                    <w:rPr>
                      <w:rFonts w:hint="eastAsia"/>
                      <w:color w:val="auto"/>
                      <w:sz w:val="18"/>
                      <w:szCs w:val="18"/>
                      <w:lang w:val="en-US" w:eastAsia="zh-CN"/>
                    </w:rPr>
                    <w:t>4.27</w:t>
                  </w:r>
                </w:p>
              </w:tc>
              <w:tc>
                <w:tcPr>
                  <w:tcW w:w="391" w:type="pct"/>
                  <w:tcBorders>
                    <w:tl2br w:val="nil"/>
                    <w:tr2bl w:val="nil"/>
                  </w:tcBorders>
                  <w:vAlign w:val="center"/>
                </w:tcPr>
                <w:p w14:paraId="48B3E129">
                  <w:pPr>
                    <w:pStyle w:val="60"/>
                    <w:rPr>
                      <w:rFonts w:hint="default" w:eastAsia="宋体"/>
                      <w:color w:val="auto"/>
                      <w:sz w:val="18"/>
                      <w:szCs w:val="18"/>
                      <w:lang w:val="en-US" w:eastAsia="zh-CN"/>
                    </w:rPr>
                  </w:pPr>
                  <w:r>
                    <w:rPr>
                      <w:rFonts w:hint="eastAsia"/>
                      <w:color w:val="auto"/>
                      <w:sz w:val="18"/>
                      <w:szCs w:val="18"/>
                      <w:lang w:val="en-US" w:eastAsia="zh-CN"/>
                    </w:rPr>
                    <w:t>0.80</w:t>
                  </w:r>
                </w:p>
              </w:tc>
              <w:tc>
                <w:tcPr>
                  <w:tcW w:w="371" w:type="pct"/>
                  <w:tcBorders>
                    <w:tl2br w:val="nil"/>
                    <w:tr2bl w:val="nil"/>
                  </w:tcBorders>
                  <w:vAlign w:val="center"/>
                </w:tcPr>
                <w:p w14:paraId="595D4CBC">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5826047">
                  <w:pPr>
                    <w:pStyle w:val="60"/>
                    <w:rPr>
                      <w:rFonts w:hint="default"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7DFC9E27">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6F5B24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3C76385F">
                  <w:pPr>
                    <w:pStyle w:val="60"/>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二氯甲烷（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74CBE526">
                  <w:pPr>
                    <w:jc w:val="center"/>
                    <w:rPr>
                      <w:color w:val="auto"/>
                      <w:sz w:val="18"/>
                      <w:szCs w:val="18"/>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58C284BC">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29644B5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2355298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32072FB5">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238FE4E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2DC34CC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551DC3F0">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0C7A19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1D89343D">
                  <w:pPr>
                    <w:pStyle w:val="60"/>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氯丙烷</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540B6DBA">
                  <w:pPr>
                    <w:jc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9D77AF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374" w:type="pct"/>
                  <w:tcBorders>
                    <w:tl2br w:val="nil"/>
                    <w:tr2bl w:val="nil"/>
                  </w:tcBorders>
                  <w:shd w:val="clear" w:color="auto" w:fill="auto"/>
                  <w:vAlign w:val="center"/>
                </w:tcPr>
                <w:p w14:paraId="5FA0B6B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w:t>
                  </w:r>
                </w:p>
              </w:tc>
              <w:tc>
                <w:tcPr>
                  <w:tcW w:w="348" w:type="pct"/>
                  <w:tcBorders>
                    <w:tl2br w:val="nil"/>
                    <w:tr2bl w:val="nil"/>
                  </w:tcBorders>
                  <w:shd w:val="clear" w:color="auto" w:fill="auto"/>
                  <w:vAlign w:val="center"/>
                </w:tcPr>
                <w:p w14:paraId="2E7C8EE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c>
                <w:tcPr>
                  <w:tcW w:w="391" w:type="pct"/>
                  <w:tcBorders>
                    <w:tl2br w:val="nil"/>
                    <w:tr2bl w:val="nil"/>
                  </w:tcBorders>
                  <w:shd w:val="clear" w:color="auto" w:fill="auto"/>
                  <w:vAlign w:val="center"/>
                </w:tcPr>
                <w:p w14:paraId="630E4E0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0.28</w:t>
                  </w:r>
                </w:p>
              </w:tc>
              <w:tc>
                <w:tcPr>
                  <w:tcW w:w="371" w:type="pct"/>
                  <w:tcBorders>
                    <w:tl2br w:val="nil"/>
                    <w:tr2bl w:val="nil"/>
                  </w:tcBorders>
                  <w:shd w:val="clear" w:color="auto" w:fill="auto"/>
                  <w:vAlign w:val="center"/>
                </w:tcPr>
                <w:p w14:paraId="14EE394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w:t>
                  </w:r>
                </w:p>
              </w:tc>
              <w:tc>
                <w:tcPr>
                  <w:tcW w:w="394" w:type="pct"/>
                  <w:tcBorders>
                    <w:tl2br w:val="nil"/>
                    <w:tr2bl w:val="nil"/>
                  </w:tcBorders>
                  <w:shd w:val="clear" w:color="auto" w:fill="auto"/>
                  <w:vAlign w:val="center"/>
                </w:tcPr>
                <w:p w14:paraId="5F418DC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323" w:type="pct"/>
                  <w:tcBorders>
                    <w:tl2br w:val="nil"/>
                    <w:tr2bl w:val="nil"/>
                  </w:tcBorders>
                  <w:vAlign w:val="center"/>
                </w:tcPr>
                <w:p w14:paraId="1B606A62">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4E2970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253AD1FA">
                  <w:pPr>
                    <w:pStyle w:val="60"/>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,1.2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四氯乙烷（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38443580">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221B076D">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56F7625F">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1C92D78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5DAB9D1C">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1F1EFCF0">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061E560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4962FE9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6B52F5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BE2EB1C">
                  <w:pPr>
                    <w:pStyle w:val="60"/>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,2.2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四氯乙烷（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2026F695">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3524C14">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3663C1EE">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2FE3622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2BD39089">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4242DAA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635EE92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7D4B2AB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137991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157940B4">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四氯乙烯（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02DDAF17">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5AF03650">
                  <w:pPr>
                    <w:pStyle w:val="60"/>
                    <w:rPr>
                      <w:rFonts w:hint="default" w:eastAsia="宋体"/>
                      <w:color w:val="auto"/>
                      <w:sz w:val="18"/>
                      <w:szCs w:val="18"/>
                      <w:lang w:val="en-US" w:eastAsia="zh-CN"/>
                    </w:rPr>
                  </w:pPr>
                  <w:r>
                    <w:rPr>
                      <w:rFonts w:hint="eastAsia"/>
                      <w:color w:val="auto"/>
                      <w:sz w:val="18"/>
                      <w:szCs w:val="18"/>
                      <w:lang w:val="en-US" w:eastAsia="zh-CN"/>
                    </w:rPr>
                    <w:t>24.8</w:t>
                  </w:r>
                </w:p>
              </w:tc>
              <w:tc>
                <w:tcPr>
                  <w:tcW w:w="374" w:type="pct"/>
                  <w:tcBorders>
                    <w:tl2br w:val="nil"/>
                    <w:tr2bl w:val="nil"/>
                  </w:tcBorders>
                  <w:vAlign w:val="center"/>
                </w:tcPr>
                <w:p w14:paraId="238004B0">
                  <w:pPr>
                    <w:pStyle w:val="60"/>
                    <w:rPr>
                      <w:rFonts w:hint="default" w:eastAsia="宋体"/>
                      <w:color w:val="auto"/>
                      <w:sz w:val="18"/>
                      <w:szCs w:val="18"/>
                      <w:lang w:val="en-US" w:eastAsia="zh-CN"/>
                    </w:rPr>
                  </w:pPr>
                  <w:r>
                    <w:rPr>
                      <w:rFonts w:hint="eastAsia"/>
                      <w:color w:val="auto"/>
                      <w:sz w:val="18"/>
                      <w:szCs w:val="18"/>
                      <w:lang w:val="en-US" w:eastAsia="zh-CN"/>
                    </w:rPr>
                    <w:t>11.3</w:t>
                  </w:r>
                </w:p>
              </w:tc>
              <w:tc>
                <w:tcPr>
                  <w:tcW w:w="348" w:type="pct"/>
                  <w:tcBorders>
                    <w:tl2br w:val="nil"/>
                    <w:tr2bl w:val="nil"/>
                  </w:tcBorders>
                  <w:vAlign w:val="center"/>
                </w:tcPr>
                <w:p w14:paraId="583763E0">
                  <w:pPr>
                    <w:pStyle w:val="60"/>
                    <w:rPr>
                      <w:rFonts w:hint="default" w:eastAsia="宋体"/>
                      <w:color w:val="auto"/>
                      <w:sz w:val="18"/>
                      <w:szCs w:val="18"/>
                      <w:lang w:val="en-US" w:eastAsia="zh-CN"/>
                    </w:rPr>
                  </w:pPr>
                  <w:r>
                    <w:rPr>
                      <w:rFonts w:hint="eastAsia"/>
                      <w:color w:val="auto"/>
                      <w:sz w:val="18"/>
                      <w:szCs w:val="18"/>
                      <w:lang w:val="en-US" w:eastAsia="zh-CN"/>
                    </w:rPr>
                    <w:t>18.85</w:t>
                  </w:r>
                </w:p>
              </w:tc>
              <w:tc>
                <w:tcPr>
                  <w:tcW w:w="391" w:type="pct"/>
                  <w:tcBorders>
                    <w:tl2br w:val="nil"/>
                    <w:tr2bl w:val="nil"/>
                  </w:tcBorders>
                  <w:vAlign w:val="center"/>
                </w:tcPr>
                <w:p w14:paraId="6B3D1698">
                  <w:pPr>
                    <w:pStyle w:val="60"/>
                    <w:rPr>
                      <w:rFonts w:hint="default" w:eastAsia="宋体"/>
                      <w:color w:val="auto"/>
                      <w:sz w:val="18"/>
                      <w:szCs w:val="18"/>
                      <w:lang w:val="en-US" w:eastAsia="zh-CN"/>
                    </w:rPr>
                  </w:pPr>
                  <w:r>
                    <w:rPr>
                      <w:rFonts w:hint="eastAsia"/>
                      <w:color w:val="auto"/>
                      <w:sz w:val="18"/>
                      <w:szCs w:val="18"/>
                      <w:lang w:val="en-US" w:eastAsia="zh-CN"/>
                    </w:rPr>
                    <w:t>6.67</w:t>
                  </w:r>
                </w:p>
              </w:tc>
              <w:tc>
                <w:tcPr>
                  <w:tcW w:w="371" w:type="pct"/>
                  <w:tcBorders>
                    <w:tl2br w:val="nil"/>
                    <w:tr2bl w:val="nil"/>
                  </w:tcBorders>
                  <w:vAlign w:val="center"/>
                </w:tcPr>
                <w:p w14:paraId="64082BDD">
                  <w:pPr>
                    <w:pStyle w:val="60"/>
                    <w:rPr>
                      <w:rFonts w:hint="default" w:eastAsia="宋体"/>
                      <w:color w:val="auto"/>
                      <w:sz w:val="18"/>
                      <w:szCs w:val="18"/>
                      <w:lang w:val="en-US" w:eastAsia="zh-CN"/>
                    </w:rPr>
                  </w:pPr>
                  <w:r>
                    <w:rPr>
                      <w:rFonts w:hint="eastAsia"/>
                      <w:color w:val="auto"/>
                      <w:sz w:val="18"/>
                      <w:szCs w:val="18"/>
                      <w:lang w:val="en-US" w:eastAsia="zh-CN"/>
                    </w:rPr>
                    <w:t>66.7%</w:t>
                  </w:r>
                </w:p>
              </w:tc>
              <w:tc>
                <w:tcPr>
                  <w:tcW w:w="394" w:type="pct"/>
                  <w:tcBorders>
                    <w:tl2br w:val="nil"/>
                    <w:tr2bl w:val="nil"/>
                  </w:tcBorders>
                  <w:vAlign w:val="center"/>
                </w:tcPr>
                <w:p w14:paraId="1E04AC96">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140C62C2">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39A767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114B610E">
                  <w:pPr>
                    <w:pStyle w:val="60"/>
                    <w:rPr>
                      <w:rFonts w:hint="eastAsia"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vAlign w:val="center"/>
                </w:tcPr>
                <w:p w14:paraId="5DDC2E7A">
                  <w:pPr>
                    <w:jc w:val="center"/>
                    <w:rPr>
                      <w:color w:val="auto"/>
                      <w:sz w:val="18"/>
                      <w:szCs w:val="18"/>
                    </w:rPr>
                  </w:pPr>
                  <w:r>
                    <w:rPr>
                      <w:rFonts w:hint="eastAsia"/>
                      <w:color w:val="auto"/>
                      <w:sz w:val="18"/>
                      <w:szCs w:val="18"/>
                      <w:lang w:val="en-US" w:eastAsia="zh-CN"/>
                    </w:rPr>
                    <w:t>6</w:t>
                  </w:r>
                </w:p>
              </w:tc>
              <w:tc>
                <w:tcPr>
                  <w:tcW w:w="409" w:type="pct"/>
                  <w:tcBorders>
                    <w:tl2br w:val="nil"/>
                    <w:tr2bl w:val="nil"/>
                  </w:tcBorders>
                  <w:vAlign w:val="center"/>
                </w:tcPr>
                <w:p w14:paraId="2F692FDF">
                  <w:pPr>
                    <w:pStyle w:val="60"/>
                    <w:rPr>
                      <w:rFonts w:hint="default" w:eastAsia="宋体"/>
                      <w:color w:val="auto"/>
                      <w:sz w:val="18"/>
                      <w:szCs w:val="18"/>
                      <w:lang w:val="en-US" w:eastAsia="zh-CN"/>
                    </w:rPr>
                  </w:pPr>
                  <w:r>
                    <w:rPr>
                      <w:rFonts w:hint="eastAsia"/>
                      <w:color w:val="auto"/>
                      <w:sz w:val="18"/>
                      <w:szCs w:val="18"/>
                      <w:lang w:val="en-US" w:eastAsia="zh-CN"/>
                    </w:rPr>
                    <w:t>8.4</w:t>
                  </w:r>
                </w:p>
              </w:tc>
              <w:tc>
                <w:tcPr>
                  <w:tcW w:w="374" w:type="pct"/>
                  <w:tcBorders>
                    <w:tl2br w:val="nil"/>
                    <w:tr2bl w:val="nil"/>
                  </w:tcBorders>
                  <w:vAlign w:val="center"/>
                </w:tcPr>
                <w:p w14:paraId="6465CCDB">
                  <w:pPr>
                    <w:pStyle w:val="60"/>
                    <w:rPr>
                      <w:rFonts w:hint="default" w:eastAsia="宋体"/>
                      <w:color w:val="auto"/>
                      <w:sz w:val="18"/>
                      <w:szCs w:val="18"/>
                      <w:lang w:val="en-US" w:eastAsia="zh-CN"/>
                    </w:rPr>
                  </w:pPr>
                  <w:r>
                    <w:rPr>
                      <w:rFonts w:hint="eastAsia"/>
                      <w:color w:val="auto"/>
                      <w:sz w:val="18"/>
                      <w:szCs w:val="18"/>
                      <w:lang w:val="en-US" w:eastAsia="zh-CN"/>
                    </w:rPr>
                    <w:t>6.5</w:t>
                  </w:r>
                </w:p>
              </w:tc>
              <w:tc>
                <w:tcPr>
                  <w:tcW w:w="348" w:type="pct"/>
                  <w:tcBorders>
                    <w:tl2br w:val="nil"/>
                    <w:tr2bl w:val="nil"/>
                  </w:tcBorders>
                  <w:vAlign w:val="center"/>
                </w:tcPr>
                <w:p w14:paraId="3D5A2D01">
                  <w:pPr>
                    <w:pStyle w:val="60"/>
                    <w:rPr>
                      <w:rFonts w:hint="default" w:eastAsia="宋体"/>
                      <w:color w:val="auto"/>
                      <w:sz w:val="18"/>
                      <w:szCs w:val="18"/>
                      <w:lang w:val="en-US" w:eastAsia="zh-CN"/>
                    </w:rPr>
                  </w:pPr>
                  <w:r>
                    <w:rPr>
                      <w:rFonts w:hint="eastAsia"/>
                      <w:color w:val="auto"/>
                      <w:sz w:val="18"/>
                      <w:szCs w:val="18"/>
                      <w:lang w:val="en-US" w:eastAsia="zh-CN"/>
                    </w:rPr>
                    <w:t>7.6</w:t>
                  </w:r>
                </w:p>
              </w:tc>
              <w:tc>
                <w:tcPr>
                  <w:tcW w:w="391" w:type="pct"/>
                  <w:tcBorders>
                    <w:tl2br w:val="nil"/>
                    <w:tr2bl w:val="nil"/>
                  </w:tcBorders>
                  <w:vAlign w:val="center"/>
                </w:tcPr>
                <w:p w14:paraId="4DFB29C3">
                  <w:pPr>
                    <w:pStyle w:val="60"/>
                    <w:rPr>
                      <w:rFonts w:hint="default" w:eastAsia="宋体"/>
                      <w:color w:val="auto"/>
                      <w:sz w:val="18"/>
                      <w:szCs w:val="18"/>
                      <w:lang w:val="en-US" w:eastAsia="zh-CN"/>
                    </w:rPr>
                  </w:pPr>
                  <w:r>
                    <w:rPr>
                      <w:rFonts w:hint="eastAsia"/>
                      <w:color w:val="auto"/>
                      <w:sz w:val="18"/>
                      <w:szCs w:val="18"/>
                      <w:lang w:val="en-US" w:eastAsia="zh-CN"/>
                    </w:rPr>
                    <w:t>0.7</w:t>
                  </w:r>
                </w:p>
              </w:tc>
              <w:tc>
                <w:tcPr>
                  <w:tcW w:w="371" w:type="pct"/>
                  <w:tcBorders>
                    <w:tl2br w:val="nil"/>
                    <w:tr2bl w:val="nil"/>
                  </w:tcBorders>
                  <w:vAlign w:val="center"/>
                </w:tcPr>
                <w:p w14:paraId="1F41136B">
                  <w:pPr>
                    <w:pStyle w:val="60"/>
                    <w:rPr>
                      <w:rFonts w:hint="default" w:eastAsia="宋体"/>
                      <w:color w:val="auto"/>
                      <w:sz w:val="18"/>
                      <w:szCs w:val="18"/>
                      <w:lang w:val="en-US" w:eastAsia="zh-CN"/>
                    </w:rPr>
                  </w:pPr>
                  <w:r>
                    <w:rPr>
                      <w:rFonts w:hint="eastAsia"/>
                      <w:color w:val="auto"/>
                      <w:sz w:val="18"/>
                      <w:szCs w:val="18"/>
                      <w:lang w:val="en-US" w:eastAsia="zh-CN"/>
                    </w:rPr>
                    <w:t>83.3%</w:t>
                  </w:r>
                </w:p>
              </w:tc>
              <w:tc>
                <w:tcPr>
                  <w:tcW w:w="394" w:type="pct"/>
                  <w:tcBorders>
                    <w:tl2br w:val="nil"/>
                    <w:tr2bl w:val="nil"/>
                  </w:tcBorders>
                  <w:vAlign w:val="center"/>
                </w:tcPr>
                <w:p w14:paraId="111D61FB">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1640EF00">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2BFF33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76706A9A">
                  <w:pPr>
                    <w:pStyle w:val="60"/>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w:t>
                  </w:r>
                  <w:r>
                    <w:rPr>
                      <w:rFonts w:hint="default" w:ascii="Times New Roman" w:hAnsi="Times New Roman" w:eastAsia="宋体" w:cs="Times New Roman"/>
                      <w:color w:val="auto"/>
                      <w:kern w:val="2"/>
                      <w:sz w:val="18"/>
                      <w:szCs w:val="18"/>
                      <w:lang w:val="en-US" w:eastAsia="zh-CN" w:bidi="ar-SA"/>
                    </w:rPr>
                    <w:t>乙烷</w:t>
                  </w:r>
                  <w:r>
                    <w:rPr>
                      <w:rFonts w:hint="eastAsia" w:cs="Times New Roman"/>
                      <w:color w:val="auto"/>
                      <w:kern w:val="2"/>
                      <w:sz w:val="18"/>
                      <w:szCs w:val="18"/>
                      <w:lang w:val="en-US" w:eastAsia="zh-CN" w:bidi="ar-SA"/>
                    </w:rPr>
                    <w:t>（</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7107180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3F060D59">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37C38F2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2D3FA1F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4D55A7EE">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3078A32F">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73922B8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3C9D2A2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2D4A50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634E3E1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三氯乙烯（</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4BB1C230">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vAlign w:val="center"/>
                </w:tcPr>
                <w:p w14:paraId="7D739B9A">
                  <w:pPr>
                    <w:pStyle w:val="60"/>
                    <w:rPr>
                      <w:rFonts w:hint="default" w:eastAsia="宋体"/>
                      <w:color w:val="auto"/>
                      <w:sz w:val="18"/>
                      <w:szCs w:val="18"/>
                      <w:lang w:val="en-US" w:eastAsia="zh-CN"/>
                    </w:rPr>
                  </w:pPr>
                  <w:r>
                    <w:rPr>
                      <w:rFonts w:hint="eastAsia"/>
                      <w:color w:val="auto"/>
                      <w:sz w:val="18"/>
                      <w:szCs w:val="18"/>
                      <w:lang w:val="en-US" w:eastAsia="zh-CN"/>
                    </w:rPr>
                    <w:t>5.8</w:t>
                  </w:r>
                </w:p>
              </w:tc>
              <w:tc>
                <w:tcPr>
                  <w:tcW w:w="374" w:type="pct"/>
                  <w:tcBorders>
                    <w:tl2br w:val="nil"/>
                    <w:tr2bl w:val="nil"/>
                  </w:tcBorders>
                  <w:vAlign w:val="center"/>
                </w:tcPr>
                <w:p w14:paraId="57255FED">
                  <w:pPr>
                    <w:pStyle w:val="60"/>
                    <w:rPr>
                      <w:rFonts w:hint="default" w:eastAsia="宋体"/>
                      <w:color w:val="auto"/>
                      <w:sz w:val="18"/>
                      <w:szCs w:val="18"/>
                      <w:lang w:val="en-US" w:eastAsia="zh-CN"/>
                    </w:rPr>
                  </w:pPr>
                  <w:r>
                    <w:rPr>
                      <w:rFonts w:hint="eastAsia"/>
                      <w:color w:val="auto"/>
                      <w:sz w:val="18"/>
                      <w:szCs w:val="18"/>
                      <w:lang w:val="en-US" w:eastAsia="zh-CN"/>
                    </w:rPr>
                    <w:t>3.7</w:t>
                  </w:r>
                </w:p>
              </w:tc>
              <w:tc>
                <w:tcPr>
                  <w:tcW w:w="348" w:type="pct"/>
                  <w:tcBorders>
                    <w:tl2br w:val="nil"/>
                    <w:tr2bl w:val="nil"/>
                  </w:tcBorders>
                  <w:vAlign w:val="center"/>
                </w:tcPr>
                <w:p w14:paraId="4FDDE009">
                  <w:pPr>
                    <w:pStyle w:val="60"/>
                    <w:rPr>
                      <w:rFonts w:hint="default" w:eastAsia="宋体"/>
                      <w:color w:val="auto"/>
                      <w:sz w:val="18"/>
                      <w:szCs w:val="18"/>
                      <w:lang w:val="en-US" w:eastAsia="zh-CN"/>
                    </w:rPr>
                  </w:pPr>
                  <w:r>
                    <w:rPr>
                      <w:rFonts w:hint="eastAsia"/>
                      <w:color w:val="auto"/>
                      <w:sz w:val="18"/>
                      <w:szCs w:val="18"/>
                      <w:lang w:val="en-US" w:eastAsia="zh-CN"/>
                    </w:rPr>
                    <w:t>4.62</w:t>
                  </w:r>
                </w:p>
              </w:tc>
              <w:tc>
                <w:tcPr>
                  <w:tcW w:w="391" w:type="pct"/>
                  <w:tcBorders>
                    <w:tl2br w:val="nil"/>
                    <w:tr2bl w:val="nil"/>
                  </w:tcBorders>
                  <w:vAlign w:val="center"/>
                </w:tcPr>
                <w:p w14:paraId="0DE8AA6A">
                  <w:pPr>
                    <w:pStyle w:val="60"/>
                    <w:rPr>
                      <w:rFonts w:hint="default" w:eastAsia="宋体"/>
                      <w:color w:val="auto"/>
                      <w:sz w:val="18"/>
                      <w:szCs w:val="18"/>
                      <w:lang w:val="en-US" w:eastAsia="zh-CN"/>
                    </w:rPr>
                  </w:pPr>
                  <w:r>
                    <w:rPr>
                      <w:rFonts w:hint="eastAsia"/>
                      <w:color w:val="auto"/>
                      <w:sz w:val="18"/>
                      <w:szCs w:val="18"/>
                      <w:lang w:val="en-US" w:eastAsia="zh-CN"/>
                    </w:rPr>
                    <w:t>0.70</w:t>
                  </w:r>
                </w:p>
              </w:tc>
              <w:tc>
                <w:tcPr>
                  <w:tcW w:w="371" w:type="pct"/>
                  <w:tcBorders>
                    <w:tl2br w:val="nil"/>
                    <w:tr2bl w:val="nil"/>
                  </w:tcBorders>
                  <w:vAlign w:val="center"/>
                </w:tcPr>
                <w:p w14:paraId="31DE62A0">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3B7A5DDB">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606F6A35">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18BA16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42D19604">
                  <w:pPr>
                    <w:pStyle w:val="60"/>
                    <w:rPr>
                      <w:rFonts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2,3</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三氯丙烷（</w:t>
                  </w:r>
                  <w:r>
                    <w:rPr>
                      <w:color w:val="auto"/>
                      <w:sz w:val="18"/>
                      <w:szCs w:val="18"/>
                    </w:rPr>
                    <w:t>μg</w:t>
                  </w:r>
                  <w:r>
                    <w:rPr>
                      <w:rFonts w:hint="eastAsia"/>
                      <w:color w:val="auto"/>
                      <w:sz w:val="18"/>
                      <w:szCs w:val="18"/>
                      <w:lang w:val="en-US" w:eastAsia="zh-CN"/>
                    </w:rPr>
                    <w:t>/kg</w:t>
                  </w:r>
                  <w:r>
                    <w:rPr>
                      <w:rFonts w:hint="eastAsia"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7D74F5C9">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0B061429">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0340315B">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50B215F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5B01C7DA">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6E5CD13B">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79D3B8DE">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4A68275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58C393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4D274DB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5E71AA8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9A8311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3.8</w:t>
                  </w:r>
                </w:p>
              </w:tc>
              <w:tc>
                <w:tcPr>
                  <w:tcW w:w="374" w:type="pct"/>
                  <w:tcBorders>
                    <w:tl2br w:val="nil"/>
                    <w:tr2bl w:val="nil"/>
                  </w:tcBorders>
                  <w:shd w:val="clear" w:color="auto" w:fill="auto"/>
                  <w:vAlign w:val="center"/>
                </w:tcPr>
                <w:p w14:paraId="5470521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w:t>
                  </w:r>
                </w:p>
              </w:tc>
              <w:tc>
                <w:tcPr>
                  <w:tcW w:w="348" w:type="pct"/>
                  <w:tcBorders>
                    <w:tl2br w:val="nil"/>
                    <w:tr2bl w:val="nil"/>
                  </w:tcBorders>
                  <w:shd w:val="clear" w:color="auto" w:fill="auto"/>
                  <w:vAlign w:val="center"/>
                </w:tcPr>
                <w:p w14:paraId="740922A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3.02</w:t>
                  </w:r>
                </w:p>
              </w:tc>
              <w:tc>
                <w:tcPr>
                  <w:tcW w:w="391" w:type="pct"/>
                  <w:tcBorders>
                    <w:tl2br w:val="nil"/>
                    <w:tr2bl w:val="nil"/>
                  </w:tcBorders>
                  <w:shd w:val="clear" w:color="auto" w:fill="auto"/>
                  <w:vAlign w:val="center"/>
                </w:tcPr>
                <w:p w14:paraId="1D84322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0.56</w:t>
                  </w:r>
                </w:p>
              </w:tc>
              <w:tc>
                <w:tcPr>
                  <w:tcW w:w="371" w:type="pct"/>
                  <w:tcBorders>
                    <w:tl2br w:val="nil"/>
                    <w:tr2bl w:val="nil"/>
                  </w:tcBorders>
                  <w:shd w:val="clear" w:color="auto" w:fill="auto"/>
                  <w:vAlign w:val="center"/>
                </w:tcPr>
                <w:p w14:paraId="7384937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w:t>
                  </w:r>
                </w:p>
              </w:tc>
              <w:tc>
                <w:tcPr>
                  <w:tcW w:w="394" w:type="pct"/>
                  <w:tcBorders>
                    <w:tl2br w:val="nil"/>
                    <w:tr2bl w:val="nil"/>
                  </w:tcBorders>
                  <w:shd w:val="clear" w:color="auto" w:fill="auto"/>
                  <w:vAlign w:val="center"/>
                </w:tcPr>
                <w:p w14:paraId="401A879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323" w:type="pct"/>
                  <w:tcBorders>
                    <w:tl2br w:val="nil"/>
                    <w:tr2bl w:val="nil"/>
                  </w:tcBorders>
                  <w:vAlign w:val="center"/>
                </w:tcPr>
                <w:p w14:paraId="54D05E6E">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280E28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3034BDD4">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氯乙烯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72633DA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64417FD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w:t>
                  </w:r>
                </w:p>
              </w:tc>
              <w:tc>
                <w:tcPr>
                  <w:tcW w:w="374" w:type="pct"/>
                  <w:tcBorders>
                    <w:tl2br w:val="nil"/>
                    <w:tr2bl w:val="nil"/>
                  </w:tcBorders>
                  <w:shd w:val="clear" w:color="auto" w:fill="auto"/>
                  <w:vAlign w:val="center"/>
                </w:tcPr>
                <w:p w14:paraId="3FD165D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w:t>
                  </w:r>
                </w:p>
              </w:tc>
              <w:tc>
                <w:tcPr>
                  <w:tcW w:w="348" w:type="pct"/>
                  <w:tcBorders>
                    <w:tl2br w:val="nil"/>
                    <w:tr2bl w:val="nil"/>
                  </w:tcBorders>
                  <w:shd w:val="clear" w:color="auto" w:fill="auto"/>
                  <w:vAlign w:val="center"/>
                </w:tcPr>
                <w:p w14:paraId="5F3CDF0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1.55</w:t>
                  </w:r>
                </w:p>
              </w:tc>
              <w:tc>
                <w:tcPr>
                  <w:tcW w:w="391" w:type="pct"/>
                  <w:tcBorders>
                    <w:tl2br w:val="nil"/>
                    <w:tr2bl w:val="nil"/>
                  </w:tcBorders>
                  <w:shd w:val="clear" w:color="auto" w:fill="auto"/>
                  <w:vAlign w:val="center"/>
                </w:tcPr>
                <w:p w14:paraId="3D457F1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0.56</w:t>
                  </w:r>
                </w:p>
              </w:tc>
              <w:tc>
                <w:tcPr>
                  <w:tcW w:w="371" w:type="pct"/>
                  <w:tcBorders>
                    <w:tl2br w:val="nil"/>
                    <w:tr2bl w:val="nil"/>
                  </w:tcBorders>
                  <w:shd w:val="clear" w:color="auto" w:fill="auto"/>
                  <w:vAlign w:val="center"/>
                </w:tcPr>
                <w:p w14:paraId="2E2963E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w:t>
                  </w:r>
                </w:p>
              </w:tc>
              <w:tc>
                <w:tcPr>
                  <w:tcW w:w="394" w:type="pct"/>
                  <w:tcBorders>
                    <w:tl2br w:val="nil"/>
                    <w:tr2bl w:val="nil"/>
                  </w:tcBorders>
                  <w:vAlign w:val="center"/>
                </w:tcPr>
                <w:p w14:paraId="04E9965E">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103A4FA5">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01901A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190B276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5BF42CCE">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167BB1E">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4382576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A5FB44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4494DC6B">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1DD8C4D2">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20037ED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41269E3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6655E3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17DA7BD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1,2-二氯苯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33CE0F2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03275EA3">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186655CB">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28F5FBEB">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7FCE2AD1">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234D7E3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6EEFBD9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7E498A9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1D4DF4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65810458">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乙苯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2190908B">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205DF8A">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765D901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E6CBB5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2C5BA018">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5219881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3885DBB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024B497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DC4D9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7AEF277D">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43CAEAE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5AA1BF56">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374" w:type="pct"/>
                  <w:tcBorders>
                    <w:tl2br w:val="nil"/>
                    <w:tr2bl w:val="nil"/>
                  </w:tcBorders>
                  <w:vAlign w:val="center"/>
                </w:tcPr>
                <w:p w14:paraId="0A361AEA">
                  <w:pPr>
                    <w:pStyle w:val="60"/>
                    <w:rPr>
                      <w:rFonts w:hint="default" w:eastAsia="宋体"/>
                      <w:color w:val="auto"/>
                      <w:sz w:val="18"/>
                      <w:szCs w:val="18"/>
                      <w:lang w:val="en-US" w:eastAsia="zh-CN"/>
                    </w:rPr>
                  </w:pPr>
                  <w:r>
                    <w:rPr>
                      <w:rFonts w:hint="eastAsia"/>
                      <w:color w:val="auto"/>
                      <w:sz w:val="18"/>
                      <w:szCs w:val="18"/>
                      <w:lang w:val="en-US" w:eastAsia="zh-CN"/>
                    </w:rPr>
                    <w:t>1.5</w:t>
                  </w:r>
                </w:p>
              </w:tc>
              <w:tc>
                <w:tcPr>
                  <w:tcW w:w="348" w:type="pct"/>
                  <w:tcBorders>
                    <w:tl2br w:val="nil"/>
                    <w:tr2bl w:val="nil"/>
                  </w:tcBorders>
                  <w:vAlign w:val="center"/>
                </w:tcPr>
                <w:p w14:paraId="58B34039">
                  <w:pPr>
                    <w:pStyle w:val="60"/>
                    <w:rPr>
                      <w:rFonts w:hint="default" w:eastAsia="宋体"/>
                      <w:color w:val="auto"/>
                      <w:sz w:val="18"/>
                      <w:szCs w:val="18"/>
                      <w:lang w:val="en-US" w:eastAsia="zh-CN"/>
                    </w:rPr>
                  </w:pPr>
                  <w:r>
                    <w:rPr>
                      <w:rFonts w:hint="eastAsia"/>
                      <w:color w:val="auto"/>
                      <w:sz w:val="18"/>
                      <w:szCs w:val="18"/>
                      <w:lang w:val="en-US" w:eastAsia="zh-CN"/>
                    </w:rPr>
                    <w:t>1.8</w:t>
                  </w:r>
                </w:p>
              </w:tc>
              <w:tc>
                <w:tcPr>
                  <w:tcW w:w="391" w:type="pct"/>
                  <w:tcBorders>
                    <w:tl2br w:val="nil"/>
                    <w:tr2bl w:val="nil"/>
                  </w:tcBorders>
                  <w:vAlign w:val="center"/>
                </w:tcPr>
                <w:p w14:paraId="6FB3B3E7">
                  <w:pPr>
                    <w:pStyle w:val="60"/>
                    <w:rPr>
                      <w:rFonts w:hint="default" w:eastAsia="宋体"/>
                      <w:color w:val="auto"/>
                      <w:sz w:val="18"/>
                      <w:szCs w:val="18"/>
                      <w:lang w:val="en-US" w:eastAsia="zh-CN"/>
                    </w:rPr>
                  </w:pPr>
                  <w:r>
                    <w:rPr>
                      <w:rFonts w:hint="eastAsia"/>
                      <w:color w:val="auto"/>
                      <w:sz w:val="18"/>
                      <w:szCs w:val="18"/>
                      <w:lang w:val="en-US" w:eastAsia="zh-CN"/>
                    </w:rPr>
                    <w:t>0.28</w:t>
                  </w:r>
                </w:p>
              </w:tc>
              <w:tc>
                <w:tcPr>
                  <w:tcW w:w="371" w:type="pct"/>
                  <w:tcBorders>
                    <w:tl2br w:val="nil"/>
                    <w:tr2bl w:val="nil"/>
                  </w:tcBorders>
                  <w:vAlign w:val="center"/>
                </w:tcPr>
                <w:p w14:paraId="5C09A605">
                  <w:pPr>
                    <w:pStyle w:val="60"/>
                    <w:rPr>
                      <w:rFonts w:hint="default" w:eastAsia="宋体"/>
                      <w:color w:val="auto"/>
                      <w:sz w:val="18"/>
                      <w:szCs w:val="18"/>
                      <w:lang w:val="en-US" w:eastAsia="zh-CN"/>
                    </w:rPr>
                  </w:pPr>
                  <w:r>
                    <w:rPr>
                      <w:rFonts w:hint="eastAsia"/>
                      <w:color w:val="auto"/>
                      <w:sz w:val="18"/>
                      <w:szCs w:val="18"/>
                      <w:lang w:val="en-US" w:eastAsia="zh-CN"/>
                    </w:rPr>
                    <w:t>83.3%</w:t>
                  </w:r>
                </w:p>
              </w:tc>
              <w:tc>
                <w:tcPr>
                  <w:tcW w:w="394" w:type="pct"/>
                  <w:tcBorders>
                    <w:tl2br w:val="nil"/>
                    <w:tr2bl w:val="nil"/>
                  </w:tcBorders>
                  <w:vAlign w:val="center"/>
                </w:tcPr>
                <w:p w14:paraId="7932E674">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0BFEBC6">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01E556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99764B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苯乙烯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10003D71">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441D3EA">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1C6BBD3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6C4758C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082583B1">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2239D62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1FDA2AA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0FA32C40">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24AC2E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4D393280">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间/对二甲苯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26533DCE">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vAlign w:val="center"/>
                </w:tcPr>
                <w:p w14:paraId="6276D17D">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374" w:type="pct"/>
                  <w:tcBorders>
                    <w:tl2br w:val="nil"/>
                    <w:tr2bl w:val="nil"/>
                  </w:tcBorders>
                  <w:vAlign w:val="center"/>
                </w:tcPr>
                <w:p w14:paraId="034F9775">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348" w:type="pct"/>
                  <w:tcBorders>
                    <w:tl2br w:val="nil"/>
                    <w:tr2bl w:val="nil"/>
                  </w:tcBorders>
                  <w:vAlign w:val="center"/>
                </w:tcPr>
                <w:p w14:paraId="1F721E53">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391" w:type="pct"/>
                  <w:tcBorders>
                    <w:tl2br w:val="nil"/>
                    <w:tr2bl w:val="nil"/>
                  </w:tcBorders>
                  <w:vAlign w:val="center"/>
                </w:tcPr>
                <w:p w14:paraId="7802202E">
                  <w:pPr>
                    <w:pStyle w:val="60"/>
                    <w:rPr>
                      <w:rFonts w:hint="eastAsia" w:eastAsia="宋体"/>
                      <w:color w:val="auto"/>
                      <w:sz w:val="18"/>
                      <w:szCs w:val="18"/>
                      <w:lang w:val="en-US" w:eastAsia="zh-CN"/>
                    </w:rPr>
                  </w:pPr>
                  <w:r>
                    <w:rPr>
                      <w:rFonts w:hint="eastAsia"/>
                      <w:color w:val="auto"/>
                      <w:sz w:val="18"/>
                      <w:szCs w:val="18"/>
                      <w:lang w:val="en-US" w:eastAsia="zh-CN"/>
                    </w:rPr>
                    <w:t>/</w:t>
                  </w:r>
                </w:p>
              </w:tc>
              <w:tc>
                <w:tcPr>
                  <w:tcW w:w="371" w:type="pct"/>
                  <w:tcBorders>
                    <w:tl2br w:val="nil"/>
                    <w:tr2bl w:val="nil"/>
                  </w:tcBorders>
                  <w:vAlign w:val="center"/>
                </w:tcPr>
                <w:p w14:paraId="0499873D">
                  <w:pPr>
                    <w:pStyle w:val="60"/>
                    <w:rPr>
                      <w:rFonts w:hint="default" w:eastAsia="宋体"/>
                      <w:color w:val="auto"/>
                      <w:sz w:val="18"/>
                      <w:szCs w:val="18"/>
                      <w:lang w:val="en-US" w:eastAsia="zh-CN"/>
                    </w:rPr>
                  </w:pPr>
                  <w:r>
                    <w:rPr>
                      <w:rFonts w:hint="eastAsia"/>
                      <w:color w:val="auto"/>
                      <w:sz w:val="18"/>
                      <w:szCs w:val="18"/>
                      <w:lang w:val="en-US" w:eastAsia="zh-CN"/>
                    </w:rPr>
                    <w:t>16.7%</w:t>
                  </w:r>
                </w:p>
              </w:tc>
              <w:tc>
                <w:tcPr>
                  <w:tcW w:w="394" w:type="pct"/>
                  <w:tcBorders>
                    <w:tl2br w:val="nil"/>
                    <w:tr2bl w:val="nil"/>
                  </w:tcBorders>
                  <w:vAlign w:val="center"/>
                </w:tcPr>
                <w:p w14:paraId="10E5F2D3">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60A13CF3">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30C605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6FC7A27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邻二甲苯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58B0EDC6">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169E9B7A">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5DBF42E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0D77735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3A917487">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79302C4A">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48201D8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131892D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7EF36C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7DF4E5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1,4-二氯苯</w:t>
                  </w:r>
                  <w:r>
                    <w:rPr>
                      <w:rFonts w:hint="default" w:ascii="Times New Roman" w:hAnsi="Times New Roman" w:cs="Times New Roman"/>
                      <w:color w:val="auto"/>
                      <w:kern w:val="2"/>
                      <w:sz w:val="18"/>
                      <w:szCs w:val="18"/>
                      <w:lang w:val="en-US" w:eastAsia="zh-CN" w:bidi="ar-SA"/>
                    </w:rPr>
                    <w:t>（</w:t>
                  </w:r>
                  <w:r>
                    <w:rPr>
                      <w:rFonts w:hint="default" w:ascii="Times New Roman" w:hAnsi="Times New Roman" w:cs="Times New Roman"/>
                      <w:color w:val="auto"/>
                      <w:sz w:val="18"/>
                      <w:szCs w:val="18"/>
                    </w:rPr>
                    <w:t>μg</w:t>
                  </w:r>
                  <w:r>
                    <w:rPr>
                      <w:rFonts w:hint="default" w:ascii="Times New Roman" w:hAnsi="Times New Roman" w:cs="Times New Roman"/>
                      <w:color w:val="auto"/>
                      <w:sz w:val="18"/>
                      <w:szCs w:val="18"/>
                      <w:lang w:val="en-US" w:eastAsia="zh-CN"/>
                    </w:rPr>
                    <w:t>/kg</w:t>
                  </w:r>
                  <w:r>
                    <w:rPr>
                      <w:rFonts w:hint="default" w:ascii="Times New Roman" w:hAnsi="Times New Roman" w:cs="Times New Roman"/>
                      <w:color w:val="auto"/>
                      <w:kern w:val="2"/>
                      <w:sz w:val="18"/>
                      <w:szCs w:val="18"/>
                      <w:lang w:val="en-US" w:eastAsia="zh-CN" w:bidi="ar-SA"/>
                    </w:rPr>
                    <w:t>）</w:t>
                  </w:r>
                </w:p>
              </w:tc>
              <w:tc>
                <w:tcPr>
                  <w:tcW w:w="615" w:type="pct"/>
                  <w:tcBorders>
                    <w:tl2br w:val="nil"/>
                    <w:tr2bl w:val="nil"/>
                  </w:tcBorders>
                  <w:shd w:val="clear" w:color="auto" w:fill="auto"/>
                  <w:vAlign w:val="center"/>
                </w:tcPr>
                <w:p w14:paraId="1CCDCB1C">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1DF5A0AE">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7321ECD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787750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22A08819">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0391EDBE">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105A508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73CF9E2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6CD4CF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A593785">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硝基苯</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1BB397A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53CC9257">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6A16FCC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0EED4594">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3F92F0F8">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0333286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5CA17D69">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3A55135E">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5269B4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1A454A1C">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苯胺</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6F38E10C">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41E7122">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4EE71538">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1225E68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53099312">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315C0510">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323B036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1CFDDF3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3F6844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616B2FB9">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2-氯酚</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6812C12B">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32897D37">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5F9584B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0611433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5F4D3E12">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31531A3F">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5C22B75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3AE0068E">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0DF89A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59A2A5FB">
                  <w:pPr>
                    <w:pStyle w:val="6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苯并[α]蒽</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4FC673F0">
                  <w:pPr>
                    <w:jc w:val="center"/>
                    <w:rPr>
                      <w:rFonts w:hint="eastAsia"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0B5A8B4B">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2B9E6C3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7A9C3F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46CF6944">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1E0638D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6FBF292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1399CA7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C549A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4F48DEFA">
                  <w:pPr>
                    <w:pStyle w:val="60"/>
                    <w:rPr>
                      <w:rFonts w:hint="eastAsia" w:ascii="Times New Roman" w:hAnsi="Times New Roman" w:eastAsia="宋体" w:cs="Times New Roman"/>
                      <w:color w:val="auto"/>
                      <w:kern w:val="2"/>
                      <w:sz w:val="18"/>
                      <w:szCs w:val="18"/>
                      <w:lang w:val="zh-CN" w:eastAsia="zh-CN" w:bidi="ar-SA"/>
                    </w:rPr>
                  </w:pPr>
                  <w:r>
                    <w:rPr>
                      <w:rFonts w:hint="default" w:ascii="Times New Roman" w:hAnsi="Times New Roman" w:cs="Times New Roman"/>
                      <w:color w:val="auto"/>
                      <w:kern w:val="2"/>
                      <w:sz w:val="18"/>
                      <w:szCs w:val="18"/>
                      <w:lang w:val="en-US" w:eastAsia="zh-CN" w:bidi="ar-SA"/>
                    </w:rPr>
                    <w:t>苯并[α]</w:t>
                  </w:r>
                  <w:r>
                    <w:rPr>
                      <w:rFonts w:hint="eastAsia" w:cs="Times New Roman"/>
                      <w:color w:val="auto"/>
                      <w:kern w:val="2"/>
                      <w:sz w:val="18"/>
                      <w:szCs w:val="18"/>
                      <w:lang w:val="en-US" w:eastAsia="zh-CN" w:bidi="ar-SA"/>
                    </w:rPr>
                    <w:t>芘</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399F002D">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23D692A5">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79C484A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0322DEA8">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6BC4859B">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6D467C73">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4421435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4B2101F3">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712914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10AE36F2">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苯并</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b</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荧蒽</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067E8F8D">
                  <w:pPr>
                    <w:jc w:val="center"/>
                    <w:rPr>
                      <w:rFonts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055B916">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33AA68EB">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2B87D6B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1545E28F">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35114FE2">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743252F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49A59A9B">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0EE19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48A4324E">
                  <w:pPr>
                    <w:pStyle w:val="60"/>
                    <w:rPr>
                      <w:rFonts w:hint="eastAsia" w:ascii="Times New Roman" w:hAnsi="Times New Roman" w:eastAsia="宋体" w:cs="Times New Roman"/>
                      <w:color w:val="auto"/>
                      <w:kern w:val="2"/>
                      <w:sz w:val="18"/>
                      <w:szCs w:val="18"/>
                      <w:lang w:val="zh-CN" w:eastAsia="zh-CN" w:bidi="ar-SA"/>
                    </w:rPr>
                  </w:pPr>
                  <w:r>
                    <w:rPr>
                      <w:rFonts w:hint="eastAsia" w:cs="Times New Roman"/>
                      <w:color w:val="auto"/>
                      <w:kern w:val="2"/>
                      <w:sz w:val="18"/>
                      <w:szCs w:val="18"/>
                      <w:lang w:val="en-US" w:eastAsia="zh-CN" w:bidi="ar-SA"/>
                    </w:rPr>
                    <w:t>苯并</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k</w:t>
                  </w:r>
                  <w:r>
                    <w:rPr>
                      <w:rFonts w:hint="default"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荧蒽</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13621672">
                  <w:pPr>
                    <w:jc w:val="center"/>
                    <w:rPr>
                      <w:rFonts w:hint="eastAsia"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26B69AE0">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46605100">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46A04573">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028244F4">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4D9FF4C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0C7E2833">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5ED8DEF4">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430DD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441AA84">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䓛(mg/kg)</w:t>
                  </w:r>
                </w:p>
              </w:tc>
              <w:tc>
                <w:tcPr>
                  <w:tcW w:w="615" w:type="pct"/>
                  <w:tcBorders>
                    <w:tl2br w:val="nil"/>
                    <w:tr2bl w:val="nil"/>
                  </w:tcBorders>
                  <w:shd w:val="clear" w:color="auto" w:fill="auto"/>
                  <w:vAlign w:val="center"/>
                </w:tcPr>
                <w:p w14:paraId="0D57CF5A">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CBA693D">
                  <w:pPr>
                    <w:pStyle w:val="60"/>
                    <w:rPr>
                      <w:rFonts w:hint="eastAsia"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5B4E2CF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359C14A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3BB7CBC1">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1510886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364D905D">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58A81B6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747E2A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5382409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二苯并[a,h]蒽</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46F4CB2E">
                  <w:pPr>
                    <w:jc w:val="center"/>
                    <w:rPr>
                      <w:rFonts w:hint="eastAsia"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45C0B498">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2BBD7EAC">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91ADDA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16B76D33">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371" w:type="pct"/>
                  <w:tcBorders>
                    <w:tl2br w:val="nil"/>
                    <w:tr2bl w:val="nil"/>
                  </w:tcBorders>
                  <w:shd w:val="clear" w:color="auto" w:fill="auto"/>
                  <w:vAlign w:val="center"/>
                </w:tcPr>
                <w:p w14:paraId="15E5034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0DBBE57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7C5F70FA">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E33C9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5471942D">
                  <w:pPr>
                    <w:pStyle w:val="60"/>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zh-CN" w:eastAsia="zh-CN" w:bidi="ar-SA"/>
                    </w:rPr>
                    <w:t>茚并[1,2,3-cd]芘(mg/kg)</w:t>
                  </w:r>
                </w:p>
              </w:tc>
              <w:tc>
                <w:tcPr>
                  <w:tcW w:w="615" w:type="pct"/>
                  <w:tcBorders>
                    <w:tl2br w:val="nil"/>
                    <w:tr2bl w:val="nil"/>
                  </w:tcBorders>
                  <w:shd w:val="clear" w:color="auto" w:fill="auto"/>
                  <w:vAlign w:val="center"/>
                </w:tcPr>
                <w:p w14:paraId="2CB578DA">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1768C8A0">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028F84EE">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56EB5588">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1D3D2FA8">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4F5A041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4B5AD75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770321C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114CC8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646F1D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萘</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32DC3C9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014ADD48">
                  <w:pPr>
                    <w:pStyle w:val="60"/>
                    <w:rPr>
                      <w:rFonts w:hint="default" w:ascii="Times New Roman" w:hAnsi="Times New Roman" w:eastAsia="宋体" w:cs="Times New Roman"/>
                      <w:color w:val="auto"/>
                      <w:kern w:val="2"/>
                      <w:sz w:val="18"/>
                      <w:szCs w:val="18"/>
                      <w:lang w:val="en-US" w:eastAsia="zh-CN" w:bidi="ar-SA"/>
                    </w:rPr>
                  </w:pPr>
                  <w:r>
                    <w:rPr>
                      <w:color w:val="auto"/>
                      <w:sz w:val="18"/>
                      <w:szCs w:val="18"/>
                    </w:rPr>
                    <w:t>未检出</w:t>
                  </w:r>
                </w:p>
              </w:tc>
              <w:tc>
                <w:tcPr>
                  <w:tcW w:w="374" w:type="pct"/>
                  <w:tcBorders>
                    <w:tl2br w:val="nil"/>
                    <w:tr2bl w:val="nil"/>
                  </w:tcBorders>
                  <w:shd w:val="clear" w:color="auto" w:fill="auto"/>
                  <w:vAlign w:val="center"/>
                </w:tcPr>
                <w:p w14:paraId="3017D1D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1CDB3321">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2045332C">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19C8E75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4B5F5685">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23871C13">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r w14:paraId="4BECC7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0633299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pH值（无量纲）</w:t>
                  </w:r>
                </w:p>
              </w:tc>
              <w:tc>
                <w:tcPr>
                  <w:tcW w:w="615" w:type="pct"/>
                  <w:tcBorders>
                    <w:tl2br w:val="nil"/>
                    <w:tr2bl w:val="nil"/>
                  </w:tcBorders>
                  <w:shd w:val="clear" w:color="auto" w:fill="auto"/>
                  <w:vAlign w:val="center"/>
                </w:tcPr>
                <w:p w14:paraId="5F2A58AF">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76990E7B">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7.96</w:t>
                  </w:r>
                </w:p>
              </w:tc>
              <w:tc>
                <w:tcPr>
                  <w:tcW w:w="374" w:type="pct"/>
                  <w:tcBorders>
                    <w:tl2br w:val="nil"/>
                    <w:tr2bl w:val="nil"/>
                  </w:tcBorders>
                  <w:vAlign w:val="center"/>
                </w:tcPr>
                <w:p w14:paraId="68CD8DE0">
                  <w:pPr>
                    <w:pStyle w:val="60"/>
                    <w:rPr>
                      <w:rFonts w:hint="default" w:eastAsia="宋体"/>
                      <w:color w:val="auto"/>
                      <w:sz w:val="18"/>
                      <w:szCs w:val="18"/>
                      <w:lang w:val="en-US" w:eastAsia="zh-CN"/>
                    </w:rPr>
                  </w:pPr>
                  <w:r>
                    <w:rPr>
                      <w:rFonts w:hint="eastAsia"/>
                      <w:color w:val="auto"/>
                      <w:sz w:val="18"/>
                      <w:szCs w:val="18"/>
                      <w:lang w:val="en-US" w:eastAsia="zh-CN"/>
                    </w:rPr>
                    <w:t>7.57</w:t>
                  </w:r>
                </w:p>
              </w:tc>
              <w:tc>
                <w:tcPr>
                  <w:tcW w:w="348" w:type="pct"/>
                  <w:tcBorders>
                    <w:tl2br w:val="nil"/>
                    <w:tr2bl w:val="nil"/>
                  </w:tcBorders>
                  <w:vAlign w:val="center"/>
                </w:tcPr>
                <w:p w14:paraId="30C8BAB2">
                  <w:pPr>
                    <w:pStyle w:val="60"/>
                    <w:rPr>
                      <w:rFonts w:hint="default" w:eastAsia="宋体"/>
                      <w:color w:val="auto"/>
                      <w:sz w:val="18"/>
                      <w:szCs w:val="18"/>
                      <w:lang w:val="en-US" w:eastAsia="zh-CN"/>
                    </w:rPr>
                  </w:pPr>
                  <w:r>
                    <w:rPr>
                      <w:rFonts w:hint="eastAsia"/>
                      <w:color w:val="auto"/>
                      <w:sz w:val="18"/>
                      <w:szCs w:val="18"/>
                      <w:lang w:val="en-US" w:eastAsia="zh-CN"/>
                    </w:rPr>
                    <w:t>7.76</w:t>
                  </w:r>
                </w:p>
              </w:tc>
              <w:tc>
                <w:tcPr>
                  <w:tcW w:w="391" w:type="pct"/>
                  <w:tcBorders>
                    <w:tl2br w:val="nil"/>
                    <w:tr2bl w:val="nil"/>
                  </w:tcBorders>
                  <w:vAlign w:val="center"/>
                </w:tcPr>
                <w:p w14:paraId="1FAEFCDB">
                  <w:pPr>
                    <w:pStyle w:val="60"/>
                    <w:rPr>
                      <w:rFonts w:hint="default" w:eastAsia="宋体"/>
                      <w:color w:val="auto"/>
                      <w:sz w:val="18"/>
                      <w:szCs w:val="18"/>
                      <w:lang w:val="en-US" w:eastAsia="zh-CN"/>
                    </w:rPr>
                  </w:pPr>
                  <w:r>
                    <w:rPr>
                      <w:rFonts w:hint="eastAsia"/>
                      <w:color w:val="auto"/>
                      <w:sz w:val="18"/>
                      <w:szCs w:val="18"/>
                      <w:lang w:val="en-US" w:eastAsia="zh-CN"/>
                    </w:rPr>
                    <w:t>0.16</w:t>
                  </w:r>
                </w:p>
              </w:tc>
              <w:tc>
                <w:tcPr>
                  <w:tcW w:w="371" w:type="pct"/>
                  <w:tcBorders>
                    <w:tl2br w:val="nil"/>
                    <w:tr2bl w:val="nil"/>
                  </w:tcBorders>
                  <w:vAlign w:val="center"/>
                </w:tcPr>
                <w:p w14:paraId="17272E42">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55266581">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D10E34D">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7CEE4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shd w:val="clear" w:color="auto" w:fill="auto"/>
                  <w:vAlign w:val="center"/>
                </w:tcPr>
                <w:p w14:paraId="25F143DA">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石油烃（C</w:t>
                  </w:r>
                  <w:r>
                    <w:rPr>
                      <w:rFonts w:hint="eastAsia" w:cs="Times New Roman"/>
                      <w:color w:val="auto"/>
                      <w:kern w:val="2"/>
                      <w:sz w:val="18"/>
                      <w:szCs w:val="18"/>
                      <w:vertAlign w:val="subscript"/>
                      <w:lang w:val="en-US" w:eastAsia="zh-CN" w:bidi="ar-SA"/>
                    </w:rPr>
                    <w:t>10</w:t>
                  </w:r>
                  <w:r>
                    <w:rPr>
                      <w:rFonts w:hint="eastAsia" w:cs="Times New Roman"/>
                      <w:color w:val="auto"/>
                      <w:kern w:val="2"/>
                      <w:sz w:val="18"/>
                      <w:szCs w:val="18"/>
                      <w:lang w:val="en-US" w:eastAsia="zh-CN" w:bidi="ar-SA"/>
                    </w:rPr>
                    <w:t>-C</w:t>
                  </w:r>
                  <w:r>
                    <w:rPr>
                      <w:rFonts w:hint="eastAsia" w:cs="Times New Roman"/>
                      <w:color w:val="auto"/>
                      <w:kern w:val="2"/>
                      <w:sz w:val="18"/>
                      <w:szCs w:val="18"/>
                      <w:vertAlign w:val="subscript"/>
                      <w:lang w:val="en-US" w:eastAsia="zh-CN" w:bidi="ar-SA"/>
                    </w:rPr>
                    <w:t>40</w:t>
                  </w:r>
                  <w:r>
                    <w:rPr>
                      <w:rFonts w:hint="eastAsia"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shd w:val="clear" w:color="auto" w:fill="auto"/>
                  <w:vAlign w:val="center"/>
                </w:tcPr>
                <w:p w14:paraId="33C4BE5D">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409" w:type="pct"/>
                  <w:tcBorders>
                    <w:tl2br w:val="nil"/>
                    <w:tr2bl w:val="nil"/>
                  </w:tcBorders>
                  <w:vAlign w:val="center"/>
                </w:tcPr>
                <w:p w14:paraId="1DC7CA28">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374" w:type="pct"/>
                  <w:tcBorders>
                    <w:tl2br w:val="nil"/>
                    <w:tr2bl w:val="nil"/>
                  </w:tcBorders>
                  <w:vAlign w:val="center"/>
                </w:tcPr>
                <w:p w14:paraId="14A3283E">
                  <w:pPr>
                    <w:pStyle w:val="60"/>
                    <w:rPr>
                      <w:rFonts w:hint="default" w:eastAsia="宋体"/>
                      <w:color w:val="auto"/>
                      <w:sz w:val="18"/>
                      <w:szCs w:val="18"/>
                      <w:lang w:val="en-US" w:eastAsia="zh-CN"/>
                    </w:rPr>
                  </w:pPr>
                  <w:r>
                    <w:rPr>
                      <w:rFonts w:hint="eastAsia"/>
                      <w:color w:val="auto"/>
                      <w:sz w:val="18"/>
                      <w:szCs w:val="18"/>
                      <w:lang w:val="en-US" w:eastAsia="zh-CN"/>
                    </w:rPr>
                    <w:t>18</w:t>
                  </w:r>
                </w:p>
              </w:tc>
              <w:tc>
                <w:tcPr>
                  <w:tcW w:w="348" w:type="pct"/>
                  <w:tcBorders>
                    <w:tl2br w:val="nil"/>
                    <w:tr2bl w:val="nil"/>
                  </w:tcBorders>
                  <w:vAlign w:val="center"/>
                </w:tcPr>
                <w:p w14:paraId="524B7F7B">
                  <w:pPr>
                    <w:pStyle w:val="60"/>
                    <w:rPr>
                      <w:rFonts w:hint="default" w:eastAsia="宋体"/>
                      <w:color w:val="auto"/>
                      <w:sz w:val="18"/>
                      <w:szCs w:val="18"/>
                      <w:lang w:val="en-US" w:eastAsia="zh-CN"/>
                    </w:rPr>
                  </w:pPr>
                  <w:r>
                    <w:rPr>
                      <w:rFonts w:hint="eastAsia"/>
                      <w:color w:val="auto"/>
                      <w:sz w:val="18"/>
                      <w:szCs w:val="18"/>
                      <w:lang w:val="en-US" w:eastAsia="zh-CN"/>
                    </w:rPr>
                    <w:t>29.5</w:t>
                  </w:r>
                </w:p>
              </w:tc>
              <w:tc>
                <w:tcPr>
                  <w:tcW w:w="391" w:type="pct"/>
                  <w:tcBorders>
                    <w:tl2br w:val="nil"/>
                    <w:tr2bl w:val="nil"/>
                  </w:tcBorders>
                  <w:vAlign w:val="center"/>
                </w:tcPr>
                <w:p w14:paraId="35666AED">
                  <w:pPr>
                    <w:pStyle w:val="60"/>
                    <w:rPr>
                      <w:rFonts w:hint="default" w:eastAsia="宋体"/>
                      <w:color w:val="auto"/>
                      <w:sz w:val="18"/>
                      <w:szCs w:val="18"/>
                      <w:lang w:val="en-US" w:eastAsia="zh-CN"/>
                    </w:rPr>
                  </w:pPr>
                  <w:r>
                    <w:rPr>
                      <w:rFonts w:hint="eastAsia"/>
                      <w:color w:val="auto"/>
                      <w:sz w:val="18"/>
                      <w:szCs w:val="18"/>
                      <w:lang w:val="en-US" w:eastAsia="zh-CN"/>
                    </w:rPr>
                    <w:t>15.73</w:t>
                  </w:r>
                </w:p>
              </w:tc>
              <w:tc>
                <w:tcPr>
                  <w:tcW w:w="371" w:type="pct"/>
                  <w:tcBorders>
                    <w:tl2br w:val="nil"/>
                    <w:tr2bl w:val="nil"/>
                  </w:tcBorders>
                  <w:vAlign w:val="center"/>
                </w:tcPr>
                <w:p w14:paraId="3520C663">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394" w:type="pct"/>
                  <w:tcBorders>
                    <w:tl2br w:val="nil"/>
                    <w:tr2bl w:val="nil"/>
                  </w:tcBorders>
                  <w:vAlign w:val="center"/>
                </w:tcPr>
                <w:p w14:paraId="456797F6">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323" w:type="pct"/>
                  <w:tcBorders>
                    <w:tl2br w:val="nil"/>
                    <w:tr2bl w:val="nil"/>
                  </w:tcBorders>
                  <w:vAlign w:val="center"/>
                </w:tcPr>
                <w:p w14:paraId="323D8399">
                  <w:pPr>
                    <w:pStyle w:val="60"/>
                    <w:rPr>
                      <w:rFonts w:hint="eastAsia" w:eastAsia="宋体"/>
                      <w:color w:val="auto"/>
                      <w:sz w:val="18"/>
                      <w:szCs w:val="18"/>
                      <w:lang w:val="en-US" w:eastAsia="zh-CN"/>
                    </w:rPr>
                  </w:pPr>
                  <w:r>
                    <w:rPr>
                      <w:rFonts w:hint="eastAsia"/>
                      <w:color w:val="auto"/>
                      <w:sz w:val="18"/>
                      <w:szCs w:val="18"/>
                      <w:lang w:val="en-US" w:eastAsia="zh-CN"/>
                    </w:rPr>
                    <w:t>0</w:t>
                  </w:r>
                </w:p>
              </w:tc>
            </w:tr>
            <w:tr w14:paraId="4E060B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atLeast"/>
                <w:jc w:val="center"/>
              </w:trPr>
              <w:tc>
                <w:tcPr>
                  <w:tcW w:w="1772" w:type="pct"/>
                  <w:tcBorders>
                    <w:tl2br w:val="nil"/>
                    <w:tr2bl w:val="nil"/>
                  </w:tcBorders>
                  <w:vAlign w:val="center"/>
                </w:tcPr>
                <w:p w14:paraId="6628673E">
                  <w:pPr>
                    <w:pStyle w:val="60"/>
                    <w:rPr>
                      <w:color w:val="auto"/>
                      <w:sz w:val="18"/>
                      <w:szCs w:val="18"/>
                    </w:rPr>
                  </w:pPr>
                  <w:r>
                    <w:rPr>
                      <w:rFonts w:hint="eastAsia" w:cs="Times New Roman"/>
                      <w:color w:val="auto"/>
                      <w:kern w:val="2"/>
                      <w:sz w:val="18"/>
                      <w:szCs w:val="18"/>
                      <w:lang w:val="en-US" w:eastAsia="zh-CN" w:bidi="ar-SA"/>
                    </w:rPr>
                    <w:t>甲醛</w:t>
                  </w:r>
                  <w:r>
                    <w:rPr>
                      <w:rFonts w:hint="eastAsia" w:ascii="Times New Roman" w:hAnsi="Times New Roman" w:eastAsia="宋体" w:cs="Times New Roman"/>
                      <w:color w:val="auto"/>
                      <w:kern w:val="2"/>
                      <w:sz w:val="18"/>
                      <w:szCs w:val="18"/>
                      <w:lang w:val="zh-CN" w:eastAsia="zh-CN" w:bidi="ar-SA"/>
                    </w:rPr>
                    <w:t>(mg/kg)</w:t>
                  </w:r>
                </w:p>
              </w:tc>
              <w:tc>
                <w:tcPr>
                  <w:tcW w:w="615" w:type="pct"/>
                  <w:tcBorders>
                    <w:tl2br w:val="nil"/>
                    <w:tr2bl w:val="nil"/>
                  </w:tcBorders>
                  <w:vAlign w:val="center"/>
                </w:tcPr>
                <w:p w14:paraId="370DB1C1">
                  <w:pPr>
                    <w:jc w:val="center"/>
                    <w:rPr>
                      <w:color w:val="auto"/>
                      <w:sz w:val="18"/>
                      <w:szCs w:val="18"/>
                    </w:rPr>
                  </w:pPr>
                  <w:r>
                    <w:rPr>
                      <w:rFonts w:hint="eastAsia"/>
                      <w:color w:val="auto"/>
                      <w:sz w:val="18"/>
                      <w:szCs w:val="18"/>
                      <w:lang w:val="en-US" w:eastAsia="zh-CN"/>
                    </w:rPr>
                    <w:t>6</w:t>
                  </w:r>
                </w:p>
              </w:tc>
              <w:tc>
                <w:tcPr>
                  <w:tcW w:w="409" w:type="pct"/>
                  <w:tcBorders>
                    <w:tl2br w:val="nil"/>
                    <w:tr2bl w:val="nil"/>
                  </w:tcBorders>
                  <w:shd w:val="clear" w:color="auto" w:fill="auto"/>
                  <w:vAlign w:val="center"/>
                </w:tcPr>
                <w:p w14:paraId="23691919">
                  <w:pPr>
                    <w:pStyle w:val="60"/>
                    <w:rPr>
                      <w:rFonts w:ascii="Times New Roman" w:hAnsi="Times New Roman" w:eastAsia="宋体" w:cs="Times New Roman"/>
                      <w:color w:val="auto"/>
                      <w:kern w:val="2"/>
                      <w:sz w:val="18"/>
                      <w:szCs w:val="18"/>
                      <w:lang w:val="zh-CN" w:eastAsia="zh-CN" w:bidi="ar-SA"/>
                    </w:rPr>
                  </w:pPr>
                  <w:r>
                    <w:rPr>
                      <w:color w:val="auto"/>
                      <w:sz w:val="18"/>
                      <w:szCs w:val="18"/>
                    </w:rPr>
                    <w:t>未检出</w:t>
                  </w:r>
                </w:p>
              </w:tc>
              <w:tc>
                <w:tcPr>
                  <w:tcW w:w="374" w:type="pct"/>
                  <w:tcBorders>
                    <w:tl2br w:val="nil"/>
                    <w:tr2bl w:val="nil"/>
                  </w:tcBorders>
                  <w:shd w:val="clear" w:color="auto" w:fill="auto"/>
                  <w:vAlign w:val="center"/>
                </w:tcPr>
                <w:p w14:paraId="11F4A1B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未检出</w:t>
                  </w:r>
                </w:p>
              </w:tc>
              <w:tc>
                <w:tcPr>
                  <w:tcW w:w="348" w:type="pct"/>
                  <w:tcBorders>
                    <w:tl2br w:val="nil"/>
                    <w:tr2bl w:val="nil"/>
                  </w:tcBorders>
                  <w:shd w:val="clear" w:color="auto" w:fill="auto"/>
                  <w:vAlign w:val="center"/>
                </w:tcPr>
                <w:p w14:paraId="70EC7D7C">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w:t>
                  </w:r>
                </w:p>
              </w:tc>
              <w:tc>
                <w:tcPr>
                  <w:tcW w:w="391" w:type="pct"/>
                  <w:tcBorders>
                    <w:tl2br w:val="nil"/>
                    <w:tr2bl w:val="nil"/>
                  </w:tcBorders>
                  <w:shd w:val="clear" w:color="auto" w:fill="auto"/>
                  <w:vAlign w:val="center"/>
                </w:tcPr>
                <w:p w14:paraId="3B96EAFE">
                  <w:pPr>
                    <w:pStyle w:val="60"/>
                    <w:rPr>
                      <w:rFonts w:ascii="Times New Roman" w:hAnsi="Times New Roman" w:eastAsia="宋体" w:cs="Times New Roman"/>
                      <w:color w:val="auto"/>
                      <w:kern w:val="2"/>
                      <w:sz w:val="18"/>
                      <w:szCs w:val="18"/>
                      <w:lang w:val="zh-CN" w:eastAsia="zh-CN" w:bidi="ar-SA"/>
                    </w:rPr>
                  </w:pPr>
                  <w:r>
                    <w:rPr>
                      <w:color w:val="auto"/>
                      <w:sz w:val="18"/>
                      <w:szCs w:val="18"/>
                    </w:rPr>
                    <w:t>/</w:t>
                  </w:r>
                </w:p>
              </w:tc>
              <w:tc>
                <w:tcPr>
                  <w:tcW w:w="371" w:type="pct"/>
                  <w:tcBorders>
                    <w:tl2br w:val="nil"/>
                    <w:tr2bl w:val="nil"/>
                  </w:tcBorders>
                  <w:shd w:val="clear" w:color="auto" w:fill="auto"/>
                  <w:vAlign w:val="center"/>
                </w:tcPr>
                <w:p w14:paraId="27C1F04F">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94" w:type="pct"/>
                  <w:tcBorders>
                    <w:tl2br w:val="nil"/>
                    <w:tr2bl w:val="nil"/>
                  </w:tcBorders>
                  <w:shd w:val="clear" w:color="auto" w:fill="auto"/>
                  <w:vAlign w:val="center"/>
                </w:tcPr>
                <w:p w14:paraId="562CDEF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c>
                <w:tcPr>
                  <w:tcW w:w="323" w:type="pct"/>
                  <w:tcBorders>
                    <w:tl2br w:val="nil"/>
                    <w:tr2bl w:val="nil"/>
                  </w:tcBorders>
                  <w:shd w:val="clear" w:color="auto" w:fill="auto"/>
                  <w:vAlign w:val="center"/>
                </w:tcPr>
                <w:p w14:paraId="12728286">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0</w:t>
                  </w:r>
                </w:p>
              </w:tc>
            </w:tr>
          </w:tbl>
          <w:p w14:paraId="40E24DA9">
            <w:pPr>
              <w:adjustRightInd w:val="0"/>
              <w:snapToGrid w:val="0"/>
              <w:spacing w:before="120" w:beforeLines="50"/>
              <w:jc w:val="center"/>
              <w:rPr>
                <w:rFonts w:hint="eastAsia"/>
                <w:b/>
                <w:bCs/>
                <w:color w:val="auto"/>
                <w:kern w:val="0"/>
                <w:szCs w:val="21"/>
              </w:rPr>
            </w:pPr>
            <w:r>
              <w:rPr>
                <w:rFonts w:hint="eastAsia"/>
                <w:b/>
                <w:bCs/>
                <w:color w:val="auto"/>
                <w:kern w:val="0"/>
                <w:szCs w:val="21"/>
              </w:rPr>
              <w:t>表3-</w:t>
            </w:r>
            <w:r>
              <w:rPr>
                <w:rFonts w:hint="eastAsia"/>
                <w:b/>
                <w:bCs/>
                <w:color w:val="auto"/>
                <w:kern w:val="0"/>
                <w:szCs w:val="21"/>
                <w:lang w:val="en-US" w:eastAsia="zh-CN"/>
              </w:rPr>
              <w:t>6</w:t>
            </w:r>
            <w:r>
              <w:rPr>
                <w:rFonts w:hint="eastAsia"/>
                <w:b/>
                <w:bCs/>
                <w:color w:val="auto"/>
                <w:kern w:val="0"/>
                <w:szCs w:val="21"/>
              </w:rPr>
              <w:t xml:space="preserve">  土壤各评价因子标准指数计算结果一览表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438"/>
              <w:gridCol w:w="1327"/>
              <w:gridCol w:w="1109"/>
              <w:gridCol w:w="1109"/>
              <w:gridCol w:w="1109"/>
              <w:gridCol w:w="1109"/>
              <w:gridCol w:w="1109"/>
              <w:gridCol w:w="1111"/>
            </w:tblGrid>
            <w:tr w14:paraId="54E520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tblHeader/>
                <w:jc w:val="center"/>
              </w:trPr>
              <w:tc>
                <w:tcPr>
                  <w:tcW w:w="438" w:type="dxa"/>
                  <w:vMerge w:val="restart"/>
                  <w:tcBorders>
                    <w:tl2br w:val="nil"/>
                    <w:tr2bl w:val="nil"/>
                  </w:tcBorders>
                  <w:vAlign w:val="center"/>
                </w:tcPr>
                <w:p w14:paraId="44CA342C">
                  <w:pPr>
                    <w:pStyle w:val="60"/>
                    <w:rPr>
                      <w:b/>
                      <w:bCs/>
                      <w:color w:val="auto"/>
                      <w:sz w:val="18"/>
                      <w:szCs w:val="18"/>
                    </w:rPr>
                  </w:pPr>
                  <w:r>
                    <w:rPr>
                      <w:b/>
                      <w:bCs/>
                      <w:color w:val="auto"/>
                      <w:sz w:val="18"/>
                      <w:szCs w:val="18"/>
                    </w:rPr>
                    <w:t>序号</w:t>
                  </w:r>
                </w:p>
              </w:tc>
              <w:tc>
                <w:tcPr>
                  <w:tcW w:w="1327" w:type="dxa"/>
                  <w:vMerge w:val="restart"/>
                  <w:tcBorders>
                    <w:tl2br w:val="nil"/>
                    <w:tr2bl w:val="nil"/>
                  </w:tcBorders>
                  <w:vAlign w:val="center"/>
                </w:tcPr>
                <w:p w14:paraId="1C40456B">
                  <w:pPr>
                    <w:pStyle w:val="60"/>
                    <w:rPr>
                      <w:b/>
                      <w:bCs/>
                      <w:color w:val="auto"/>
                      <w:sz w:val="18"/>
                      <w:szCs w:val="18"/>
                    </w:rPr>
                  </w:pPr>
                  <w:r>
                    <w:rPr>
                      <w:b/>
                      <w:bCs/>
                      <w:color w:val="auto"/>
                      <w:sz w:val="18"/>
                      <w:szCs w:val="18"/>
                    </w:rPr>
                    <w:t>评价因子</w:t>
                  </w:r>
                </w:p>
              </w:tc>
              <w:tc>
                <w:tcPr>
                  <w:tcW w:w="6656" w:type="dxa"/>
                  <w:gridSpan w:val="6"/>
                  <w:tcBorders>
                    <w:tl2br w:val="nil"/>
                    <w:tr2bl w:val="nil"/>
                  </w:tcBorders>
                  <w:vAlign w:val="center"/>
                </w:tcPr>
                <w:p w14:paraId="68B3CDA5">
                  <w:pPr>
                    <w:pStyle w:val="60"/>
                    <w:rPr>
                      <w:b/>
                      <w:bCs/>
                      <w:color w:val="auto"/>
                      <w:sz w:val="18"/>
                      <w:szCs w:val="18"/>
                    </w:rPr>
                  </w:pPr>
                  <w:r>
                    <w:rPr>
                      <w:b/>
                      <w:bCs/>
                      <w:color w:val="auto"/>
                      <w:sz w:val="18"/>
                      <w:szCs w:val="18"/>
                    </w:rPr>
                    <w:t>标准指数</w:t>
                  </w:r>
                </w:p>
              </w:tc>
            </w:tr>
            <w:tr w14:paraId="06CD30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tblHeader/>
                <w:jc w:val="center"/>
              </w:trPr>
              <w:tc>
                <w:tcPr>
                  <w:tcW w:w="438" w:type="dxa"/>
                  <w:vMerge w:val="continue"/>
                  <w:tcBorders>
                    <w:tl2br w:val="nil"/>
                    <w:tr2bl w:val="nil"/>
                  </w:tcBorders>
                  <w:vAlign w:val="center"/>
                </w:tcPr>
                <w:p w14:paraId="751C2450">
                  <w:pPr>
                    <w:pStyle w:val="60"/>
                    <w:rPr>
                      <w:b/>
                      <w:bCs/>
                      <w:color w:val="auto"/>
                      <w:sz w:val="18"/>
                      <w:szCs w:val="18"/>
                    </w:rPr>
                  </w:pPr>
                </w:p>
              </w:tc>
              <w:tc>
                <w:tcPr>
                  <w:tcW w:w="1327" w:type="dxa"/>
                  <w:vMerge w:val="continue"/>
                  <w:tcBorders>
                    <w:tl2br w:val="nil"/>
                    <w:tr2bl w:val="nil"/>
                  </w:tcBorders>
                  <w:vAlign w:val="center"/>
                </w:tcPr>
                <w:p w14:paraId="53AA0726">
                  <w:pPr>
                    <w:pStyle w:val="60"/>
                    <w:rPr>
                      <w:b/>
                      <w:bCs/>
                      <w:color w:val="auto"/>
                      <w:sz w:val="18"/>
                      <w:szCs w:val="18"/>
                    </w:rPr>
                  </w:pPr>
                </w:p>
              </w:tc>
              <w:tc>
                <w:tcPr>
                  <w:tcW w:w="1109" w:type="dxa"/>
                  <w:tcBorders>
                    <w:tl2br w:val="nil"/>
                    <w:tr2bl w:val="nil"/>
                  </w:tcBorders>
                  <w:vAlign w:val="center"/>
                </w:tcPr>
                <w:p w14:paraId="3CE120D6">
                  <w:pPr>
                    <w:spacing w:line="0" w:lineRule="atLeast"/>
                    <w:jc w:val="center"/>
                    <w:rPr>
                      <w:rFonts w:hint="default" w:eastAsia="宋体"/>
                      <w:b/>
                      <w:bCs/>
                      <w:color w:val="auto"/>
                      <w:sz w:val="18"/>
                      <w:szCs w:val="18"/>
                      <w:lang w:val="en-US" w:eastAsia="zh-CN"/>
                    </w:rPr>
                  </w:pPr>
                  <w:r>
                    <w:rPr>
                      <w:rFonts w:hint="eastAsia"/>
                      <w:b/>
                      <w:bCs/>
                      <w:color w:val="auto"/>
                      <w:sz w:val="18"/>
                      <w:szCs w:val="18"/>
                      <w:lang w:val="en-US" w:eastAsia="zh-CN"/>
                    </w:rPr>
                    <w:t>1#点位</w:t>
                  </w:r>
                </w:p>
              </w:tc>
              <w:tc>
                <w:tcPr>
                  <w:tcW w:w="1109" w:type="dxa"/>
                  <w:tcBorders>
                    <w:tl2br w:val="nil"/>
                    <w:tr2bl w:val="nil"/>
                  </w:tcBorders>
                  <w:vAlign w:val="center"/>
                </w:tcPr>
                <w:p w14:paraId="0B86F14B">
                  <w:pPr>
                    <w:spacing w:line="0" w:lineRule="atLeast"/>
                    <w:jc w:val="center"/>
                    <w:rPr>
                      <w:b/>
                      <w:bCs/>
                      <w:color w:val="auto"/>
                      <w:sz w:val="18"/>
                      <w:szCs w:val="18"/>
                    </w:rPr>
                  </w:pPr>
                  <w:r>
                    <w:rPr>
                      <w:rFonts w:hint="eastAsia"/>
                      <w:b/>
                      <w:bCs/>
                      <w:color w:val="auto"/>
                      <w:sz w:val="18"/>
                      <w:szCs w:val="18"/>
                      <w:lang w:val="en-US" w:eastAsia="zh-CN"/>
                    </w:rPr>
                    <w:t>2#点位</w:t>
                  </w:r>
                </w:p>
              </w:tc>
              <w:tc>
                <w:tcPr>
                  <w:tcW w:w="1109" w:type="dxa"/>
                  <w:tcBorders>
                    <w:tl2br w:val="nil"/>
                    <w:tr2bl w:val="nil"/>
                  </w:tcBorders>
                  <w:vAlign w:val="center"/>
                </w:tcPr>
                <w:p w14:paraId="4AFC7940">
                  <w:pPr>
                    <w:spacing w:line="0" w:lineRule="atLeast"/>
                    <w:jc w:val="center"/>
                    <w:rPr>
                      <w:b/>
                      <w:bCs/>
                      <w:color w:val="auto"/>
                      <w:sz w:val="18"/>
                      <w:szCs w:val="18"/>
                    </w:rPr>
                  </w:pPr>
                  <w:r>
                    <w:rPr>
                      <w:rFonts w:hint="eastAsia"/>
                      <w:b/>
                      <w:bCs/>
                      <w:color w:val="auto"/>
                      <w:sz w:val="18"/>
                      <w:szCs w:val="18"/>
                      <w:lang w:val="en-US" w:eastAsia="zh-CN"/>
                    </w:rPr>
                    <w:t>3#点位</w:t>
                  </w:r>
                </w:p>
              </w:tc>
              <w:tc>
                <w:tcPr>
                  <w:tcW w:w="1109" w:type="dxa"/>
                  <w:tcBorders>
                    <w:tl2br w:val="nil"/>
                    <w:tr2bl w:val="nil"/>
                  </w:tcBorders>
                  <w:vAlign w:val="center"/>
                </w:tcPr>
                <w:p w14:paraId="31FCFDB8">
                  <w:pPr>
                    <w:spacing w:line="0" w:lineRule="atLeast"/>
                    <w:jc w:val="center"/>
                    <w:rPr>
                      <w:b/>
                      <w:bCs/>
                      <w:color w:val="auto"/>
                      <w:sz w:val="18"/>
                      <w:szCs w:val="18"/>
                    </w:rPr>
                  </w:pPr>
                  <w:r>
                    <w:rPr>
                      <w:rFonts w:hint="eastAsia"/>
                      <w:b/>
                      <w:bCs/>
                      <w:color w:val="auto"/>
                      <w:sz w:val="18"/>
                      <w:szCs w:val="18"/>
                      <w:lang w:val="en-US" w:eastAsia="zh-CN"/>
                    </w:rPr>
                    <w:t>4点位</w:t>
                  </w:r>
                </w:p>
              </w:tc>
              <w:tc>
                <w:tcPr>
                  <w:tcW w:w="1109" w:type="dxa"/>
                  <w:tcBorders>
                    <w:tl2br w:val="nil"/>
                    <w:tr2bl w:val="nil"/>
                  </w:tcBorders>
                  <w:vAlign w:val="center"/>
                </w:tcPr>
                <w:p w14:paraId="42820D28">
                  <w:pPr>
                    <w:spacing w:line="0" w:lineRule="atLeast"/>
                    <w:jc w:val="center"/>
                    <w:rPr>
                      <w:b/>
                      <w:bCs/>
                      <w:color w:val="auto"/>
                      <w:sz w:val="18"/>
                      <w:szCs w:val="18"/>
                    </w:rPr>
                  </w:pPr>
                  <w:r>
                    <w:rPr>
                      <w:rFonts w:hint="eastAsia"/>
                      <w:b/>
                      <w:bCs/>
                      <w:color w:val="auto"/>
                      <w:sz w:val="18"/>
                      <w:szCs w:val="18"/>
                      <w:lang w:val="en-US" w:eastAsia="zh-CN"/>
                    </w:rPr>
                    <w:t>5#点位</w:t>
                  </w:r>
                </w:p>
              </w:tc>
              <w:tc>
                <w:tcPr>
                  <w:tcW w:w="1111" w:type="dxa"/>
                  <w:tcBorders>
                    <w:tl2br w:val="nil"/>
                    <w:tr2bl w:val="nil"/>
                  </w:tcBorders>
                  <w:vAlign w:val="center"/>
                </w:tcPr>
                <w:p w14:paraId="03CA668F">
                  <w:pPr>
                    <w:spacing w:line="0" w:lineRule="atLeast"/>
                    <w:jc w:val="center"/>
                    <w:rPr>
                      <w:b/>
                      <w:bCs/>
                      <w:color w:val="auto"/>
                      <w:sz w:val="18"/>
                      <w:szCs w:val="18"/>
                    </w:rPr>
                  </w:pPr>
                  <w:r>
                    <w:rPr>
                      <w:rFonts w:hint="eastAsia"/>
                      <w:b/>
                      <w:bCs/>
                      <w:color w:val="auto"/>
                      <w:sz w:val="18"/>
                      <w:szCs w:val="18"/>
                      <w:lang w:val="en-US" w:eastAsia="zh-CN"/>
                    </w:rPr>
                    <w:t>6#点位</w:t>
                  </w:r>
                </w:p>
              </w:tc>
            </w:tr>
            <w:tr w14:paraId="4C13FB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8C69898">
                  <w:pPr>
                    <w:pStyle w:val="60"/>
                    <w:rPr>
                      <w:color w:val="auto"/>
                      <w:sz w:val="18"/>
                      <w:szCs w:val="18"/>
                    </w:rPr>
                  </w:pPr>
                  <w:r>
                    <w:rPr>
                      <w:color w:val="auto"/>
                      <w:sz w:val="18"/>
                      <w:szCs w:val="18"/>
                    </w:rPr>
                    <w:t>1</w:t>
                  </w:r>
                </w:p>
              </w:tc>
              <w:tc>
                <w:tcPr>
                  <w:tcW w:w="1327" w:type="dxa"/>
                  <w:tcBorders>
                    <w:tl2br w:val="nil"/>
                    <w:tr2bl w:val="nil"/>
                  </w:tcBorders>
                  <w:vAlign w:val="center"/>
                </w:tcPr>
                <w:p w14:paraId="45D8A309">
                  <w:pPr>
                    <w:pStyle w:val="60"/>
                    <w:rPr>
                      <w:color w:val="auto"/>
                      <w:sz w:val="18"/>
                      <w:szCs w:val="18"/>
                    </w:rPr>
                  </w:pPr>
                  <w:r>
                    <w:rPr>
                      <w:rFonts w:hint="eastAsia"/>
                      <w:color w:val="auto"/>
                      <w:sz w:val="18"/>
                      <w:szCs w:val="18"/>
                    </w:rPr>
                    <w:t>砷</w:t>
                  </w:r>
                </w:p>
              </w:tc>
              <w:tc>
                <w:tcPr>
                  <w:tcW w:w="1109" w:type="dxa"/>
                  <w:tcBorders>
                    <w:tl2br w:val="nil"/>
                    <w:tr2bl w:val="nil"/>
                  </w:tcBorders>
                  <w:vAlign w:val="center"/>
                </w:tcPr>
                <w:p w14:paraId="22F3635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0.178</w:t>
                  </w:r>
                </w:p>
              </w:tc>
              <w:tc>
                <w:tcPr>
                  <w:tcW w:w="1109" w:type="dxa"/>
                  <w:tcBorders>
                    <w:tl2br w:val="nil"/>
                    <w:tr2bl w:val="nil"/>
                  </w:tcBorders>
                  <w:vAlign w:val="center"/>
                </w:tcPr>
                <w:p w14:paraId="6D118A9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0.085</w:t>
                  </w:r>
                </w:p>
              </w:tc>
              <w:tc>
                <w:tcPr>
                  <w:tcW w:w="1109" w:type="dxa"/>
                  <w:tcBorders>
                    <w:tl2br w:val="nil"/>
                    <w:tr2bl w:val="nil"/>
                  </w:tcBorders>
                  <w:vAlign w:val="center"/>
                </w:tcPr>
                <w:p w14:paraId="2E067ED2">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0.153</w:t>
                  </w:r>
                </w:p>
              </w:tc>
              <w:tc>
                <w:tcPr>
                  <w:tcW w:w="1109" w:type="dxa"/>
                  <w:tcBorders>
                    <w:tl2br w:val="nil"/>
                    <w:tr2bl w:val="nil"/>
                  </w:tcBorders>
                  <w:vAlign w:val="center"/>
                </w:tcPr>
                <w:p w14:paraId="64186B92">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0.152</w:t>
                  </w:r>
                </w:p>
              </w:tc>
              <w:tc>
                <w:tcPr>
                  <w:tcW w:w="1109" w:type="dxa"/>
                  <w:tcBorders>
                    <w:tl2br w:val="nil"/>
                    <w:tr2bl w:val="nil"/>
                  </w:tcBorders>
                  <w:vAlign w:val="center"/>
                </w:tcPr>
                <w:p w14:paraId="32F005D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0.217</w:t>
                  </w:r>
                </w:p>
              </w:tc>
              <w:tc>
                <w:tcPr>
                  <w:tcW w:w="1111" w:type="dxa"/>
                  <w:tcBorders>
                    <w:tl2br w:val="nil"/>
                    <w:tr2bl w:val="nil"/>
                  </w:tcBorders>
                  <w:vAlign w:val="center"/>
                </w:tcPr>
                <w:p w14:paraId="6E6C4EB2">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0.149</w:t>
                  </w:r>
                </w:p>
              </w:tc>
            </w:tr>
            <w:tr w14:paraId="4E62E4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35B65C4B">
                  <w:pPr>
                    <w:pStyle w:val="60"/>
                    <w:rPr>
                      <w:color w:val="auto"/>
                      <w:sz w:val="18"/>
                      <w:szCs w:val="18"/>
                    </w:rPr>
                  </w:pPr>
                  <w:r>
                    <w:rPr>
                      <w:color w:val="auto"/>
                      <w:sz w:val="18"/>
                      <w:szCs w:val="18"/>
                    </w:rPr>
                    <w:t>2</w:t>
                  </w:r>
                </w:p>
              </w:tc>
              <w:tc>
                <w:tcPr>
                  <w:tcW w:w="1327" w:type="dxa"/>
                  <w:tcBorders>
                    <w:tl2br w:val="nil"/>
                    <w:tr2bl w:val="nil"/>
                  </w:tcBorders>
                  <w:vAlign w:val="center"/>
                </w:tcPr>
                <w:p w14:paraId="2FFF851C">
                  <w:pPr>
                    <w:pStyle w:val="60"/>
                    <w:rPr>
                      <w:color w:val="auto"/>
                      <w:sz w:val="18"/>
                      <w:szCs w:val="18"/>
                    </w:rPr>
                  </w:pPr>
                  <w:r>
                    <w:rPr>
                      <w:rFonts w:hint="eastAsia"/>
                      <w:color w:val="auto"/>
                      <w:sz w:val="18"/>
                      <w:szCs w:val="18"/>
                    </w:rPr>
                    <w:t>镉</w:t>
                  </w:r>
                </w:p>
              </w:tc>
              <w:tc>
                <w:tcPr>
                  <w:tcW w:w="1109" w:type="dxa"/>
                  <w:tcBorders>
                    <w:tl2br w:val="nil"/>
                    <w:tr2bl w:val="nil"/>
                  </w:tcBorders>
                  <w:vAlign w:val="center"/>
                </w:tcPr>
                <w:p w14:paraId="78A2512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5DDA67B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635FC2B2">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5534192F">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1571B8D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11" w:type="dxa"/>
                  <w:tcBorders>
                    <w:tl2br w:val="nil"/>
                    <w:tr2bl w:val="nil"/>
                  </w:tcBorders>
                  <w:vAlign w:val="center"/>
                </w:tcPr>
                <w:p w14:paraId="50C2708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r>
            <w:tr w14:paraId="475854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42E986D9">
                  <w:pPr>
                    <w:pStyle w:val="60"/>
                    <w:rPr>
                      <w:color w:val="auto"/>
                      <w:sz w:val="18"/>
                      <w:szCs w:val="18"/>
                    </w:rPr>
                  </w:pPr>
                  <w:r>
                    <w:rPr>
                      <w:color w:val="auto"/>
                      <w:sz w:val="18"/>
                      <w:szCs w:val="18"/>
                    </w:rPr>
                    <w:t>3</w:t>
                  </w:r>
                </w:p>
              </w:tc>
              <w:tc>
                <w:tcPr>
                  <w:tcW w:w="1327" w:type="dxa"/>
                  <w:tcBorders>
                    <w:tl2br w:val="nil"/>
                    <w:tr2bl w:val="nil"/>
                  </w:tcBorders>
                  <w:vAlign w:val="center"/>
                </w:tcPr>
                <w:p w14:paraId="13E6F991">
                  <w:pPr>
                    <w:pStyle w:val="60"/>
                    <w:rPr>
                      <w:color w:val="auto"/>
                      <w:sz w:val="18"/>
                      <w:szCs w:val="18"/>
                    </w:rPr>
                  </w:pPr>
                  <w:r>
                    <w:rPr>
                      <w:rFonts w:hint="eastAsia"/>
                      <w:color w:val="auto"/>
                      <w:sz w:val="18"/>
                      <w:szCs w:val="18"/>
                    </w:rPr>
                    <w:t>铜</w:t>
                  </w:r>
                </w:p>
              </w:tc>
              <w:tc>
                <w:tcPr>
                  <w:tcW w:w="1109" w:type="dxa"/>
                  <w:tcBorders>
                    <w:tl2br w:val="nil"/>
                    <w:tr2bl w:val="nil"/>
                  </w:tcBorders>
                  <w:vAlign w:val="center"/>
                </w:tcPr>
                <w:p w14:paraId="1F00F52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4F525C6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3DF39956">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552A880B">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1AC2C75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11" w:type="dxa"/>
                  <w:tcBorders>
                    <w:tl2br w:val="nil"/>
                    <w:tr2bl w:val="nil"/>
                  </w:tcBorders>
                  <w:vAlign w:val="center"/>
                </w:tcPr>
                <w:p w14:paraId="7456F74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r>
            <w:tr w14:paraId="607198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229C722D">
                  <w:pPr>
                    <w:pStyle w:val="60"/>
                    <w:rPr>
                      <w:color w:val="auto"/>
                      <w:sz w:val="18"/>
                      <w:szCs w:val="18"/>
                    </w:rPr>
                  </w:pPr>
                  <w:r>
                    <w:rPr>
                      <w:color w:val="auto"/>
                      <w:sz w:val="18"/>
                      <w:szCs w:val="18"/>
                    </w:rPr>
                    <w:t>4</w:t>
                  </w:r>
                </w:p>
              </w:tc>
              <w:tc>
                <w:tcPr>
                  <w:tcW w:w="1327" w:type="dxa"/>
                  <w:tcBorders>
                    <w:tl2br w:val="nil"/>
                    <w:tr2bl w:val="nil"/>
                  </w:tcBorders>
                  <w:vAlign w:val="center"/>
                </w:tcPr>
                <w:p w14:paraId="66D4F5D2">
                  <w:pPr>
                    <w:pStyle w:val="60"/>
                    <w:rPr>
                      <w:color w:val="auto"/>
                      <w:sz w:val="18"/>
                      <w:szCs w:val="18"/>
                    </w:rPr>
                  </w:pPr>
                  <w:r>
                    <w:rPr>
                      <w:rFonts w:hint="eastAsia"/>
                      <w:color w:val="auto"/>
                      <w:sz w:val="18"/>
                      <w:szCs w:val="18"/>
                    </w:rPr>
                    <w:t>铅</w:t>
                  </w:r>
                </w:p>
              </w:tc>
              <w:tc>
                <w:tcPr>
                  <w:tcW w:w="1109" w:type="dxa"/>
                  <w:tcBorders>
                    <w:tl2br w:val="nil"/>
                    <w:tr2bl w:val="nil"/>
                  </w:tcBorders>
                  <w:vAlign w:val="center"/>
                </w:tcPr>
                <w:p w14:paraId="12E7727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0.037</w:t>
                  </w:r>
                </w:p>
              </w:tc>
              <w:tc>
                <w:tcPr>
                  <w:tcW w:w="1109" w:type="dxa"/>
                  <w:tcBorders>
                    <w:tl2br w:val="nil"/>
                    <w:tr2bl w:val="nil"/>
                  </w:tcBorders>
                  <w:vAlign w:val="center"/>
                </w:tcPr>
                <w:p w14:paraId="1726B8B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0.037</w:t>
                  </w:r>
                </w:p>
              </w:tc>
              <w:tc>
                <w:tcPr>
                  <w:tcW w:w="1109" w:type="dxa"/>
                  <w:tcBorders>
                    <w:tl2br w:val="nil"/>
                    <w:tr2bl w:val="nil"/>
                  </w:tcBorders>
                  <w:vAlign w:val="center"/>
                </w:tcPr>
                <w:p w14:paraId="693A72F8">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0.025</w:t>
                  </w:r>
                </w:p>
              </w:tc>
              <w:tc>
                <w:tcPr>
                  <w:tcW w:w="1109" w:type="dxa"/>
                  <w:tcBorders>
                    <w:tl2br w:val="nil"/>
                    <w:tr2bl w:val="nil"/>
                  </w:tcBorders>
                  <w:vAlign w:val="center"/>
                </w:tcPr>
                <w:p w14:paraId="2429FA67">
                  <w:pPr>
                    <w:pStyle w:val="60"/>
                    <w:ind w:left="47"/>
                    <w:rPr>
                      <w:rFonts w:hint="default" w:eastAsia="宋体"/>
                      <w:b w:val="0"/>
                      <w:bCs w:val="0"/>
                      <w:color w:val="auto"/>
                      <w:sz w:val="18"/>
                      <w:szCs w:val="18"/>
                      <w:lang w:val="en-US" w:eastAsia="zh-CN"/>
                    </w:rPr>
                  </w:pPr>
                  <w:r>
                    <w:rPr>
                      <w:rFonts w:hint="eastAsia"/>
                      <w:b w:val="0"/>
                      <w:bCs w:val="0"/>
                      <w:color w:val="auto"/>
                      <w:sz w:val="18"/>
                      <w:szCs w:val="18"/>
                      <w:lang w:val="en-US" w:eastAsia="zh-CN"/>
                    </w:rPr>
                    <w:t>0.036</w:t>
                  </w:r>
                </w:p>
              </w:tc>
              <w:tc>
                <w:tcPr>
                  <w:tcW w:w="1109" w:type="dxa"/>
                  <w:tcBorders>
                    <w:tl2br w:val="nil"/>
                    <w:tr2bl w:val="nil"/>
                  </w:tcBorders>
                  <w:vAlign w:val="center"/>
                </w:tcPr>
                <w:p w14:paraId="62683F1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0.036</w:t>
                  </w:r>
                </w:p>
              </w:tc>
              <w:tc>
                <w:tcPr>
                  <w:tcW w:w="1111" w:type="dxa"/>
                  <w:tcBorders>
                    <w:tl2br w:val="nil"/>
                    <w:tr2bl w:val="nil"/>
                  </w:tcBorders>
                  <w:vAlign w:val="center"/>
                </w:tcPr>
                <w:p w14:paraId="2F6C151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0.035</w:t>
                  </w:r>
                </w:p>
              </w:tc>
            </w:tr>
            <w:tr w14:paraId="7B948B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0E11BE2">
                  <w:pPr>
                    <w:pStyle w:val="60"/>
                    <w:rPr>
                      <w:color w:val="auto"/>
                      <w:sz w:val="18"/>
                      <w:szCs w:val="18"/>
                    </w:rPr>
                  </w:pPr>
                  <w:r>
                    <w:rPr>
                      <w:color w:val="auto"/>
                      <w:sz w:val="18"/>
                      <w:szCs w:val="18"/>
                    </w:rPr>
                    <w:t>5</w:t>
                  </w:r>
                </w:p>
              </w:tc>
              <w:tc>
                <w:tcPr>
                  <w:tcW w:w="1327" w:type="dxa"/>
                  <w:tcBorders>
                    <w:tl2br w:val="nil"/>
                    <w:tr2bl w:val="nil"/>
                  </w:tcBorders>
                  <w:vAlign w:val="center"/>
                </w:tcPr>
                <w:p w14:paraId="56F76572">
                  <w:pPr>
                    <w:pStyle w:val="60"/>
                    <w:rPr>
                      <w:rFonts w:hint="eastAsia" w:eastAsia="宋体"/>
                      <w:color w:val="auto"/>
                      <w:sz w:val="18"/>
                      <w:szCs w:val="18"/>
                      <w:lang w:val="en-US" w:eastAsia="zh-CN"/>
                    </w:rPr>
                  </w:pPr>
                  <w:r>
                    <w:rPr>
                      <w:rFonts w:hint="eastAsia"/>
                      <w:color w:val="auto"/>
                      <w:sz w:val="18"/>
                      <w:szCs w:val="18"/>
                      <w:lang w:val="en-US" w:eastAsia="zh-CN"/>
                    </w:rPr>
                    <w:t>汞</w:t>
                  </w:r>
                </w:p>
              </w:tc>
              <w:tc>
                <w:tcPr>
                  <w:tcW w:w="1109" w:type="dxa"/>
                  <w:tcBorders>
                    <w:tl2br w:val="nil"/>
                    <w:tr2bl w:val="nil"/>
                  </w:tcBorders>
                  <w:vAlign w:val="center"/>
                </w:tcPr>
                <w:p w14:paraId="6BFBB70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w:t>
                  </w:r>
                </w:p>
              </w:tc>
              <w:tc>
                <w:tcPr>
                  <w:tcW w:w="1109" w:type="dxa"/>
                  <w:tcBorders>
                    <w:tl2br w:val="nil"/>
                    <w:tr2bl w:val="nil"/>
                  </w:tcBorders>
                  <w:vAlign w:val="center"/>
                </w:tcPr>
                <w:p w14:paraId="1709144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1DE9164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38F207E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w:t>
                  </w:r>
                </w:p>
              </w:tc>
              <w:tc>
                <w:tcPr>
                  <w:tcW w:w="1109" w:type="dxa"/>
                  <w:tcBorders>
                    <w:tl2br w:val="nil"/>
                    <w:tr2bl w:val="nil"/>
                  </w:tcBorders>
                  <w:vAlign w:val="center"/>
                </w:tcPr>
                <w:p w14:paraId="30BB405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w:t>
                  </w:r>
                </w:p>
              </w:tc>
              <w:tc>
                <w:tcPr>
                  <w:tcW w:w="1111" w:type="dxa"/>
                  <w:tcBorders>
                    <w:tl2br w:val="nil"/>
                    <w:tr2bl w:val="nil"/>
                  </w:tcBorders>
                  <w:vAlign w:val="center"/>
                </w:tcPr>
                <w:p w14:paraId="2E89E7F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w:t>
                  </w:r>
                </w:p>
              </w:tc>
            </w:tr>
            <w:tr w14:paraId="51E5D8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CBE63DB">
                  <w:pPr>
                    <w:pStyle w:val="60"/>
                    <w:rPr>
                      <w:color w:val="auto"/>
                      <w:sz w:val="18"/>
                      <w:szCs w:val="18"/>
                    </w:rPr>
                  </w:pPr>
                  <w:r>
                    <w:rPr>
                      <w:color w:val="auto"/>
                      <w:sz w:val="18"/>
                      <w:szCs w:val="18"/>
                    </w:rPr>
                    <w:t>6</w:t>
                  </w:r>
                </w:p>
              </w:tc>
              <w:tc>
                <w:tcPr>
                  <w:tcW w:w="1327" w:type="dxa"/>
                  <w:tcBorders>
                    <w:tl2br w:val="nil"/>
                    <w:tr2bl w:val="nil"/>
                  </w:tcBorders>
                  <w:vAlign w:val="center"/>
                </w:tcPr>
                <w:p w14:paraId="7F098878">
                  <w:pPr>
                    <w:pStyle w:val="60"/>
                    <w:rPr>
                      <w:rFonts w:hint="eastAsia" w:eastAsia="宋体"/>
                      <w:color w:val="auto"/>
                      <w:sz w:val="18"/>
                      <w:szCs w:val="18"/>
                      <w:lang w:val="en-US" w:eastAsia="zh-CN"/>
                    </w:rPr>
                  </w:pPr>
                  <w:r>
                    <w:rPr>
                      <w:rFonts w:hint="eastAsia"/>
                      <w:color w:val="auto"/>
                      <w:sz w:val="18"/>
                      <w:szCs w:val="18"/>
                      <w:lang w:val="en-US" w:eastAsia="zh-CN"/>
                    </w:rPr>
                    <w:t>镍</w:t>
                  </w:r>
                </w:p>
              </w:tc>
              <w:tc>
                <w:tcPr>
                  <w:tcW w:w="1109" w:type="dxa"/>
                  <w:tcBorders>
                    <w:tl2br w:val="nil"/>
                    <w:tr2bl w:val="nil"/>
                  </w:tcBorders>
                  <w:vAlign w:val="center"/>
                </w:tcPr>
                <w:p w14:paraId="2BC5617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0.039</w:t>
                  </w:r>
                </w:p>
              </w:tc>
              <w:tc>
                <w:tcPr>
                  <w:tcW w:w="1109" w:type="dxa"/>
                  <w:tcBorders>
                    <w:tl2br w:val="nil"/>
                    <w:tr2bl w:val="nil"/>
                  </w:tcBorders>
                  <w:vAlign w:val="center"/>
                </w:tcPr>
                <w:p w14:paraId="361EA34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0.030</w:t>
                  </w:r>
                </w:p>
              </w:tc>
              <w:tc>
                <w:tcPr>
                  <w:tcW w:w="1109" w:type="dxa"/>
                  <w:tcBorders>
                    <w:tl2br w:val="nil"/>
                    <w:tr2bl w:val="nil"/>
                  </w:tcBorders>
                  <w:vAlign w:val="center"/>
                </w:tcPr>
                <w:p w14:paraId="256DD0FF">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0.026</w:t>
                  </w:r>
                </w:p>
              </w:tc>
              <w:tc>
                <w:tcPr>
                  <w:tcW w:w="1109" w:type="dxa"/>
                  <w:tcBorders>
                    <w:tl2br w:val="nil"/>
                    <w:tr2bl w:val="nil"/>
                  </w:tcBorders>
                  <w:vAlign w:val="center"/>
                </w:tcPr>
                <w:p w14:paraId="123607D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0.057</w:t>
                  </w:r>
                </w:p>
              </w:tc>
              <w:tc>
                <w:tcPr>
                  <w:tcW w:w="1109" w:type="dxa"/>
                  <w:tcBorders>
                    <w:tl2br w:val="nil"/>
                    <w:tr2bl w:val="nil"/>
                  </w:tcBorders>
                  <w:vAlign w:val="center"/>
                </w:tcPr>
                <w:p w14:paraId="35B24B22">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0.069</w:t>
                  </w:r>
                </w:p>
              </w:tc>
              <w:tc>
                <w:tcPr>
                  <w:tcW w:w="1111" w:type="dxa"/>
                  <w:tcBorders>
                    <w:tl2br w:val="nil"/>
                    <w:tr2bl w:val="nil"/>
                  </w:tcBorders>
                  <w:vAlign w:val="center"/>
                </w:tcPr>
                <w:p w14:paraId="052AB17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0.036</w:t>
                  </w:r>
                </w:p>
              </w:tc>
            </w:tr>
            <w:tr w14:paraId="358CC7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1F386913">
                  <w:pPr>
                    <w:pStyle w:val="60"/>
                    <w:rPr>
                      <w:rFonts w:hint="eastAsia" w:eastAsia="宋体"/>
                      <w:color w:val="auto"/>
                      <w:sz w:val="18"/>
                      <w:szCs w:val="18"/>
                      <w:lang w:val="en-US" w:eastAsia="zh-CN"/>
                    </w:rPr>
                  </w:pPr>
                  <w:r>
                    <w:rPr>
                      <w:rFonts w:hint="eastAsia"/>
                      <w:color w:val="auto"/>
                      <w:sz w:val="18"/>
                      <w:szCs w:val="18"/>
                      <w:lang w:val="en-US" w:eastAsia="zh-CN"/>
                    </w:rPr>
                    <w:t>7</w:t>
                  </w:r>
                </w:p>
              </w:tc>
              <w:tc>
                <w:tcPr>
                  <w:tcW w:w="1327" w:type="dxa"/>
                  <w:tcBorders>
                    <w:tl2br w:val="nil"/>
                    <w:tr2bl w:val="nil"/>
                  </w:tcBorders>
                  <w:vAlign w:val="center"/>
                </w:tcPr>
                <w:p w14:paraId="377C7323">
                  <w:pPr>
                    <w:pStyle w:val="60"/>
                    <w:rPr>
                      <w:rFonts w:hint="default"/>
                      <w:color w:val="auto"/>
                      <w:sz w:val="18"/>
                      <w:szCs w:val="18"/>
                      <w:lang w:val="en-US" w:eastAsia="zh-CN"/>
                    </w:rPr>
                  </w:pPr>
                  <w:r>
                    <w:rPr>
                      <w:rFonts w:hint="eastAsia"/>
                      <w:color w:val="auto"/>
                      <w:sz w:val="18"/>
                      <w:szCs w:val="18"/>
                      <w:lang w:val="en-US" w:eastAsia="zh-CN"/>
                    </w:rPr>
                    <w:t>四氯化碳</w:t>
                  </w:r>
                </w:p>
              </w:tc>
              <w:tc>
                <w:tcPr>
                  <w:tcW w:w="1109" w:type="dxa"/>
                  <w:tcBorders>
                    <w:tl2br w:val="nil"/>
                    <w:tr2bl w:val="nil"/>
                  </w:tcBorders>
                  <w:vAlign w:val="center"/>
                </w:tcPr>
                <w:p w14:paraId="64C4F2E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01CC285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09" w:type="dxa"/>
                  <w:tcBorders>
                    <w:tl2br w:val="nil"/>
                    <w:tr2bl w:val="nil"/>
                  </w:tcBorders>
                  <w:vAlign w:val="center"/>
                </w:tcPr>
                <w:p w14:paraId="7B1A5DC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09" w:type="dxa"/>
                  <w:tcBorders>
                    <w:tl2br w:val="nil"/>
                    <w:tr2bl w:val="nil"/>
                  </w:tcBorders>
                  <w:vAlign w:val="center"/>
                </w:tcPr>
                <w:p w14:paraId="72D284D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09" w:type="dxa"/>
                  <w:tcBorders>
                    <w:tl2br w:val="nil"/>
                    <w:tr2bl w:val="nil"/>
                  </w:tcBorders>
                  <w:vAlign w:val="center"/>
                </w:tcPr>
                <w:p w14:paraId="10CB87A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11" w:type="dxa"/>
                  <w:tcBorders>
                    <w:tl2br w:val="nil"/>
                    <w:tr2bl w:val="nil"/>
                  </w:tcBorders>
                  <w:vAlign w:val="center"/>
                </w:tcPr>
                <w:p w14:paraId="7EC1C31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r>
            <w:tr w14:paraId="2E9F23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77E3B1DD">
                  <w:pPr>
                    <w:pStyle w:val="60"/>
                    <w:rPr>
                      <w:rFonts w:hint="eastAsia" w:eastAsia="宋体"/>
                      <w:color w:val="auto"/>
                      <w:sz w:val="18"/>
                      <w:szCs w:val="18"/>
                      <w:lang w:val="en-US" w:eastAsia="zh-CN"/>
                    </w:rPr>
                  </w:pPr>
                  <w:r>
                    <w:rPr>
                      <w:rFonts w:hint="eastAsia"/>
                      <w:color w:val="auto"/>
                      <w:sz w:val="18"/>
                      <w:szCs w:val="18"/>
                      <w:lang w:val="en-US" w:eastAsia="zh-CN"/>
                    </w:rPr>
                    <w:t>8</w:t>
                  </w:r>
                </w:p>
              </w:tc>
              <w:tc>
                <w:tcPr>
                  <w:tcW w:w="1327" w:type="dxa"/>
                  <w:tcBorders>
                    <w:tl2br w:val="nil"/>
                    <w:tr2bl w:val="nil"/>
                  </w:tcBorders>
                  <w:vAlign w:val="center"/>
                </w:tcPr>
                <w:p w14:paraId="476B0ED9">
                  <w:pPr>
                    <w:pStyle w:val="60"/>
                    <w:rPr>
                      <w:rFonts w:hint="eastAsia"/>
                      <w:color w:val="auto"/>
                      <w:sz w:val="18"/>
                      <w:szCs w:val="18"/>
                      <w:lang w:val="en-US" w:eastAsia="zh-CN"/>
                    </w:rPr>
                  </w:pPr>
                  <w:r>
                    <w:rPr>
                      <w:rFonts w:hint="eastAsia" w:cs="Times New Roman"/>
                      <w:color w:val="auto"/>
                      <w:kern w:val="2"/>
                      <w:sz w:val="18"/>
                      <w:szCs w:val="18"/>
                      <w:lang w:val="en-US" w:eastAsia="zh-CN" w:bidi="ar-SA"/>
                    </w:rPr>
                    <w:t>氯仿</w:t>
                  </w:r>
                </w:p>
              </w:tc>
              <w:tc>
                <w:tcPr>
                  <w:tcW w:w="1109" w:type="dxa"/>
                  <w:tcBorders>
                    <w:tl2br w:val="nil"/>
                    <w:tr2bl w:val="nil"/>
                  </w:tcBorders>
                  <w:vAlign w:val="center"/>
                </w:tcPr>
                <w:p w14:paraId="4EEA9A6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09" w:type="dxa"/>
                  <w:tcBorders>
                    <w:tl2br w:val="nil"/>
                    <w:tr2bl w:val="nil"/>
                  </w:tcBorders>
                  <w:vAlign w:val="center"/>
                </w:tcPr>
                <w:p w14:paraId="02366E2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0.007</w:t>
                  </w:r>
                </w:p>
              </w:tc>
              <w:tc>
                <w:tcPr>
                  <w:tcW w:w="1109" w:type="dxa"/>
                  <w:tcBorders>
                    <w:tl2br w:val="nil"/>
                    <w:tr2bl w:val="nil"/>
                  </w:tcBorders>
                  <w:vAlign w:val="center"/>
                </w:tcPr>
                <w:p w14:paraId="1D676F5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09" w:type="dxa"/>
                  <w:tcBorders>
                    <w:tl2br w:val="nil"/>
                    <w:tr2bl w:val="nil"/>
                  </w:tcBorders>
                  <w:vAlign w:val="center"/>
                </w:tcPr>
                <w:p w14:paraId="735D748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09" w:type="dxa"/>
                  <w:tcBorders>
                    <w:tl2br w:val="nil"/>
                    <w:tr2bl w:val="nil"/>
                  </w:tcBorders>
                  <w:vAlign w:val="center"/>
                </w:tcPr>
                <w:p w14:paraId="4FEB102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11" w:type="dxa"/>
                  <w:tcBorders>
                    <w:tl2br w:val="nil"/>
                    <w:tr2bl w:val="nil"/>
                  </w:tcBorders>
                  <w:vAlign w:val="center"/>
                </w:tcPr>
                <w:p w14:paraId="6814454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0.007</w:t>
                  </w:r>
                </w:p>
              </w:tc>
            </w:tr>
            <w:tr w14:paraId="3DC974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E326776">
                  <w:pPr>
                    <w:pStyle w:val="60"/>
                    <w:rPr>
                      <w:rFonts w:hint="eastAsia" w:eastAsia="宋体"/>
                      <w:color w:val="auto"/>
                      <w:sz w:val="18"/>
                      <w:szCs w:val="18"/>
                      <w:lang w:val="en-US" w:eastAsia="zh-CN"/>
                    </w:rPr>
                  </w:pPr>
                  <w:r>
                    <w:rPr>
                      <w:rFonts w:hint="eastAsia"/>
                      <w:color w:val="auto"/>
                      <w:sz w:val="18"/>
                      <w:szCs w:val="18"/>
                      <w:lang w:val="en-US" w:eastAsia="zh-CN"/>
                    </w:rPr>
                    <w:t>9</w:t>
                  </w:r>
                </w:p>
              </w:tc>
              <w:tc>
                <w:tcPr>
                  <w:tcW w:w="1327" w:type="dxa"/>
                  <w:tcBorders>
                    <w:tl2br w:val="nil"/>
                    <w:tr2bl w:val="nil"/>
                  </w:tcBorders>
                  <w:vAlign w:val="center"/>
                </w:tcPr>
                <w:p w14:paraId="6495123E">
                  <w:pPr>
                    <w:pStyle w:val="60"/>
                    <w:rPr>
                      <w:rFonts w:hint="eastAsia"/>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p>
              </w:tc>
              <w:tc>
                <w:tcPr>
                  <w:tcW w:w="1109" w:type="dxa"/>
                  <w:tcBorders>
                    <w:tl2br w:val="nil"/>
                    <w:tr2bl w:val="nil"/>
                  </w:tcBorders>
                  <w:vAlign w:val="center"/>
                </w:tcPr>
                <w:p w14:paraId="1E03E05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c>
                <w:tcPr>
                  <w:tcW w:w="1109" w:type="dxa"/>
                  <w:tcBorders>
                    <w:tl2br w:val="nil"/>
                    <w:tr2bl w:val="nil"/>
                  </w:tcBorders>
                  <w:vAlign w:val="center"/>
                </w:tcPr>
                <w:p w14:paraId="630F2EE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0.0005</w:t>
                  </w:r>
                </w:p>
              </w:tc>
              <w:tc>
                <w:tcPr>
                  <w:tcW w:w="1109" w:type="dxa"/>
                  <w:tcBorders>
                    <w:tl2br w:val="nil"/>
                    <w:tr2bl w:val="nil"/>
                  </w:tcBorders>
                  <w:vAlign w:val="center"/>
                </w:tcPr>
                <w:p w14:paraId="0F6CCAB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c>
                <w:tcPr>
                  <w:tcW w:w="1109" w:type="dxa"/>
                  <w:tcBorders>
                    <w:tl2br w:val="nil"/>
                    <w:tr2bl w:val="nil"/>
                  </w:tcBorders>
                  <w:vAlign w:val="center"/>
                </w:tcPr>
                <w:p w14:paraId="6B05437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c>
                <w:tcPr>
                  <w:tcW w:w="1109" w:type="dxa"/>
                  <w:tcBorders>
                    <w:tl2br w:val="nil"/>
                    <w:tr2bl w:val="nil"/>
                  </w:tcBorders>
                  <w:vAlign w:val="center"/>
                </w:tcPr>
                <w:p w14:paraId="08D0CAB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0.0005</w:t>
                  </w:r>
                </w:p>
              </w:tc>
              <w:tc>
                <w:tcPr>
                  <w:tcW w:w="1111" w:type="dxa"/>
                  <w:tcBorders>
                    <w:tl2br w:val="nil"/>
                    <w:tr2bl w:val="nil"/>
                  </w:tcBorders>
                  <w:vAlign w:val="center"/>
                </w:tcPr>
                <w:p w14:paraId="41CDB00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0.0005</w:t>
                  </w:r>
                </w:p>
              </w:tc>
            </w:tr>
            <w:tr w14:paraId="19CE59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759F6139">
                  <w:pPr>
                    <w:pStyle w:val="60"/>
                    <w:rPr>
                      <w:rFonts w:hint="default" w:eastAsia="宋体"/>
                      <w:color w:val="auto"/>
                      <w:sz w:val="18"/>
                      <w:szCs w:val="18"/>
                      <w:lang w:val="en-US" w:eastAsia="zh-CN"/>
                    </w:rPr>
                  </w:pPr>
                  <w:r>
                    <w:rPr>
                      <w:rFonts w:hint="eastAsia"/>
                      <w:color w:val="auto"/>
                      <w:sz w:val="18"/>
                      <w:szCs w:val="18"/>
                      <w:lang w:val="en-US" w:eastAsia="zh-CN"/>
                    </w:rPr>
                    <w:t>10</w:t>
                  </w:r>
                </w:p>
              </w:tc>
              <w:tc>
                <w:tcPr>
                  <w:tcW w:w="1327" w:type="dxa"/>
                  <w:tcBorders>
                    <w:tl2br w:val="nil"/>
                    <w:tr2bl w:val="nil"/>
                  </w:tcBorders>
                  <w:vAlign w:val="center"/>
                </w:tcPr>
                <w:p w14:paraId="452AF49D">
                  <w:pPr>
                    <w:pStyle w:val="60"/>
                    <w:rPr>
                      <w:rFonts w:hint="eastAsia"/>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w:t>
                  </w:r>
                  <w:r>
                    <w:rPr>
                      <w:rFonts w:hint="default" w:ascii="Times New Roman" w:hAnsi="Times New Roman" w:eastAsia="宋体" w:cs="Times New Roman"/>
                      <w:color w:val="auto"/>
                      <w:kern w:val="2"/>
                      <w:sz w:val="18"/>
                      <w:szCs w:val="18"/>
                      <w:lang w:val="en-US" w:eastAsia="zh-CN" w:bidi="ar-SA"/>
                    </w:rPr>
                    <w:t>乙烷</w:t>
                  </w:r>
                </w:p>
              </w:tc>
              <w:tc>
                <w:tcPr>
                  <w:tcW w:w="1109" w:type="dxa"/>
                  <w:tcBorders>
                    <w:tl2br w:val="nil"/>
                    <w:tr2bl w:val="nil"/>
                  </w:tcBorders>
                  <w:vAlign w:val="center"/>
                </w:tcPr>
                <w:p w14:paraId="0D9207A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c>
                <w:tcPr>
                  <w:tcW w:w="1109" w:type="dxa"/>
                  <w:tcBorders>
                    <w:tl2br w:val="nil"/>
                    <w:tr2bl w:val="nil"/>
                  </w:tcBorders>
                  <w:vAlign w:val="center"/>
                </w:tcPr>
                <w:p w14:paraId="43FBB43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0.0006</w:t>
                  </w:r>
                </w:p>
              </w:tc>
              <w:tc>
                <w:tcPr>
                  <w:tcW w:w="1109" w:type="dxa"/>
                  <w:tcBorders>
                    <w:tl2br w:val="nil"/>
                    <w:tr2bl w:val="nil"/>
                  </w:tcBorders>
                  <w:vAlign w:val="center"/>
                </w:tcPr>
                <w:p w14:paraId="0FE0209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7E61F03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c>
                <w:tcPr>
                  <w:tcW w:w="1109" w:type="dxa"/>
                  <w:tcBorders>
                    <w:tl2br w:val="nil"/>
                    <w:tr2bl w:val="nil"/>
                  </w:tcBorders>
                  <w:vAlign w:val="center"/>
                </w:tcPr>
                <w:p w14:paraId="5696028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0.0006</w:t>
                  </w:r>
                </w:p>
              </w:tc>
              <w:tc>
                <w:tcPr>
                  <w:tcW w:w="1111" w:type="dxa"/>
                  <w:tcBorders>
                    <w:tl2br w:val="nil"/>
                    <w:tr2bl w:val="nil"/>
                  </w:tcBorders>
                  <w:vAlign w:val="center"/>
                </w:tcPr>
                <w:p w14:paraId="0C16118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0.0010</w:t>
                  </w:r>
                </w:p>
              </w:tc>
            </w:tr>
            <w:tr w14:paraId="41D224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48A72208">
                  <w:pPr>
                    <w:pStyle w:val="60"/>
                    <w:rPr>
                      <w:rFonts w:hint="default" w:eastAsia="宋体"/>
                      <w:color w:val="auto"/>
                      <w:sz w:val="18"/>
                      <w:szCs w:val="18"/>
                      <w:lang w:val="en-US" w:eastAsia="zh-CN"/>
                    </w:rPr>
                  </w:pPr>
                  <w:r>
                    <w:rPr>
                      <w:rFonts w:hint="eastAsia"/>
                      <w:color w:val="auto"/>
                      <w:sz w:val="18"/>
                      <w:szCs w:val="18"/>
                      <w:lang w:val="en-US" w:eastAsia="zh-CN"/>
                    </w:rPr>
                    <w:t>11</w:t>
                  </w:r>
                </w:p>
              </w:tc>
              <w:tc>
                <w:tcPr>
                  <w:tcW w:w="1327" w:type="dxa"/>
                  <w:tcBorders>
                    <w:tl2br w:val="nil"/>
                    <w:tr2bl w:val="nil"/>
                  </w:tcBorders>
                  <w:vAlign w:val="center"/>
                </w:tcPr>
                <w:p w14:paraId="7CE9B9CC">
                  <w:pPr>
                    <w:pStyle w:val="60"/>
                    <w:rPr>
                      <w:rFonts w:hint="eastAsia"/>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1,1-二</w:t>
                  </w:r>
                  <w:r>
                    <w:rPr>
                      <w:rFonts w:hint="eastAsia" w:cs="Times New Roman"/>
                      <w:color w:val="auto"/>
                      <w:kern w:val="2"/>
                      <w:sz w:val="18"/>
                      <w:szCs w:val="18"/>
                      <w:lang w:val="en-US" w:eastAsia="zh-CN" w:bidi="ar-SA"/>
                    </w:rPr>
                    <w:t>氯乙烯</w:t>
                  </w:r>
                </w:p>
              </w:tc>
              <w:tc>
                <w:tcPr>
                  <w:tcW w:w="1109" w:type="dxa"/>
                  <w:tcBorders>
                    <w:tl2br w:val="nil"/>
                    <w:tr2bl w:val="nil"/>
                  </w:tcBorders>
                  <w:vAlign w:val="center"/>
                </w:tcPr>
                <w:p w14:paraId="7C292B4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4E53250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0.0001</w:t>
                  </w:r>
                </w:p>
              </w:tc>
              <w:tc>
                <w:tcPr>
                  <w:tcW w:w="1109" w:type="dxa"/>
                  <w:tcBorders>
                    <w:tl2br w:val="nil"/>
                    <w:tr2bl w:val="nil"/>
                  </w:tcBorders>
                  <w:vAlign w:val="center"/>
                </w:tcPr>
                <w:p w14:paraId="6C38B6C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0.0002</w:t>
                  </w:r>
                </w:p>
              </w:tc>
              <w:tc>
                <w:tcPr>
                  <w:tcW w:w="1109" w:type="dxa"/>
                  <w:tcBorders>
                    <w:tl2br w:val="nil"/>
                    <w:tr2bl w:val="nil"/>
                  </w:tcBorders>
                  <w:vAlign w:val="center"/>
                </w:tcPr>
                <w:p w14:paraId="1C21D714">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0.0001</w:t>
                  </w:r>
                </w:p>
              </w:tc>
              <w:tc>
                <w:tcPr>
                  <w:tcW w:w="1109" w:type="dxa"/>
                  <w:tcBorders>
                    <w:tl2br w:val="nil"/>
                    <w:tr2bl w:val="nil"/>
                  </w:tcBorders>
                  <w:vAlign w:val="center"/>
                </w:tcPr>
                <w:p w14:paraId="6B0E5CB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0.0001</w:t>
                  </w:r>
                </w:p>
              </w:tc>
              <w:tc>
                <w:tcPr>
                  <w:tcW w:w="1111" w:type="dxa"/>
                  <w:tcBorders>
                    <w:tl2br w:val="nil"/>
                    <w:tr2bl w:val="nil"/>
                  </w:tcBorders>
                  <w:vAlign w:val="center"/>
                </w:tcPr>
                <w:p w14:paraId="62FDCA6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0.0001</w:t>
                  </w:r>
                </w:p>
              </w:tc>
            </w:tr>
            <w:tr w14:paraId="5CBC99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5F299AC6">
                  <w:pPr>
                    <w:pStyle w:val="60"/>
                    <w:rPr>
                      <w:rFonts w:hint="default" w:eastAsia="宋体"/>
                      <w:color w:val="auto"/>
                      <w:sz w:val="18"/>
                      <w:szCs w:val="18"/>
                      <w:lang w:val="en-US" w:eastAsia="zh-CN"/>
                    </w:rPr>
                  </w:pPr>
                  <w:r>
                    <w:rPr>
                      <w:rFonts w:hint="eastAsia"/>
                      <w:color w:val="auto"/>
                      <w:sz w:val="18"/>
                      <w:szCs w:val="18"/>
                      <w:lang w:val="en-US" w:eastAsia="zh-CN"/>
                    </w:rPr>
                    <w:t>12</w:t>
                  </w:r>
                </w:p>
              </w:tc>
              <w:tc>
                <w:tcPr>
                  <w:tcW w:w="1327" w:type="dxa"/>
                  <w:tcBorders>
                    <w:tl2br w:val="nil"/>
                    <w:tr2bl w:val="nil"/>
                  </w:tcBorders>
                  <w:vAlign w:val="center"/>
                </w:tcPr>
                <w:p w14:paraId="7590FB8B">
                  <w:pPr>
                    <w:pStyle w:val="60"/>
                    <w:rPr>
                      <w:rFonts w:hint="eastAsia"/>
                      <w:color w:val="auto"/>
                      <w:sz w:val="18"/>
                      <w:szCs w:val="18"/>
                      <w:lang w:val="en-US" w:eastAsia="zh-CN"/>
                    </w:rPr>
                  </w:pPr>
                  <w:r>
                    <w:rPr>
                      <w:rFonts w:hint="eastAsia" w:cs="Times New Roman"/>
                      <w:color w:val="auto"/>
                      <w:kern w:val="2"/>
                      <w:sz w:val="18"/>
                      <w:szCs w:val="18"/>
                      <w:lang w:val="en-US" w:eastAsia="zh-CN" w:bidi="ar-SA"/>
                    </w:rPr>
                    <w:t>顺-</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p>
              </w:tc>
              <w:tc>
                <w:tcPr>
                  <w:tcW w:w="1109" w:type="dxa"/>
                  <w:tcBorders>
                    <w:tl2br w:val="nil"/>
                    <w:tr2bl w:val="nil"/>
                  </w:tcBorders>
                  <w:vAlign w:val="center"/>
                </w:tcPr>
                <w:p w14:paraId="7915B36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4.3×10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3EF960F9">
                  <w:pPr>
                    <w:pStyle w:val="60"/>
                    <w:rPr>
                      <w:b w:val="0"/>
                      <w:bCs w:val="0"/>
                      <w:color w:val="auto"/>
                      <w:sz w:val="18"/>
                      <w:szCs w:val="18"/>
                    </w:rPr>
                  </w:pPr>
                  <w:r>
                    <w:rPr>
                      <w:rFonts w:hint="eastAsia"/>
                      <w:b w:val="0"/>
                      <w:bCs w:val="0"/>
                      <w:color w:val="auto"/>
                      <w:sz w:val="18"/>
                      <w:szCs w:val="18"/>
                      <w:lang w:val="en-US" w:eastAsia="zh-CN"/>
                    </w:rPr>
                    <w:t>4.2×10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4223A7E2">
                  <w:pPr>
                    <w:pStyle w:val="60"/>
                    <w:rPr>
                      <w:b w:val="0"/>
                      <w:bCs w:val="0"/>
                      <w:color w:val="auto"/>
                      <w:sz w:val="18"/>
                      <w:szCs w:val="18"/>
                    </w:rPr>
                  </w:pPr>
                  <w:r>
                    <w:rPr>
                      <w:rFonts w:hint="eastAsia"/>
                      <w:b w:val="0"/>
                      <w:bCs w:val="0"/>
                      <w:color w:val="auto"/>
                      <w:sz w:val="18"/>
                      <w:szCs w:val="18"/>
                      <w:lang w:val="en-US" w:eastAsia="zh-CN"/>
                    </w:rPr>
                    <w:t>3.9×10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297345F3">
                  <w:pPr>
                    <w:pStyle w:val="60"/>
                    <w:rPr>
                      <w:b w:val="0"/>
                      <w:bCs w:val="0"/>
                      <w:color w:val="auto"/>
                      <w:sz w:val="18"/>
                      <w:szCs w:val="18"/>
                    </w:rPr>
                  </w:pPr>
                  <w:r>
                    <w:rPr>
                      <w:rFonts w:hint="eastAsia"/>
                      <w:b w:val="0"/>
                      <w:bCs w:val="0"/>
                      <w:color w:val="auto"/>
                      <w:sz w:val="18"/>
                      <w:szCs w:val="18"/>
                      <w:lang w:val="en-US" w:eastAsia="zh-CN"/>
                    </w:rPr>
                    <w:t>4.5×10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16C23C7B">
                  <w:pPr>
                    <w:pStyle w:val="60"/>
                    <w:rPr>
                      <w:b w:val="0"/>
                      <w:bCs w:val="0"/>
                      <w:color w:val="auto"/>
                      <w:sz w:val="18"/>
                      <w:szCs w:val="18"/>
                    </w:rPr>
                  </w:pPr>
                  <w:r>
                    <w:rPr>
                      <w:rFonts w:hint="eastAsia"/>
                      <w:b w:val="0"/>
                      <w:bCs w:val="0"/>
                      <w:color w:val="auto"/>
                      <w:sz w:val="18"/>
                      <w:szCs w:val="18"/>
                      <w:lang w:val="en-US" w:eastAsia="zh-CN"/>
                    </w:rPr>
                    <w:t>5.4×10</w:t>
                  </w:r>
                  <w:r>
                    <w:rPr>
                      <w:rFonts w:hint="eastAsia"/>
                      <w:b w:val="0"/>
                      <w:bCs w:val="0"/>
                      <w:color w:val="auto"/>
                      <w:sz w:val="18"/>
                      <w:szCs w:val="18"/>
                      <w:vertAlign w:val="superscript"/>
                      <w:lang w:val="en-US" w:eastAsia="zh-CN"/>
                    </w:rPr>
                    <w:t>-6</w:t>
                  </w:r>
                </w:p>
              </w:tc>
              <w:tc>
                <w:tcPr>
                  <w:tcW w:w="1111" w:type="dxa"/>
                  <w:tcBorders>
                    <w:tl2br w:val="nil"/>
                    <w:tr2bl w:val="nil"/>
                  </w:tcBorders>
                  <w:vAlign w:val="center"/>
                </w:tcPr>
                <w:p w14:paraId="6904B0A8">
                  <w:pPr>
                    <w:pStyle w:val="60"/>
                    <w:rPr>
                      <w:b w:val="0"/>
                      <w:bCs w:val="0"/>
                      <w:color w:val="auto"/>
                      <w:sz w:val="18"/>
                      <w:szCs w:val="18"/>
                    </w:rPr>
                  </w:pPr>
                  <w:r>
                    <w:rPr>
                      <w:rFonts w:hint="eastAsia"/>
                      <w:b w:val="0"/>
                      <w:bCs w:val="0"/>
                      <w:color w:val="auto"/>
                      <w:sz w:val="18"/>
                      <w:szCs w:val="18"/>
                      <w:lang w:val="en-US" w:eastAsia="zh-CN"/>
                    </w:rPr>
                    <w:t>6.9×10</w:t>
                  </w:r>
                  <w:r>
                    <w:rPr>
                      <w:rFonts w:hint="eastAsia"/>
                      <w:b w:val="0"/>
                      <w:bCs w:val="0"/>
                      <w:color w:val="auto"/>
                      <w:sz w:val="18"/>
                      <w:szCs w:val="18"/>
                      <w:vertAlign w:val="superscript"/>
                      <w:lang w:val="en-US" w:eastAsia="zh-CN"/>
                    </w:rPr>
                    <w:t>-6</w:t>
                  </w:r>
                </w:p>
              </w:tc>
            </w:tr>
            <w:tr w14:paraId="280930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12A34922">
                  <w:pPr>
                    <w:pStyle w:val="60"/>
                    <w:rPr>
                      <w:rFonts w:hint="default" w:eastAsia="宋体"/>
                      <w:color w:val="auto"/>
                      <w:sz w:val="18"/>
                      <w:szCs w:val="18"/>
                      <w:lang w:val="en-US" w:eastAsia="zh-CN"/>
                    </w:rPr>
                  </w:pPr>
                  <w:r>
                    <w:rPr>
                      <w:rFonts w:hint="eastAsia"/>
                      <w:color w:val="auto"/>
                      <w:sz w:val="18"/>
                      <w:szCs w:val="18"/>
                      <w:lang w:val="en-US" w:eastAsia="zh-CN"/>
                    </w:rPr>
                    <w:t>13</w:t>
                  </w:r>
                </w:p>
              </w:tc>
              <w:tc>
                <w:tcPr>
                  <w:tcW w:w="1327" w:type="dxa"/>
                  <w:tcBorders>
                    <w:tl2br w:val="nil"/>
                    <w:tr2bl w:val="nil"/>
                  </w:tcBorders>
                  <w:vAlign w:val="center"/>
                </w:tcPr>
                <w:p w14:paraId="04D4F01D">
                  <w:pPr>
                    <w:pStyle w:val="60"/>
                    <w:rPr>
                      <w:rFonts w:hint="eastAsia"/>
                      <w:color w:val="auto"/>
                      <w:sz w:val="18"/>
                      <w:szCs w:val="18"/>
                      <w:lang w:val="en-US" w:eastAsia="zh-CN"/>
                    </w:rPr>
                  </w:pPr>
                  <w:r>
                    <w:rPr>
                      <w:rFonts w:hint="eastAsia" w:cs="Times New Roman"/>
                      <w:color w:val="auto"/>
                      <w:kern w:val="2"/>
                      <w:sz w:val="18"/>
                      <w:szCs w:val="18"/>
                      <w:lang w:val="en-US" w:eastAsia="zh-CN" w:bidi="ar-SA"/>
                    </w:rPr>
                    <w:t>反-</w:t>
                  </w: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氯乙烯</w:t>
                  </w:r>
                </w:p>
              </w:tc>
              <w:tc>
                <w:tcPr>
                  <w:tcW w:w="1109" w:type="dxa"/>
                  <w:tcBorders>
                    <w:tl2br w:val="nil"/>
                    <w:tr2bl w:val="nil"/>
                  </w:tcBorders>
                  <w:vAlign w:val="center"/>
                </w:tcPr>
                <w:p w14:paraId="56CA7773">
                  <w:pPr>
                    <w:pStyle w:val="60"/>
                    <w:rPr>
                      <w:rFonts w:hint="default"/>
                      <w:b w:val="0"/>
                      <w:bCs w:val="0"/>
                      <w:color w:val="auto"/>
                      <w:sz w:val="18"/>
                      <w:szCs w:val="18"/>
                      <w:lang w:val="en-US"/>
                    </w:rPr>
                  </w:pPr>
                  <w:r>
                    <w:rPr>
                      <w:rFonts w:hint="eastAsia"/>
                      <w:b w:val="0"/>
                      <w:bCs w:val="0"/>
                      <w:color w:val="auto"/>
                      <w:sz w:val="18"/>
                      <w:szCs w:val="18"/>
                      <w:lang w:val="en-US" w:eastAsia="zh-CN"/>
                    </w:rPr>
                    <w:t>6.1×10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0991E3F8">
                  <w:pPr>
                    <w:pStyle w:val="60"/>
                    <w:rPr>
                      <w:rFonts w:hint="default"/>
                      <w:b w:val="0"/>
                      <w:bCs w:val="0"/>
                      <w:color w:val="auto"/>
                      <w:sz w:val="18"/>
                      <w:szCs w:val="18"/>
                      <w:lang w:val="en-US"/>
                    </w:rPr>
                  </w:pPr>
                  <w:r>
                    <w:rPr>
                      <w:rFonts w:hint="eastAsia"/>
                      <w:b w:val="0"/>
                      <w:bCs w:val="0"/>
                      <w:color w:val="auto"/>
                      <w:sz w:val="18"/>
                      <w:szCs w:val="18"/>
                      <w:lang w:val="en-US" w:eastAsia="zh-CN"/>
                    </w:rPr>
                    <w:t>0.0001</w:t>
                  </w:r>
                </w:p>
              </w:tc>
              <w:tc>
                <w:tcPr>
                  <w:tcW w:w="1109" w:type="dxa"/>
                  <w:tcBorders>
                    <w:tl2br w:val="nil"/>
                    <w:tr2bl w:val="nil"/>
                  </w:tcBorders>
                  <w:vAlign w:val="center"/>
                </w:tcPr>
                <w:p w14:paraId="225EE3B3">
                  <w:pPr>
                    <w:pStyle w:val="60"/>
                    <w:rPr>
                      <w:b w:val="0"/>
                      <w:bCs w:val="0"/>
                      <w:color w:val="auto"/>
                      <w:sz w:val="18"/>
                      <w:szCs w:val="18"/>
                    </w:rPr>
                  </w:pPr>
                  <w:r>
                    <w:rPr>
                      <w:rFonts w:hint="eastAsia"/>
                      <w:b w:val="0"/>
                      <w:bCs w:val="0"/>
                      <w:color w:val="auto"/>
                      <w:sz w:val="18"/>
                      <w:szCs w:val="18"/>
                      <w:lang w:val="en-US" w:eastAsia="zh-CN"/>
                    </w:rPr>
                    <w:t>8.1×10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194DB2ED">
                  <w:pPr>
                    <w:pStyle w:val="60"/>
                    <w:rPr>
                      <w:b w:val="0"/>
                      <w:bCs w:val="0"/>
                      <w:color w:val="auto"/>
                      <w:sz w:val="18"/>
                      <w:szCs w:val="18"/>
                    </w:rPr>
                  </w:pPr>
                  <w:r>
                    <w:rPr>
                      <w:rFonts w:hint="eastAsia"/>
                      <w:b w:val="0"/>
                      <w:bCs w:val="0"/>
                      <w:color w:val="auto"/>
                      <w:sz w:val="18"/>
                      <w:szCs w:val="18"/>
                      <w:lang w:val="en-US" w:eastAsia="zh-CN"/>
                    </w:rPr>
                    <w:t>8.1×10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3A215D4B">
                  <w:pPr>
                    <w:pStyle w:val="60"/>
                    <w:rPr>
                      <w:b w:val="0"/>
                      <w:bCs w:val="0"/>
                      <w:color w:val="auto"/>
                      <w:sz w:val="18"/>
                      <w:szCs w:val="18"/>
                    </w:rPr>
                  </w:pPr>
                  <w:r>
                    <w:rPr>
                      <w:rFonts w:hint="eastAsia"/>
                      <w:b w:val="0"/>
                      <w:bCs w:val="0"/>
                      <w:color w:val="auto"/>
                      <w:sz w:val="18"/>
                      <w:szCs w:val="18"/>
                      <w:lang w:val="en-US" w:eastAsia="zh-CN"/>
                    </w:rPr>
                    <w:t>8.7×10</w:t>
                  </w:r>
                  <w:r>
                    <w:rPr>
                      <w:rFonts w:hint="eastAsia"/>
                      <w:b w:val="0"/>
                      <w:bCs w:val="0"/>
                      <w:color w:val="auto"/>
                      <w:sz w:val="18"/>
                      <w:szCs w:val="18"/>
                      <w:vertAlign w:val="superscript"/>
                      <w:lang w:val="en-US" w:eastAsia="zh-CN"/>
                    </w:rPr>
                    <w:t>-5</w:t>
                  </w:r>
                </w:p>
              </w:tc>
              <w:tc>
                <w:tcPr>
                  <w:tcW w:w="1111" w:type="dxa"/>
                  <w:tcBorders>
                    <w:tl2br w:val="nil"/>
                    <w:tr2bl w:val="nil"/>
                  </w:tcBorders>
                  <w:vAlign w:val="center"/>
                </w:tcPr>
                <w:p w14:paraId="11D48DB8">
                  <w:pPr>
                    <w:pStyle w:val="60"/>
                    <w:rPr>
                      <w:b w:val="0"/>
                      <w:bCs w:val="0"/>
                      <w:color w:val="auto"/>
                      <w:sz w:val="18"/>
                      <w:szCs w:val="18"/>
                    </w:rPr>
                  </w:pPr>
                  <w:r>
                    <w:rPr>
                      <w:rFonts w:hint="eastAsia"/>
                      <w:b w:val="0"/>
                      <w:bCs w:val="0"/>
                      <w:color w:val="auto"/>
                      <w:sz w:val="18"/>
                      <w:szCs w:val="18"/>
                      <w:lang w:val="en-US" w:eastAsia="zh-CN"/>
                    </w:rPr>
                    <w:t>6.3×10</w:t>
                  </w:r>
                  <w:r>
                    <w:rPr>
                      <w:rFonts w:hint="eastAsia"/>
                      <w:b w:val="0"/>
                      <w:bCs w:val="0"/>
                      <w:color w:val="auto"/>
                      <w:sz w:val="18"/>
                      <w:szCs w:val="18"/>
                      <w:vertAlign w:val="superscript"/>
                      <w:lang w:val="en-US" w:eastAsia="zh-CN"/>
                    </w:rPr>
                    <w:t>-5</w:t>
                  </w:r>
                </w:p>
              </w:tc>
            </w:tr>
            <w:tr w14:paraId="530B9E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3CE06F28">
                  <w:pPr>
                    <w:pStyle w:val="60"/>
                    <w:rPr>
                      <w:rFonts w:hint="default" w:eastAsia="宋体"/>
                      <w:color w:val="auto"/>
                      <w:sz w:val="18"/>
                      <w:szCs w:val="18"/>
                      <w:lang w:val="en-US" w:eastAsia="zh-CN"/>
                    </w:rPr>
                  </w:pPr>
                  <w:r>
                    <w:rPr>
                      <w:rFonts w:hint="eastAsia"/>
                      <w:color w:val="auto"/>
                      <w:sz w:val="18"/>
                      <w:szCs w:val="18"/>
                      <w:lang w:val="en-US" w:eastAsia="zh-CN"/>
                    </w:rPr>
                    <w:t>14</w:t>
                  </w:r>
                </w:p>
              </w:tc>
              <w:tc>
                <w:tcPr>
                  <w:tcW w:w="1327" w:type="dxa"/>
                  <w:tcBorders>
                    <w:tl2br w:val="nil"/>
                    <w:tr2bl w:val="nil"/>
                  </w:tcBorders>
                  <w:vAlign w:val="center"/>
                </w:tcPr>
                <w:p w14:paraId="1712597C">
                  <w:pPr>
                    <w:pStyle w:val="60"/>
                    <w:rPr>
                      <w:rFonts w:hint="eastAsia"/>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1,</w:t>
                  </w:r>
                  <w:r>
                    <w:rPr>
                      <w:rFonts w:hint="eastAsia"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en-US" w:eastAsia="zh-CN" w:bidi="ar-SA"/>
                    </w:rPr>
                    <w:t>-二</w:t>
                  </w:r>
                  <w:r>
                    <w:rPr>
                      <w:rFonts w:hint="eastAsia" w:cs="Times New Roman"/>
                      <w:color w:val="auto"/>
                      <w:kern w:val="2"/>
                      <w:sz w:val="18"/>
                      <w:szCs w:val="18"/>
                      <w:lang w:val="en-US" w:eastAsia="zh-CN" w:bidi="ar-SA"/>
                    </w:rPr>
                    <w:t>氯丙烷</w:t>
                  </w:r>
                </w:p>
              </w:tc>
              <w:tc>
                <w:tcPr>
                  <w:tcW w:w="1109" w:type="dxa"/>
                  <w:tcBorders>
                    <w:tl2br w:val="nil"/>
                    <w:tr2bl w:val="nil"/>
                  </w:tcBorders>
                  <w:vAlign w:val="center"/>
                </w:tcPr>
                <w:p w14:paraId="73214E7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07D01F4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40DD578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699CB1D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0BC37DE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11" w:type="dxa"/>
                  <w:tcBorders>
                    <w:tl2br w:val="nil"/>
                    <w:tr2bl w:val="nil"/>
                  </w:tcBorders>
                  <w:vAlign w:val="center"/>
                </w:tcPr>
                <w:p w14:paraId="22E8484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0.0004</w:t>
                  </w:r>
                </w:p>
              </w:tc>
            </w:tr>
            <w:tr w14:paraId="56284E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85EF92C">
                  <w:pPr>
                    <w:pStyle w:val="60"/>
                    <w:rPr>
                      <w:rFonts w:hint="default" w:eastAsia="宋体"/>
                      <w:color w:val="auto"/>
                      <w:sz w:val="18"/>
                      <w:szCs w:val="18"/>
                      <w:lang w:val="en-US" w:eastAsia="zh-CN"/>
                    </w:rPr>
                  </w:pPr>
                  <w:r>
                    <w:rPr>
                      <w:rFonts w:hint="eastAsia"/>
                      <w:color w:val="auto"/>
                      <w:sz w:val="18"/>
                      <w:szCs w:val="18"/>
                      <w:lang w:val="en-US" w:eastAsia="zh-CN"/>
                    </w:rPr>
                    <w:t>15</w:t>
                  </w:r>
                </w:p>
              </w:tc>
              <w:tc>
                <w:tcPr>
                  <w:tcW w:w="1327" w:type="dxa"/>
                  <w:tcBorders>
                    <w:tl2br w:val="nil"/>
                    <w:tr2bl w:val="nil"/>
                  </w:tcBorders>
                  <w:vAlign w:val="center"/>
                </w:tcPr>
                <w:p w14:paraId="2BF9836E">
                  <w:pPr>
                    <w:pStyle w:val="60"/>
                    <w:rPr>
                      <w:rFonts w:hint="eastAsia"/>
                      <w:color w:val="auto"/>
                      <w:sz w:val="18"/>
                      <w:szCs w:val="18"/>
                      <w:lang w:val="en-US" w:eastAsia="zh-CN"/>
                    </w:rPr>
                  </w:pPr>
                  <w:r>
                    <w:rPr>
                      <w:rFonts w:hint="eastAsia" w:cs="Times New Roman"/>
                      <w:color w:val="auto"/>
                      <w:kern w:val="2"/>
                      <w:sz w:val="18"/>
                      <w:szCs w:val="18"/>
                      <w:lang w:val="en-US" w:eastAsia="zh-CN" w:bidi="ar-SA"/>
                    </w:rPr>
                    <w:t>四氯乙烯</w:t>
                  </w:r>
                </w:p>
              </w:tc>
              <w:tc>
                <w:tcPr>
                  <w:tcW w:w="1109" w:type="dxa"/>
                  <w:tcBorders>
                    <w:tl2br w:val="nil"/>
                    <w:tr2bl w:val="nil"/>
                  </w:tcBorders>
                  <w:vAlign w:val="center"/>
                </w:tcPr>
                <w:p w14:paraId="5D2FAF8F">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0.0005</w:t>
                  </w:r>
                </w:p>
              </w:tc>
              <w:tc>
                <w:tcPr>
                  <w:tcW w:w="1109" w:type="dxa"/>
                  <w:tcBorders>
                    <w:tl2br w:val="nil"/>
                    <w:tr2bl w:val="nil"/>
                  </w:tcBorders>
                  <w:vAlign w:val="center"/>
                </w:tcPr>
                <w:p w14:paraId="0822106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w:t>
                  </w:r>
                </w:p>
              </w:tc>
              <w:tc>
                <w:tcPr>
                  <w:tcW w:w="1109" w:type="dxa"/>
                  <w:tcBorders>
                    <w:tl2br w:val="nil"/>
                    <w:tr2bl w:val="nil"/>
                  </w:tcBorders>
                  <w:vAlign w:val="center"/>
                </w:tcPr>
                <w:p w14:paraId="3FD2AC1A">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0.0003</w:t>
                  </w:r>
                </w:p>
              </w:tc>
              <w:tc>
                <w:tcPr>
                  <w:tcW w:w="1109" w:type="dxa"/>
                  <w:tcBorders>
                    <w:tl2br w:val="nil"/>
                    <w:tr2bl w:val="nil"/>
                  </w:tcBorders>
                  <w:vAlign w:val="center"/>
                </w:tcPr>
                <w:p w14:paraId="22982682">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0.0002</w:t>
                  </w:r>
                </w:p>
              </w:tc>
              <w:tc>
                <w:tcPr>
                  <w:tcW w:w="1109" w:type="dxa"/>
                  <w:tcBorders>
                    <w:tl2br w:val="nil"/>
                    <w:tr2bl w:val="nil"/>
                  </w:tcBorders>
                  <w:vAlign w:val="center"/>
                </w:tcPr>
                <w:p w14:paraId="7C2B707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w:t>
                  </w:r>
                </w:p>
              </w:tc>
              <w:tc>
                <w:tcPr>
                  <w:tcW w:w="1111" w:type="dxa"/>
                  <w:tcBorders>
                    <w:tl2br w:val="nil"/>
                    <w:tr2bl w:val="nil"/>
                  </w:tcBorders>
                  <w:vAlign w:val="center"/>
                </w:tcPr>
                <w:p w14:paraId="748C887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0.0005</w:t>
                  </w:r>
                </w:p>
              </w:tc>
            </w:tr>
            <w:tr w14:paraId="49A3F5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0628857">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1327" w:type="dxa"/>
                  <w:tcBorders>
                    <w:tl2br w:val="nil"/>
                    <w:tr2bl w:val="nil"/>
                  </w:tcBorders>
                  <w:vAlign w:val="center"/>
                </w:tcPr>
                <w:p w14:paraId="6C1391FA">
                  <w:pPr>
                    <w:pStyle w:val="60"/>
                    <w:rPr>
                      <w:rFonts w:hint="eastAsia"/>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三氯</w:t>
                  </w:r>
                  <w:r>
                    <w:rPr>
                      <w:rFonts w:hint="default" w:ascii="Times New Roman" w:hAnsi="Times New Roman" w:eastAsia="宋体" w:cs="Times New Roman"/>
                      <w:color w:val="auto"/>
                      <w:kern w:val="2"/>
                      <w:sz w:val="18"/>
                      <w:szCs w:val="18"/>
                      <w:lang w:val="en-US" w:eastAsia="zh-CN" w:bidi="ar-SA"/>
                    </w:rPr>
                    <w:t>乙烷</w:t>
                  </w:r>
                </w:p>
              </w:tc>
              <w:tc>
                <w:tcPr>
                  <w:tcW w:w="1109" w:type="dxa"/>
                  <w:tcBorders>
                    <w:tl2br w:val="nil"/>
                    <w:tr2bl w:val="nil"/>
                  </w:tcBorders>
                  <w:vAlign w:val="center"/>
                </w:tcPr>
                <w:p w14:paraId="04BEFE1D">
                  <w:pPr>
                    <w:pStyle w:val="60"/>
                    <w:rPr>
                      <w:b w:val="0"/>
                      <w:bCs w:val="0"/>
                      <w:color w:val="auto"/>
                      <w:sz w:val="18"/>
                      <w:szCs w:val="18"/>
                    </w:rPr>
                  </w:pPr>
                  <w:r>
                    <w:rPr>
                      <w:rFonts w:hint="eastAsia"/>
                      <w:b w:val="0"/>
                      <w:bCs w:val="0"/>
                      <w:color w:val="auto"/>
                      <w:sz w:val="18"/>
                      <w:szCs w:val="18"/>
                      <w:lang w:val="en-US" w:eastAsia="zh-CN"/>
                    </w:rPr>
                    <w:t>7.7×10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78D345EE">
                  <w:pPr>
                    <w:pStyle w:val="60"/>
                    <w:rPr>
                      <w:rFonts w:hint="default"/>
                      <w:b w:val="0"/>
                      <w:bCs w:val="0"/>
                      <w:color w:val="auto"/>
                      <w:sz w:val="18"/>
                      <w:szCs w:val="18"/>
                      <w:lang w:val="en-US"/>
                    </w:rPr>
                  </w:pPr>
                  <w:r>
                    <w:rPr>
                      <w:rFonts w:hint="eastAsia"/>
                      <w:b w:val="0"/>
                      <w:bCs w:val="0"/>
                      <w:color w:val="auto"/>
                      <w:sz w:val="18"/>
                      <w:szCs w:val="18"/>
                      <w:lang w:val="en-US" w:eastAsia="zh-CN"/>
                    </w:rPr>
                    <w:t>1.1×10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708CD072">
                  <w:pPr>
                    <w:pStyle w:val="60"/>
                    <w:rPr>
                      <w:b w:val="0"/>
                      <w:bCs w:val="0"/>
                      <w:color w:val="auto"/>
                      <w:sz w:val="18"/>
                      <w:szCs w:val="18"/>
                    </w:rPr>
                  </w:pPr>
                  <w:r>
                    <w:rPr>
                      <w:rFonts w:hint="eastAsia"/>
                      <w:b w:val="0"/>
                      <w:bCs w:val="0"/>
                      <w:color w:val="auto"/>
                      <w:sz w:val="18"/>
                      <w:szCs w:val="18"/>
                      <w:lang w:val="en-US" w:eastAsia="zh-CN"/>
                    </w:rPr>
                    <w:t>9.2×10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497735F9">
                  <w:pPr>
                    <w:pStyle w:val="60"/>
                    <w:rPr>
                      <w:rFonts w:hint="default"/>
                      <w:b w:val="0"/>
                      <w:bCs w:val="0"/>
                      <w:color w:val="auto"/>
                      <w:sz w:val="18"/>
                      <w:szCs w:val="18"/>
                      <w:lang w:val="en-US"/>
                    </w:rPr>
                  </w:pPr>
                  <w:r>
                    <w:rPr>
                      <w:rFonts w:hint="eastAsia"/>
                      <w:b w:val="0"/>
                      <w:bCs w:val="0"/>
                      <w:color w:val="auto"/>
                      <w:sz w:val="18"/>
                      <w:szCs w:val="18"/>
                      <w:lang w:val="en-US" w:eastAsia="zh-CN"/>
                    </w:rPr>
                    <w:t>1.0×10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0238A8E1">
                  <w:pPr>
                    <w:pStyle w:val="60"/>
                    <w:rPr>
                      <w:b w:val="0"/>
                      <w:bCs w:val="0"/>
                      <w:color w:val="auto"/>
                      <w:sz w:val="18"/>
                      <w:szCs w:val="18"/>
                    </w:rPr>
                  </w:pPr>
                  <w:r>
                    <w:rPr>
                      <w:rFonts w:hint="eastAsia"/>
                      <w:b w:val="0"/>
                      <w:bCs w:val="0"/>
                      <w:color w:val="auto"/>
                      <w:sz w:val="18"/>
                      <w:szCs w:val="18"/>
                      <w:lang w:val="en-US" w:eastAsia="zh-CN"/>
                    </w:rPr>
                    <w:t>9.4×10</w:t>
                  </w:r>
                  <w:r>
                    <w:rPr>
                      <w:rFonts w:hint="eastAsia"/>
                      <w:b w:val="0"/>
                      <w:bCs w:val="0"/>
                      <w:color w:val="auto"/>
                      <w:sz w:val="18"/>
                      <w:szCs w:val="18"/>
                      <w:vertAlign w:val="superscript"/>
                      <w:lang w:val="en-US" w:eastAsia="zh-CN"/>
                    </w:rPr>
                    <w:t>-6</w:t>
                  </w:r>
                </w:p>
              </w:tc>
              <w:tc>
                <w:tcPr>
                  <w:tcW w:w="1111" w:type="dxa"/>
                  <w:tcBorders>
                    <w:tl2br w:val="nil"/>
                    <w:tr2bl w:val="nil"/>
                  </w:tcBorders>
                  <w:vAlign w:val="center"/>
                </w:tcPr>
                <w:p w14:paraId="1C850773">
                  <w:pPr>
                    <w:pStyle w:val="60"/>
                    <w:rPr>
                      <w:b w:val="0"/>
                      <w:bCs w:val="0"/>
                      <w:color w:val="auto"/>
                      <w:sz w:val="18"/>
                      <w:szCs w:val="18"/>
                    </w:rPr>
                  </w:pPr>
                  <w:r>
                    <w:rPr>
                      <w:rFonts w:hint="eastAsia"/>
                      <w:b w:val="0"/>
                      <w:bCs w:val="0"/>
                      <w:color w:val="auto"/>
                      <w:sz w:val="18"/>
                      <w:szCs w:val="18"/>
                      <w:lang w:val="en-US" w:eastAsia="zh-CN"/>
                    </w:rPr>
                    <w:t>8.9×10</w:t>
                  </w:r>
                  <w:r>
                    <w:rPr>
                      <w:rFonts w:hint="eastAsia"/>
                      <w:b w:val="0"/>
                      <w:bCs w:val="0"/>
                      <w:color w:val="auto"/>
                      <w:sz w:val="18"/>
                      <w:szCs w:val="18"/>
                      <w:vertAlign w:val="superscript"/>
                      <w:lang w:val="en-US" w:eastAsia="zh-CN"/>
                    </w:rPr>
                    <w:t>-6</w:t>
                  </w:r>
                </w:p>
              </w:tc>
            </w:tr>
            <w:tr w14:paraId="39B4C7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0F4F5558">
                  <w:pPr>
                    <w:pStyle w:val="60"/>
                    <w:rPr>
                      <w:rFonts w:hint="default" w:eastAsia="宋体"/>
                      <w:color w:val="auto"/>
                      <w:sz w:val="18"/>
                      <w:szCs w:val="18"/>
                      <w:lang w:val="en-US" w:eastAsia="zh-CN"/>
                    </w:rPr>
                  </w:pPr>
                  <w:r>
                    <w:rPr>
                      <w:rFonts w:hint="eastAsia"/>
                      <w:color w:val="auto"/>
                      <w:sz w:val="18"/>
                      <w:szCs w:val="18"/>
                      <w:lang w:val="en-US" w:eastAsia="zh-CN"/>
                    </w:rPr>
                    <w:t>17</w:t>
                  </w:r>
                </w:p>
              </w:tc>
              <w:tc>
                <w:tcPr>
                  <w:tcW w:w="1327" w:type="dxa"/>
                  <w:tcBorders>
                    <w:tl2br w:val="nil"/>
                    <w:tr2bl w:val="nil"/>
                  </w:tcBorders>
                  <w:vAlign w:val="center"/>
                </w:tcPr>
                <w:p w14:paraId="6FB545CD">
                  <w:pPr>
                    <w:pStyle w:val="60"/>
                    <w:rPr>
                      <w:rFonts w:hint="eastAsia"/>
                      <w:color w:val="auto"/>
                      <w:sz w:val="18"/>
                      <w:szCs w:val="18"/>
                      <w:lang w:val="en-US" w:eastAsia="zh-CN"/>
                    </w:rPr>
                  </w:pPr>
                  <w:r>
                    <w:rPr>
                      <w:rFonts w:hint="eastAsia" w:cs="Times New Roman"/>
                      <w:color w:val="auto"/>
                      <w:kern w:val="2"/>
                      <w:sz w:val="18"/>
                      <w:szCs w:val="18"/>
                      <w:lang w:val="en-US" w:eastAsia="zh-CN" w:bidi="ar-SA"/>
                    </w:rPr>
                    <w:t>三氯乙烯</w:t>
                  </w:r>
                </w:p>
              </w:tc>
              <w:tc>
                <w:tcPr>
                  <w:tcW w:w="1109" w:type="dxa"/>
                  <w:tcBorders>
                    <w:tl2br w:val="nil"/>
                    <w:tr2bl w:val="nil"/>
                  </w:tcBorders>
                  <w:vAlign w:val="center"/>
                </w:tcPr>
                <w:p w14:paraId="27D1A0F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0.0013</w:t>
                  </w:r>
                </w:p>
              </w:tc>
              <w:tc>
                <w:tcPr>
                  <w:tcW w:w="1109" w:type="dxa"/>
                  <w:tcBorders>
                    <w:tl2br w:val="nil"/>
                    <w:tr2bl w:val="nil"/>
                  </w:tcBorders>
                  <w:vAlign w:val="center"/>
                </w:tcPr>
                <w:p w14:paraId="1B4F0C0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0.0016</w:t>
                  </w:r>
                </w:p>
              </w:tc>
              <w:tc>
                <w:tcPr>
                  <w:tcW w:w="1109" w:type="dxa"/>
                  <w:tcBorders>
                    <w:tl2br w:val="nil"/>
                    <w:tr2bl w:val="nil"/>
                  </w:tcBorders>
                  <w:vAlign w:val="center"/>
                </w:tcPr>
                <w:p w14:paraId="7A6DEF2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0.0015</w:t>
                  </w:r>
                </w:p>
              </w:tc>
              <w:tc>
                <w:tcPr>
                  <w:tcW w:w="1109" w:type="dxa"/>
                  <w:tcBorders>
                    <w:tl2br w:val="nil"/>
                    <w:tr2bl w:val="nil"/>
                  </w:tcBorders>
                  <w:vAlign w:val="center"/>
                </w:tcPr>
                <w:p w14:paraId="6D6747E3">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0.0017</w:t>
                  </w:r>
                </w:p>
              </w:tc>
              <w:tc>
                <w:tcPr>
                  <w:tcW w:w="1109" w:type="dxa"/>
                  <w:tcBorders>
                    <w:tl2br w:val="nil"/>
                    <w:tr2bl w:val="nil"/>
                  </w:tcBorders>
                  <w:vAlign w:val="center"/>
                </w:tcPr>
                <w:p w14:paraId="3A9B072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0.0016</w:t>
                  </w:r>
                </w:p>
              </w:tc>
              <w:tc>
                <w:tcPr>
                  <w:tcW w:w="1111" w:type="dxa"/>
                  <w:tcBorders>
                    <w:tl2br w:val="nil"/>
                    <w:tr2bl w:val="nil"/>
                  </w:tcBorders>
                  <w:vAlign w:val="center"/>
                </w:tcPr>
                <w:p w14:paraId="46A96F4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0.0021</w:t>
                  </w:r>
                </w:p>
              </w:tc>
            </w:tr>
            <w:tr w14:paraId="1E0103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4486B9FE">
                  <w:pPr>
                    <w:pStyle w:val="60"/>
                    <w:rPr>
                      <w:rFonts w:hint="default" w:eastAsia="宋体"/>
                      <w:color w:val="auto"/>
                      <w:sz w:val="18"/>
                      <w:szCs w:val="18"/>
                      <w:lang w:val="en-US" w:eastAsia="zh-CN"/>
                    </w:rPr>
                  </w:pPr>
                  <w:r>
                    <w:rPr>
                      <w:rFonts w:hint="eastAsia"/>
                      <w:color w:val="auto"/>
                      <w:sz w:val="18"/>
                      <w:szCs w:val="18"/>
                      <w:lang w:val="en-US" w:eastAsia="zh-CN"/>
                    </w:rPr>
                    <w:t>18</w:t>
                  </w:r>
                </w:p>
              </w:tc>
              <w:tc>
                <w:tcPr>
                  <w:tcW w:w="1327" w:type="dxa"/>
                  <w:tcBorders>
                    <w:tl2br w:val="nil"/>
                    <w:tr2bl w:val="nil"/>
                  </w:tcBorders>
                  <w:vAlign w:val="center"/>
                </w:tcPr>
                <w:p w14:paraId="6577862C">
                  <w:pPr>
                    <w:pStyle w:val="60"/>
                    <w:rPr>
                      <w:rFonts w:hint="eastAsia"/>
                      <w:color w:val="auto"/>
                      <w:sz w:val="18"/>
                      <w:szCs w:val="18"/>
                      <w:lang w:val="en-US" w:eastAsia="zh-CN"/>
                    </w:rPr>
                  </w:pPr>
                  <w:r>
                    <w:rPr>
                      <w:rFonts w:hint="eastAsia" w:cs="Times New Roman"/>
                      <w:color w:val="auto"/>
                      <w:kern w:val="2"/>
                      <w:sz w:val="18"/>
                      <w:szCs w:val="18"/>
                      <w:lang w:val="en-US" w:eastAsia="zh-CN" w:bidi="ar-SA"/>
                    </w:rPr>
                    <w:t>苯</w:t>
                  </w:r>
                </w:p>
              </w:tc>
              <w:tc>
                <w:tcPr>
                  <w:tcW w:w="1109" w:type="dxa"/>
                  <w:tcBorders>
                    <w:tl2br w:val="nil"/>
                    <w:tr2bl w:val="nil"/>
                  </w:tcBorders>
                  <w:vAlign w:val="center"/>
                </w:tcPr>
                <w:p w14:paraId="00862CD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0.0006</w:t>
                  </w:r>
                </w:p>
              </w:tc>
              <w:tc>
                <w:tcPr>
                  <w:tcW w:w="1109" w:type="dxa"/>
                  <w:tcBorders>
                    <w:tl2br w:val="nil"/>
                    <w:tr2bl w:val="nil"/>
                  </w:tcBorders>
                  <w:vAlign w:val="center"/>
                </w:tcPr>
                <w:p w14:paraId="34F4A3A1">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0.0009</w:t>
                  </w:r>
                </w:p>
              </w:tc>
              <w:tc>
                <w:tcPr>
                  <w:tcW w:w="1109" w:type="dxa"/>
                  <w:tcBorders>
                    <w:tl2br w:val="nil"/>
                    <w:tr2bl w:val="nil"/>
                  </w:tcBorders>
                  <w:vAlign w:val="center"/>
                </w:tcPr>
                <w:p w14:paraId="58911739">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0.0006</w:t>
                  </w:r>
                </w:p>
              </w:tc>
              <w:tc>
                <w:tcPr>
                  <w:tcW w:w="1109" w:type="dxa"/>
                  <w:tcBorders>
                    <w:tl2br w:val="nil"/>
                    <w:tr2bl w:val="nil"/>
                  </w:tcBorders>
                  <w:vAlign w:val="center"/>
                </w:tcPr>
                <w:p w14:paraId="0054E07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0.0007</w:t>
                  </w:r>
                </w:p>
              </w:tc>
              <w:tc>
                <w:tcPr>
                  <w:tcW w:w="1109" w:type="dxa"/>
                  <w:tcBorders>
                    <w:tl2br w:val="nil"/>
                    <w:tr2bl w:val="nil"/>
                  </w:tcBorders>
                  <w:vAlign w:val="center"/>
                </w:tcPr>
                <w:p w14:paraId="718E1A9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0.0008</w:t>
                  </w:r>
                </w:p>
              </w:tc>
              <w:tc>
                <w:tcPr>
                  <w:tcW w:w="1111" w:type="dxa"/>
                  <w:tcBorders>
                    <w:tl2br w:val="nil"/>
                    <w:tr2bl w:val="nil"/>
                  </w:tcBorders>
                  <w:vAlign w:val="center"/>
                </w:tcPr>
                <w:p w14:paraId="7782DD2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0.0009</w:t>
                  </w:r>
                </w:p>
              </w:tc>
            </w:tr>
            <w:tr w14:paraId="3C3D71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7C11142D">
                  <w:pPr>
                    <w:pStyle w:val="60"/>
                    <w:rPr>
                      <w:rFonts w:hint="default" w:eastAsia="宋体"/>
                      <w:color w:val="auto"/>
                      <w:sz w:val="18"/>
                      <w:szCs w:val="18"/>
                      <w:lang w:val="en-US" w:eastAsia="zh-CN"/>
                    </w:rPr>
                  </w:pPr>
                  <w:r>
                    <w:rPr>
                      <w:rFonts w:hint="eastAsia"/>
                      <w:color w:val="auto"/>
                      <w:sz w:val="18"/>
                      <w:szCs w:val="18"/>
                      <w:lang w:val="en-US" w:eastAsia="zh-CN"/>
                    </w:rPr>
                    <w:t>19</w:t>
                  </w:r>
                </w:p>
              </w:tc>
              <w:tc>
                <w:tcPr>
                  <w:tcW w:w="1327" w:type="dxa"/>
                  <w:tcBorders>
                    <w:tl2br w:val="nil"/>
                    <w:tr2bl w:val="nil"/>
                  </w:tcBorders>
                  <w:vAlign w:val="center"/>
                </w:tcPr>
                <w:p w14:paraId="3B311B6D">
                  <w:pPr>
                    <w:pStyle w:val="60"/>
                    <w:rPr>
                      <w:rFonts w:hint="eastAsia"/>
                      <w:color w:val="auto"/>
                      <w:sz w:val="18"/>
                      <w:szCs w:val="18"/>
                      <w:lang w:val="en-US" w:eastAsia="zh-CN"/>
                    </w:rPr>
                  </w:pPr>
                  <w:r>
                    <w:rPr>
                      <w:rFonts w:hint="eastAsia" w:cs="Times New Roman"/>
                      <w:color w:val="auto"/>
                      <w:kern w:val="2"/>
                      <w:sz w:val="18"/>
                      <w:szCs w:val="18"/>
                      <w:lang w:val="en-US" w:eastAsia="zh-CN" w:bidi="ar-SA"/>
                    </w:rPr>
                    <w:t>氯乙烯</w:t>
                  </w:r>
                </w:p>
              </w:tc>
              <w:tc>
                <w:tcPr>
                  <w:tcW w:w="1109" w:type="dxa"/>
                  <w:tcBorders>
                    <w:tl2br w:val="nil"/>
                    <w:tr2bl w:val="nil"/>
                  </w:tcBorders>
                  <w:vAlign w:val="center"/>
                </w:tcPr>
                <w:p w14:paraId="43A9A10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0.003</w:t>
                  </w:r>
                </w:p>
              </w:tc>
              <w:tc>
                <w:tcPr>
                  <w:tcW w:w="1109" w:type="dxa"/>
                  <w:tcBorders>
                    <w:tl2br w:val="nil"/>
                    <w:tr2bl w:val="nil"/>
                  </w:tcBorders>
                  <w:vAlign w:val="center"/>
                </w:tcPr>
                <w:p w14:paraId="6E63EDE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09" w:type="dxa"/>
                  <w:tcBorders>
                    <w:tl2br w:val="nil"/>
                    <w:tr2bl w:val="nil"/>
                  </w:tcBorders>
                  <w:vAlign w:val="center"/>
                </w:tcPr>
                <w:p w14:paraId="7C043E5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0.002</w:t>
                  </w:r>
                </w:p>
              </w:tc>
              <w:tc>
                <w:tcPr>
                  <w:tcW w:w="1109" w:type="dxa"/>
                  <w:tcBorders>
                    <w:tl2br w:val="nil"/>
                    <w:tr2bl w:val="nil"/>
                  </w:tcBorders>
                  <w:vAlign w:val="center"/>
                </w:tcPr>
                <w:p w14:paraId="75036C5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w:t>
                  </w:r>
                </w:p>
              </w:tc>
              <w:tc>
                <w:tcPr>
                  <w:tcW w:w="1109" w:type="dxa"/>
                  <w:tcBorders>
                    <w:tl2br w:val="nil"/>
                    <w:tr2bl w:val="nil"/>
                  </w:tcBorders>
                  <w:vAlign w:val="center"/>
                </w:tcPr>
                <w:p w14:paraId="12E8B30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11" w:type="dxa"/>
                  <w:tcBorders>
                    <w:tl2br w:val="nil"/>
                    <w:tr2bl w:val="nil"/>
                  </w:tcBorders>
                  <w:vAlign w:val="center"/>
                </w:tcPr>
                <w:p w14:paraId="66C079D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w:t>
                  </w:r>
                </w:p>
              </w:tc>
            </w:tr>
            <w:tr w14:paraId="07B155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shd w:val="clear" w:color="auto" w:fill="auto"/>
                  <w:vAlign w:val="center"/>
                </w:tcPr>
                <w:p w14:paraId="6C526F6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c>
                <w:tcPr>
                  <w:tcW w:w="1327" w:type="dxa"/>
                  <w:tcBorders>
                    <w:tl2br w:val="nil"/>
                    <w:tr2bl w:val="nil"/>
                  </w:tcBorders>
                  <w:vAlign w:val="center"/>
                </w:tcPr>
                <w:p w14:paraId="4618FCD7">
                  <w:pPr>
                    <w:pStyle w:val="6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乙苯</w:t>
                  </w:r>
                </w:p>
              </w:tc>
              <w:tc>
                <w:tcPr>
                  <w:tcW w:w="1109" w:type="dxa"/>
                  <w:tcBorders>
                    <w:tl2br w:val="nil"/>
                    <w:tr2bl w:val="nil"/>
                  </w:tcBorders>
                  <w:vAlign w:val="center"/>
                </w:tcPr>
                <w:p w14:paraId="64BC11C8">
                  <w:pPr>
                    <w:pStyle w:val="60"/>
                    <w:rPr>
                      <w:rFonts w:hint="default"/>
                      <w:b w:val="0"/>
                      <w:bCs w:val="0"/>
                      <w:color w:val="auto"/>
                      <w:sz w:val="18"/>
                      <w:szCs w:val="18"/>
                      <w:lang w:val="en-US" w:eastAsia="zh-CN"/>
                    </w:rPr>
                  </w:pPr>
                  <w:r>
                    <w:rPr>
                      <w:rFonts w:hint="eastAsia"/>
                      <w:b w:val="0"/>
                      <w:bCs w:val="0"/>
                      <w:color w:val="auto"/>
                      <w:sz w:val="18"/>
                      <w:szCs w:val="18"/>
                      <w:lang w:val="en-US" w:eastAsia="zh-CN"/>
                    </w:rPr>
                    <w:t>--</w:t>
                  </w:r>
                </w:p>
              </w:tc>
              <w:tc>
                <w:tcPr>
                  <w:tcW w:w="1109" w:type="dxa"/>
                  <w:tcBorders>
                    <w:tl2br w:val="nil"/>
                    <w:tr2bl w:val="nil"/>
                  </w:tcBorders>
                  <w:vAlign w:val="center"/>
                </w:tcPr>
                <w:p w14:paraId="13333E13">
                  <w:pPr>
                    <w:pStyle w:val="60"/>
                    <w:rPr>
                      <w:rFonts w:hint="eastAsia"/>
                      <w:b w:val="0"/>
                      <w:bCs w:val="0"/>
                      <w:color w:val="auto"/>
                      <w:sz w:val="18"/>
                      <w:szCs w:val="18"/>
                      <w:lang w:val="en-US" w:eastAsia="zh-CN"/>
                    </w:rPr>
                  </w:pPr>
                  <w:r>
                    <w:rPr>
                      <w:rFonts w:hint="eastAsia"/>
                      <w:b w:val="0"/>
                      <w:bCs w:val="0"/>
                      <w:color w:val="auto"/>
                      <w:sz w:val="18"/>
                      <w:szCs w:val="18"/>
                      <w:lang w:val="en-US" w:eastAsia="zh-CN"/>
                    </w:rPr>
                    <w:t>6.1×10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12E29F0C">
                  <w:pPr>
                    <w:pStyle w:val="60"/>
                    <w:rPr>
                      <w:rFonts w:hint="default"/>
                      <w:b w:val="0"/>
                      <w:bCs w:val="0"/>
                      <w:color w:val="auto"/>
                      <w:sz w:val="18"/>
                      <w:szCs w:val="18"/>
                      <w:lang w:val="en-US" w:eastAsia="zh-CN"/>
                    </w:rPr>
                  </w:pPr>
                  <w:r>
                    <w:rPr>
                      <w:rFonts w:hint="eastAsia"/>
                      <w:b w:val="0"/>
                      <w:bCs w:val="0"/>
                      <w:color w:val="auto"/>
                      <w:sz w:val="18"/>
                      <w:szCs w:val="18"/>
                      <w:lang w:val="en-US" w:eastAsia="zh-CN"/>
                    </w:rPr>
                    <w:t>--</w:t>
                  </w:r>
                </w:p>
              </w:tc>
              <w:tc>
                <w:tcPr>
                  <w:tcW w:w="1109" w:type="dxa"/>
                  <w:tcBorders>
                    <w:tl2br w:val="nil"/>
                    <w:tr2bl w:val="nil"/>
                  </w:tcBorders>
                  <w:vAlign w:val="center"/>
                </w:tcPr>
                <w:p w14:paraId="37510F30">
                  <w:pPr>
                    <w:pStyle w:val="60"/>
                    <w:rPr>
                      <w:rFonts w:hint="eastAsia"/>
                      <w:b w:val="0"/>
                      <w:bCs w:val="0"/>
                      <w:color w:val="auto"/>
                      <w:sz w:val="18"/>
                      <w:szCs w:val="18"/>
                      <w:lang w:val="en-US" w:eastAsia="zh-CN"/>
                    </w:rPr>
                  </w:pPr>
                  <w:r>
                    <w:rPr>
                      <w:rFonts w:hint="eastAsia"/>
                      <w:b w:val="0"/>
                      <w:bCs w:val="0"/>
                      <w:color w:val="auto"/>
                      <w:sz w:val="18"/>
                      <w:szCs w:val="18"/>
                      <w:lang w:val="en-US" w:eastAsia="zh-CN"/>
                    </w:rPr>
                    <w:t>4.6×10</w:t>
                  </w:r>
                  <w:r>
                    <w:rPr>
                      <w:rFonts w:hint="eastAsia"/>
                      <w:b w:val="0"/>
                      <w:bCs w:val="0"/>
                      <w:color w:val="auto"/>
                      <w:sz w:val="18"/>
                      <w:szCs w:val="18"/>
                      <w:vertAlign w:val="superscript"/>
                      <w:lang w:val="en-US" w:eastAsia="zh-CN"/>
                    </w:rPr>
                    <w:t>-5</w:t>
                  </w:r>
                </w:p>
              </w:tc>
              <w:tc>
                <w:tcPr>
                  <w:tcW w:w="1109" w:type="dxa"/>
                  <w:tcBorders>
                    <w:tl2br w:val="nil"/>
                    <w:tr2bl w:val="nil"/>
                  </w:tcBorders>
                  <w:vAlign w:val="center"/>
                </w:tcPr>
                <w:p w14:paraId="17F4C158">
                  <w:pPr>
                    <w:pStyle w:val="60"/>
                    <w:rPr>
                      <w:rFonts w:hint="default"/>
                      <w:b w:val="0"/>
                      <w:bCs w:val="0"/>
                      <w:color w:val="auto"/>
                      <w:sz w:val="18"/>
                      <w:szCs w:val="18"/>
                      <w:lang w:val="en-US" w:eastAsia="zh-CN"/>
                    </w:rPr>
                  </w:pPr>
                  <w:r>
                    <w:rPr>
                      <w:rFonts w:hint="eastAsia"/>
                      <w:b w:val="0"/>
                      <w:bCs w:val="0"/>
                      <w:color w:val="auto"/>
                      <w:sz w:val="18"/>
                      <w:szCs w:val="18"/>
                      <w:lang w:val="en-US" w:eastAsia="zh-CN"/>
                    </w:rPr>
                    <w:t>--</w:t>
                  </w:r>
                </w:p>
              </w:tc>
              <w:tc>
                <w:tcPr>
                  <w:tcW w:w="1111" w:type="dxa"/>
                  <w:tcBorders>
                    <w:tl2br w:val="nil"/>
                    <w:tr2bl w:val="nil"/>
                  </w:tcBorders>
                  <w:vAlign w:val="center"/>
                </w:tcPr>
                <w:p w14:paraId="540B489B">
                  <w:pPr>
                    <w:pStyle w:val="60"/>
                    <w:rPr>
                      <w:rFonts w:hint="default"/>
                      <w:b w:val="0"/>
                      <w:bCs w:val="0"/>
                      <w:color w:val="auto"/>
                      <w:sz w:val="18"/>
                      <w:szCs w:val="18"/>
                      <w:lang w:val="en-US" w:eastAsia="zh-CN"/>
                    </w:rPr>
                  </w:pPr>
                  <w:r>
                    <w:rPr>
                      <w:rFonts w:hint="eastAsia"/>
                      <w:b w:val="0"/>
                      <w:bCs w:val="0"/>
                      <w:color w:val="auto"/>
                      <w:sz w:val="18"/>
                      <w:szCs w:val="18"/>
                      <w:lang w:val="en-US" w:eastAsia="zh-CN"/>
                    </w:rPr>
                    <w:t>--</w:t>
                  </w:r>
                </w:p>
              </w:tc>
            </w:tr>
            <w:tr w14:paraId="68E9DD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shd w:val="clear" w:color="auto" w:fill="auto"/>
                  <w:vAlign w:val="center"/>
                </w:tcPr>
                <w:p w14:paraId="36770040">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21</w:t>
                  </w:r>
                </w:p>
              </w:tc>
              <w:tc>
                <w:tcPr>
                  <w:tcW w:w="1327" w:type="dxa"/>
                  <w:tcBorders>
                    <w:tl2br w:val="nil"/>
                    <w:tr2bl w:val="nil"/>
                  </w:tcBorders>
                  <w:vAlign w:val="center"/>
                </w:tcPr>
                <w:p w14:paraId="245F1EB9">
                  <w:pPr>
                    <w:pStyle w:val="60"/>
                    <w:rPr>
                      <w:rFonts w:hint="eastAsia"/>
                      <w:color w:val="auto"/>
                      <w:sz w:val="18"/>
                      <w:szCs w:val="18"/>
                      <w:lang w:val="en-US" w:eastAsia="zh-CN"/>
                    </w:rPr>
                  </w:pPr>
                  <w:r>
                    <w:rPr>
                      <w:rFonts w:hint="eastAsia" w:cs="Times New Roman"/>
                      <w:color w:val="auto"/>
                      <w:kern w:val="2"/>
                      <w:sz w:val="18"/>
                      <w:szCs w:val="18"/>
                      <w:lang w:val="en-US" w:eastAsia="zh-CN" w:bidi="ar-SA"/>
                    </w:rPr>
                    <w:t>甲苯</w:t>
                  </w:r>
                </w:p>
              </w:tc>
              <w:tc>
                <w:tcPr>
                  <w:tcW w:w="1109" w:type="dxa"/>
                  <w:tcBorders>
                    <w:tl2br w:val="nil"/>
                    <w:tr2bl w:val="nil"/>
                  </w:tcBorders>
                  <w:vAlign w:val="center"/>
                </w:tcPr>
                <w:p w14:paraId="34B86FA2">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w:t>
                  </w:r>
                </w:p>
              </w:tc>
              <w:tc>
                <w:tcPr>
                  <w:tcW w:w="1109" w:type="dxa"/>
                  <w:tcBorders>
                    <w:tl2br w:val="nil"/>
                    <w:tr2bl w:val="nil"/>
                  </w:tcBorders>
                  <w:shd w:val="clear" w:color="auto" w:fill="auto"/>
                  <w:vAlign w:val="center"/>
                </w:tcPr>
                <w:p w14:paraId="7F4022F8">
                  <w:pPr>
                    <w:pStyle w:val="60"/>
                    <w:rPr>
                      <w:rFonts w:ascii="Times New Roman" w:hAnsi="Times New Roman" w:eastAsia="宋体" w:cs="Times New Roman"/>
                      <w:b w:val="0"/>
                      <w:bCs w:val="0"/>
                      <w:color w:val="auto"/>
                      <w:kern w:val="2"/>
                      <w:sz w:val="18"/>
                      <w:szCs w:val="18"/>
                      <w:lang w:val="zh-CN" w:eastAsia="zh-CN" w:bidi="ar-SA"/>
                    </w:rPr>
                  </w:pPr>
                  <w:r>
                    <w:rPr>
                      <w:rFonts w:hint="eastAsia"/>
                      <w:b w:val="0"/>
                      <w:bCs w:val="0"/>
                      <w:color w:val="auto"/>
                      <w:sz w:val="18"/>
                      <w:szCs w:val="18"/>
                      <w:lang w:val="en-US" w:eastAsia="zh-CN"/>
                    </w:rPr>
                    <w:t>1.7×10</w:t>
                  </w:r>
                  <w:r>
                    <w:rPr>
                      <w:rFonts w:hint="eastAsia"/>
                      <w:b w:val="0"/>
                      <w:bCs w:val="0"/>
                      <w:color w:val="auto"/>
                      <w:sz w:val="18"/>
                      <w:szCs w:val="18"/>
                      <w:vertAlign w:val="superscript"/>
                      <w:lang w:val="en-US" w:eastAsia="zh-CN"/>
                    </w:rPr>
                    <w:t>-6</w:t>
                  </w:r>
                </w:p>
              </w:tc>
              <w:tc>
                <w:tcPr>
                  <w:tcW w:w="1109" w:type="dxa"/>
                  <w:tcBorders>
                    <w:tl2br w:val="nil"/>
                    <w:tr2bl w:val="nil"/>
                  </w:tcBorders>
                  <w:shd w:val="clear" w:color="auto" w:fill="auto"/>
                  <w:vAlign w:val="center"/>
                </w:tcPr>
                <w:p w14:paraId="74C6A28A">
                  <w:pPr>
                    <w:pStyle w:val="60"/>
                    <w:rPr>
                      <w:rFonts w:ascii="Times New Roman" w:hAnsi="Times New Roman" w:eastAsia="宋体" w:cs="Times New Roman"/>
                      <w:b w:val="0"/>
                      <w:bCs w:val="0"/>
                      <w:color w:val="auto"/>
                      <w:kern w:val="2"/>
                      <w:sz w:val="18"/>
                      <w:szCs w:val="18"/>
                      <w:lang w:val="zh-CN" w:eastAsia="zh-CN" w:bidi="ar-SA"/>
                    </w:rPr>
                  </w:pPr>
                  <w:r>
                    <w:rPr>
                      <w:rFonts w:hint="eastAsia"/>
                      <w:b w:val="0"/>
                      <w:bCs w:val="0"/>
                      <w:color w:val="auto"/>
                      <w:sz w:val="18"/>
                      <w:szCs w:val="18"/>
                      <w:lang w:val="en-US" w:eastAsia="zh-CN"/>
                    </w:rPr>
                    <w:t>1.2×10</w:t>
                  </w:r>
                  <w:r>
                    <w:rPr>
                      <w:rFonts w:hint="eastAsia"/>
                      <w:b w:val="0"/>
                      <w:bCs w:val="0"/>
                      <w:color w:val="auto"/>
                      <w:sz w:val="18"/>
                      <w:szCs w:val="18"/>
                      <w:vertAlign w:val="superscript"/>
                      <w:lang w:val="en-US" w:eastAsia="zh-CN"/>
                    </w:rPr>
                    <w:t>-6</w:t>
                  </w:r>
                </w:p>
              </w:tc>
              <w:tc>
                <w:tcPr>
                  <w:tcW w:w="1109" w:type="dxa"/>
                  <w:tcBorders>
                    <w:tl2br w:val="nil"/>
                    <w:tr2bl w:val="nil"/>
                  </w:tcBorders>
                  <w:shd w:val="clear" w:color="auto" w:fill="auto"/>
                  <w:vAlign w:val="center"/>
                </w:tcPr>
                <w:p w14:paraId="12B94368">
                  <w:pPr>
                    <w:pStyle w:val="60"/>
                    <w:rPr>
                      <w:rFonts w:ascii="Times New Roman" w:hAnsi="Times New Roman" w:eastAsia="宋体" w:cs="Times New Roman"/>
                      <w:b w:val="0"/>
                      <w:bCs w:val="0"/>
                      <w:color w:val="auto"/>
                      <w:kern w:val="2"/>
                      <w:sz w:val="18"/>
                      <w:szCs w:val="18"/>
                      <w:lang w:val="zh-CN" w:eastAsia="zh-CN" w:bidi="ar-SA"/>
                    </w:rPr>
                  </w:pPr>
                  <w:r>
                    <w:rPr>
                      <w:rFonts w:hint="eastAsia"/>
                      <w:b w:val="0"/>
                      <w:bCs w:val="0"/>
                      <w:color w:val="auto"/>
                      <w:sz w:val="18"/>
                      <w:szCs w:val="18"/>
                      <w:lang w:val="en-US" w:eastAsia="zh-CN"/>
                    </w:rPr>
                    <w:t>1.6×10</w:t>
                  </w:r>
                  <w:r>
                    <w:rPr>
                      <w:rFonts w:hint="eastAsia"/>
                      <w:b w:val="0"/>
                      <w:bCs w:val="0"/>
                      <w:color w:val="auto"/>
                      <w:sz w:val="18"/>
                      <w:szCs w:val="18"/>
                      <w:vertAlign w:val="superscript"/>
                      <w:lang w:val="en-US" w:eastAsia="zh-CN"/>
                    </w:rPr>
                    <w:t>-6</w:t>
                  </w:r>
                </w:p>
              </w:tc>
              <w:tc>
                <w:tcPr>
                  <w:tcW w:w="1109" w:type="dxa"/>
                  <w:tcBorders>
                    <w:tl2br w:val="nil"/>
                    <w:tr2bl w:val="nil"/>
                  </w:tcBorders>
                  <w:shd w:val="clear" w:color="auto" w:fill="auto"/>
                  <w:vAlign w:val="center"/>
                </w:tcPr>
                <w:p w14:paraId="45FB1728">
                  <w:pPr>
                    <w:pStyle w:val="60"/>
                    <w:rPr>
                      <w:rFonts w:ascii="Times New Roman" w:hAnsi="Times New Roman" w:eastAsia="宋体" w:cs="Times New Roman"/>
                      <w:b w:val="0"/>
                      <w:bCs w:val="0"/>
                      <w:color w:val="auto"/>
                      <w:kern w:val="2"/>
                      <w:sz w:val="18"/>
                      <w:szCs w:val="18"/>
                      <w:lang w:val="zh-CN" w:eastAsia="zh-CN" w:bidi="ar-SA"/>
                    </w:rPr>
                  </w:pPr>
                  <w:r>
                    <w:rPr>
                      <w:rFonts w:hint="eastAsia"/>
                      <w:b w:val="0"/>
                      <w:bCs w:val="0"/>
                      <w:color w:val="auto"/>
                      <w:sz w:val="18"/>
                      <w:szCs w:val="18"/>
                      <w:lang w:val="en-US" w:eastAsia="zh-CN"/>
                    </w:rPr>
                    <w:t>1.2×10</w:t>
                  </w:r>
                  <w:r>
                    <w:rPr>
                      <w:rFonts w:hint="eastAsia"/>
                      <w:b w:val="0"/>
                      <w:bCs w:val="0"/>
                      <w:color w:val="auto"/>
                      <w:sz w:val="18"/>
                      <w:szCs w:val="18"/>
                      <w:vertAlign w:val="superscript"/>
                      <w:lang w:val="en-US" w:eastAsia="zh-CN"/>
                    </w:rPr>
                    <w:t>-6</w:t>
                  </w:r>
                </w:p>
              </w:tc>
              <w:tc>
                <w:tcPr>
                  <w:tcW w:w="1111" w:type="dxa"/>
                  <w:tcBorders>
                    <w:tl2br w:val="nil"/>
                    <w:tr2bl w:val="nil"/>
                  </w:tcBorders>
                  <w:shd w:val="clear" w:color="auto" w:fill="auto"/>
                  <w:vAlign w:val="center"/>
                </w:tcPr>
                <w:p w14:paraId="1E5B3A90">
                  <w:pPr>
                    <w:pStyle w:val="60"/>
                    <w:rPr>
                      <w:rFonts w:ascii="Times New Roman" w:hAnsi="Times New Roman" w:eastAsia="宋体" w:cs="Times New Roman"/>
                      <w:b w:val="0"/>
                      <w:bCs w:val="0"/>
                      <w:color w:val="auto"/>
                      <w:kern w:val="2"/>
                      <w:sz w:val="18"/>
                      <w:szCs w:val="18"/>
                      <w:lang w:val="zh-CN" w:eastAsia="zh-CN" w:bidi="ar-SA"/>
                    </w:rPr>
                  </w:pPr>
                  <w:r>
                    <w:rPr>
                      <w:rFonts w:hint="eastAsia"/>
                      <w:b w:val="0"/>
                      <w:bCs w:val="0"/>
                      <w:color w:val="auto"/>
                      <w:sz w:val="18"/>
                      <w:szCs w:val="18"/>
                      <w:lang w:val="en-US" w:eastAsia="zh-CN"/>
                    </w:rPr>
                    <w:t>1.7×10</w:t>
                  </w:r>
                  <w:r>
                    <w:rPr>
                      <w:rFonts w:hint="eastAsia"/>
                      <w:b w:val="0"/>
                      <w:bCs w:val="0"/>
                      <w:color w:val="auto"/>
                      <w:sz w:val="18"/>
                      <w:szCs w:val="18"/>
                      <w:vertAlign w:val="superscript"/>
                      <w:lang w:val="en-US" w:eastAsia="zh-CN"/>
                    </w:rPr>
                    <w:t>-6</w:t>
                  </w:r>
                </w:p>
              </w:tc>
            </w:tr>
            <w:tr w14:paraId="1A8D19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shd w:val="clear" w:color="auto" w:fill="auto"/>
                  <w:vAlign w:val="center"/>
                </w:tcPr>
                <w:p w14:paraId="2AF96F5B">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22</w:t>
                  </w:r>
                </w:p>
              </w:tc>
              <w:tc>
                <w:tcPr>
                  <w:tcW w:w="1327" w:type="dxa"/>
                  <w:tcBorders>
                    <w:tl2br w:val="nil"/>
                    <w:tr2bl w:val="nil"/>
                  </w:tcBorders>
                  <w:vAlign w:val="center"/>
                </w:tcPr>
                <w:p w14:paraId="1509B5F4">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间/对二甲苯</w:t>
                  </w:r>
                </w:p>
              </w:tc>
              <w:tc>
                <w:tcPr>
                  <w:tcW w:w="1109" w:type="dxa"/>
                  <w:tcBorders>
                    <w:tl2br w:val="nil"/>
                    <w:tr2bl w:val="nil"/>
                  </w:tcBorders>
                  <w:vAlign w:val="center"/>
                </w:tcPr>
                <w:p w14:paraId="7316A057">
                  <w:pPr>
                    <w:pStyle w:val="60"/>
                    <w:rPr>
                      <w:b w:val="0"/>
                      <w:bCs w:val="0"/>
                      <w:color w:val="auto"/>
                      <w:sz w:val="18"/>
                      <w:szCs w:val="18"/>
                    </w:rPr>
                  </w:pPr>
                  <w:r>
                    <w:rPr>
                      <w:rFonts w:hint="eastAsia"/>
                      <w:b w:val="0"/>
                      <w:bCs w:val="0"/>
                      <w:color w:val="auto"/>
                      <w:sz w:val="18"/>
                      <w:szCs w:val="18"/>
                      <w:lang w:val="en-US" w:eastAsia="zh-CN"/>
                    </w:rPr>
                    <w:t>--</w:t>
                  </w:r>
                </w:p>
              </w:tc>
              <w:tc>
                <w:tcPr>
                  <w:tcW w:w="1109" w:type="dxa"/>
                  <w:tcBorders>
                    <w:tl2br w:val="nil"/>
                    <w:tr2bl w:val="nil"/>
                  </w:tcBorders>
                  <w:vAlign w:val="center"/>
                </w:tcPr>
                <w:p w14:paraId="1CF23E7E">
                  <w:pPr>
                    <w:pStyle w:val="60"/>
                    <w:rPr>
                      <w:b w:val="0"/>
                      <w:bCs w:val="0"/>
                      <w:color w:val="auto"/>
                      <w:sz w:val="18"/>
                      <w:szCs w:val="18"/>
                    </w:rPr>
                  </w:pPr>
                  <w:r>
                    <w:rPr>
                      <w:rFonts w:hint="eastAsia"/>
                      <w:b w:val="0"/>
                      <w:bCs w:val="0"/>
                      <w:color w:val="auto"/>
                      <w:sz w:val="18"/>
                      <w:szCs w:val="18"/>
                      <w:lang w:val="en-US" w:eastAsia="zh-CN"/>
                    </w:rPr>
                    <w:t>2.8×10</w:t>
                  </w:r>
                  <w:r>
                    <w:rPr>
                      <w:rFonts w:hint="eastAsia"/>
                      <w:b w:val="0"/>
                      <w:bCs w:val="0"/>
                      <w:color w:val="auto"/>
                      <w:sz w:val="18"/>
                      <w:szCs w:val="18"/>
                      <w:vertAlign w:val="superscript"/>
                      <w:lang w:val="en-US" w:eastAsia="zh-CN"/>
                    </w:rPr>
                    <w:t>-6</w:t>
                  </w:r>
                </w:p>
              </w:tc>
              <w:tc>
                <w:tcPr>
                  <w:tcW w:w="1109" w:type="dxa"/>
                  <w:tcBorders>
                    <w:tl2br w:val="nil"/>
                    <w:tr2bl w:val="nil"/>
                  </w:tcBorders>
                  <w:vAlign w:val="center"/>
                </w:tcPr>
                <w:p w14:paraId="34CB6499">
                  <w:pPr>
                    <w:pStyle w:val="60"/>
                    <w:rPr>
                      <w:b w:val="0"/>
                      <w:bCs w:val="0"/>
                      <w:color w:val="auto"/>
                      <w:sz w:val="18"/>
                      <w:szCs w:val="18"/>
                    </w:rPr>
                  </w:pPr>
                  <w:r>
                    <w:rPr>
                      <w:rFonts w:hint="eastAsia"/>
                      <w:b w:val="0"/>
                      <w:bCs w:val="0"/>
                      <w:color w:val="auto"/>
                      <w:sz w:val="18"/>
                      <w:szCs w:val="18"/>
                      <w:lang w:val="en-US" w:eastAsia="zh-CN"/>
                    </w:rPr>
                    <w:t>--</w:t>
                  </w:r>
                </w:p>
              </w:tc>
              <w:tc>
                <w:tcPr>
                  <w:tcW w:w="1109" w:type="dxa"/>
                  <w:tcBorders>
                    <w:tl2br w:val="nil"/>
                    <w:tr2bl w:val="nil"/>
                  </w:tcBorders>
                  <w:vAlign w:val="center"/>
                </w:tcPr>
                <w:p w14:paraId="5436B045">
                  <w:pPr>
                    <w:pStyle w:val="60"/>
                    <w:rPr>
                      <w:b w:val="0"/>
                      <w:bCs w:val="0"/>
                      <w:color w:val="auto"/>
                      <w:sz w:val="18"/>
                      <w:szCs w:val="18"/>
                    </w:rPr>
                  </w:pPr>
                  <w:r>
                    <w:rPr>
                      <w:rFonts w:hint="eastAsia"/>
                      <w:b w:val="0"/>
                      <w:bCs w:val="0"/>
                      <w:color w:val="auto"/>
                      <w:sz w:val="18"/>
                      <w:szCs w:val="18"/>
                      <w:lang w:val="en-US" w:eastAsia="zh-CN"/>
                    </w:rPr>
                    <w:t>--</w:t>
                  </w:r>
                </w:p>
              </w:tc>
              <w:tc>
                <w:tcPr>
                  <w:tcW w:w="1109" w:type="dxa"/>
                  <w:tcBorders>
                    <w:tl2br w:val="nil"/>
                    <w:tr2bl w:val="nil"/>
                  </w:tcBorders>
                  <w:vAlign w:val="center"/>
                </w:tcPr>
                <w:p w14:paraId="21915DDB">
                  <w:pPr>
                    <w:pStyle w:val="60"/>
                    <w:rPr>
                      <w:b w:val="0"/>
                      <w:bCs w:val="0"/>
                      <w:color w:val="auto"/>
                      <w:sz w:val="18"/>
                      <w:szCs w:val="18"/>
                    </w:rPr>
                  </w:pPr>
                  <w:r>
                    <w:rPr>
                      <w:rFonts w:hint="eastAsia"/>
                      <w:b w:val="0"/>
                      <w:bCs w:val="0"/>
                      <w:color w:val="auto"/>
                      <w:sz w:val="18"/>
                      <w:szCs w:val="18"/>
                      <w:lang w:val="en-US" w:eastAsia="zh-CN"/>
                    </w:rPr>
                    <w:t>--</w:t>
                  </w:r>
                </w:p>
              </w:tc>
              <w:tc>
                <w:tcPr>
                  <w:tcW w:w="1111" w:type="dxa"/>
                  <w:tcBorders>
                    <w:tl2br w:val="nil"/>
                    <w:tr2bl w:val="nil"/>
                  </w:tcBorders>
                  <w:vAlign w:val="center"/>
                </w:tcPr>
                <w:p w14:paraId="3F4489C4">
                  <w:pPr>
                    <w:pStyle w:val="60"/>
                    <w:rPr>
                      <w:b w:val="0"/>
                      <w:bCs w:val="0"/>
                      <w:color w:val="auto"/>
                      <w:sz w:val="18"/>
                      <w:szCs w:val="18"/>
                    </w:rPr>
                  </w:pPr>
                  <w:r>
                    <w:rPr>
                      <w:rFonts w:hint="eastAsia"/>
                      <w:b w:val="0"/>
                      <w:bCs w:val="0"/>
                      <w:color w:val="auto"/>
                      <w:sz w:val="18"/>
                      <w:szCs w:val="18"/>
                      <w:lang w:val="en-US" w:eastAsia="zh-CN"/>
                    </w:rPr>
                    <w:t>--</w:t>
                  </w:r>
                </w:p>
              </w:tc>
            </w:tr>
            <w:tr w14:paraId="2BF93A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shd w:val="clear" w:color="auto" w:fill="auto"/>
                  <w:vAlign w:val="center"/>
                </w:tcPr>
                <w:p w14:paraId="2C3A924E">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23</w:t>
                  </w:r>
                </w:p>
              </w:tc>
              <w:tc>
                <w:tcPr>
                  <w:tcW w:w="1327" w:type="dxa"/>
                  <w:tcBorders>
                    <w:tl2br w:val="nil"/>
                    <w:tr2bl w:val="nil"/>
                  </w:tcBorders>
                  <w:vAlign w:val="center"/>
                </w:tcPr>
                <w:p w14:paraId="1F9C8740">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pH值</w:t>
                  </w:r>
                </w:p>
              </w:tc>
              <w:tc>
                <w:tcPr>
                  <w:tcW w:w="1109" w:type="dxa"/>
                  <w:tcBorders>
                    <w:tl2br w:val="nil"/>
                    <w:tr2bl w:val="nil"/>
                  </w:tcBorders>
                  <w:vAlign w:val="center"/>
                </w:tcPr>
                <w:p w14:paraId="47AB7DDD">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0.48</w:t>
                  </w:r>
                </w:p>
              </w:tc>
              <w:tc>
                <w:tcPr>
                  <w:tcW w:w="1109" w:type="dxa"/>
                  <w:tcBorders>
                    <w:tl2br w:val="nil"/>
                    <w:tr2bl w:val="nil"/>
                  </w:tcBorders>
                  <w:vAlign w:val="center"/>
                </w:tcPr>
                <w:p w14:paraId="2B972EC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0.39</w:t>
                  </w:r>
                </w:p>
              </w:tc>
              <w:tc>
                <w:tcPr>
                  <w:tcW w:w="1109" w:type="dxa"/>
                  <w:tcBorders>
                    <w:tl2br w:val="nil"/>
                    <w:tr2bl w:val="nil"/>
                  </w:tcBorders>
                  <w:vAlign w:val="center"/>
                </w:tcPr>
                <w:p w14:paraId="422B188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0.28</w:t>
                  </w:r>
                </w:p>
              </w:tc>
              <w:tc>
                <w:tcPr>
                  <w:tcW w:w="1109" w:type="dxa"/>
                  <w:tcBorders>
                    <w:tl2br w:val="nil"/>
                    <w:tr2bl w:val="nil"/>
                  </w:tcBorders>
                  <w:vAlign w:val="center"/>
                </w:tcPr>
                <w:p w14:paraId="419503A6">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0.29</w:t>
                  </w:r>
                </w:p>
              </w:tc>
              <w:tc>
                <w:tcPr>
                  <w:tcW w:w="1109" w:type="dxa"/>
                  <w:tcBorders>
                    <w:tl2br w:val="nil"/>
                    <w:tr2bl w:val="nil"/>
                  </w:tcBorders>
                  <w:vAlign w:val="center"/>
                </w:tcPr>
                <w:p w14:paraId="43DEB285">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0.44</w:t>
                  </w:r>
                </w:p>
              </w:tc>
              <w:tc>
                <w:tcPr>
                  <w:tcW w:w="1111" w:type="dxa"/>
                  <w:tcBorders>
                    <w:tl2br w:val="nil"/>
                    <w:tr2bl w:val="nil"/>
                  </w:tcBorders>
                  <w:vAlign w:val="center"/>
                </w:tcPr>
                <w:p w14:paraId="0B06106C">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0.41</w:t>
                  </w:r>
                </w:p>
              </w:tc>
            </w:tr>
            <w:tr w14:paraId="438C1A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438" w:type="dxa"/>
                  <w:tcBorders>
                    <w:tl2br w:val="nil"/>
                    <w:tr2bl w:val="nil"/>
                  </w:tcBorders>
                  <w:vAlign w:val="center"/>
                </w:tcPr>
                <w:p w14:paraId="4259807F">
                  <w:pPr>
                    <w:pStyle w:val="60"/>
                    <w:rPr>
                      <w:rFonts w:hint="default"/>
                      <w:color w:val="auto"/>
                      <w:sz w:val="18"/>
                      <w:szCs w:val="18"/>
                      <w:lang w:val="en-US" w:eastAsia="zh-CN"/>
                    </w:rPr>
                  </w:pPr>
                  <w:r>
                    <w:rPr>
                      <w:rFonts w:hint="eastAsia"/>
                      <w:color w:val="auto"/>
                      <w:sz w:val="18"/>
                      <w:szCs w:val="18"/>
                      <w:lang w:val="en-US" w:eastAsia="zh-CN"/>
                    </w:rPr>
                    <w:t>24</w:t>
                  </w:r>
                </w:p>
              </w:tc>
              <w:tc>
                <w:tcPr>
                  <w:tcW w:w="1327" w:type="dxa"/>
                  <w:tcBorders>
                    <w:tl2br w:val="nil"/>
                    <w:tr2bl w:val="nil"/>
                  </w:tcBorders>
                  <w:vAlign w:val="center"/>
                </w:tcPr>
                <w:p w14:paraId="1831C619">
                  <w:pPr>
                    <w:pStyle w:val="60"/>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石油烃（C</w:t>
                  </w:r>
                  <w:r>
                    <w:rPr>
                      <w:rFonts w:hint="eastAsia" w:cs="Times New Roman"/>
                      <w:color w:val="auto"/>
                      <w:kern w:val="2"/>
                      <w:sz w:val="18"/>
                      <w:szCs w:val="18"/>
                      <w:vertAlign w:val="subscript"/>
                      <w:lang w:val="en-US" w:eastAsia="zh-CN" w:bidi="ar-SA"/>
                    </w:rPr>
                    <w:t>10</w:t>
                  </w:r>
                  <w:r>
                    <w:rPr>
                      <w:rFonts w:hint="eastAsia" w:cs="Times New Roman"/>
                      <w:color w:val="auto"/>
                      <w:kern w:val="2"/>
                      <w:sz w:val="18"/>
                      <w:szCs w:val="18"/>
                      <w:lang w:val="en-US" w:eastAsia="zh-CN" w:bidi="ar-SA"/>
                    </w:rPr>
                    <w:t>-C</w:t>
                  </w:r>
                  <w:r>
                    <w:rPr>
                      <w:rFonts w:hint="eastAsia" w:cs="Times New Roman"/>
                      <w:color w:val="auto"/>
                      <w:kern w:val="2"/>
                      <w:sz w:val="18"/>
                      <w:szCs w:val="18"/>
                      <w:vertAlign w:val="subscript"/>
                      <w:lang w:val="en-US" w:eastAsia="zh-CN" w:bidi="ar-SA"/>
                    </w:rPr>
                    <w:t>40</w:t>
                  </w:r>
                  <w:r>
                    <w:rPr>
                      <w:rFonts w:hint="eastAsia" w:cs="Times New Roman"/>
                      <w:color w:val="auto"/>
                      <w:kern w:val="2"/>
                      <w:sz w:val="18"/>
                      <w:szCs w:val="18"/>
                      <w:lang w:val="en-US" w:eastAsia="zh-CN" w:bidi="ar-SA"/>
                    </w:rPr>
                    <w:t>）</w:t>
                  </w:r>
                </w:p>
              </w:tc>
              <w:tc>
                <w:tcPr>
                  <w:tcW w:w="1109" w:type="dxa"/>
                  <w:tcBorders>
                    <w:tl2br w:val="nil"/>
                    <w:tr2bl w:val="nil"/>
                  </w:tcBorders>
                  <w:vAlign w:val="center"/>
                </w:tcPr>
                <w:p w14:paraId="24640D0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0.007</w:t>
                  </w:r>
                </w:p>
              </w:tc>
              <w:tc>
                <w:tcPr>
                  <w:tcW w:w="1109" w:type="dxa"/>
                  <w:tcBorders>
                    <w:tl2br w:val="nil"/>
                    <w:tr2bl w:val="nil"/>
                  </w:tcBorders>
                  <w:vAlign w:val="center"/>
                </w:tcPr>
                <w:p w14:paraId="62ACD3AE">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0.005</w:t>
                  </w:r>
                </w:p>
              </w:tc>
              <w:tc>
                <w:tcPr>
                  <w:tcW w:w="1109" w:type="dxa"/>
                  <w:tcBorders>
                    <w:tl2br w:val="nil"/>
                    <w:tr2bl w:val="nil"/>
                  </w:tcBorders>
                  <w:vAlign w:val="center"/>
                </w:tcPr>
                <w:p w14:paraId="3BE7C647">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0.006</w:t>
                  </w:r>
                </w:p>
              </w:tc>
              <w:tc>
                <w:tcPr>
                  <w:tcW w:w="1109" w:type="dxa"/>
                  <w:tcBorders>
                    <w:tl2br w:val="nil"/>
                    <w:tr2bl w:val="nil"/>
                  </w:tcBorders>
                  <w:vAlign w:val="center"/>
                </w:tcPr>
                <w:p w14:paraId="457805A8">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0.013</w:t>
                  </w:r>
                </w:p>
              </w:tc>
              <w:tc>
                <w:tcPr>
                  <w:tcW w:w="1109" w:type="dxa"/>
                  <w:tcBorders>
                    <w:tl2br w:val="nil"/>
                    <w:tr2bl w:val="nil"/>
                  </w:tcBorders>
                  <w:vAlign w:val="center"/>
                </w:tcPr>
                <w:p w14:paraId="21C5CA8B">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c>
                <w:tcPr>
                  <w:tcW w:w="1111" w:type="dxa"/>
                  <w:tcBorders>
                    <w:tl2br w:val="nil"/>
                    <w:tr2bl w:val="nil"/>
                  </w:tcBorders>
                  <w:vAlign w:val="center"/>
                </w:tcPr>
                <w:p w14:paraId="7D24E010">
                  <w:pPr>
                    <w:pStyle w:val="60"/>
                    <w:rPr>
                      <w:rFonts w:hint="default" w:eastAsia="宋体"/>
                      <w:b w:val="0"/>
                      <w:bCs w:val="0"/>
                      <w:color w:val="auto"/>
                      <w:sz w:val="18"/>
                      <w:szCs w:val="18"/>
                      <w:lang w:val="en-US" w:eastAsia="zh-CN"/>
                    </w:rPr>
                  </w:pPr>
                  <w:r>
                    <w:rPr>
                      <w:rFonts w:hint="eastAsia"/>
                      <w:b w:val="0"/>
                      <w:bCs w:val="0"/>
                      <w:color w:val="auto"/>
                      <w:sz w:val="18"/>
                      <w:szCs w:val="18"/>
                      <w:lang w:val="en-US" w:eastAsia="zh-CN"/>
                    </w:rPr>
                    <w:t>0.004</w:t>
                  </w:r>
                </w:p>
              </w:tc>
            </w:tr>
            <w:tr w14:paraId="5B735D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8421" w:type="dxa"/>
                  <w:gridSpan w:val="8"/>
                  <w:tcBorders>
                    <w:tl2br w:val="nil"/>
                    <w:tr2bl w:val="nil"/>
                  </w:tcBorders>
                  <w:vAlign w:val="center"/>
                </w:tcPr>
                <w:p w14:paraId="792A00F3">
                  <w:pPr>
                    <w:pStyle w:val="60"/>
                    <w:jc w:val="both"/>
                    <w:rPr>
                      <w:color w:val="auto"/>
                      <w:sz w:val="18"/>
                      <w:szCs w:val="18"/>
                    </w:rPr>
                  </w:pPr>
                  <w:r>
                    <w:rPr>
                      <w:color w:val="auto"/>
                      <w:sz w:val="18"/>
                      <w:szCs w:val="18"/>
                    </w:rPr>
                    <w:t>备注：未检出的不予评价。</w:t>
                  </w:r>
                </w:p>
              </w:tc>
            </w:tr>
          </w:tbl>
          <w:p w14:paraId="674DB802">
            <w:pPr>
              <w:autoSpaceDE w:val="0"/>
              <w:autoSpaceDN w:val="0"/>
              <w:adjustRightInd w:val="0"/>
              <w:snapToGrid w:val="0"/>
              <w:spacing w:line="440" w:lineRule="exact"/>
              <w:ind w:firstLine="420" w:firstLineChars="200"/>
              <w:rPr>
                <w:color w:val="auto"/>
              </w:rPr>
            </w:pPr>
            <w:r>
              <w:rPr>
                <w:rFonts w:hint="eastAsia"/>
                <w:color w:val="auto"/>
                <w:lang w:val="en-US" w:eastAsia="zh-CN"/>
              </w:rPr>
              <w:t>根据上表监测数据</w:t>
            </w:r>
            <w:r>
              <w:rPr>
                <w:rFonts w:hint="eastAsia"/>
                <w:color w:val="auto"/>
              </w:rPr>
              <w:t>，</w:t>
            </w:r>
            <w:r>
              <w:rPr>
                <w:rFonts w:hint="eastAsia"/>
                <w:color w:val="auto"/>
                <w:lang w:val="en-US" w:eastAsia="zh-CN"/>
              </w:rPr>
              <w:t>各</w:t>
            </w:r>
            <w:r>
              <w:rPr>
                <w:rFonts w:hint="eastAsia"/>
                <w:color w:val="auto"/>
              </w:rPr>
              <w:t>监测点各土壤监测因子监测值均低于《土壤环境质量 建设用地土壤污染风险管控标准（试行）》（GB36600-2018）中第二类用地风险筛选值，说明项目所在区域建设用地土壤污染风险较低，可以忽略。</w:t>
            </w:r>
          </w:p>
          <w:p w14:paraId="68552541">
            <w:pPr>
              <w:autoSpaceDE w:val="0"/>
              <w:autoSpaceDN w:val="0"/>
              <w:adjustRightInd w:val="0"/>
              <w:snapToGrid w:val="0"/>
              <w:spacing w:line="440" w:lineRule="exact"/>
              <w:ind w:firstLine="422" w:firstLineChars="200"/>
              <w:rPr>
                <w:b/>
                <w:color w:val="auto"/>
              </w:rPr>
            </w:pPr>
            <w:r>
              <w:rPr>
                <w:rFonts w:hint="eastAsia"/>
                <w:b/>
                <w:color w:val="auto"/>
                <w:lang w:val="en-US" w:eastAsia="zh-CN"/>
              </w:rPr>
              <w:t>6</w:t>
            </w:r>
            <w:r>
              <w:rPr>
                <w:b/>
                <w:color w:val="auto"/>
              </w:rPr>
              <w:t>、生态环境</w:t>
            </w:r>
          </w:p>
          <w:p w14:paraId="25831438">
            <w:pPr>
              <w:autoSpaceDE w:val="0"/>
              <w:autoSpaceDN w:val="0"/>
              <w:adjustRightInd w:val="0"/>
              <w:snapToGrid w:val="0"/>
              <w:spacing w:line="440" w:lineRule="exact"/>
              <w:ind w:firstLine="420" w:firstLineChars="200"/>
              <w:rPr>
                <w:color w:val="auto"/>
              </w:rPr>
            </w:pPr>
            <w:r>
              <w:rPr>
                <w:rFonts w:hint="eastAsia"/>
                <w:color w:val="auto"/>
              </w:rPr>
              <w:t>本项目位于</w:t>
            </w:r>
            <w:r>
              <w:rPr>
                <w:rFonts w:hint="eastAsia"/>
                <w:color w:val="auto"/>
                <w:lang w:val="en-US" w:eastAsia="zh-CN"/>
              </w:rPr>
              <w:t>朱台镇工业集聚区</w:t>
            </w:r>
            <w:r>
              <w:rPr>
                <w:rFonts w:hint="eastAsia"/>
                <w:color w:val="auto"/>
              </w:rPr>
              <w:t>，周边无生态环境保护目标，不属于产业园外建设项目新增用地且用地范围内含有生态环境保护目标的项目，本项目不需要对区域生态环境质量进行评价。</w:t>
            </w:r>
          </w:p>
          <w:p w14:paraId="30AB6782">
            <w:pPr>
              <w:autoSpaceDE w:val="0"/>
              <w:autoSpaceDN w:val="0"/>
              <w:adjustRightInd w:val="0"/>
              <w:snapToGrid w:val="0"/>
              <w:spacing w:line="440" w:lineRule="exact"/>
              <w:ind w:firstLine="422" w:firstLineChars="200"/>
              <w:rPr>
                <w:b/>
                <w:color w:val="auto"/>
              </w:rPr>
            </w:pPr>
            <w:r>
              <w:rPr>
                <w:rFonts w:hint="eastAsia"/>
                <w:b/>
                <w:color w:val="auto"/>
                <w:lang w:val="en-US" w:eastAsia="zh-CN"/>
              </w:rPr>
              <w:t>7</w:t>
            </w:r>
            <w:r>
              <w:rPr>
                <w:b/>
                <w:color w:val="auto"/>
              </w:rPr>
              <w:t>、电磁辐射</w:t>
            </w:r>
          </w:p>
          <w:p w14:paraId="65BBDDE2">
            <w:pPr>
              <w:adjustRightInd w:val="0"/>
              <w:snapToGrid w:val="0"/>
              <w:spacing w:line="440" w:lineRule="exact"/>
              <w:ind w:firstLine="420" w:firstLineChars="200"/>
              <w:rPr>
                <w:color w:val="auto"/>
              </w:rPr>
            </w:pPr>
            <w:r>
              <w:rPr>
                <w:color w:val="auto"/>
              </w:rPr>
              <w:t>本项目不属于新建或改建、扩建广播电台、差转台、电视塔台、卫星地球上行站、雷达等电磁辐射类项目无需开展电磁辐射现状监测。</w:t>
            </w:r>
          </w:p>
        </w:tc>
      </w:tr>
      <w:tr w14:paraId="06E02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557" w:type="dxa"/>
            <w:vAlign w:val="center"/>
          </w:tcPr>
          <w:p w14:paraId="31D8F656">
            <w:pPr>
              <w:adjustRightInd w:val="0"/>
              <w:snapToGrid w:val="0"/>
              <w:jc w:val="center"/>
              <w:rPr>
                <w:color w:val="auto"/>
                <w:kern w:val="0"/>
                <w:szCs w:val="21"/>
              </w:rPr>
            </w:pPr>
            <w:r>
              <w:rPr>
                <w:color w:val="auto"/>
                <w:kern w:val="0"/>
                <w:szCs w:val="21"/>
              </w:rPr>
              <w:t>环境</w:t>
            </w:r>
          </w:p>
          <w:p w14:paraId="6B6F00B4">
            <w:pPr>
              <w:adjustRightInd w:val="0"/>
              <w:snapToGrid w:val="0"/>
              <w:jc w:val="center"/>
              <w:rPr>
                <w:color w:val="auto"/>
                <w:kern w:val="0"/>
                <w:szCs w:val="21"/>
              </w:rPr>
            </w:pPr>
            <w:r>
              <w:rPr>
                <w:color w:val="auto"/>
                <w:kern w:val="0"/>
                <w:szCs w:val="21"/>
              </w:rPr>
              <w:t>保护</w:t>
            </w:r>
          </w:p>
          <w:p w14:paraId="1C7AF3D3">
            <w:pPr>
              <w:adjustRightInd w:val="0"/>
              <w:snapToGrid w:val="0"/>
              <w:jc w:val="center"/>
              <w:rPr>
                <w:color w:val="auto"/>
                <w:kern w:val="0"/>
                <w:szCs w:val="21"/>
              </w:rPr>
            </w:pPr>
            <w:r>
              <w:rPr>
                <w:color w:val="auto"/>
                <w:kern w:val="0"/>
                <w:szCs w:val="21"/>
              </w:rPr>
              <w:t>目标</w:t>
            </w:r>
          </w:p>
        </w:tc>
        <w:tc>
          <w:tcPr>
            <w:tcW w:w="8268" w:type="dxa"/>
            <w:vAlign w:val="center"/>
          </w:tcPr>
          <w:p w14:paraId="33E8B80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color w:val="auto"/>
                <w:kern w:val="0"/>
                <w:szCs w:val="21"/>
              </w:rPr>
            </w:pPr>
            <w:r>
              <w:rPr>
                <w:rFonts w:hint="eastAsia"/>
                <w:color w:val="auto"/>
                <w:kern w:val="0"/>
                <w:szCs w:val="21"/>
              </w:rPr>
              <w:t>本项目厂界外500米范围内无自然保护区、风景名胜区、文化区，无地下水集中式饮用水水源和热水、矿泉水、温泉等特殊地下水资源。项目周边环境概况图见</w:t>
            </w:r>
            <w:r>
              <w:rPr>
                <w:rFonts w:hint="eastAsia"/>
                <w:color w:val="auto"/>
                <w:kern w:val="0"/>
                <w:szCs w:val="21"/>
                <w:highlight w:val="none"/>
              </w:rPr>
              <w:t>附图</w:t>
            </w:r>
            <w:r>
              <w:rPr>
                <w:rFonts w:hint="eastAsia"/>
                <w:color w:val="auto"/>
                <w:kern w:val="0"/>
                <w:szCs w:val="21"/>
                <w:highlight w:val="none"/>
                <w:lang w:val="en-US" w:eastAsia="zh-CN"/>
              </w:rPr>
              <w:t>8</w:t>
            </w:r>
            <w:r>
              <w:rPr>
                <w:rFonts w:hint="eastAsia"/>
                <w:color w:val="auto"/>
                <w:kern w:val="0"/>
                <w:szCs w:val="21"/>
              </w:rPr>
              <w:t>。本项目环境保护目标情况一览表如下：</w:t>
            </w:r>
          </w:p>
          <w:p w14:paraId="3F3E24C6">
            <w:pPr>
              <w:adjustRightInd w:val="0"/>
              <w:snapToGrid w:val="0"/>
              <w:spacing w:before="120" w:beforeLines="50"/>
              <w:jc w:val="center"/>
              <w:rPr>
                <w:b/>
                <w:bCs/>
                <w:color w:val="auto"/>
                <w:kern w:val="0"/>
                <w:szCs w:val="21"/>
              </w:rPr>
            </w:pPr>
            <w:r>
              <w:rPr>
                <w:rFonts w:hint="eastAsia"/>
                <w:b/>
                <w:bCs/>
                <w:color w:val="auto"/>
                <w:kern w:val="0"/>
                <w:szCs w:val="21"/>
              </w:rPr>
              <w:t>表3-</w:t>
            </w:r>
            <w:r>
              <w:rPr>
                <w:rFonts w:hint="eastAsia"/>
                <w:b/>
                <w:bCs/>
                <w:color w:val="auto"/>
                <w:kern w:val="0"/>
                <w:szCs w:val="21"/>
                <w:lang w:val="en-US" w:eastAsia="zh-CN"/>
              </w:rPr>
              <w:t>7</w:t>
            </w:r>
            <w:r>
              <w:rPr>
                <w:rFonts w:hint="eastAsia"/>
                <w:b/>
                <w:bCs/>
                <w:color w:val="auto"/>
                <w:kern w:val="0"/>
                <w:szCs w:val="21"/>
              </w:rPr>
              <w:t xml:space="preserve">  本项目主要环境保护目标一览表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57" w:type="dxa"/>
                <w:bottom w:w="0" w:type="dxa"/>
                <w:right w:w="57" w:type="dxa"/>
              </w:tblCellMar>
            </w:tblPr>
            <w:tblGrid>
              <w:gridCol w:w="718"/>
              <w:gridCol w:w="2527"/>
              <w:gridCol w:w="3472"/>
              <w:gridCol w:w="771"/>
              <w:gridCol w:w="928"/>
            </w:tblGrid>
            <w:tr w14:paraId="0939E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0175C5EB">
                  <w:pPr>
                    <w:autoSpaceDE w:val="0"/>
                    <w:autoSpaceDN w:val="0"/>
                    <w:adjustRightInd w:val="0"/>
                    <w:jc w:val="center"/>
                    <w:rPr>
                      <w:color w:val="auto"/>
                      <w:kern w:val="0"/>
                      <w:sz w:val="18"/>
                      <w:szCs w:val="18"/>
                    </w:rPr>
                  </w:pPr>
                  <w:r>
                    <w:rPr>
                      <w:color w:val="auto"/>
                      <w:kern w:val="0"/>
                      <w:sz w:val="18"/>
                      <w:szCs w:val="18"/>
                    </w:rPr>
                    <w:t>保护</w:t>
                  </w:r>
                </w:p>
                <w:p w14:paraId="153573E2">
                  <w:pPr>
                    <w:autoSpaceDE w:val="0"/>
                    <w:autoSpaceDN w:val="0"/>
                    <w:adjustRightInd w:val="0"/>
                    <w:jc w:val="center"/>
                    <w:rPr>
                      <w:color w:val="auto"/>
                      <w:kern w:val="0"/>
                      <w:sz w:val="18"/>
                      <w:szCs w:val="18"/>
                    </w:rPr>
                  </w:pPr>
                  <w:r>
                    <w:rPr>
                      <w:color w:val="auto"/>
                      <w:kern w:val="0"/>
                      <w:sz w:val="18"/>
                      <w:szCs w:val="18"/>
                    </w:rPr>
                    <w:t>类别</w:t>
                  </w:r>
                </w:p>
              </w:tc>
              <w:tc>
                <w:tcPr>
                  <w:tcW w:w="1501" w:type="pct"/>
                  <w:tcBorders>
                    <w:tl2br w:val="nil"/>
                    <w:tr2bl w:val="nil"/>
                  </w:tcBorders>
                  <w:vAlign w:val="center"/>
                </w:tcPr>
                <w:p w14:paraId="53467FFF">
                  <w:pPr>
                    <w:autoSpaceDE w:val="0"/>
                    <w:autoSpaceDN w:val="0"/>
                    <w:adjustRightInd w:val="0"/>
                    <w:jc w:val="center"/>
                    <w:rPr>
                      <w:color w:val="auto"/>
                      <w:kern w:val="0"/>
                      <w:sz w:val="18"/>
                      <w:szCs w:val="18"/>
                    </w:rPr>
                  </w:pPr>
                  <w:r>
                    <w:rPr>
                      <w:color w:val="auto"/>
                      <w:kern w:val="0"/>
                      <w:sz w:val="18"/>
                      <w:szCs w:val="18"/>
                    </w:rPr>
                    <w:t>保护对象</w:t>
                  </w:r>
                  <w:r>
                    <w:rPr>
                      <w:rFonts w:hint="eastAsia"/>
                      <w:color w:val="auto"/>
                      <w:kern w:val="0"/>
                      <w:sz w:val="18"/>
                      <w:szCs w:val="18"/>
                    </w:rPr>
                    <w:t>、</w:t>
                  </w:r>
                  <w:r>
                    <w:rPr>
                      <w:color w:val="auto"/>
                      <w:kern w:val="0"/>
                      <w:sz w:val="18"/>
                      <w:szCs w:val="18"/>
                    </w:rPr>
                    <w:t>保护内容</w:t>
                  </w:r>
                </w:p>
              </w:tc>
              <w:tc>
                <w:tcPr>
                  <w:tcW w:w="2062" w:type="pct"/>
                  <w:tcBorders>
                    <w:tl2br w:val="nil"/>
                    <w:tr2bl w:val="nil"/>
                  </w:tcBorders>
                  <w:vAlign w:val="center"/>
                </w:tcPr>
                <w:p w14:paraId="50F787B9">
                  <w:pPr>
                    <w:autoSpaceDE w:val="0"/>
                    <w:autoSpaceDN w:val="0"/>
                    <w:adjustRightInd w:val="0"/>
                    <w:jc w:val="center"/>
                    <w:rPr>
                      <w:color w:val="auto"/>
                      <w:kern w:val="0"/>
                      <w:sz w:val="18"/>
                      <w:szCs w:val="18"/>
                    </w:rPr>
                  </w:pPr>
                  <w:r>
                    <w:rPr>
                      <w:color w:val="auto"/>
                      <w:kern w:val="0"/>
                      <w:sz w:val="18"/>
                      <w:szCs w:val="18"/>
                    </w:rPr>
                    <w:t>环境功能区</w:t>
                  </w:r>
                </w:p>
              </w:tc>
              <w:tc>
                <w:tcPr>
                  <w:tcW w:w="458" w:type="pct"/>
                  <w:tcBorders>
                    <w:tl2br w:val="nil"/>
                    <w:tr2bl w:val="nil"/>
                  </w:tcBorders>
                  <w:vAlign w:val="center"/>
                </w:tcPr>
                <w:p w14:paraId="206B556D">
                  <w:pPr>
                    <w:autoSpaceDE w:val="0"/>
                    <w:autoSpaceDN w:val="0"/>
                    <w:adjustRightInd w:val="0"/>
                    <w:jc w:val="center"/>
                    <w:rPr>
                      <w:color w:val="auto"/>
                      <w:kern w:val="0"/>
                      <w:sz w:val="18"/>
                      <w:szCs w:val="18"/>
                    </w:rPr>
                  </w:pPr>
                  <w:r>
                    <w:rPr>
                      <w:color w:val="auto"/>
                      <w:kern w:val="0"/>
                      <w:sz w:val="18"/>
                      <w:szCs w:val="18"/>
                    </w:rPr>
                    <w:t>相对厂址方位</w:t>
                  </w:r>
                </w:p>
              </w:tc>
              <w:tc>
                <w:tcPr>
                  <w:tcW w:w="550" w:type="pct"/>
                  <w:tcBorders>
                    <w:tl2br w:val="nil"/>
                    <w:tr2bl w:val="nil"/>
                  </w:tcBorders>
                  <w:vAlign w:val="center"/>
                </w:tcPr>
                <w:p w14:paraId="7EFB2631">
                  <w:pPr>
                    <w:autoSpaceDE w:val="0"/>
                    <w:autoSpaceDN w:val="0"/>
                    <w:adjustRightInd w:val="0"/>
                    <w:jc w:val="center"/>
                    <w:rPr>
                      <w:color w:val="auto"/>
                      <w:kern w:val="0"/>
                      <w:sz w:val="18"/>
                      <w:szCs w:val="18"/>
                    </w:rPr>
                  </w:pPr>
                  <w:r>
                    <w:rPr>
                      <w:color w:val="auto"/>
                      <w:kern w:val="0"/>
                      <w:sz w:val="18"/>
                      <w:szCs w:val="18"/>
                    </w:rPr>
                    <w:t>相对厂界距离（m）</w:t>
                  </w:r>
                </w:p>
              </w:tc>
            </w:tr>
            <w:tr w14:paraId="37BEBF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2276BA5A">
                  <w:pPr>
                    <w:autoSpaceDE w:val="0"/>
                    <w:autoSpaceDN w:val="0"/>
                    <w:adjustRightInd w:val="0"/>
                    <w:jc w:val="center"/>
                    <w:rPr>
                      <w:color w:val="auto"/>
                      <w:kern w:val="0"/>
                      <w:sz w:val="18"/>
                      <w:szCs w:val="18"/>
                    </w:rPr>
                  </w:pPr>
                  <w:r>
                    <w:rPr>
                      <w:color w:val="auto"/>
                      <w:kern w:val="0"/>
                      <w:sz w:val="18"/>
                      <w:szCs w:val="18"/>
                    </w:rPr>
                    <w:t>大气</w:t>
                  </w:r>
                </w:p>
                <w:p w14:paraId="45A854CA">
                  <w:pPr>
                    <w:autoSpaceDE w:val="0"/>
                    <w:autoSpaceDN w:val="0"/>
                    <w:adjustRightInd w:val="0"/>
                    <w:jc w:val="center"/>
                    <w:rPr>
                      <w:color w:val="auto"/>
                      <w:kern w:val="0"/>
                      <w:sz w:val="18"/>
                      <w:szCs w:val="18"/>
                    </w:rPr>
                  </w:pPr>
                  <w:r>
                    <w:rPr>
                      <w:color w:val="auto"/>
                      <w:kern w:val="0"/>
                      <w:sz w:val="18"/>
                      <w:szCs w:val="18"/>
                    </w:rPr>
                    <w:t>环境</w:t>
                  </w:r>
                </w:p>
              </w:tc>
              <w:tc>
                <w:tcPr>
                  <w:tcW w:w="1501" w:type="pct"/>
                  <w:tcBorders>
                    <w:tl2br w:val="nil"/>
                    <w:tr2bl w:val="nil"/>
                  </w:tcBorders>
                  <w:vAlign w:val="center"/>
                </w:tcPr>
                <w:p w14:paraId="79C08E66">
                  <w:pPr>
                    <w:autoSpaceDE w:val="0"/>
                    <w:autoSpaceDN w:val="0"/>
                    <w:adjustRightInd w:val="0"/>
                    <w:jc w:val="center"/>
                    <w:rPr>
                      <w:color w:val="auto"/>
                      <w:kern w:val="0"/>
                      <w:sz w:val="18"/>
                      <w:szCs w:val="18"/>
                    </w:rPr>
                  </w:pPr>
                  <w:r>
                    <w:rPr>
                      <w:color w:val="auto"/>
                      <w:sz w:val="18"/>
                      <w:szCs w:val="18"/>
                    </w:rPr>
                    <w:t>厂界外50</w:t>
                  </w:r>
                  <w:r>
                    <w:rPr>
                      <w:rFonts w:hint="eastAsia"/>
                      <w:color w:val="auto"/>
                      <w:sz w:val="18"/>
                      <w:szCs w:val="18"/>
                    </w:rPr>
                    <w:t>0</w:t>
                  </w:r>
                  <w:r>
                    <w:rPr>
                      <w:color w:val="auto"/>
                      <w:sz w:val="18"/>
                      <w:szCs w:val="18"/>
                    </w:rPr>
                    <w:t>m范围</w:t>
                  </w:r>
                  <w:r>
                    <w:rPr>
                      <w:rFonts w:hint="eastAsia"/>
                      <w:color w:val="auto"/>
                      <w:sz w:val="18"/>
                      <w:szCs w:val="18"/>
                    </w:rPr>
                    <w:t>内无大气环境敏感目标</w:t>
                  </w:r>
                </w:p>
              </w:tc>
              <w:tc>
                <w:tcPr>
                  <w:tcW w:w="2062" w:type="pct"/>
                  <w:tcBorders>
                    <w:tl2br w:val="nil"/>
                    <w:tr2bl w:val="nil"/>
                  </w:tcBorders>
                  <w:vAlign w:val="center"/>
                </w:tcPr>
                <w:p w14:paraId="1A31900C">
                  <w:pPr>
                    <w:autoSpaceDE w:val="0"/>
                    <w:autoSpaceDN w:val="0"/>
                    <w:adjustRightInd w:val="0"/>
                    <w:jc w:val="center"/>
                    <w:rPr>
                      <w:color w:val="auto"/>
                      <w:kern w:val="0"/>
                      <w:sz w:val="18"/>
                      <w:szCs w:val="18"/>
                    </w:rPr>
                  </w:pPr>
                  <w:r>
                    <w:rPr>
                      <w:color w:val="auto"/>
                      <w:sz w:val="18"/>
                      <w:szCs w:val="18"/>
                    </w:rPr>
                    <w:t>《环境空气质量标准》（GB3095-20</w:t>
                  </w:r>
                  <w:r>
                    <w:rPr>
                      <w:rFonts w:hint="eastAsia"/>
                      <w:color w:val="auto"/>
                      <w:sz w:val="18"/>
                      <w:szCs w:val="18"/>
                      <w:lang w:val="en-US" w:eastAsia="zh-CN"/>
                    </w:rPr>
                    <w:t>26</w:t>
                  </w:r>
                  <w:r>
                    <w:rPr>
                      <w:color w:val="auto"/>
                      <w:sz w:val="18"/>
                      <w:szCs w:val="18"/>
                    </w:rPr>
                    <w:t>）</w:t>
                  </w:r>
                </w:p>
              </w:tc>
              <w:tc>
                <w:tcPr>
                  <w:tcW w:w="458" w:type="pct"/>
                  <w:tcBorders>
                    <w:tl2br w:val="nil"/>
                    <w:tr2bl w:val="nil"/>
                  </w:tcBorders>
                  <w:vAlign w:val="center"/>
                </w:tcPr>
                <w:p w14:paraId="374F9F6C">
                  <w:pPr>
                    <w:autoSpaceDE w:val="0"/>
                    <w:autoSpaceDN w:val="0"/>
                    <w:adjustRightInd w:val="0"/>
                    <w:jc w:val="center"/>
                    <w:rPr>
                      <w:color w:val="auto"/>
                      <w:kern w:val="0"/>
                      <w:sz w:val="18"/>
                      <w:szCs w:val="18"/>
                    </w:rPr>
                  </w:pPr>
                  <w:r>
                    <w:rPr>
                      <w:rFonts w:hint="eastAsia"/>
                      <w:color w:val="auto"/>
                      <w:kern w:val="0"/>
                      <w:sz w:val="18"/>
                      <w:szCs w:val="18"/>
                    </w:rPr>
                    <w:t>/</w:t>
                  </w:r>
                </w:p>
              </w:tc>
              <w:tc>
                <w:tcPr>
                  <w:tcW w:w="550" w:type="pct"/>
                  <w:tcBorders>
                    <w:tl2br w:val="nil"/>
                    <w:tr2bl w:val="nil"/>
                  </w:tcBorders>
                  <w:vAlign w:val="center"/>
                </w:tcPr>
                <w:p w14:paraId="64B2F636">
                  <w:pPr>
                    <w:autoSpaceDE w:val="0"/>
                    <w:autoSpaceDN w:val="0"/>
                    <w:adjustRightInd w:val="0"/>
                    <w:jc w:val="center"/>
                    <w:rPr>
                      <w:color w:val="auto"/>
                      <w:kern w:val="0"/>
                      <w:sz w:val="18"/>
                      <w:szCs w:val="18"/>
                    </w:rPr>
                  </w:pPr>
                  <w:r>
                    <w:rPr>
                      <w:rFonts w:hint="eastAsia"/>
                      <w:color w:val="auto"/>
                      <w:kern w:val="0"/>
                      <w:sz w:val="18"/>
                      <w:szCs w:val="18"/>
                    </w:rPr>
                    <w:t>/</w:t>
                  </w:r>
                </w:p>
              </w:tc>
            </w:tr>
            <w:tr w14:paraId="3FE4FF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5F3CE681">
                  <w:pPr>
                    <w:widowControl/>
                    <w:jc w:val="center"/>
                    <w:rPr>
                      <w:color w:val="auto"/>
                      <w:kern w:val="0"/>
                      <w:sz w:val="18"/>
                      <w:szCs w:val="18"/>
                    </w:rPr>
                  </w:pPr>
                  <w:r>
                    <w:rPr>
                      <w:color w:val="auto"/>
                      <w:kern w:val="0"/>
                      <w:sz w:val="18"/>
                      <w:szCs w:val="18"/>
                    </w:rPr>
                    <w:t>声环境</w:t>
                  </w:r>
                </w:p>
              </w:tc>
              <w:tc>
                <w:tcPr>
                  <w:tcW w:w="1501" w:type="pct"/>
                  <w:tcBorders>
                    <w:tl2br w:val="nil"/>
                    <w:tr2bl w:val="nil"/>
                  </w:tcBorders>
                  <w:vAlign w:val="center"/>
                </w:tcPr>
                <w:p w14:paraId="6286F1A3">
                  <w:pPr>
                    <w:pStyle w:val="91"/>
                    <w:adjustRightInd w:val="0"/>
                    <w:snapToGrid w:val="0"/>
                    <w:spacing w:line="240" w:lineRule="auto"/>
                    <w:rPr>
                      <w:color w:val="auto"/>
                      <w:sz w:val="18"/>
                      <w:szCs w:val="18"/>
                    </w:rPr>
                  </w:pPr>
                  <w:r>
                    <w:rPr>
                      <w:color w:val="auto"/>
                      <w:sz w:val="18"/>
                      <w:szCs w:val="18"/>
                    </w:rPr>
                    <w:t>厂界外50m范围</w:t>
                  </w:r>
                  <w:r>
                    <w:rPr>
                      <w:rFonts w:hint="eastAsia"/>
                      <w:color w:val="auto"/>
                      <w:sz w:val="18"/>
                      <w:szCs w:val="18"/>
                    </w:rPr>
                    <w:t>内无声环境保护目标</w:t>
                  </w:r>
                </w:p>
              </w:tc>
              <w:tc>
                <w:tcPr>
                  <w:tcW w:w="2062" w:type="pct"/>
                  <w:tcBorders>
                    <w:tl2br w:val="nil"/>
                    <w:tr2bl w:val="nil"/>
                  </w:tcBorders>
                  <w:vAlign w:val="center"/>
                </w:tcPr>
                <w:p w14:paraId="6EB1DA9D">
                  <w:pPr>
                    <w:autoSpaceDE w:val="0"/>
                    <w:autoSpaceDN w:val="0"/>
                    <w:adjustRightInd w:val="0"/>
                    <w:jc w:val="center"/>
                    <w:rPr>
                      <w:color w:val="auto"/>
                      <w:kern w:val="0"/>
                      <w:sz w:val="18"/>
                      <w:szCs w:val="18"/>
                    </w:rPr>
                  </w:pPr>
                  <w:r>
                    <w:rPr>
                      <w:color w:val="auto"/>
                      <w:sz w:val="18"/>
                      <w:szCs w:val="18"/>
                    </w:rPr>
                    <w:t>《声环境质量标准》（GB3096-2008）的</w:t>
                  </w:r>
                  <w:r>
                    <w:rPr>
                      <w:rFonts w:hint="eastAsia"/>
                      <w:color w:val="auto"/>
                      <w:sz w:val="18"/>
                      <w:szCs w:val="18"/>
                      <w:lang w:val="en-US" w:eastAsia="zh-CN"/>
                    </w:rPr>
                    <w:t>2</w:t>
                  </w:r>
                  <w:r>
                    <w:rPr>
                      <w:color w:val="auto"/>
                      <w:sz w:val="18"/>
                      <w:szCs w:val="18"/>
                    </w:rPr>
                    <w:t>类声环境功能区要求</w:t>
                  </w:r>
                </w:p>
              </w:tc>
              <w:tc>
                <w:tcPr>
                  <w:tcW w:w="458" w:type="pct"/>
                  <w:tcBorders>
                    <w:tl2br w:val="nil"/>
                    <w:tr2bl w:val="nil"/>
                  </w:tcBorders>
                  <w:vAlign w:val="center"/>
                </w:tcPr>
                <w:p w14:paraId="49796A63">
                  <w:pPr>
                    <w:autoSpaceDE w:val="0"/>
                    <w:autoSpaceDN w:val="0"/>
                    <w:adjustRightInd w:val="0"/>
                    <w:jc w:val="center"/>
                    <w:rPr>
                      <w:color w:val="auto"/>
                      <w:kern w:val="0"/>
                      <w:sz w:val="18"/>
                      <w:szCs w:val="18"/>
                    </w:rPr>
                  </w:pPr>
                  <w:r>
                    <w:rPr>
                      <w:color w:val="auto"/>
                      <w:kern w:val="0"/>
                      <w:sz w:val="18"/>
                      <w:szCs w:val="18"/>
                    </w:rPr>
                    <w:t>/</w:t>
                  </w:r>
                </w:p>
              </w:tc>
              <w:tc>
                <w:tcPr>
                  <w:tcW w:w="550" w:type="pct"/>
                  <w:tcBorders>
                    <w:tl2br w:val="nil"/>
                    <w:tr2bl w:val="nil"/>
                  </w:tcBorders>
                  <w:vAlign w:val="center"/>
                </w:tcPr>
                <w:p w14:paraId="5FEB225E">
                  <w:pPr>
                    <w:autoSpaceDE w:val="0"/>
                    <w:autoSpaceDN w:val="0"/>
                    <w:adjustRightInd w:val="0"/>
                    <w:jc w:val="center"/>
                    <w:rPr>
                      <w:color w:val="auto"/>
                      <w:kern w:val="0"/>
                      <w:sz w:val="18"/>
                      <w:szCs w:val="18"/>
                    </w:rPr>
                  </w:pPr>
                  <w:r>
                    <w:rPr>
                      <w:color w:val="auto"/>
                      <w:kern w:val="0"/>
                      <w:sz w:val="18"/>
                      <w:szCs w:val="18"/>
                    </w:rPr>
                    <w:t>/</w:t>
                  </w:r>
                </w:p>
              </w:tc>
            </w:tr>
            <w:tr w14:paraId="5077B3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47270831">
                  <w:pPr>
                    <w:widowControl/>
                    <w:jc w:val="center"/>
                    <w:rPr>
                      <w:color w:val="auto"/>
                      <w:kern w:val="0"/>
                      <w:sz w:val="18"/>
                      <w:szCs w:val="18"/>
                    </w:rPr>
                  </w:pPr>
                  <w:r>
                    <w:rPr>
                      <w:rFonts w:hint="eastAsia"/>
                      <w:color w:val="auto"/>
                      <w:kern w:val="0"/>
                      <w:sz w:val="18"/>
                      <w:szCs w:val="18"/>
                    </w:rPr>
                    <w:t>地表水环境</w:t>
                  </w:r>
                </w:p>
              </w:tc>
              <w:tc>
                <w:tcPr>
                  <w:tcW w:w="1501" w:type="pct"/>
                  <w:tcBorders>
                    <w:tl2br w:val="nil"/>
                    <w:tr2bl w:val="nil"/>
                  </w:tcBorders>
                  <w:vAlign w:val="center"/>
                </w:tcPr>
                <w:p w14:paraId="76271289">
                  <w:pPr>
                    <w:pStyle w:val="91"/>
                    <w:adjustRightInd w:val="0"/>
                    <w:snapToGrid w:val="0"/>
                    <w:spacing w:line="240" w:lineRule="auto"/>
                    <w:rPr>
                      <w:rFonts w:hint="eastAsia" w:eastAsia="宋体"/>
                      <w:color w:val="auto"/>
                      <w:sz w:val="18"/>
                      <w:szCs w:val="18"/>
                      <w:lang w:eastAsia="zh-CN"/>
                    </w:rPr>
                  </w:pPr>
                  <w:r>
                    <w:rPr>
                      <w:rFonts w:hint="eastAsia"/>
                      <w:color w:val="auto"/>
                      <w:sz w:val="18"/>
                      <w:szCs w:val="18"/>
                      <w:lang w:val="en-US" w:eastAsia="zh-CN"/>
                    </w:rPr>
                    <w:t>运粮河</w:t>
                  </w:r>
                </w:p>
              </w:tc>
              <w:tc>
                <w:tcPr>
                  <w:tcW w:w="2062" w:type="pct"/>
                  <w:tcBorders>
                    <w:tl2br w:val="nil"/>
                    <w:tr2bl w:val="nil"/>
                  </w:tcBorders>
                  <w:vAlign w:val="center"/>
                </w:tcPr>
                <w:p w14:paraId="0F73D8D7">
                  <w:pPr>
                    <w:pStyle w:val="66"/>
                    <w:spacing w:before="1"/>
                    <w:ind w:left="195"/>
                    <w:jc w:val="center"/>
                    <w:rPr>
                      <w:rFonts w:ascii="Times New Roman" w:hAnsi="Times New Roman"/>
                      <w:color w:val="auto"/>
                      <w:sz w:val="18"/>
                      <w:szCs w:val="18"/>
                    </w:rPr>
                  </w:pPr>
                  <w:r>
                    <w:rPr>
                      <w:rFonts w:ascii="Times New Roman" w:hAnsi="Times New Roman"/>
                      <w:color w:val="auto"/>
                      <w:sz w:val="18"/>
                      <w:szCs w:val="18"/>
                    </w:rPr>
                    <w:t>《地表水环境质量标准》</w:t>
                  </w:r>
                </w:p>
                <w:p w14:paraId="1A678016">
                  <w:pPr>
                    <w:autoSpaceDE w:val="0"/>
                    <w:autoSpaceDN w:val="0"/>
                    <w:adjustRightInd w:val="0"/>
                    <w:jc w:val="center"/>
                    <w:rPr>
                      <w:color w:val="auto"/>
                      <w:sz w:val="18"/>
                      <w:szCs w:val="18"/>
                    </w:rPr>
                  </w:pPr>
                  <w:r>
                    <w:rPr>
                      <w:color w:val="auto"/>
                      <w:sz w:val="18"/>
                      <w:szCs w:val="18"/>
                    </w:rPr>
                    <w:t>（GB3838-2002）</w:t>
                  </w:r>
                  <w:r>
                    <w:rPr>
                      <w:rFonts w:hint="default" w:ascii="Times New Roman" w:hAnsi="Times New Roman" w:cs="Times New Roman"/>
                      <w:color w:val="auto"/>
                      <w:sz w:val="18"/>
                      <w:szCs w:val="18"/>
                    </w:rPr>
                    <w:t>Ⅴ</w:t>
                  </w:r>
                  <w:r>
                    <w:rPr>
                      <w:color w:val="auto"/>
                      <w:sz w:val="18"/>
                      <w:szCs w:val="18"/>
                    </w:rPr>
                    <w:t>类标准</w:t>
                  </w:r>
                </w:p>
              </w:tc>
              <w:tc>
                <w:tcPr>
                  <w:tcW w:w="458" w:type="pct"/>
                  <w:tcBorders>
                    <w:tl2br w:val="nil"/>
                    <w:tr2bl w:val="nil"/>
                  </w:tcBorders>
                  <w:vAlign w:val="center"/>
                </w:tcPr>
                <w:p w14:paraId="0399C356">
                  <w:pPr>
                    <w:autoSpaceDE w:val="0"/>
                    <w:autoSpaceDN w:val="0"/>
                    <w:adjustRightInd w:val="0"/>
                    <w:jc w:val="center"/>
                    <w:rPr>
                      <w:rFonts w:hint="default" w:eastAsia="宋体"/>
                      <w:color w:val="auto"/>
                      <w:kern w:val="0"/>
                      <w:sz w:val="18"/>
                      <w:szCs w:val="18"/>
                      <w:lang w:val="en-US" w:eastAsia="zh-CN"/>
                    </w:rPr>
                  </w:pPr>
                  <w:r>
                    <w:rPr>
                      <w:rFonts w:hint="eastAsia"/>
                      <w:color w:val="auto"/>
                      <w:kern w:val="0"/>
                      <w:sz w:val="18"/>
                      <w:szCs w:val="18"/>
                      <w:lang w:val="en-US" w:eastAsia="zh-CN"/>
                    </w:rPr>
                    <w:t>SW</w:t>
                  </w:r>
                </w:p>
              </w:tc>
              <w:tc>
                <w:tcPr>
                  <w:tcW w:w="550" w:type="pct"/>
                  <w:tcBorders>
                    <w:tl2br w:val="nil"/>
                    <w:tr2bl w:val="nil"/>
                  </w:tcBorders>
                  <w:vAlign w:val="center"/>
                </w:tcPr>
                <w:p w14:paraId="76352811">
                  <w:pPr>
                    <w:autoSpaceDE w:val="0"/>
                    <w:autoSpaceDN w:val="0"/>
                    <w:adjustRightInd w:val="0"/>
                    <w:jc w:val="center"/>
                    <w:rPr>
                      <w:rFonts w:hint="default" w:eastAsia="宋体"/>
                      <w:color w:val="auto"/>
                      <w:kern w:val="0"/>
                      <w:sz w:val="18"/>
                      <w:szCs w:val="18"/>
                      <w:lang w:val="en-US" w:eastAsia="zh-CN"/>
                    </w:rPr>
                  </w:pPr>
                  <w:r>
                    <w:rPr>
                      <w:rFonts w:hint="eastAsia"/>
                      <w:color w:val="auto"/>
                      <w:kern w:val="0"/>
                      <w:sz w:val="18"/>
                      <w:szCs w:val="18"/>
                      <w:lang w:val="en-US" w:eastAsia="zh-CN"/>
                    </w:rPr>
                    <w:t>3200</w:t>
                  </w:r>
                </w:p>
              </w:tc>
            </w:tr>
            <w:tr w14:paraId="10D119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128BF54D">
                  <w:pPr>
                    <w:widowControl/>
                    <w:jc w:val="center"/>
                    <w:rPr>
                      <w:color w:val="auto"/>
                      <w:kern w:val="0"/>
                      <w:sz w:val="18"/>
                      <w:szCs w:val="18"/>
                    </w:rPr>
                  </w:pPr>
                  <w:r>
                    <w:rPr>
                      <w:color w:val="auto"/>
                      <w:kern w:val="0"/>
                      <w:sz w:val="18"/>
                      <w:szCs w:val="18"/>
                    </w:rPr>
                    <w:t>地下水环境</w:t>
                  </w:r>
                </w:p>
              </w:tc>
              <w:tc>
                <w:tcPr>
                  <w:tcW w:w="1501" w:type="pct"/>
                  <w:tcBorders>
                    <w:tl2br w:val="nil"/>
                    <w:tr2bl w:val="nil"/>
                  </w:tcBorders>
                  <w:vAlign w:val="center"/>
                </w:tcPr>
                <w:p w14:paraId="0A3955AD">
                  <w:pPr>
                    <w:widowControl/>
                    <w:jc w:val="center"/>
                    <w:rPr>
                      <w:color w:val="auto"/>
                      <w:kern w:val="0"/>
                      <w:sz w:val="18"/>
                      <w:szCs w:val="18"/>
                    </w:rPr>
                  </w:pPr>
                  <w:r>
                    <w:rPr>
                      <w:color w:val="auto"/>
                      <w:kern w:val="0"/>
                      <w:sz w:val="18"/>
                      <w:szCs w:val="18"/>
                    </w:rPr>
                    <w:t>厂界外500米范围内无地下水集中式饮用水源和热水、矿泉水、温泉等特殊地下水资源</w:t>
                  </w:r>
                </w:p>
              </w:tc>
              <w:tc>
                <w:tcPr>
                  <w:tcW w:w="2062" w:type="pct"/>
                  <w:tcBorders>
                    <w:tl2br w:val="nil"/>
                    <w:tr2bl w:val="nil"/>
                  </w:tcBorders>
                  <w:vAlign w:val="center"/>
                </w:tcPr>
                <w:p w14:paraId="0F68BDAE">
                  <w:pPr>
                    <w:autoSpaceDE w:val="0"/>
                    <w:autoSpaceDN w:val="0"/>
                    <w:adjustRightInd w:val="0"/>
                    <w:jc w:val="center"/>
                    <w:rPr>
                      <w:color w:val="auto"/>
                      <w:kern w:val="0"/>
                      <w:sz w:val="18"/>
                      <w:szCs w:val="18"/>
                    </w:rPr>
                  </w:pPr>
                  <w:r>
                    <w:rPr>
                      <w:color w:val="auto"/>
                      <w:sz w:val="18"/>
                      <w:szCs w:val="18"/>
                    </w:rPr>
                    <w:t>《地下水质量标准》（GB/T14848-2017）Ⅲ类标准</w:t>
                  </w:r>
                </w:p>
              </w:tc>
              <w:tc>
                <w:tcPr>
                  <w:tcW w:w="458" w:type="pct"/>
                  <w:tcBorders>
                    <w:tl2br w:val="nil"/>
                    <w:tr2bl w:val="nil"/>
                  </w:tcBorders>
                  <w:vAlign w:val="center"/>
                </w:tcPr>
                <w:p w14:paraId="50EFE24A">
                  <w:pPr>
                    <w:autoSpaceDE w:val="0"/>
                    <w:autoSpaceDN w:val="0"/>
                    <w:adjustRightInd w:val="0"/>
                    <w:jc w:val="center"/>
                    <w:rPr>
                      <w:color w:val="auto"/>
                      <w:kern w:val="0"/>
                      <w:sz w:val="18"/>
                      <w:szCs w:val="18"/>
                    </w:rPr>
                  </w:pPr>
                  <w:r>
                    <w:rPr>
                      <w:color w:val="auto"/>
                      <w:kern w:val="0"/>
                      <w:sz w:val="18"/>
                      <w:szCs w:val="18"/>
                    </w:rPr>
                    <w:t>/</w:t>
                  </w:r>
                </w:p>
              </w:tc>
              <w:tc>
                <w:tcPr>
                  <w:tcW w:w="550" w:type="pct"/>
                  <w:tcBorders>
                    <w:tl2br w:val="nil"/>
                    <w:tr2bl w:val="nil"/>
                  </w:tcBorders>
                  <w:vAlign w:val="center"/>
                </w:tcPr>
                <w:p w14:paraId="0EC28334">
                  <w:pPr>
                    <w:autoSpaceDE w:val="0"/>
                    <w:autoSpaceDN w:val="0"/>
                    <w:adjustRightInd w:val="0"/>
                    <w:jc w:val="center"/>
                    <w:rPr>
                      <w:color w:val="auto"/>
                      <w:kern w:val="0"/>
                      <w:sz w:val="18"/>
                      <w:szCs w:val="18"/>
                    </w:rPr>
                  </w:pPr>
                  <w:r>
                    <w:rPr>
                      <w:color w:val="auto"/>
                      <w:kern w:val="0"/>
                      <w:sz w:val="18"/>
                      <w:szCs w:val="18"/>
                    </w:rPr>
                    <w:t>/</w:t>
                  </w:r>
                </w:p>
              </w:tc>
            </w:tr>
            <w:tr w14:paraId="4973D7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trHeight w:val="283" w:hRule="atLeast"/>
                <w:jc w:val="center"/>
              </w:trPr>
              <w:tc>
                <w:tcPr>
                  <w:tcW w:w="427" w:type="pct"/>
                  <w:tcBorders>
                    <w:tl2br w:val="nil"/>
                    <w:tr2bl w:val="nil"/>
                  </w:tcBorders>
                  <w:vAlign w:val="center"/>
                </w:tcPr>
                <w:p w14:paraId="6E17FC85">
                  <w:pPr>
                    <w:autoSpaceDE w:val="0"/>
                    <w:autoSpaceDN w:val="0"/>
                    <w:adjustRightInd w:val="0"/>
                    <w:jc w:val="center"/>
                    <w:rPr>
                      <w:color w:val="auto"/>
                      <w:kern w:val="0"/>
                      <w:sz w:val="18"/>
                      <w:szCs w:val="18"/>
                    </w:rPr>
                  </w:pPr>
                  <w:r>
                    <w:rPr>
                      <w:color w:val="auto"/>
                      <w:kern w:val="0"/>
                      <w:sz w:val="18"/>
                      <w:szCs w:val="18"/>
                    </w:rPr>
                    <w:t>生态环境</w:t>
                  </w:r>
                </w:p>
              </w:tc>
              <w:tc>
                <w:tcPr>
                  <w:tcW w:w="4572" w:type="pct"/>
                  <w:gridSpan w:val="4"/>
                  <w:tcBorders>
                    <w:tl2br w:val="nil"/>
                    <w:tr2bl w:val="nil"/>
                  </w:tcBorders>
                  <w:vAlign w:val="center"/>
                </w:tcPr>
                <w:p w14:paraId="66D34293">
                  <w:pPr>
                    <w:pStyle w:val="91"/>
                    <w:adjustRightInd w:val="0"/>
                    <w:snapToGrid w:val="0"/>
                    <w:spacing w:line="240" w:lineRule="auto"/>
                    <w:jc w:val="left"/>
                    <w:rPr>
                      <w:color w:val="auto"/>
                      <w:kern w:val="0"/>
                      <w:sz w:val="18"/>
                      <w:szCs w:val="18"/>
                    </w:rPr>
                  </w:pPr>
                  <w:r>
                    <w:rPr>
                      <w:rFonts w:hint="eastAsia"/>
                      <w:color w:val="auto"/>
                      <w:kern w:val="0"/>
                      <w:sz w:val="18"/>
                      <w:szCs w:val="18"/>
                    </w:rPr>
                    <w:t>本项目在现有</w:t>
                  </w:r>
                  <w:r>
                    <w:rPr>
                      <w:rFonts w:hint="eastAsia"/>
                      <w:color w:val="auto"/>
                      <w:kern w:val="0"/>
                      <w:sz w:val="18"/>
                      <w:szCs w:val="18"/>
                      <w:lang w:val="en-US" w:eastAsia="zh-CN"/>
                    </w:rPr>
                    <w:t>厂区</w:t>
                  </w:r>
                  <w:r>
                    <w:rPr>
                      <w:rFonts w:hint="eastAsia"/>
                      <w:color w:val="auto"/>
                      <w:kern w:val="0"/>
                      <w:sz w:val="18"/>
                      <w:szCs w:val="18"/>
                    </w:rPr>
                    <w:t>内进行技改，不新增占地，不新建厂房，周边无生态环境保护目标，本次评价不进行生态现状调查。</w:t>
                  </w:r>
                </w:p>
              </w:tc>
            </w:tr>
          </w:tbl>
          <w:p w14:paraId="034DD88C">
            <w:pPr>
              <w:adjustRightInd w:val="0"/>
              <w:snapToGrid w:val="0"/>
              <w:spacing w:line="360" w:lineRule="auto"/>
              <w:jc w:val="both"/>
              <w:rPr>
                <w:b/>
                <w:bCs/>
                <w:color w:val="auto"/>
                <w:kern w:val="0"/>
                <w:szCs w:val="21"/>
              </w:rPr>
            </w:pPr>
          </w:p>
        </w:tc>
      </w:tr>
      <w:tr w14:paraId="7A6A2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57" w:type="dxa"/>
            <w:tcMar>
              <w:left w:w="28" w:type="dxa"/>
              <w:right w:w="28" w:type="dxa"/>
            </w:tcMar>
            <w:vAlign w:val="bottom"/>
          </w:tcPr>
          <w:p w14:paraId="60685D2D">
            <w:pPr>
              <w:adjustRightInd w:val="0"/>
              <w:snapToGrid w:val="0"/>
              <w:jc w:val="center"/>
              <w:rPr>
                <w:color w:val="auto"/>
                <w:kern w:val="0"/>
                <w:szCs w:val="21"/>
              </w:rPr>
            </w:pPr>
            <w:r>
              <w:rPr>
                <w:color w:val="auto"/>
                <w:kern w:val="0"/>
                <w:szCs w:val="21"/>
              </w:rPr>
              <w:t>污染</w:t>
            </w:r>
          </w:p>
          <w:p w14:paraId="1ECB7C63">
            <w:pPr>
              <w:adjustRightInd w:val="0"/>
              <w:snapToGrid w:val="0"/>
              <w:jc w:val="center"/>
              <w:rPr>
                <w:color w:val="auto"/>
                <w:kern w:val="0"/>
                <w:szCs w:val="21"/>
              </w:rPr>
            </w:pPr>
            <w:r>
              <w:rPr>
                <w:color w:val="auto"/>
                <w:kern w:val="0"/>
                <w:szCs w:val="21"/>
              </w:rPr>
              <w:t>物排</w:t>
            </w:r>
          </w:p>
          <w:p w14:paraId="7F6FB129">
            <w:pPr>
              <w:adjustRightInd w:val="0"/>
              <w:snapToGrid w:val="0"/>
              <w:jc w:val="center"/>
              <w:rPr>
                <w:color w:val="auto"/>
                <w:kern w:val="0"/>
                <w:szCs w:val="21"/>
              </w:rPr>
            </w:pPr>
            <w:r>
              <w:rPr>
                <w:color w:val="auto"/>
                <w:kern w:val="0"/>
                <w:szCs w:val="21"/>
              </w:rPr>
              <w:t>放控</w:t>
            </w:r>
          </w:p>
          <w:p w14:paraId="7AEC71DE">
            <w:pPr>
              <w:adjustRightInd w:val="0"/>
              <w:snapToGrid w:val="0"/>
              <w:jc w:val="center"/>
              <w:rPr>
                <w:color w:val="auto"/>
                <w:kern w:val="0"/>
                <w:szCs w:val="21"/>
              </w:rPr>
            </w:pPr>
            <w:r>
              <w:rPr>
                <w:color w:val="auto"/>
                <w:kern w:val="0"/>
                <w:szCs w:val="21"/>
              </w:rPr>
              <w:t>制标</w:t>
            </w:r>
          </w:p>
          <w:p w14:paraId="5BD95B24">
            <w:pPr>
              <w:adjustRightInd w:val="0"/>
              <w:snapToGrid w:val="0"/>
              <w:jc w:val="center"/>
              <w:rPr>
                <w:color w:val="auto"/>
                <w:kern w:val="0"/>
                <w:szCs w:val="21"/>
              </w:rPr>
            </w:pPr>
            <w:r>
              <w:rPr>
                <w:color w:val="auto"/>
                <w:kern w:val="0"/>
                <w:szCs w:val="21"/>
              </w:rPr>
              <w:t>准</w:t>
            </w:r>
          </w:p>
        </w:tc>
        <w:tc>
          <w:tcPr>
            <w:tcW w:w="8268" w:type="dxa"/>
            <w:vAlign w:val="center"/>
          </w:tcPr>
          <w:p w14:paraId="3C8A59E8">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b/>
                <w:color w:val="auto"/>
              </w:rPr>
            </w:pPr>
            <w:r>
              <w:rPr>
                <w:b/>
                <w:color w:val="auto"/>
              </w:rPr>
              <w:t>1、废水</w:t>
            </w:r>
          </w:p>
          <w:p w14:paraId="22A7ED5A">
            <w:pPr>
              <w:pStyle w:val="79"/>
              <w:keepNext w:val="0"/>
              <w:keepLines w:val="0"/>
              <w:pageBreakBefore w:val="0"/>
              <w:widowControl w:val="0"/>
              <w:kinsoku/>
              <w:wordWrap/>
              <w:overflowPunct/>
              <w:topLinePunct w:val="0"/>
              <w:autoSpaceDE/>
              <w:autoSpaceDN/>
              <w:bidi w:val="0"/>
              <w:adjustRightInd/>
              <w:spacing w:line="440" w:lineRule="exact"/>
              <w:ind w:firstLine="420"/>
              <w:textAlignment w:val="auto"/>
              <w:rPr>
                <w:rFonts w:hint="default" w:eastAsia="宋体"/>
                <w:color w:val="auto"/>
                <w:sz w:val="21"/>
                <w:szCs w:val="21"/>
                <w:lang w:val="en-US" w:eastAsia="zh-CN"/>
              </w:rPr>
            </w:pPr>
            <w:r>
              <w:rPr>
                <w:rFonts w:hint="eastAsia"/>
                <w:color w:val="auto"/>
                <w:sz w:val="21"/>
                <w:szCs w:val="21"/>
                <w:lang w:val="en-US" w:eastAsia="zh-CN"/>
              </w:rPr>
              <w:t>本项目运营期无废水外排。</w:t>
            </w:r>
          </w:p>
          <w:p w14:paraId="0B103462">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b/>
                <w:color w:val="auto"/>
              </w:rPr>
            </w:pPr>
            <w:r>
              <w:rPr>
                <w:b/>
                <w:color w:val="auto"/>
              </w:rPr>
              <w:t>2、废气</w:t>
            </w:r>
          </w:p>
          <w:p w14:paraId="034D5B37">
            <w:pPr>
              <w:pStyle w:val="79"/>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eastAsia"/>
                <w:color w:val="auto"/>
                <w:sz w:val="21"/>
                <w:szCs w:val="21"/>
                <w:lang w:val="en-US" w:eastAsia="zh-CN"/>
              </w:rPr>
            </w:pPr>
            <w:r>
              <w:rPr>
                <w:rFonts w:hint="eastAsia"/>
                <w:color w:val="auto"/>
                <w:sz w:val="21"/>
                <w:szCs w:val="21"/>
                <w:lang w:val="en-US" w:eastAsia="zh-CN"/>
              </w:rPr>
              <w:t>（1）有组织废气</w:t>
            </w:r>
          </w:p>
          <w:p w14:paraId="18B928F3">
            <w:pPr>
              <w:pStyle w:val="79"/>
              <w:keepNext w:val="0"/>
              <w:keepLines w:val="0"/>
              <w:pageBreakBefore w:val="0"/>
              <w:widowControl w:val="0"/>
              <w:kinsoku/>
              <w:wordWrap/>
              <w:overflowPunct/>
              <w:topLinePunct w:val="0"/>
              <w:autoSpaceDE/>
              <w:autoSpaceDN/>
              <w:bidi w:val="0"/>
              <w:adjustRightInd/>
              <w:snapToGrid w:val="0"/>
              <w:spacing w:line="420" w:lineRule="exact"/>
              <w:ind w:firstLine="420"/>
              <w:textAlignment w:val="auto"/>
              <w:rPr>
                <w:rFonts w:hint="default"/>
                <w:color w:val="auto"/>
                <w:sz w:val="21"/>
                <w:szCs w:val="21"/>
                <w:lang w:val="en-US" w:eastAsia="zh-CN"/>
              </w:rPr>
            </w:pPr>
            <w:r>
              <w:rPr>
                <w:rFonts w:hint="eastAsia"/>
                <w:color w:val="auto"/>
                <w:sz w:val="21"/>
                <w:szCs w:val="21"/>
                <w:lang w:val="en-US" w:eastAsia="zh-CN"/>
              </w:rPr>
              <w:t>本项目有组织废气主要为储罐呼吸废气及装卸车废气，废气经水洗预处理后送西厂区2台尾气炉焚烧处理后经配套的DA001、DA002排放（正常工况下2台尾气炉均可正常运行，废气经水洗塔预处理完毕后通过管道一分为二，同时进入2台尾气炉处理）。有组织废气排放执行标准详见下表：</w:t>
            </w:r>
          </w:p>
          <w:p w14:paraId="0CFFE343">
            <w:pPr>
              <w:adjustRightInd w:val="0"/>
              <w:snapToGrid w:val="0"/>
              <w:spacing w:before="120" w:beforeLines="50"/>
              <w:jc w:val="center"/>
              <w:rPr>
                <w:rFonts w:hint="eastAsia"/>
                <w:b/>
                <w:bCs/>
                <w:color w:val="auto"/>
                <w:kern w:val="0"/>
                <w:szCs w:val="21"/>
              </w:rPr>
            </w:pPr>
            <w:r>
              <w:rPr>
                <w:rFonts w:hint="eastAsia"/>
                <w:b/>
                <w:bCs/>
                <w:color w:val="auto"/>
                <w:kern w:val="0"/>
                <w:szCs w:val="21"/>
              </w:rPr>
              <w:t>表3-</w:t>
            </w:r>
            <w:r>
              <w:rPr>
                <w:rFonts w:hint="eastAsia"/>
                <w:b/>
                <w:bCs/>
                <w:color w:val="auto"/>
                <w:kern w:val="0"/>
                <w:szCs w:val="21"/>
                <w:lang w:val="en-US" w:eastAsia="zh-CN"/>
              </w:rPr>
              <w:t>8</w:t>
            </w:r>
            <w:r>
              <w:rPr>
                <w:rFonts w:hint="eastAsia"/>
                <w:b/>
                <w:bCs/>
                <w:color w:val="auto"/>
                <w:kern w:val="0"/>
                <w:szCs w:val="21"/>
              </w:rPr>
              <w:t xml:space="preserve">  </w:t>
            </w:r>
            <w:r>
              <w:rPr>
                <w:rFonts w:hint="eastAsia"/>
                <w:b/>
                <w:bCs/>
                <w:color w:val="auto"/>
                <w:kern w:val="0"/>
                <w:szCs w:val="21"/>
                <w:lang w:val="en-US" w:eastAsia="zh-CN"/>
              </w:rPr>
              <w:t>本项目有组织</w:t>
            </w:r>
            <w:r>
              <w:rPr>
                <w:rFonts w:hint="eastAsia"/>
                <w:b/>
                <w:bCs/>
                <w:color w:val="auto"/>
                <w:kern w:val="0"/>
                <w:szCs w:val="21"/>
              </w:rPr>
              <w:t>废气污染排放执行标准一览表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5"/>
              <w:gridCol w:w="901"/>
              <w:gridCol w:w="1629"/>
              <w:gridCol w:w="1077"/>
              <w:gridCol w:w="3831"/>
            </w:tblGrid>
            <w:tr w14:paraId="04FF4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79" w:type="pct"/>
                  <w:tcBorders>
                    <w:tl2br w:val="nil"/>
                    <w:tr2bl w:val="nil"/>
                  </w:tcBorders>
                  <w:vAlign w:val="center"/>
                </w:tcPr>
                <w:p w14:paraId="1ACB6531">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排气筒</w:t>
                  </w:r>
                </w:p>
              </w:tc>
              <w:tc>
                <w:tcPr>
                  <w:tcW w:w="535" w:type="pct"/>
                  <w:tcBorders>
                    <w:tl2br w:val="nil"/>
                    <w:tr2bl w:val="nil"/>
                  </w:tcBorders>
                  <w:vAlign w:val="center"/>
                </w:tcPr>
                <w:p w14:paraId="119DC2AF">
                  <w:pPr>
                    <w:keepNext w:val="0"/>
                    <w:keepLines w:val="0"/>
                    <w:pageBreakBefore w:val="0"/>
                    <w:widowControl w:val="0"/>
                    <w:kinsoku/>
                    <w:wordWrap/>
                    <w:overflowPunct/>
                    <w:topLinePunct w:val="0"/>
                    <w:autoSpaceDE/>
                    <w:autoSpaceDN/>
                    <w:bidi w:val="0"/>
                    <w:adjustRightInd/>
                    <w:snapToGrid w:val="0"/>
                    <w:jc w:val="center"/>
                    <w:textAlignment w:val="auto"/>
                    <w:rPr>
                      <w:b/>
                      <w:bCs/>
                      <w:color w:val="auto"/>
                      <w:sz w:val="18"/>
                      <w:szCs w:val="18"/>
                    </w:rPr>
                  </w:pPr>
                  <w:r>
                    <w:rPr>
                      <w:b/>
                      <w:bCs/>
                      <w:color w:val="auto"/>
                      <w:sz w:val="18"/>
                      <w:szCs w:val="18"/>
                    </w:rPr>
                    <w:t>污染物</w:t>
                  </w:r>
                </w:p>
              </w:tc>
              <w:tc>
                <w:tcPr>
                  <w:tcW w:w="968" w:type="pct"/>
                  <w:tcBorders>
                    <w:tl2br w:val="nil"/>
                    <w:tr2bl w:val="nil"/>
                  </w:tcBorders>
                  <w:vAlign w:val="center"/>
                </w:tcPr>
                <w:p w14:paraId="238FA36A">
                  <w:pPr>
                    <w:keepNext w:val="0"/>
                    <w:keepLines w:val="0"/>
                    <w:pageBreakBefore w:val="0"/>
                    <w:widowControl w:val="0"/>
                    <w:kinsoku/>
                    <w:wordWrap/>
                    <w:overflowPunct/>
                    <w:topLinePunct w:val="0"/>
                    <w:autoSpaceDE/>
                    <w:autoSpaceDN/>
                    <w:bidi w:val="0"/>
                    <w:adjustRightInd/>
                    <w:snapToGrid w:val="0"/>
                    <w:jc w:val="center"/>
                    <w:textAlignment w:val="auto"/>
                    <w:rPr>
                      <w:rFonts w:hint="eastAsia"/>
                      <w:b/>
                      <w:bCs/>
                      <w:color w:val="auto"/>
                      <w:sz w:val="18"/>
                      <w:szCs w:val="18"/>
                    </w:rPr>
                  </w:pPr>
                  <w:r>
                    <w:rPr>
                      <w:rFonts w:hint="eastAsia"/>
                      <w:b/>
                      <w:bCs/>
                      <w:color w:val="auto"/>
                      <w:sz w:val="18"/>
                      <w:szCs w:val="18"/>
                      <w:lang w:val="en-US" w:eastAsia="zh-CN"/>
                    </w:rPr>
                    <w:t>排放浓度</w:t>
                  </w:r>
                  <w:r>
                    <w:rPr>
                      <w:b/>
                      <w:bCs/>
                      <w:color w:val="auto"/>
                      <w:sz w:val="18"/>
                      <w:szCs w:val="18"/>
                    </w:rPr>
                    <w:t>限值</w:t>
                  </w:r>
                  <w:r>
                    <w:rPr>
                      <w:rFonts w:hint="eastAsia"/>
                      <w:b/>
                      <w:bCs/>
                      <w:color w:val="auto"/>
                      <w:sz w:val="18"/>
                      <w:szCs w:val="18"/>
                    </w:rPr>
                    <w:t>（mg/m</w:t>
                  </w:r>
                  <w:r>
                    <w:rPr>
                      <w:rFonts w:hint="eastAsia"/>
                      <w:b/>
                      <w:bCs/>
                      <w:color w:val="auto"/>
                      <w:sz w:val="18"/>
                      <w:szCs w:val="18"/>
                      <w:vertAlign w:val="superscript"/>
                    </w:rPr>
                    <w:t>3</w:t>
                  </w:r>
                  <w:r>
                    <w:rPr>
                      <w:rFonts w:hint="eastAsia"/>
                      <w:b/>
                      <w:bCs/>
                      <w:color w:val="auto"/>
                      <w:sz w:val="18"/>
                      <w:szCs w:val="18"/>
                    </w:rPr>
                    <w:t>）</w:t>
                  </w:r>
                </w:p>
              </w:tc>
              <w:tc>
                <w:tcPr>
                  <w:tcW w:w="640" w:type="pct"/>
                  <w:tcBorders>
                    <w:tl2br w:val="nil"/>
                    <w:tr2bl w:val="nil"/>
                  </w:tcBorders>
                  <w:vAlign w:val="center"/>
                </w:tcPr>
                <w:p w14:paraId="11090E56">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auto"/>
                      <w:sz w:val="18"/>
                      <w:szCs w:val="18"/>
                      <w:lang w:val="en-US" w:eastAsia="zh-CN"/>
                    </w:rPr>
                  </w:pPr>
                  <w:r>
                    <w:rPr>
                      <w:rFonts w:hint="eastAsia"/>
                      <w:b/>
                      <w:bCs/>
                      <w:color w:val="auto"/>
                      <w:sz w:val="18"/>
                      <w:szCs w:val="18"/>
                      <w:lang w:val="en-US" w:eastAsia="zh-CN"/>
                    </w:rPr>
                    <w:t>速率限值（kg/h）</w:t>
                  </w:r>
                </w:p>
              </w:tc>
              <w:tc>
                <w:tcPr>
                  <w:tcW w:w="2276" w:type="pct"/>
                  <w:tcBorders>
                    <w:tl2br w:val="nil"/>
                    <w:tr2bl w:val="nil"/>
                  </w:tcBorders>
                  <w:vAlign w:val="center"/>
                </w:tcPr>
                <w:p w14:paraId="57B2ED0D">
                  <w:pPr>
                    <w:pStyle w:val="60"/>
                    <w:keepNext w:val="0"/>
                    <w:keepLines w:val="0"/>
                    <w:pageBreakBefore w:val="0"/>
                    <w:widowControl w:val="0"/>
                    <w:kinsoku/>
                    <w:wordWrap/>
                    <w:overflowPunct/>
                    <w:topLinePunct w:val="0"/>
                    <w:autoSpaceDE/>
                    <w:autoSpaceDN/>
                    <w:bidi w:val="0"/>
                    <w:adjustRightInd/>
                    <w:snapToGrid w:val="0"/>
                    <w:textAlignment w:val="auto"/>
                    <w:rPr>
                      <w:b/>
                      <w:bCs/>
                      <w:color w:val="auto"/>
                      <w:sz w:val="18"/>
                      <w:szCs w:val="18"/>
                    </w:rPr>
                  </w:pPr>
                  <w:r>
                    <w:rPr>
                      <w:rFonts w:hint="eastAsia"/>
                      <w:b/>
                      <w:bCs/>
                      <w:color w:val="auto"/>
                      <w:sz w:val="18"/>
                      <w:szCs w:val="18"/>
                    </w:rPr>
                    <w:t>标准来源</w:t>
                  </w:r>
                </w:p>
              </w:tc>
            </w:tr>
            <w:tr w14:paraId="79F8B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79" w:type="pct"/>
                  <w:vMerge w:val="restart"/>
                  <w:tcBorders>
                    <w:tl2br w:val="nil"/>
                    <w:tr2bl w:val="nil"/>
                  </w:tcBorders>
                  <w:vAlign w:val="center"/>
                </w:tcPr>
                <w:p w14:paraId="4D2065D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DA001及DA002</w:t>
                  </w:r>
                </w:p>
              </w:tc>
              <w:tc>
                <w:tcPr>
                  <w:tcW w:w="535" w:type="pct"/>
                  <w:tcBorders>
                    <w:tl2br w:val="nil"/>
                    <w:tr2bl w:val="nil"/>
                  </w:tcBorders>
                  <w:vAlign w:val="center"/>
                </w:tcPr>
                <w:p w14:paraId="314DBAC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VOCs</w:t>
                  </w:r>
                </w:p>
              </w:tc>
              <w:tc>
                <w:tcPr>
                  <w:tcW w:w="968" w:type="pct"/>
                  <w:tcBorders>
                    <w:tl2br w:val="nil"/>
                    <w:tr2bl w:val="nil"/>
                  </w:tcBorders>
                  <w:vAlign w:val="center"/>
                </w:tcPr>
                <w:p w14:paraId="1EABEB5B">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60</w:t>
                  </w:r>
                </w:p>
              </w:tc>
              <w:tc>
                <w:tcPr>
                  <w:tcW w:w="640" w:type="pct"/>
                  <w:tcBorders>
                    <w:tl2br w:val="nil"/>
                    <w:tr2bl w:val="nil"/>
                  </w:tcBorders>
                  <w:vAlign w:val="center"/>
                </w:tcPr>
                <w:p w14:paraId="633CB6BA">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3.0</w:t>
                  </w:r>
                </w:p>
              </w:tc>
              <w:tc>
                <w:tcPr>
                  <w:tcW w:w="2276" w:type="pct"/>
                  <w:tcBorders>
                    <w:tl2br w:val="nil"/>
                    <w:tr2bl w:val="nil"/>
                  </w:tcBorders>
                  <w:vAlign w:val="center"/>
                </w:tcPr>
                <w:p w14:paraId="2C55CEA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第6部分：有机化工行业》（DB37/2801.6-2018）表1Ⅱ时段标准要求</w:t>
                  </w:r>
                </w:p>
              </w:tc>
            </w:tr>
            <w:tr w14:paraId="5D53F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79" w:type="pct"/>
                  <w:vMerge w:val="continue"/>
                  <w:tcBorders>
                    <w:tl2br w:val="nil"/>
                    <w:tr2bl w:val="nil"/>
                  </w:tcBorders>
                  <w:vAlign w:val="center"/>
                </w:tcPr>
                <w:p w14:paraId="39B1B1D3">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p>
              </w:tc>
              <w:tc>
                <w:tcPr>
                  <w:tcW w:w="535" w:type="pct"/>
                  <w:tcBorders>
                    <w:tl2br w:val="nil"/>
                    <w:tr2bl w:val="nil"/>
                  </w:tcBorders>
                  <w:vAlign w:val="center"/>
                </w:tcPr>
                <w:p w14:paraId="069940A4">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甲醇</w:t>
                  </w:r>
                </w:p>
              </w:tc>
              <w:tc>
                <w:tcPr>
                  <w:tcW w:w="968" w:type="pct"/>
                  <w:tcBorders>
                    <w:tl2br w:val="nil"/>
                    <w:tr2bl w:val="nil"/>
                  </w:tcBorders>
                  <w:vAlign w:val="center"/>
                </w:tcPr>
                <w:p w14:paraId="233E3FAF">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50</w:t>
                  </w:r>
                </w:p>
              </w:tc>
              <w:tc>
                <w:tcPr>
                  <w:tcW w:w="640" w:type="pct"/>
                  <w:tcBorders>
                    <w:tl2br w:val="nil"/>
                    <w:tr2bl w:val="nil"/>
                  </w:tcBorders>
                  <w:vAlign w:val="center"/>
                </w:tcPr>
                <w:p w14:paraId="69F39EDA">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w:t>
                  </w:r>
                </w:p>
              </w:tc>
              <w:tc>
                <w:tcPr>
                  <w:tcW w:w="2276" w:type="pct"/>
                  <w:tcBorders>
                    <w:tl2br w:val="nil"/>
                    <w:tr2bl w:val="nil"/>
                  </w:tcBorders>
                  <w:vAlign w:val="center"/>
                </w:tcPr>
                <w:p w14:paraId="25DF1B8A">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w:t>
                  </w:r>
                  <w:r>
                    <w:rPr>
                      <w:rFonts w:hint="eastAsia" w:ascii="Times New Roman" w:hAnsi="Times New Roman" w:eastAsia="宋体" w:cs="Times New Roman"/>
                      <w:bCs/>
                      <w:color w:val="auto"/>
                      <w:kern w:val="2"/>
                      <w:sz w:val="18"/>
                      <w:szCs w:val="18"/>
                      <w:lang w:val="en-US" w:eastAsia="zh-CN" w:bidi="ar-SA"/>
                    </w:rPr>
                    <w:t>2</w:t>
                  </w:r>
                </w:p>
              </w:tc>
            </w:tr>
            <w:tr w14:paraId="274C9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79" w:type="pct"/>
                  <w:vMerge w:val="continue"/>
                  <w:tcBorders>
                    <w:tl2br w:val="nil"/>
                    <w:tr2bl w:val="nil"/>
                  </w:tcBorders>
                  <w:vAlign w:val="center"/>
                </w:tcPr>
                <w:p w14:paraId="08155B87">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p>
              </w:tc>
              <w:tc>
                <w:tcPr>
                  <w:tcW w:w="535" w:type="pct"/>
                  <w:tcBorders>
                    <w:tl2br w:val="nil"/>
                    <w:tr2bl w:val="nil"/>
                  </w:tcBorders>
                  <w:vAlign w:val="center"/>
                </w:tcPr>
                <w:p w14:paraId="115BFDF9">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NOx</w:t>
                  </w:r>
                </w:p>
              </w:tc>
              <w:tc>
                <w:tcPr>
                  <w:tcW w:w="968" w:type="pct"/>
                  <w:tcBorders>
                    <w:tl2br w:val="nil"/>
                    <w:tr2bl w:val="nil"/>
                  </w:tcBorders>
                  <w:vAlign w:val="center"/>
                </w:tcPr>
                <w:p w14:paraId="05666CE2">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100</w:t>
                  </w:r>
                </w:p>
              </w:tc>
              <w:tc>
                <w:tcPr>
                  <w:tcW w:w="640" w:type="pct"/>
                  <w:tcBorders>
                    <w:tl2br w:val="nil"/>
                    <w:tr2bl w:val="nil"/>
                  </w:tcBorders>
                  <w:vAlign w:val="center"/>
                </w:tcPr>
                <w:p w14:paraId="47667A93">
                  <w:pPr>
                    <w:keepNext w:val="0"/>
                    <w:keepLines w:val="0"/>
                    <w:pageBreakBefore w:val="0"/>
                    <w:widowControl w:val="0"/>
                    <w:kinsoku/>
                    <w:wordWrap/>
                    <w:overflowPunct/>
                    <w:topLinePunct w:val="0"/>
                    <w:autoSpaceDE/>
                    <w:autoSpaceDN/>
                    <w:bidi w:val="0"/>
                    <w:adjustRightInd/>
                    <w:snapToGrid w:val="0"/>
                    <w:jc w:val="center"/>
                    <w:textAlignment w:val="auto"/>
                    <w:rPr>
                      <w:rFonts w:hint="default"/>
                      <w:bCs/>
                      <w:color w:val="auto"/>
                      <w:sz w:val="18"/>
                      <w:szCs w:val="18"/>
                      <w:lang w:val="en-US" w:eastAsia="zh-CN"/>
                    </w:rPr>
                  </w:pPr>
                  <w:r>
                    <w:rPr>
                      <w:rFonts w:hint="eastAsia"/>
                      <w:bCs/>
                      <w:color w:val="auto"/>
                      <w:sz w:val="18"/>
                      <w:szCs w:val="18"/>
                      <w:lang w:val="en-US" w:eastAsia="zh-CN"/>
                    </w:rPr>
                    <w:t>--</w:t>
                  </w:r>
                </w:p>
              </w:tc>
              <w:tc>
                <w:tcPr>
                  <w:tcW w:w="2276" w:type="pct"/>
                  <w:tcBorders>
                    <w:tl2br w:val="nil"/>
                    <w:tr2bl w:val="nil"/>
                  </w:tcBorders>
                  <w:vAlign w:val="center"/>
                </w:tcPr>
                <w:p w14:paraId="4D97F21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color w:val="auto"/>
                      <w:sz w:val="18"/>
                      <w:szCs w:val="18"/>
                    </w:rPr>
                    <w:t>《区域性大气污染物综合排放标准》(DB37/2376-2019)表1中“重点控制区”</w:t>
                  </w:r>
                </w:p>
              </w:tc>
            </w:tr>
          </w:tbl>
          <w:p w14:paraId="08DEB34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bCs/>
                <w:color w:val="auto"/>
                <w:szCs w:val="21"/>
                <w:lang w:val="en-US" w:eastAsia="zh-CN"/>
              </w:rPr>
            </w:pPr>
            <w:r>
              <w:rPr>
                <w:rFonts w:hint="eastAsia"/>
                <w:bCs/>
                <w:color w:val="auto"/>
                <w:szCs w:val="21"/>
                <w:lang w:val="en-US" w:eastAsia="zh-CN"/>
              </w:rPr>
              <w:t>（2）无组织废气</w:t>
            </w:r>
          </w:p>
          <w:p w14:paraId="5060D2D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bCs/>
                <w:color w:val="auto"/>
                <w:szCs w:val="21"/>
                <w:lang w:val="en-US" w:eastAsia="zh-CN"/>
              </w:rPr>
            </w:pPr>
            <w:r>
              <w:rPr>
                <w:rFonts w:hint="eastAsia"/>
                <w:bCs/>
                <w:color w:val="auto"/>
                <w:szCs w:val="21"/>
                <w:lang w:val="en-US" w:eastAsia="zh-CN"/>
              </w:rPr>
              <w:t>1）厂界无组织废气</w:t>
            </w:r>
          </w:p>
          <w:p w14:paraId="72B8ACC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bCs/>
                <w:color w:val="auto"/>
                <w:szCs w:val="21"/>
                <w:lang w:val="en-US" w:eastAsia="zh-CN"/>
              </w:rPr>
            </w:pPr>
            <w:r>
              <w:rPr>
                <w:rFonts w:hint="eastAsia"/>
                <w:bCs/>
                <w:color w:val="auto"/>
                <w:szCs w:val="21"/>
                <w:lang w:val="en-US" w:eastAsia="zh-CN"/>
              </w:rPr>
              <w:t>项目厂界大气污染物</w:t>
            </w:r>
            <w:r>
              <w:rPr>
                <w:color w:val="auto"/>
              </w:rPr>
              <w:t>排放</w:t>
            </w:r>
            <w:r>
              <w:rPr>
                <w:rFonts w:hint="eastAsia"/>
                <w:color w:val="auto"/>
              </w:rPr>
              <w:t>执行</w:t>
            </w:r>
            <w:r>
              <w:rPr>
                <w:color w:val="auto"/>
              </w:rPr>
              <w:t>标准详见下表：</w:t>
            </w:r>
          </w:p>
          <w:p w14:paraId="1E1E64F1">
            <w:pPr>
              <w:spacing w:before="120" w:beforeLines="50"/>
              <w:jc w:val="center"/>
              <w:rPr>
                <w:b/>
                <w:bCs/>
                <w:color w:val="auto"/>
                <w:szCs w:val="21"/>
              </w:rPr>
            </w:pPr>
            <w:r>
              <w:rPr>
                <w:b/>
                <w:bCs/>
                <w:color w:val="auto"/>
                <w:szCs w:val="21"/>
              </w:rPr>
              <w:t>表</w:t>
            </w:r>
            <w:r>
              <w:rPr>
                <w:rFonts w:hint="eastAsia"/>
                <w:b/>
                <w:bCs/>
                <w:color w:val="auto"/>
                <w:szCs w:val="21"/>
              </w:rPr>
              <w:t>3-</w:t>
            </w:r>
            <w:r>
              <w:rPr>
                <w:rFonts w:hint="eastAsia"/>
                <w:b/>
                <w:bCs/>
                <w:color w:val="auto"/>
                <w:szCs w:val="21"/>
                <w:lang w:val="en-US" w:eastAsia="zh-CN"/>
              </w:rPr>
              <w:t>9</w:t>
            </w:r>
            <w:r>
              <w:rPr>
                <w:b/>
                <w:bCs/>
                <w:color w:val="auto"/>
                <w:szCs w:val="21"/>
              </w:rPr>
              <w:t xml:space="preserve">  </w:t>
            </w:r>
            <w:r>
              <w:rPr>
                <w:rFonts w:hint="eastAsia"/>
                <w:b/>
                <w:bCs/>
                <w:color w:val="auto"/>
                <w:szCs w:val="21"/>
                <w:lang w:val="en-US" w:eastAsia="zh-CN"/>
              </w:rPr>
              <w:t>本项目厂界无组织</w:t>
            </w:r>
            <w:r>
              <w:rPr>
                <w:rFonts w:hint="eastAsia"/>
                <w:b/>
                <w:bCs/>
                <w:color w:val="auto"/>
                <w:szCs w:val="21"/>
              </w:rPr>
              <w:t>废气污染</w:t>
            </w:r>
            <w:r>
              <w:rPr>
                <w:b/>
                <w:bCs/>
                <w:color w:val="auto"/>
                <w:szCs w:val="21"/>
              </w:rPr>
              <w:t>排放执行标准一览表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28" w:type="dxa"/>
                <w:bottom w:w="0" w:type="dxa"/>
                <w:right w:w="28" w:type="dxa"/>
              </w:tblCellMar>
            </w:tblPr>
            <w:tblGrid>
              <w:gridCol w:w="551"/>
              <w:gridCol w:w="866"/>
              <w:gridCol w:w="934"/>
              <w:gridCol w:w="6070"/>
            </w:tblGrid>
            <w:tr w14:paraId="75210B2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283" w:hRule="atLeast"/>
                <w:jc w:val="center"/>
              </w:trPr>
              <w:tc>
                <w:tcPr>
                  <w:tcW w:w="527" w:type="dxa"/>
                  <w:tcBorders>
                    <w:tl2br w:val="nil"/>
                    <w:tr2bl w:val="nil"/>
                  </w:tcBorders>
                  <w:vAlign w:val="center"/>
                </w:tcPr>
                <w:p w14:paraId="22EECE62">
                  <w:pPr>
                    <w:jc w:val="center"/>
                    <w:rPr>
                      <w:b/>
                      <w:bCs/>
                      <w:color w:val="auto"/>
                      <w:sz w:val="18"/>
                      <w:szCs w:val="18"/>
                    </w:rPr>
                  </w:pPr>
                  <w:r>
                    <w:rPr>
                      <w:rFonts w:hint="eastAsia"/>
                      <w:b/>
                      <w:bCs/>
                      <w:color w:val="auto"/>
                      <w:sz w:val="18"/>
                      <w:szCs w:val="18"/>
                    </w:rPr>
                    <w:t>序号</w:t>
                  </w:r>
                </w:p>
              </w:tc>
              <w:tc>
                <w:tcPr>
                  <w:tcW w:w="828" w:type="dxa"/>
                  <w:tcBorders>
                    <w:tl2br w:val="nil"/>
                    <w:tr2bl w:val="nil"/>
                  </w:tcBorders>
                  <w:vAlign w:val="center"/>
                </w:tcPr>
                <w:p w14:paraId="3E703E66">
                  <w:pPr>
                    <w:jc w:val="center"/>
                    <w:rPr>
                      <w:b/>
                      <w:bCs/>
                      <w:color w:val="auto"/>
                      <w:sz w:val="18"/>
                      <w:szCs w:val="18"/>
                    </w:rPr>
                  </w:pPr>
                  <w:r>
                    <w:rPr>
                      <w:b/>
                      <w:bCs/>
                      <w:color w:val="auto"/>
                      <w:sz w:val="18"/>
                      <w:szCs w:val="18"/>
                    </w:rPr>
                    <w:t>污染物</w:t>
                  </w:r>
                </w:p>
              </w:tc>
              <w:tc>
                <w:tcPr>
                  <w:tcW w:w="893" w:type="dxa"/>
                  <w:tcBorders>
                    <w:tl2br w:val="nil"/>
                    <w:tr2bl w:val="nil"/>
                  </w:tcBorders>
                  <w:vAlign w:val="center"/>
                </w:tcPr>
                <w:p w14:paraId="3D461405">
                  <w:pPr>
                    <w:jc w:val="center"/>
                    <w:rPr>
                      <w:b/>
                      <w:bCs/>
                      <w:color w:val="auto"/>
                      <w:sz w:val="18"/>
                      <w:szCs w:val="18"/>
                    </w:rPr>
                  </w:pPr>
                  <w:r>
                    <w:rPr>
                      <w:rFonts w:hint="eastAsia"/>
                      <w:b/>
                      <w:bCs/>
                      <w:color w:val="auto"/>
                      <w:sz w:val="18"/>
                      <w:szCs w:val="18"/>
                    </w:rPr>
                    <w:t>标准</w:t>
                  </w:r>
                  <w:r>
                    <w:rPr>
                      <w:b/>
                      <w:bCs/>
                      <w:color w:val="auto"/>
                      <w:sz w:val="18"/>
                      <w:szCs w:val="18"/>
                    </w:rPr>
                    <w:t>限值</w:t>
                  </w:r>
                </w:p>
              </w:tc>
              <w:tc>
                <w:tcPr>
                  <w:tcW w:w="5804" w:type="dxa"/>
                  <w:tcBorders>
                    <w:tl2br w:val="nil"/>
                    <w:tr2bl w:val="nil"/>
                  </w:tcBorders>
                  <w:vAlign w:val="center"/>
                </w:tcPr>
                <w:p w14:paraId="152267ED">
                  <w:pPr>
                    <w:jc w:val="center"/>
                    <w:rPr>
                      <w:rFonts w:hint="default" w:eastAsia="宋体"/>
                      <w:b/>
                      <w:bCs/>
                      <w:color w:val="auto"/>
                      <w:sz w:val="18"/>
                      <w:szCs w:val="18"/>
                      <w:lang w:val="en-US" w:eastAsia="zh-CN"/>
                    </w:rPr>
                  </w:pPr>
                  <w:r>
                    <w:rPr>
                      <w:rFonts w:hint="eastAsia"/>
                      <w:b/>
                      <w:bCs/>
                      <w:color w:val="auto"/>
                      <w:sz w:val="18"/>
                      <w:szCs w:val="18"/>
                    </w:rPr>
                    <w:t>标准来源</w:t>
                  </w:r>
                </w:p>
              </w:tc>
            </w:tr>
            <w:tr w14:paraId="248776A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283" w:hRule="atLeast"/>
                <w:jc w:val="center"/>
              </w:trPr>
              <w:tc>
                <w:tcPr>
                  <w:tcW w:w="527" w:type="dxa"/>
                  <w:tcBorders>
                    <w:tl2br w:val="nil"/>
                    <w:tr2bl w:val="nil"/>
                  </w:tcBorders>
                  <w:vAlign w:val="center"/>
                </w:tcPr>
                <w:p w14:paraId="3143970F">
                  <w:pPr>
                    <w:jc w:val="center"/>
                    <w:rPr>
                      <w:bCs/>
                      <w:color w:val="auto"/>
                      <w:sz w:val="18"/>
                      <w:szCs w:val="18"/>
                    </w:rPr>
                  </w:pPr>
                  <w:r>
                    <w:rPr>
                      <w:rFonts w:hint="eastAsia"/>
                      <w:bCs/>
                      <w:color w:val="auto"/>
                      <w:sz w:val="18"/>
                      <w:szCs w:val="18"/>
                    </w:rPr>
                    <w:t>1</w:t>
                  </w:r>
                </w:p>
              </w:tc>
              <w:tc>
                <w:tcPr>
                  <w:tcW w:w="828" w:type="dxa"/>
                  <w:tcBorders>
                    <w:tl2br w:val="nil"/>
                    <w:tr2bl w:val="nil"/>
                  </w:tcBorders>
                  <w:vAlign w:val="center"/>
                </w:tcPr>
                <w:p w14:paraId="0906F617">
                  <w:pPr>
                    <w:jc w:val="center"/>
                    <w:rPr>
                      <w:rFonts w:hint="default" w:eastAsia="宋体"/>
                      <w:bCs/>
                      <w:color w:val="auto"/>
                      <w:sz w:val="18"/>
                      <w:szCs w:val="18"/>
                      <w:lang w:val="en-US" w:eastAsia="zh-CN"/>
                    </w:rPr>
                  </w:pPr>
                  <w:r>
                    <w:rPr>
                      <w:rFonts w:hint="eastAsia"/>
                      <w:bCs/>
                      <w:color w:val="auto"/>
                      <w:sz w:val="18"/>
                      <w:szCs w:val="18"/>
                      <w:lang w:val="en-US" w:eastAsia="zh-CN"/>
                    </w:rPr>
                    <w:t>VOCs</w:t>
                  </w:r>
                </w:p>
              </w:tc>
              <w:tc>
                <w:tcPr>
                  <w:tcW w:w="893" w:type="dxa"/>
                  <w:tcBorders>
                    <w:tl2br w:val="nil"/>
                    <w:tr2bl w:val="nil"/>
                  </w:tcBorders>
                  <w:vAlign w:val="center"/>
                </w:tcPr>
                <w:p w14:paraId="6B1B8973">
                  <w:pPr>
                    <w:jc w:val="center"/>
                    <w:rPr>
                      <w:rFonts w:hint="default" w:eastAsia="宋体"/>
                      <w:bCs/>
                      <w:color w:val="auto"/>
                      <w:sz w:val="18"/>
                      <w:szCs w:val="18"/>
                      <w:lang w:val="en-US" w:eastAsia="zh-CN"/>
                    </w:rPr>
                  </w:pPr>
                  <w:r>
                    <w:rPr>
                      <w:rFonts w:hint="eastAsia"/>
                      <w:bCs/>
                      <w:color w:val="auto"/>
                      <w:sz w:val="18"/>
                      <w:szCs w:val="18"/>
                      <w:lang w:val="en-US" w:eastAsia="zh-CN"/>
                    </w:rPr>
                    <w:t>2.0</w:t>
                  </w:r>
                  <w:r>
                    <w:rPr>
                      <w:b w:val="0"/>
                      <w:bCs w:val="0"/>
                      <w:color w:val="auto"/>
                      <w:sz w:val="18"/>
                      <w:szCs w:val="18"/>
                    </w:rPr>
                    <w:t>mg/m</w:t>
                  </w:r>
                  <w:r>
                    <w:rPr>
                      <w:b w:val="0"/>
                      <w:bCs w:val="0"/>
                      <w:color w:val="auto"/>
                      <w:sz w:val="18"/>
                      <w:szCs w:val="18"/>
                      <w:vertAlign w:val="superscript"/>
                    </w:rPr>
                    <w:t>3</w:t>
                  </w:r>
                </w:p>
              </w:tc>
              <w:tc>
                <w:tcPr>
                  <w:tcW w:w="5804" w:type="dxa"/>
                  <w:tcBorders>
                    <w:tl2br w:val="nil"/>
                    <w:tr2bl w:val="nil"/>
                  </w:tcBorders>
                  <w:vAlign w:val="center"/>
                </w:tcPr>
                <w:p w14:paraId="329F64DA">
                  <w:pPr>
                    <w:jc w:val="center"/>
                    <w:rPr>
                      <w:bCs/>
                      <w:color w:val="auto"/>
                      <w:sz w:val="18"/>
                      <w:szCs w:val="18"/>
                    </w:rPr>
                  </w:pPr>
                  <w:r>
                    <w:rPr>
                      <w:rFonts w:hint="eastAsia"/>
                      <w:bCs/>
                      <w:color w:val="auto"/>
                      <w:sz w:val="18"/>
                      <w:szCs w:val="18"/>
                    </w:rPr>
                    <w:t>《挥发性有机物排放标准 第6部分：有机化工行业》（DB37/2801.6-2018）表3相关限值</w:t>
                  </w:r>
                </w:p>
              </w:tc>
            </w:tr>
            <w:tr w14:paraId="6B03C08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283" w:hRule="atLeast"/>
                <w:jc w:val="center"/>
              </w:trPr>
              <w:tc>
                <w:tcPr>
                  <w:tcW w:w="527" w:type="dxa"/>
                  <w:tcBorders>
                    <w:tl2br w:val="nil"/>
                    <w:tr2bl w:val="nil"/>
                  </w:tcBorders>
                  <w:vAlign w:val="center"/>
                </w:tcPr>
                <w:p w14:paraId="45DD6645">
                  <w:pPr>
                    <w:jc w:val="center"/>
                    <w:rPr>
                      <w:rFonts w:hint="eastAsia" w:eastAsia="宋体"/>
                      <w:bCs/>
                      <w:color w:val="auto"/>
                      <w:sz w:val="18"/>
                      <w:szCs w:val="18"/>
                      <w:lang w:val="en-US" w:eastAsia="zh-CN"/>
                    </w:rPr>
                  </w:pPr>
                  <w:r>
                    <w:rPr>
                      <w:rFonts w:hint="eastAsia"/>
                      <w:bCs/>
                      <w:color w:val="auto"/>
                      <w:sz w:val="18"/>
                      <w:szCs w:val="18"/>
                      <w:lang w:val="en-US" w:eastAsia="zh-CN"/>
                    </w:rPr>
                    <w:t>2</w:t>
                  </w:r>
                </w:p>
              </w:tc>
              <w:tc>
                <w:tcPr>
                  <w:tcW w:w="828" w:type="dxa"/>
                  <w:tcBorders>
                    <w:tl2br w:val="nil"/>
                    <w:tr2bl w:val="nil"/>
                  </w:tcBorders>
                  <w:vAlign w:val="center"/>
                </w:tcPr>
                <w:p w14:paraId="4D9ECD45">
                  <w:pPr>
                    <w:jc w:val="center"/>
                    <w:rPr>
                      <w:rFonts w:hint="default"/>
                      <w:bCs/>
                      <w:color w:val="auto"/>
                      <w:sz w:val="18"/>
                      <w:szCs w:val="18"/>
                      <w:lang w:val="en-US" w:eastAsia="zh-CN"/>
                    </w:rPr>
                  </w:pPr>
                  <w:r>
                    <w:rPr>
                      <w:rFonts w:hint="eastAsia"/>
                      <w:bCs/>
                      <w:color w:val="auto"/>
                      <w:sz w:val="18"/>
                      <w:szCs w:val="18"/>
                      <w:lang w:val="en-US" w:eastAsia="zh-CN"/>
                    </w:rPr>
                    <w:t>甲醇</w:t>
                  </w:r>
                </w:p>
              </w:tc>
              <w:tc>
                <w:tcPr>
                  <w:tcW w:w="893" w:type="dxa"/>
                  <w:tcBorders>
                    <w:tl2br w:val="nil"/>
                    <w:tr2bl w:val="nil"/>
                  </w:tcBorders>
                  <w:vAlign w:val="center"/>
                </w:tcPr>
                <w:p w14:paraId="405C2EDD">
                  <w:pPr>
                    <w:jc w:val="center"/>
                    <w:rPr>
                      <w:rFonts w:hint="eastAsia"/>
                      <w:bCs/>
                      <w:color w:val="auto"/>
                      <w:sz w:val="18"/>
                      <w:szCs w:val="18"/>
                      <w:lang w:val="en-US" w:eastAsia="zh-CN"/>
                    </w:rPr>
                  </w:pPr>
                  <w:r>
                    <w:rPr>
                      <w:rFonts w:hint="eastAsia"/>
                      <w:bCs/>
                      <w:color w:val="auto"/>
                      <w:sz w:val="18"/>
                      <w:szCs w:val="18"/>
                      <w:lang w:val="en-US" w:eastAsia="zh-CN"/>
                    </w:rPr>
                    <w:t>12</w:t>
                  </w:r>
                  <w:r>
                    <w:rPr>
                      <w:b w:val="0"/>
                      <w:bCs w:val="0"/>
                      <w:color w:val="auto"/>
                      <w:sz w:val="18"/>
                      <w:szCs w:val="18"/>
                    </w:rPr>
                    <w:t>mg/m</w:t>
                  </w:r>
                  <w:r>
                    <w:rPr>
                      <w:b w:val="0"/>
                      <w:bCs w:val="0"/>
                      <w:color w:val="auto"/>
                      <w:sz w:val="18"/>
                      <w:szCs w:val="18"/>
                      <w:vertAlign w:val="superscript"/>
                    </w:rPr>
                    <w:t>3</w:t>
                  </w:r>
                </w:p>
              </w:tc>
              <w:tc>
                <w:tcPr>
                  <w:tcW w:w="5804" w:type="dxa"/>
                  <w:tcBorders>
                    <w:tl2br w:val="nil"/>
                    <w:tr2bl w:val="nil"/>
                  </w:tcBorders>
                  <w:vAlign w:val="center"/>
                </w:tcPr>
                <w:p w14:paraId="2714E365">
                  <w:pPr>
                    <w:jc w:val="center"/>
                    <w:rPr>
                      <w:rFonts w:hint="eastAsia"/>
                      <w:bCs/>
                      <w:color w:val="auto"/>
                      <w:sz w:val="18"/>
                      <w:szCs w:val="18"/>
                    </w:rPr>
                  </w:pPr>
                  <w:r>
                    <w:rPr>
                      <w:rFonts w:hint="eastAsia"/>
                      <w:bCs/>
                      <w:color w:val="auto"/>
                      <w:sz w:val="18"/>
                      <w:szCs w:val="18"/>
                    </w:rPr>
                    <w:t>《大气污染物综合排放标准》（GB16297-1996）表2</w:t>
                  </w:r>
                </w:p>
              </w:tc>
            </w:tr>
          </w:tbl>
          <w:p w14:paraId="0A2A3267">
            <w:pPr>
              <w:keepNext w:val="0"/>
              <w:keepLines w:val="0"/>
              <w:pageBreakBefore w:val="0"/>
              <w:widowControl w:val="0"/>
              <w:kinsoku/>
              <w:wordWrap/>
              <w:overflowPunct/>
              <w:topLinePunct w:val="0"/>
              <w:autoSpaceDE/>
              <w:autoSpaceDN/>
              <w:bidi w:val="0"/>
              <w:adjustRightInd w:val="0"/>
              <w:snapToGrid w:val="0"/>
              <w:spacing w:line="420" w:lineRule="exact"/>
              <w:ind w:firstLine="482"/>
              <w:textAlignment w:val="auto"/>
              <w:rPr>
                <w:rFonts w:hint="default"/>
                <w:bCs/>
                <w:color w:val="auto"/>
                <w:szCs w:val="21"/>
                <w:lang w:val="en-US" w:eastAsia="zh-CN"/>
              </w:rPr>
            </w:pPr>
            <w:r>
              <w:rPr>
                <w:rFonts w:hint="eastAsia"/>
                <w:bCs/>
                <w:color w:val="auto"/>
                <w:szCs w:val="21"/>
                <w:lang w:val="en-US" w:eastAsia="zh-CN"/>
              </w:rPr>
              <w:t>2）厂区内无组织废气</w:t>
            </w:r>
          </w:p>
          <w:p w14:paraId="64D04B04">
            <w:pPr>
              <w:keepNext w:val="0"/>
              <w:keepLines w:val="0"/>
              <w:pageBreakBefore w:val="0"/>
              <w:widowControl w:val="0"/>
              <w:kinsoku/>
              <w:wordWrap/>
              <w:overflowPunct/>
              <w:topLinePunct w:val="0"/>
              <w:autoSpaceDE/>
              <w:autoSpaceDN/>
              <w:bidi w:val="0"/>
              <w:adjustRightInd w:val="0"/>
              <w:snapToGrid w:val="0"/>
              <w:spacing w:line="420" w:lineRule="exact"/>
              <w:ind w:firstLine="482"/>
              <w:textAlignment w:val="auto"/>
              <w:rPr>
                <w:b/>
                <w:color w:val="auto"/>
              </w:rPr>
            </w:pPr>
            <w:r>
              <w:rPr>
                <w:rFonts w:hint="eastAsia"/>
                <w:color w:val="auto"/>
              </w:rPr>
              <w:t>厂区内VOC</w:t>
            </w:r>
            <w:r>
              <w:rPr>
                <w:rFonts w:hint="eastAsia"/>
                <w:color w:val="auto"/>
                <w:vertAlign w:val="subscript"/>
              </w:rPr>
              <w:t>S</w:t>
            </w:r>
            <w:r>
              <w:rPr>
                <w:rFonts w:hint="eastAsia"/>
                <w:color w:val="auto"/>
              </w:rPr>
              <w:t>无组织排放监控点浓度限值执行《挥发性有机物无组织排放控制标准》（GB37822-2019）附录A中相关要求</w:t>
            </w:r>
            <w:r>
              <w:rPr>
                <w:color w:val="auto"/>
              </w:rPr>
              <w:t>：</w:t>
            </w:r>
          </w:p>
          <w:p w14:paraId="6B85D250">
            <w:pPr>
              <w:spacing w:before="120" w:beforeLines="50"/>
              <w:jc w:val="center"/>
              <w:rPr>
                <w:b/>
                <w:bCs/>
                <w:color w:val="auto"/>
                <w:szCs w:val="21"/>
              </w:rPr>
            </w:pPr>
            <w:r>
              <w:rPr>
                <w:b/>
                <w:bCs/>
                <w:color w:val="auto"/>
                <w:szCs w:val="21"/>
              </w:rPr>
              <w:t>表</w:t>
            </w:r>
            <w:r>
              <w:rPr>
                <w:rFonts w:hint="eastAsia"/>
                <w:b/>
                <w:bCs/>
                <w:color w:val="auto"/>
                <w:szCs w:val="21"/>
                <w:lang w:val="en-US" w:eastAsia="zh-CN"/>
              </w:rPr>
              <w:t>3-10</w:t>
            </w:r>
            <w:r>
              <w:rPr>
                <w:rFonts w:hint="eastAsia"/>
                <w:b/>
                <w:bCs/>
                <w:color w:val="auto"/>
                <w:szCs w:val="21"/>
              </w:rPr>
              <w:t xml:space="preserve">  </w:t>
            </w:r>
            <w:r>
              <w:rPr>
                <w:rFonts w:hint="eastAsia"/>
                <w:b/>
                <w:bCs/>
                <w:color w:val="auto"/>
                <w:szCs w:val="21"/>
                <w:lang w:val="en-US" w:eastAsia="zh-CN"/>
              </w:rPr>
              <w:t>项目</w:t>
            </w:r>
            <w:r>
              <w:rPr>
                <w:rFonts w:hint="eastAsia"/>
                <w:b/>
                <w:bCs/>
                <w:color w:val="auto"/>
                <w:szCs w:val="21"/>
              </w:rPr>
              <w:t>厂区内VOC</w:t>
            </w:r>
            <w:r>
              <w:rPr>
                <w:rFonts w:hint="eastAsia"/>
                <w:b/>
                <w:bCs/>
                <w:color w:val="auto"/>
                <w:szCs w:val="21"/>
                <w:lang w:val="en-US" w:eastAsia="zh-CN"/>
              </w:rPr>
              <w:t>s</w:t>
            </w:r>
            <w:r>
              <w:rPr>
                <w:rFonts w:hint="eastAsia"/>
                <w:b/>
                <w:bCs/>
                <w:color w:val="auto"/>
                <w:szCs w:val="21"/>
              </w:rPr>
              <w:t>无组织排放监控点浓度限值</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9"/>
              <w:gridCol w:w="2483"/>
              <w:gridCol w:w="2395"/>
              <w:gridCol w:w="1994"/>
            </w:tblGrid>
            <w:tr w14:paraId="057399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8" w:type="dxa"/>
                  <w:tcBorders>
                    <w:right w:val="single" w:color="auto" w:sz="4" w:space="0"/>
                  </w:tcBorders>
                  <w:vAlign w:val="center"/>
                </w:tcPr>
                <w:p w14:paraId="07E228D9">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
                      <w:bCs w:val="0"/>
                      <w:color w:val="auto"/>
                      <w:kern w:val="2"/>
                      <w:sz w:val="18"/>
                      <w:szCs w:val="18"/>
                      <w:lang w:val="en-US" w:eastAsia="zh-CN" w:bidi="ar-SA"/>
                    </w:rPr>
                  </w:pPr>
                  <w:r>
                    <w:rPr>
                      <w:rFonts w:hint="eastAsia" w:cs="Times New Roman"/>
                      <w:b/>
                      <w:bCs w:val="0"/>
                      <w:color w:val="auto"/>
                      <w:kern w:val="2"/>
                      <w:sz w:val="18"/>
                      <w:szCs w:val="18"/>
                      <w:lang w:val="en-US" w:eastAsia="zh-CN" w:bidi="ar-SA"/>
                    </w:rPr>
                    <w:t>污染物项目</w:t>
                  </w:r>
                </w:p>
              </w:tc>
              <w:tc>
                <w:tcPr>
                  <w:tcW w:w="2693" w:type="dxa"/>
                  <w:tcBorders>
                    <w:left w:val="single" w:color="auto" w:sz="4" w:space="0"/>
                    <w:right w:val="single" w:color="auto" w:sz="4" w:space="0"/>
                  </w:tcBorders>
                  <w:vAlign w:val="center"/>
                </w:tcPr>
                <w:p w14:paraId="0A45C1F6">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
                      <w:bCs w:val="0"/>
                      <w:color w:val="auto"/>
                      <w:kern w:val="2"/>
                      <w:sz w:val="18"/>
                      <w:szCs w:val="18"/>
                      <w:lang w:val="en-US" w:eastAsia="zh-CN" w:bidi="ar-SA"/>
                    </w:rPr>
                  </w:pPr>
                  <w:r>
                    <w:rPr>
                      <w:rFonts w:hint="eastAsia" w:cs="Times New Roman"/>
                      <w:b/>
                      <w:bCs w:val="0"/>
                      <w:color w:val="auto"/>
                      <w:kern w:val="2"/>
                      <w:sz w:val="18"/>
                      <w:szCs w:val="18"/>
                      <w:lang w:val="en-US" w:eastAsia="zh-CN" w:bidi="ar-SA"/>
                    </w:rPr>
                    <w:t>特别排放限值（mg/m</w:t>
                  </w:r>
                  <w:r>
                    <w:rPr>
                      <w:rFonts w:hint="eastAsia" w:cs="Times New Roman"/>
                      <w:b/>
                      <w:bCs w:val="0"/>
                      <w:color w:val="auto"/>
                      <w:kern w:val="2"/>
                      <w:sz w:val="18"/>
                      <w:szCs w:val="18"/>
                      <w:vertAlign w:val="superscript"/>
                      <w:lang w:val="en-US" w:eastAsia="zh-CN" w:bidi="ar-SA"/>
                    </w:rPr>
                    <w:t>3</w:t>
                  </w:r>
                  <w:r>
                    <w:rPr>
                      <w:rFonts w:hint="eastAsia" w:cs="Times New Roman"/>
                      <w:b/>
                      <w:bCs w:val="0"/>
                      <w:color w:val="auto"/>
                      <w:kern w:val="2"/>
                      <w:sz w:val="18"/>
                      <w:szCs w:val="18"/>
                      <w:lang w:val="en-US" w:eastAsia="zh-CN" w:bidi="ar-SA"/>
                    </w:rPr>
                    <w:t>）</w:t>
                  </w:r>
                </w:p>
              </w:tc>
              <w:tc>
                <w:tcPr>
                  <w:tcW w:w="2693" w:type="dxa"/>
                  <w:tcBorders>
                    <w:right w:val="single" w:color="auto" w:sz="4" w:space="0"/>
                  </w:tcBorders>
                  <w:vAlign w:val="center"/>
                </w:tcPr>
                <w:p w14:paraId="312EA587">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
                      <w:bCs w:val="0"/>
                      <w:color w:val="auto"/>
                      <w:kern w:val="2"/>
                      <w:sz w:val="18"/>
                      <w:szCs w:val="18"/>
                      <w:lang w:val="en-US" w:eastAsia="zh-CN" w:bidi="ar-SA"/>
                    </w:rPr>
                  </w:pPr>
                  <w:r>
                    <w:rPr>
                      <w:rFonts w:hint="eastAsia" w:cs="Times New Roman"/>
                      <w:b/>
                      <w:bCs w:val="0"/>
                      <w:color w:val="auto"/>
                      <w:kern w:val="2"/>
                      <w:sz w:val="18"/>
                      <w:szCs w:val="18"/>
                      <w:lang w:val="en-US" w:eastAsia="zh-CN" w:bidi="ar-SA"/>
                    </w:rPr>
                    <w:t>限值含义</w:t>
                  </w:r>
                </w:p>
              </w:tc>
              <w:tc>
                <w:tcPr>
                  <w:tcW w:w="2232" w:type="dxa"/>
                  <w:tcBorders>
                    <w:left w:val="single" w:color="auto" w:sz="4" w:space="0"/>
                  </w:tcBorders>
                  <w:vAlign w:val="center"/>
                </w:tcPr>
                <w:p w14:paraId="6590F77E">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
                      <w:bCs w:val="0"/>
                      <w:color w:val="auto"/>
                      <w:kern w:val="2"/>
                      <w:sz w:val="18"/>
                      <w:szCs w:val="18"/>
                      <w:lang w:val="en-US" w:eastAsia="zh-CN" w:bidi="ar-SA"/>
                    </w:rPr>
                  </w:pPr>
                  <w:r>
                    <w:rPr>
                      <w:rFonts w:hint="eastAsia" w:cs="Times New Roman"/>
                      <w:b/>
                      <w:bCs w:val="0"/>
                      <w:color w:val="auto"/>
                      <w:kern w:val="2"/>
                      <w:sz w:val="18"/>
                      <w:szCs w:val="18"/>
                      <w:lang w:val="en-US" w:eastAsia="zh-CN" w:bidi="ar-SA"/>
                    </w:rPr>
                    <w:t>无组织排放监控位置</w:t>
                  </w:r>
                </w:p>
              </w:tc>
            </w:tr>
            <w:tr w14:paraId="429E1D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8" w:type="dxa"/>
                  <w:vMerge w:val="restart"/>
                  <w:tcBorders>
                    <w:right w:val="single" w:color="auto" w:sz="4" w:space="0"/>
                  </w:tcBorders>
                  <w:vAlign w:val="center"/>
                </w:tcPr>
                <w:p w14:paraId="3ED89A50">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NMHC</w:t>
                  </w:r>
                </w:p>
              </w:tc>
              <w:tc>
                <w:tcPr>
                  <w:tcW w:w="2693" w:type="dxa"/>
                  <w:tcBorders>
                    <w:left w:val="single" w:color="auto" w:sz="4" w:space="0"/>
                    <w:right w:val="single" w:color="auto" w:sz="4" w:space="0"/>
                  </w:tcBorders>
                  <w:vAlign w:val="center"/>
                </w:tcPr>
                <w:p w14:paraId="16A4C216">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6</w:t>
                  </w:r>
                </w:p>
              </w:tc>
              <w:tc>
                <w:tcPr>
                  <w:tcW w:w="2693" w:type="dxa"/>
                  <w:tcBorders>
                    <w:right w:val="single" w:color="auto" w:sz="4" w:space="0"/>
                  </w:tcBorders>
                  <w:vAlign w:val="center"/>
                </w:tcPr>
                <w:p w14:paraId="49B6835C">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监控点处1h平均浓度值</w:t>
                  </w:r>
                </w:p>
              </w:tc>
              <w:tc>
                <w:tcPr>
                  <w:tcW w:w="2232" w:type="dxa"/>
                  <w:vMerge w:val="restart"/>
                  <w:tcBorders>
                    <w:left w:val="single" w:color="auto" w:sz="4" w:space="0"/>
                  </w:tcBorders>
                  <w:vAlign w:val="center"/>
                </w:tcPr>
                <w:p w14:paraId="79DA3131">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在厂房外设置监控点</w:t>
                  </w:r>
                </w:p>
              </w:tc>
            </w:tr>
            <w:tr w14:paraId="641A2D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8" w:type="dxa"/>
                  <w:vMerge w:val="continue"/>
                  <w:tcBorders>
                    <w:right w:val="single" w:color="auto" w:sz="4" w:space="0"/>
                  </w:tcBorders>
                  <w:vAlign w:val="center"/>
                </w:tcPr>
                <w:p w14:paraId="46E4B5C9">
                  <w:pPr>
                    <w:pStyle w:val="60"/>
                    <w:rPr>
                      <w:color w:val="auto"/>
                    </w:rPr>
                  </w:pPr>
                </w:p>
              </w:tc>
              <w:tc>
                <w:tcPr>
                  <w:tcW w:w="2693" w:type="dxa"/>
                  <w:tcBorders>
                    <w:left w:val="single" w:color="auto" w:sz="4" w:space="0"/>
                    <w:right w:val="single" w:color="auto" w:sz="4" w:space="0"/>
                  </w:tcBorders>
                  <w:vAlign w:val="center"/>
                </w:tcPr>
                <w:p w14:paraId="4F1EAE3E">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20</w:t>
                  </w:r>
                </w:p>
              </w:tc>
              <w:tc>
                <w:tcPr>
                  <w:tcW w:w="2693" w:type="dxa"/>
                  <w:tcBorders>
                    <w:right w:val="single" w:color="auto" w:sz="4" w:space="0"/>
                  </w:tcBorders>
                  <w:vAlign w:val="center"/>
                </w:tcPr>
                <w:p w14:paraId="670F72A3">
                  <w:pPr>
                    <w:keepNext w:val="0"/>
                    <w:keepLines w:val="0"/>
                    <w:pageBreakBefore w:val="0"/>
                    <w:widowControl w:val="0"/>
                    <w:kinsoku/>
                    <w:wordWrap/>
                    <w:overflowPunct/>
                    <w:topLinePunct w:val="0"/>
                    <w:autoSpaceDE/>
                    <w:autoSpaceDN/>
                    <w:bidi w:val="0"/>
                    <w:adjustRightInd/>
                    <w:snapToGrid w:val="0"/>
                    <w:jc w:val="center"/>
                    <w:textAlignment w:val="auto"/>
                    <w:rPr>
                      <w:rFonts w:hint="eastAsia" w:cs="Times New Roman"/>
                      <w:bCs/>
                      <w:color w:val="auto"/>
                      <w:kern w:val="2"/>
                      <w:sz w:val="18"/>
                      <w:szCs w:val="18"/>
                      <w:lang w:val="en-US" w:eastAsia="zh-CN" w:bidi="ar-SA"/>
                    </w:rPr>
                  </w:pPr>
                  <w:r>
                    <w:rPr>
                      <w:rFonts w:hint="eastAsia" w:cs="Times New Roman"/>
                      <w:bCs/>
                      <w:color w:val="auto"/>
                      <w:kern w:val="2"/>
                      <w:sz w:val="18"/>
                      <w:szCs w:val="18"/>
                      <w:lang w:val="en-US" w:eastAsia="zh-CN" w:bidi="ar-SA"/>
                    </w:rPr>
                    <w:t>监控点处任意一次浓度值</w:t>
                  </w:r>
                </w:p>
              </w:tc>
              <w:tc>
                <w:tcPr>
                  <w:tcW w:w="2232" w:type="dxa"/>
                  <w:vMerge w:val="continue"/>
                  <w:tcBorders>
                    <w:left w:val="single" w:color="auto" w:sz="4" w:space="0"/>
                  </w:tcBorders>
                  <w:vAlign w:val="center"/>
                </w:tcPr>
                <w:p w14:paraId="56ADC98E">
                  <w:pPr>
                    <w:pStyle w:val="60"/>
                    <w:rPr>
                      <w:color w:val="auto"/>
                    </w:rPr>
                  </w:pPr>
                </w:p>
              </w:tc>
            </w:tr>
          </w:tbl>
          <w:p w14:paraId="763C22A9">
            <w:pPr>
              <w:keepNext w:val="0"/>
              <w:keepLines w:val="0"/>
              <w:pageBreakBefore w:val="0"/>
              <w:widowControl w:val="0"/>
              <w:kinsoku/>
              <w:wordWrap/>
              <w:overflowPunct/>
              <w:topLinePunct w:val="0"/>
              <w:autoSpaceDE/>
              <w:autoSpaceDN/>
              <w:bidi w:val="0"/>
              <w:adjustRightInd w:val="0"/>
              <w:snapToGrid w:val="0"/>
              <w:spacing w:line="400" w:lineRule="exact"/>
              <w:ind w:firstLine="482"/>
              <w:textAlignment w:val="auto"/>
              <w:rPr>
                <w:b/>
                <w:color w:val="auto"/>
              </w:rPr>
            </w:pPr>
            <w:r>
              <w:rPr>
                <w:b/>
                <w:color w:val="auto"/>
              </w:rPr>
              <w:t>3、噪声</w:t>
            </w:r>
          </w:p>
          <w:p w14:paraId="7C0A9D42">
            <w:pPr>
              <w:keepNext w:val="0"/>
              <w:keepLines w:val="0"/>
              <w:pageBreakBefore w:val="0"/>
              <w:widowControl w:val="0"/>
              <w:kinsoku/>
              <w:wordWrap/>
              <w:overflowPunct/>
              <w:topLinePunct w:val="0"/>
              <w:autoSpaceDE/>
              <w:autoSpaceDN/>
              <w:bidi w:val="0"/>
              <w:spacing w:line="400" w:lineRule="exact"/>
              <w:ind w:firstLine="441" w:firstLineChars="210"/>
              <w:textAlignment w:val="auto"/>
              <w:rPr>
                <w:color w:val="auto"/>
              </w:rPr>
            </w:pPr>
            <w:r>
              <w:rPr>
                <w:color w:val="auto"/>
              </w:rPr>
              <w:t>本项目运营期噪声执行《工业企业厂界环境噪声排放标准》（GB12348-2008）</w:t>
            </w:r>
            <w:r>
              <w:rPr>
                <w:rFonts w:hint="eastAsia"/>
                <w:color w:val="auto"/>
                <w:lang w:val="en-US" w:eastAsia="zh-CN"/>
              </w:rPr>
              <w:t>2</w:t>
            </w:r>
            <w:r>
              <w:rPr>
                <w:color w:val="auto"/>
              </w:rPr>
              <w:t>类标准，具体标准限值为：昼间6</w:t>
            </w:r>
            <w:r>
              <w:rPr>
                <w:rFonts w:hint="eastAsia"/>
                <w:color w:val="auto"/>
                <w:lang w:val="en-US" w:eastAsia="zh-CN"/>
              </w:rPr>
              <w:t>0</w:t>
            </w:r>
            <w:r>
              <w:rPr>
                <w:color w:val="auto"/>
              </w:rPr>
              <w:t>dB（A），夜间5</w:t>
            </w:r>
            <w:r>
              <w:rPr>
                <w:rFonts w:hint="eastAsia"/>
                <w:color w:val="auto"/>
                <w:lang w:val="en-US" w:eastAsia="zh-CN"/>
              </w:rPr>
              <w:t>0</w:t>
            </w:r>
            <w:r>
              <w:rPr>
                <w:color w:val="auto"/>
              </w:rPr>
              <w:t>dB（A）。</w:t>
            </w:r>
          </w:p>
          <w:p w14:paraId="3E3FF486">
            <w:pPr>
              <w:keepNext w:val="0"/>
              <w:keepLines w:val="0"/>
              <w:pageBreakBefore w:val="0"/>
              <w:widowControl w:val="0"/>
              <w:kinsoku/>
              <w:wordWrap/>
              <w:overflowPunct/>
              <w:topLinePunct w:val="0"/>
              <w:autoSpaceDE/>
              <w:autoSpaceDN/>
              <w:bidi w:val="0"/>
              <w:spacing w:line="400" w:lineRule="exact"/>
              <w:ind w:firstLine="482"/>
              <w:textAlignment w:val="auto"/>
              <w:rPr>
                <w:b/>
                <w:color w:val="auto"/>
              </w:rPr>
            </w:pPr>
            <w:r>
              <w:rPr>
                <w:b/>
                <w:color w:val="auto"/>
              </w:rPr>
              <w:t>4、固废</w:t>
            </w:r>
          </w:p>
          <w:p w14:paraId="53F24FBF">
            <w:pPr>
              <w:keepNext w:val="0"/>
              <w:keepLines w:val="0"/>
              <w:pageBreakBefore w:val="0"/>
              <w:widowControl w:val="0"/>
              <w:kinsoku/>
              <w:wordWrap/>
              <w:overflowPunct/>
              <w:topLinePunct w:val="0"/>
              <w:autoSpaceDE/>
              <w:autoSpaceDN/>
              <w:bidi w:val="0"/>
              <w:spacing w:line="400" w:lineRule="exact"/>
              <w:ind w:firstLine="480"/>
              <w:textAlignment w:val="auto"/>
              <w:rPr>
                <w:rFonts w:hint="eastAsia"/>
                <w:color w:val="auto"/>
              </w:rPr>
            </w:pPr>
            <w:r>
              <w:rPr>
                <w:color w:val="auto"/>
              </w:rPr>
              <w:t>本项目</w:t>
            </w:r>
            <w:r>
              <w:rPr>
                <w:rFonts w:hint="eastAsia"/>
                <w:color w:val="auto"/>
              </w:rPr>
              <w:t>一般固体废物</w:t>
            </w:r>
            <w:r>
              <w:rPr>
                <w:rFonts w:hint="eastAsia"/>
                <w:color w:val="auto"/>
                <w:spacing w:val="-2"/>
              </w:rPr>
              <w:t>收集、贮存和转运环节须严格按照《中华人民共和国固体废物污染环境防治法》、《山东省固体废物污染环境防治条例》</w:t>
            </w:r>
            <w:r>
              <w:rPr>
                <w:rFonts w:hint="eastAsia"/>
                <w:color w:val="auto"/>
              </w:rPr>
              <w:t>中相关规定，采取防扬散、防流失、防渗漏或者其他防止污染环境的措施。</w:t>
            </w:r>
          </w:p>
          <w:p w14:paraId="11AF7F64">
            <w:pPr>
              <w:keepNext w:val="0"/>
              <w:keepLines w:val="0"/>
              <w:pageBreakBefore w:val="0"/>
              <w:widowControl w:val="0"/>
              <w:kinsoku/>
              <w:wordWrap/>
              <w:overflowPunct/>
              <w:topLinePunct w:val="0"/>
              <w:autoSpaceDE/>
              <w:autoSpaceDN/>
              <w:bidi w:val="0"/>
              <w:spacing w:line="400" w:lineRule="exact"/>
              <w:ind w:firstLine="480"/>
              <w:textAlignment w:val="auto"/>
              <w:rPr>
                <w:rFonts w:hint="eastAsia"/>
                <w:color w:val="auto"/>
              </w:rPr>
            </w:pPr>
            <w:r>
              <w:rPr>
                <w:rFonts w:hint="eastAsia"/>
                <w:color w:val="auto"/>
              </w:rPr>
              <w:t>危险废物贮存执行《危险废物贮存污染控制标准》（GB18597-2023），危废转移执行《危险废物转移管理办法》（部令第23号）。</w:t>
            </w:r>
          </w:p>
        </w:tc>
      </w:tr>
      <w:tr w14:paraId="7489E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557" w:type="dxa"/>
            <w:vAlign w:val="center"/>
          </w:tcPr>
          <w:p w14:paraId="551FEB42">
            <w:pPr>
              <w:adjustRightInd w:val="0"/>
              <w:snapToGrid w:val="0"/>
              <w:jc w:val="center"/>
              <w:rPr>
                <w:color w:val="auto"/>
                <w:kern w:val="0"/>
                <w:szCs w:val="21"/>
              </w:rPr>
            </w:pPr>
            <w:r>
              <w:rPr>
                <w:color w:val="auto"/>
                <w:kern w:val="0"/>
                <w:szCs w:val="21"/>
              </w:rPr>
              <w:t>总量</w:t>
            </w:r>
          </w:p>
          <w:p w14:paraId="449135B1">
            <w:pPr>
              <w:adjustRightInd w:val="0"/>
              <w:snapToGrid w:val="0"/>
              <w:jc w:val="center"/>
              <w:rPr>
                <w:color w:val="auto"/>
                <w:kern w:val="0"/>
                <w:szCs w:val="21"/>
              </w:rPr>
            </w:pPr>
            <w:r>
              <w:rPr>
                <w:color w:val="auto"/>
                <w:kern w:val="0"/>
                <w:szCs w:val="21"/>
              </w:rPr>
              <w:t>控制</w:t>
            </w:r>
          </w:p>
          <w:p w14:paraId="11C5A4AA">
            <w:pPr>
              <w:adjustRightInd w:val="0"/>
              <w:snapToGrid w:val="0"/>
              <w:jc w:val="center"/>
              <w:rPr>
                <w:color w:val="auto"/>
                <w:kern w:val="0"/>
                <w:szCs w:val="21"/>
              </w:rPr>
            </w:pPr>
            <w:r>
              <w:rPr>
                <w:color w:val="auto"/>
                <w:kern w:val="0"/>
                <w:szCs w:val="21"/>
              </w:rPr>
              <w:t>指标</w:t>
            </w:r>
          </w:p>
        </w:tc>
        <w:tc>
          <w:tcPr>
            <w:tcW w:w="8268" w:type="dxa"/>
            <w:vAlign w:val="center"/>
          </w:tcPr>
          <w:p w14:paraId="39EB5A2B">
            <w:pPr>
              <w:keepNext w:val="0"/>
              <w:keepLines w:val="0"/>
              <w:pageBreakBefore w:val="0"/>
              <w:widowControl w:val="0"/>
              <w:kinsoku/>
              <w:overflowPunct/>
              <w:topLinePunct w:val="0"/>
              <w:autoSpaceDE/>
              <w:autoSpaceDN/>
              <w:bidi w:val="0"/>
              <w:adjustRightInd w:val="0"/>
              <w:snapToGrid w:val="0"/>
              <w:spacing w:line="420" w:lineRule="exact"/>
              <w:ind w:firstLine="420" w:firstLineChars="200"/>
              <w:textAlignment w:val="auto"/>
              <w:rPr>
                <w:rFonts w:hint="eastAsia"/>
                <w:color w:val="auto"/>
                <w:szCs w:val="21"/>
                <w:highlight w:val="yellow"/>
              </w:rPr>
            </w:pPr>
            <w:r>
              <w:rPr>
                <w:rFonts w:hint="eastAsia"/>
                <w:color w:val="auto"/>
                <w:szCs w:val="21"/>
                <w:highlight w:val="none"/>
              </w:rPr>
              <w:t>1、</w:t>
            </w:r>
            <w:r>
              <w:rPr>
                <w:rFonts w:hint="eastAsia"/>
                <w:color w:val="auto"/>
                <w:szCs w:val="21"/>
                <w:highlight w:val="none"/>
                <w:lang w:val="en-US" w:eastAsia="zh-CN"/>
              </w:rPr>
              <w:t>现有</w:t>
            </w:r>
            <w:r>
              <w:rPr>
                <w:rFonts w:hint="eastAsia"/>
                <w:color w:val="auto"/>
                <w:szCs w:val="21"/>
                <w:highlight w:val="none"/>
              </w:rPr>
              <w:t>项目环评总量控制指标：</w:t>
            </w:r>
          </w:p>
          <w:p w14:paraId="2D088CD7">
            <w:pPr>
              <w:keepNext w:val="0"/>
              <w:keepLines w:val="0"/>
              <w:pageBreakBefore w:val="0"/>
              <w:widowControl w:val="0"/>
              <w:kinsoku/>
              <w:wordWrap w:val="0"/>
              <w:overflowPunct/>
              <w:topLinePunct w:val="0"/>
              <w:autoSpaceDE/>
              <w:autoSpaceDN/>
              <w:bidi w:val="0"/>
              <w:adjustRightInd w:val="0"/>
              <w:snapToGrid w:val="0"/>
              <w:spacing w:line="420" w:lineRule="exact"/>
              <w:ind w:firstLine="420" w:firstLineChars="200"/>
              <w:textAlignment w:val="auto"/>
              <w:rPr>
                <w:rFonts w:hint="default"/>
                <w:color w:val="auto"/>
                <w:highlight w:val="yellow"/>
                <w:lang w:val="en-US" w:eastAsia="zh-CN"/>
              </w:rPr>
            </w:pPr>
            <w:r>
              <w:rPr>
                <w:rFonts w:hint="eastAsia"/>
                <w:color w:val="auto"/>
                <w:highlight w:val="none"/>
                <w:lang w:val="en-US" w:eastAsia="zh-CN"/>
              </w:rPr>
              <w:t>根据收集到的山东诚光工贸有限公司总量分析评估报告（2024年10月21日），现有项目有组织VOCs年许可排放量调整为7.408t/a，有组织NOx年许可排放量调整为2.198t/a。同时，根据山东诚光工贸有限公司现有排污许可证，无组织VOCs许可排放量为2.026t/a。</w:t>
            </w:r>
          </w:p>
          <w:p w14:paraId="36B37A4F">
            <w:pPr>
              <w:keepNext w:val="0"/>
              <w:keepLines w:val="0"/>
              <w:pageBreakBefore w:val="0"/>
              <w:widowControl w:val="0"/>
              <w:kinsoku/>
              <w:wordWrap w:val="0"/>
              <w:overflowPunct/>
              <w:topLinePunct w:val="0"/>
              <w:autoSpaceDE/>
              <w:autoSpaceDN/>
              <w:bidi w:val="0"/>
              <w:adjustRightInd w:val="0"/>
              <w:snapToGrid w:val="0"/>
              <w:spacing w:line="420" w:lineRule="exact"/>
              <w:ind w:firstLine="420" w:firstLineChars="200"/>
              <w:textAlignment w:val="auto"/>
              <w:rPr>
                <w:rFonts w:hint="default" w:eastAsia="宋体"/>
                <w:color w:val="auto"/>
                <w:highlight w:val="yellow"/>
                <w:lang w:val="en-US" w:eastAsia="zh-CN"/>
              </w:rPr>
            </w:pPr>
            <w:r>
              <w:rPr>
                <w:rFonts w:hint="eastAsia"/>
                <w:color w:val="auto"/>
                <w:highlight w:val="none"/>
                <w:lang w:val="en-US" w:eastAsia="zh-CN"/>
              </w:rPr>
              <w:t>综上，现有</w:t>
            </w:r>
            <w:r>
              <w:rPr>
                <w:rFonts w:cs="Times New Roman"/>
                <w:color w:val="auto"/>
                <w:highlight w:val="none"/>
              </w:rPr>
              <w:t>项目</w:t>
            </w:r>
            <w:r>
              <w:rPr>
                <w:rFonts w:hint="eastAsia" w:cs="Times New Roman"/>
                <w:color w:val="auto"/>
                <w:highlight w:val="none"/>
              </w:rPr>
              <w:t>经确认的主要污染物总量控制指标为</w:t>
            </w:r>
            <w:r>
              <w:rPr>
                <w:rFonts w:hint="eastAsia" w:cs="Times New Roman"/>
                <w:color w:val="auto"/>
                <w:highlight w:val="none"/>
                <w:lang w:eastAsia="zh-CN"/>
              </w:rPr>
              <w:t>：</w:t>
            </w:r>
            <w:r>
              <w:rPr>
                <w:rFonts w:hint="eastAsia" w:cs="Times New Roman"/>
                <w:color w:val="auto"/>
                <w:highlight w:val="none"/>
              </w:rPr>
              <w:t>V</w:t>
            </w:r>
            <w:r>
              <w:rPr>
                <w:rFonts w:cs="Times New Roman"/>
                <w:color w:val="auto"/>
                <w:highlight w:val="none"/>
              </w:rPr>
              <w:t>OC</w:t>
            </w:r>
            <w:r>
              <w:rPr>
                <w:rFonts w:hint="eastAsia" w:cs="Times New Roman"/>
                <w:color w:val="auto"/>
                <w:highlight w:val="none"/>
              </w:rPr>
              <w:t>s</w:t>
            </w:r>
            <w:r>
              <w:rPr>
                <w:rFonts w:hint="eastAsia" w:cs="Times New Roman"/>
                <w:color w:val="auto"/>
                <w:highlight w:val="none"/>
                <w:lang w:val="en-US" w:eastAsia="zh-CN"/>
              </w:rPr>
              <w:t>9.434</w:t>
            </w:r>
            <w:r>
              <w:rPr>
                <w:rFonts w:hint="eastAsia" w:cs="Times New Roman"/>
                <w:color w:val="auto"/>
                <w:highlight w:val="none"/>
              </w:rPr>
              <w:t>t</w:t>
            </w:r>
            <w:r>
              <w:rPr>
                <w:rFonts w:cs="Times New Roman"/>
                <w:color w:val="auto"/>
                <w:highlight w:val="none"/>
              </w:rPr>
              <w:t>/</w:t>
            </w:r>
            <w:r>
              <w:rPr>
                <w:rFonts w:hint="eastAsia" w:cs="Times New Roman"/>
                <w:color w:val="auto"/>
                <w:highlight w:val="none"/>
              </w:rPr>
              <w:t>a</w:t>
            </w:r>
            <w:r>
              <w:rPr>
                <w:rFonts w:hint="eastAsia" w:cs="Times New Roman"/>
                <w:color w:val="auto"/>
                <w:highlight w:val="none"/>
                <w:lang w:eastAsia="zh-CN"/>
              </w:rPr>
              <w:t>、</w:t>
            </w:r>
            <w:r>
              <w:rPr>
                <w:rFonts w:hint="eastAsia" w:cs="Times New Roman"/>
                <w:color w:val="auto"/>
                <w:highlight w:val="none"/>
                <w:lang w:val="en-US" w:eastAsia="zh-CN"/>
              </w:rPr>
              <w:t>NOx2.198t/a</w:t>
            </w:r>
            <w:r>
              <w:rPr>
                <w:rFonts w:hint="eastAsia" w:cs="Times New Roman"/>
                <w:color w:val="auto"/>
                <w:highlight w:val="none"/>
              </w:rPr>
              <w:t>。</w:t>
            </w:r>
          </w:p>
          <w:p w14:paraId="0531C5A4">
            <w:pPr>
              <w:keepNext w:val="0"/>
              <w:keepLines w:val="0"/>
              <w:pageBreakBefore w:val="0"/>
              <w:widowControl w:val="0"/>
              <w:kinsoku/>
              <w:overflowPunct/>
              <w:topLinePunct w:val="0"/>
              <w:autoSpaceDE/>
              <w:autoSpaceDN/>
              <w:bidi w:val="0"/>
              <w:adjustRightInd w:val="0"/>
              <w:snapToGrid w:val="0"/>
              <w:spacing w:line="420" w:lineRule="exact"/>
              <w:ind w:firstLine="420" w:firstLineChars="200"/>
              <w:textAlignment w:val="auto"/>
              <w:rPr>
                <w:rFonts w:hint="eastAsia"/>
                <w:color w:val="auto"/>
                <w:szCs w:val="21"/>
              </w:rPr>
            </w:pPr>
            <w:r>
              <w:rPr>
                <w:rFonts w:hint="eastAsia"/>
                <w:color w:val="auto"/>
                <w:szCs w:val="21"/>
              </w:rPr>
              <w:t>2、本项目主要控制污染物排放情况：</w:t>
            </w:r>
          </w:p>
          <w:p w14:paraId="3C14DE1C">
            <w:pPr>
              <w:keepNext w:val="0"/>
              <w:keepLines w:val="0"/>
              <w:pageBreakBefore w:val="0"/>
              <w:widowControl w:val="0"/>
              <w:kinsoku/>
              <w:overflowPunct/>
              <w:topLinePunct w:val="0"/>
              <w:autoSpaceDE/>
              <w:autoSpaceDN/>
              <w:bidi w:val="0"/>
              <w:adjustRightInd w:val="0"/>
              <w:snapToGrid w:val="0"/>
              <w:spacing w:line="420" w:lineRule="exact"/>
              <w:ind w:firstLine="420" w:firstLineChars="200"/>
              <w:textAlignment w:val="auto"/>
              <w:rPr>
                <w:rFonts w:hint="eastAsia"/>
                <w:color w:val="auto"/>
                <w:szCs w:val="21"/>
              </w:rPr>
            </w:pPr>
            <w:r>
              <w:rPr>
                <w:rFonts w:hint="eastAsia"/>
                <w:color w:val="auto"/>
                <w:sz w:val="21"/>
                <w:szCs w:val="21"/>
                <w:lang w:val="en-US" w:eastAsia="zh-CN"/>
              </w:rPr>
              <w:t>本项目建成后职工定员全部从现有职工中调配，无新增生活污水排放；运营期废水主要为初期雨水，经管道收集后送东厂区现有废水处理设施处理后蒸汽回用于甲醛吸收塔，不外排。</w:t>
            </w:r>
            <w:r>
              <w:rPr>
                <w:rFonts w:hint="eastAsia"/>
                <w:color w:val="auto"/>
                <w:szCs w:val="21"/>
              </w:rPr>
              <w:t>本项目</w:t>
            </w:r>
            <w:r>
              <w:rPr>
                <w:rFonts w:hint="eastAsia"/>
                <w:color w:val="auto"/>
                <w:szCs w:val="21"/>
                <w:lang w:val="en-US" w:eastAsia="zh-CN"/>
              </w:rPr>
              <w:t>废气主要为储罐呼吸废气、装卸车区废气及动静密封点损失废气，</w:t>
            </w:r>
            <w:r>
              <w:rPr>
                <w:rFonts w:hint="eastAsia"/>
                <w:color w:val="auto"/>
                <w:szCs w:val="21"/>
              </w:rPr>
              <w:t>废气排放总量为：VOC</w:t>
            </w:r>
            <w:r>
              <w:rPr>
                <w:rFonts w:hint="eastAsia"/>
                <w:color w:val="auto"/>
                <w:szCs w:val="21"/>
                <w:lang w:val="en-US" w:eastAsia="zh-CN"/>
              </w:rPr>
              <w:t>s2.352</w:t>
            </w:r>
            <w:r>
              <w:rPr>
                <w:rFonts w:hint="eastAsia"/>
                <w:color w:val="auto"/>
                <w:szCs w:val="21"/>
              </w:rPr>
              <w:t>t/a</w:t>
            </w:r>
            <w:r>
              <w:rPr>
                <w:rFonts w:hint="eastAsia"/>
                <w:color w:val="auto"/>
                <w:szCs w:val="21"/>
                <w:lang w:eastAsia="zh-CN"/>
              </w:rPr>
              <w:t>、</w:t>
            </w:r>
            <w:r>
              <w:rPr>
                <w:rFonts w:hint="eastAsia"/>
                <w:color w:val="auto"/>
                <w:szCs w:val="21"/>
                <w:lang w:val="en-US" w:eastAsia="zh-CN"/>
              </w:rPr>
              <w:t>氮氧化物0.0403t/a</w:t>
            </w:r>
            <w:r>
              <w:rPr>
                <w:rFonts w:hint="eastAsia"/>
                <w:color w:val="auto"/>
                <w:szCs w:val="21"/>
              </w:rPr>
              <w:t>。</w:t>
            </w:r>
          </w:p>
          <w:p w14:paraId="681E3F09">
            <w:pPr>
              <w:keepNext w:val="0"/>
              <w:keepLines w:val="0"/>
              <w:pageBreakBefore w:val="0"/>
              <w:widowControl w:val="0"/>
              <w:kinsoku/>
              <w:overflowPunct/>
              <w:topLinePunct w:val="0"/>
              <w:autoSpaceDE/>
              <w:autoSpaceDN/>
              <w:bidi w:val="0"/>
              <w:adjustRightInd w:val="0"/>
              <w:snapToGrid w:val="0"/>
              <w:spacing w:line="420" w:lineRule="exact"/>
              <w:ind w:firstLine="420" w:firstLineChars="200"/>
              <w:textAlignment w:val="auto"/>
              <w:rPr>
                <w:rFonts w:hint="eastAsia"/>
                <w:color w:val="auto"/>
                <w:szCs w:val="21"/>
              </w:rPr>
            </w:pPr>
            <w:r>
              <w:rPr>
                <w:rFonts w:hint="eastAsia"/>
                <w:color w:val="auto"/>
                <w:szCs w:val="21"/>
              </w:rPr>
              <w:t>3、本项目总量控制指标申请：</w:t>
            </w:r>
          </w:p>
          <w:p w14:paraId="7CC766F8">
            <w:pPr>
              <w:pStyle w:val="79"/>
              <w:keepNext w:val="0"/>
              <w:keepLines w:val="0"/>
              <w:pageBreakBefore w:val="0"/>
              <w:widowControl w:val="0"/>
              <w:kinsoku/>
              <w:overflowPunct/>
              <w:topLinePunct w:val="0"/>
              <w:autoSpaceDE/>
              <w:autoSpaceDN/>
              <w:bidi w:val="0"/>
              <w:snapToGrid w:val="0"/>
              <w:spacing w:line="420" w:lineRule="exact"/>
              <w:ind w:firstLine="48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w:t>
            </w:r>
            <w:r>
              <w:rPr>
                <w:rFonts w:hint="eastAsia" w:cs="Times New Roman"/>
                <w:color w:val="auto"/>
                <w:kern w:val="2"/>
                <w:sz w:val="21"/>
                <w:szCs w:val="21"/>
                <w:lang w:val="en-US" w:eastAsia="zh-CN" w:bidi="ar-SA"/>
              </w:rPr>
              <w:t>原料、产品罐区安全环保提升技术改造项目</w:t>
            </w:r>
            <w:r>
              <w:rPr>
                <w:rFonts w:hint="eastAsia" w:ascii="Times New Roman" w:hAnsi="Times New Roman" w:eastAsia="宋体" w:cs="Times New Roman"/>
                <w:color w:val="auto"/>
                <w:kern w:val="2"/>
                <w:sz w:val="21"/>
                <w:szCs w:val="21"/>
                <w:lang w:val="en-US" w:eastAsia="zh-CN" w:bidi="ar-SA"/>
              </w:rPr>
              <w:t>，项目建成后公司产品方案仍为5万吨/年甲醛和1万吨/年叔丁醇，厂区总的原料</w:t>
            </w:r>
            <w:r>
              <w:rPr>
                <w:rFonts w:hint="eastAsia" w:cs="Times New Roman"/>
                <w:color w:val="auto"/>
                <w:kern w:val="2"/>
                <w:sz w:val="21"/>
                <w:szCs w:val="21"/>
                <w:lang w:val="en-US" w:eastAsia="zh-CN" w:bidi="ar-SA"/>
              </w:rPr>
              <w:t>用量</w:t>
            </w:r>
            <w:r>
              <w:rPr>
                <w:rFonts w:hint="eastAsia" w:ascii="Times New Roman" w:hAnsi="Times New Roman" w:eastAsia="宋体" w:cs="Times New Roman"/>
                <w:color w:val="auto"/>
                <w:kern w:val="2"/>
                <w:sz w:val="21"/>
                <w:szCs w:val="21"/>
                <w:lang w:val="en-US" w:eastAsia="zh-CN" w:bidi="ar-SA"/>
              </w:rPr>
              <w:t>及产品</w:t>
            </w:r>
            <w:r>
              <w:rPr>
                <w:rFonts w:hint="eastAsia" w:cs="Times New Roman"/>
                <w:color w:val="auto"/>
                <w:kern w:val="2"/>
                <w:sz w:val="21"/>
                <w:szCs w:val="21"/>
                <w:lang w:val="en-US" w:eastAsia="zh-CN" w:bidi="ar-SA"/>
              </w:rPr>
              <w:t>产量均保持</w:t>
            </w:r>
            <w:r>
              <w:rPr>
                <w:rFonts w:hint="eastAsia" w:ascii="Times New Roman" w:hAnsi="Times New Roman" w:eastAsia="宋体" w:cs="Times New Roman"/>
                <w:color w:val="auto"/>
                <w:kern w:val="2"/>
                <w:sz w:val="21"/>
                <w:szCs w:val="21"/>
                <w:lang w:val="en-US" w:eastAsia="zh-CN" w:bidi="ar-SA"/>
              </w:rPr>
              <w:t>不变，储罐总储存能力变大，故减少了转运次数，减少了装卸车和开停车的次数，本项目建后全厂污染物排放“三本账”分析如下：</w:t>
            </w:r>
          </w:p>
          <w:p w14:paraId="4F166ED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highlight w:val="none"/>
              </w:rPr>
            </w:pPr>
            <w:r>
              <w:rPr>
                <w:rFonts w:hint="eastAsia"/>
                <w:b/>
                <w:color w:val="auto"/>
                <w:szCs w:val="21"/>
                <w:highlight w:val="none"/>
              </w:rPr>
              <w:t>表</w:t>
            </w:r>
            <w:r>
              <w:rPr>
                <w:rFonts w:hint="eastAsia"/>
                <w:b/>
                <w:color w:val="auto"/>
                <w:szCs w:val="21"/>
                <w:highlight w:val="none"/>
                <w:lang w:val="en-US" w:eastAsia="zh-CN"/>
              </w:rPr>
              <w:t>3-9</w:t>
            </w:r>
            <w:r>
              <w:rPr>
                <w:rFonts w:hint="eastAsia"/>
                <w:b/>
                <w:color w:val="auto"/>
                <w:szCs w:val="21"/>
                <w:highlight w:val="none"/>
              </w:rPr>
              <w:t xml:space="preserve">  项目建成后全厂污染物排放“三本账”分析表（单位：t/a）</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795"/>
              <w:gridCol w:w="497"/>
              <w:gridCol w:w="497"/>
              <w:gridCol w:w="956"/>
              <w:gridCol w:w="987"/>
              <w:gridCol w:w="832"/>
              <w:gridCol w:w="1048"/>
              <w:gridCol w:w="863"/>
              <w:gridCol w:w="1234"/>
              <w:gridCol w:w="712"/>
            </w:tblGrid>
            <w:tr w14:paraId="5E0A50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1789" w:type="dxa"/>
                  <w:gridSpan w:val="3"/>
                  <w:vAlign w:val="center"/>
                </w:tcPr>
                <w:p w14:paraId="4FFAFE34">
                  <w:pPr>
                    <w:pStyle w:val="60"/>
                    <w:rPr>
                      <w:rFonts w:hint="eastAsia"/>
                      <w:color w:val="auto"/>
                      <w:sz w:val="18"/>
                      <w:szCs w:val="18"/>
                      <w:highlight w:val="none"/>
                    </w:rPr>
                  </w:pPr>
                  <w:r>
                    <w:rPr>
                      <w:rFonts w:hint="eastAsia"/>
                      <w:color w:val="auto"/>
                      <w:sz w:val="18"/>
                      <w:szCs w:val="18"/>
                      <w:highlight w:val="none"/>
                    </w:rPr>
                    <w:t>名称</w:t>
                  </w:r>
                </w:p>
              </w:tc>
              <w:tc>
                <w:tcPr>
                  <w:tcW w:w="956" w:type="dxa"/>
                  <w:vAlign w:val="center"/>
                </w:tcPr>
                <w:p w14:paraId="342238F9">
                  <w:pPr>
                    <w:pStyle w:val="60"/>
                    <w:rPr>
                      <w:rFonts w:hint="eastAsia"/>
                      <w:color w:val="auto"/>
                      <w:sz w:val="18"/>
                      <w:szCs w:val="18"/>
                      <w:highlight w:val="none"/>
                    </w:rPr>
                  </w:pPr>
                  <w:r>
                    <w:rPr>
                      <w:rFonts w:hint="eastAsia"/>
                      <w:color w:val="auto"/>
                      <w:sz w:val="18"/>
                      <w:szCs w:val="18"/>
                      <w:highlight w:val="none"/>
                    </w:rPr>
                    <w:t>①现有项目排放量</w:t>
                  </w:r>
                </w:p>
              </w:tc>
              <w:tc>
                <w:tcPr>
                  <w:tcW w:w="987" w:type="dxa"/>
                  <w:vAlign w:val="center"/>
                </w:tcPr>
                <w:p w14:paraId="4BB66ED6">
                  <w:pPr>
                    <w:pStyle w:val="60"/>
                    <w:rPr>
                      <w:color w:val="auto"/>
                      <w:sz w:val="18"/>
                      <w:szCs w:val="18"/>
                      <w:highlight w:val="none"/>
                    </w:rPr>
                  </w:pPr>
                  <w:r>
                    <w:rPr>
                      <w:rFonts w:hint="eastAsia"/>
                      <w:color w:val="auto"/>
                      <w:sz w:val="18"/>
                      <w:szCs w:val="18"/>
                      <w:highlight w:val="none"/>
                      <w:lang w:val="en-US" w:eastAsia="zh-CN"/>
                    </w:rPr>
                    <w:t>②</w:t>
                  </w:r>
                  <w:r>
                    <w:rPr>
                      <w:rFonts w:hint="eastAsia"/>
                      <w:color w:val="auto"/>
                      <w:sz w:val="18"/>
                      <w:szCs w:val="18"/>
                      <w:highlight w:val="none"/>
                    </w:rPr>
                    <w:t>现有项目</w:t>
                  </w:r>
                  <w:r>
                    <w:rPr>
                      <w:rFonts w:hint="eastAsia"/>
                      <w:color w:val="auto"/>
                      <w:sz w:val="18"/>
                      <w:szCs w:val="18"/>
                      <w:highlight w:val="none"/>
                      <w:lang w:val="en-US" w:eastAsia="zh-CN"/>
                    </w:rPr>
                    <w:t>许可</w:t>
                  </w:r>
                  <w:r>
                    <w:rPr>
                      <w:rFonts w:hint="eastAsia"/>
                      <w:color w:val="auto"/>
                      <w:sz w:val="18"/>
                      <w:szCs w:val="18"/>
                      <w:highlight w:val="none"/>
                    </w:rPr>
                    <w:t>排放量</w:t>
                  </w:r>
                </w:p>
              </w:tc>
              <w:tc>
                <w:tcPr>
                  <w:tcW w:w="832" w:type="dxa"/>
                  <w:vAlign w:val="center"/>
                </w:tcPr>
                <w:p w14:paraId="2AF9F23D">
                  <w:pPr>
                    <w:pStyle w:val="60"/>
                    <w:rPr>
                      <w:color w:val="auto"/>
                      <w:sz w:val="18"/>
                      <w:szCs w:val="18"/>
                      <w:highlight w:val="none"/>
                    </w:rPr>
                  </w:pPr>
                  <w:r>
                    <w:rPr>
                      <w:rFonts w:hint="eastAsia"/>
                      <w:color w:val="auto"/>
                      <w:sz w:val="18"/>
                      <w:szCs w:val="18"/>
                      <w:highlight w:val="none"/>
                      <w:lang w:val="en-US" w:eastAsia="zh-CN"/>
                    </w:rPr>
                    <w:t>③在建</w:t>
                  </w:r>
                  <w:r>
                    <w:rPr>
                      <w:rFonts w:hint="eastAsia"/>
                      <w:color w:val="auto"/>
                      <w:sz w:val="18"/>
                      <w:szCs w:val="18"/>
                      <w:highlight w:val="none"/>
                    </w:rPr>
                    <w:t>项目排放量</w:t>
                  </w:r>
                </w:p>
              </w:tc>
              <w:tc>
                <w:tcPr>
                  <w:tcW w:w="1048" w:type="dxa"/>
                  <w:vAlign w:val="center"/>
                </w:tcPr>
                <w:p w14:paraId="3781B8E2">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④本项目工程排放量</w:t>
                  </w:r>
                </w:p>
              </w:tc>
              <w:tc>
                <w:tcPr>
                  <w:tcW w:w="863" w:type="dxa"/>
                  <w:vAlign w:val="center"/>
                </w:tcPr>
                <w:p w14:paraId="7046BD43">
                  <w:pPr>
                    <w:pStyle w:val="60"/>
                    <w:rPr>
                      <w:color w:val="auto"/>
                      <w:sz w:val="18"/>
                      <w:szCs w:val="18"/>
                      <w:highlight w:val="none"/>
                    </w:rPr>
                  </w:pPr>
                  <w:r>
                    <w:rPr>
                      <w:rFonts w:hint="eastAsia"/>
                      <w:color w:val="auto"/>
                      <w:sz w:val="18"/>
                      <w:szCs w:val="18"/>
                      <w:highlight w:val="none"/>
                      <w:lang w:val="en-US" w:eastAsia="zh-CN"/>
                    </w:rPr>
                    <w:t>⑤</w:t>
                  </w:r>
                  <w:r>
                    <w:rPr>
                      <w:rFonts w:hint="eastAsia"/>
                      <w:color w:val="auto"/>
                      <w:sz w:val="18"/>
                      <w:szCs w:val="18"/>
                      <w:highlight w:val="none"/>
                    </w:rPr>
                    <w:t>以新带老削减量</w:t>
                  </w:r>
                </w:p>
              </w:tc>
              <w:tc>
                <w:tcPr>
                  <w:tcW w:w="1234" w:type="dxa"/>
                  <w:vAlign w:val="center"/>
                </w:tcPr>
                <w:p w14:paraId="64D0F597">
                  <w:pPr>
                    <w:pStyle w:val="60"/>
                    <w:rPr>
                      <w:color w:val="auto"/>
                      <w:sz w:val="18"/>
                      <w:szCs w:val="18"/>
                      <w:highlight w:val="none"/>
                    </w:rPr>
                  </w:pPr>
                  <w:r>
                    <w:rPr>
                      <w:rFonts w:hint="eastAsia"/>
                      <w:color w:val="auto"/>
                      <w:sz w:val="18"/>
                      <w:szCs w:val="18"/>
                      <w:highlight w:val="none"/>
                      <w:lang w:val="en-US" w:eastAsia="zh-CN"/>
                    </w:rPr>
                    <w:t>⑥</w:t>
                  </w:r>
                  <w:r>
                    <w:rPr>
                      <w:rFonts w:hint="eastAsia"/>
                      <w:color w:val="auto"/>
                      <w:sz w:val="18"/>
                      <w:szCs w:val="18"/>
                      <w:highlight w:val="none"/>
                    </w:rPr>
                    <w:t>本项目建成后全厂排放量</w:t>
                  </w:r>
                </w:p>
              </w:tc>
              <w:tc>
                <w:tcPr>
                  <w:tcW w:w="712" w:type="dxa"/>
                  <w:vAlign w:val="center"/>
                </w:tcPr>
                <w:p w14:paraId="69701824">
                  <w:pPr>
                    <w:pStyle w:val="60"/>
                    <w:rPr>
                      <w:color w:val="auto"/>
                      <w:sz w:val="18"/>
                      <w:szCs w:val="18"/>
                      <w:highlight w:val="none"/>
                    </w:rPr>
                  </w:pPr>
                  <w:r>
                    <w:rPr>
                      <w:rFonts w:hint="eastAsia"/>
                      <w:color w:val="auto"/>
                      <w:sz w:val="18"/>
                      <w:szCs w:val="18"/>
                      <w:highlight w:val="none"/>
                      <w:lang w:val="en-US" w:eastAsia="zh-CN"/>
                    </w:rPr>
                    <w:t>⑦</w:t>
                  </w:r>
                  <w:r>
                    <w:rPr>
                      <w:rFonts w:hint="eastAsia"/>
                      <w:color w:val="auto"/>
                      <w:sz w:val="18"/>
                      <w:szCs w:val="18"/>
                      <w:highlight w:val="none"/>
                    </w:rPr>
                    <w:t>变化量</w:t>
                  </w:r>
                </w:p>
              </w:tc>
            </w:tr>
            <w:tr w14:paraId="47B9BD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restart"/>
                  <w:vAlign w:val="center"/>
                </w:tcPr>
                <w:p w14:paraId="1263F856">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有组织废气</w:t>
                  </w:r>
                </w:p>
              </w:tc>
              <w:tc>
                <w:tcPr>
                  <w:tcW w:w="994" w:type="dxa"/>
                  <w:gridSpan w:val="2"/>
                  <w:shd w:val="clear" w:color="auto" w:fill="auto"/>
                  <w:vAlign w:val="center"/>
                </w:tcPr>
                <w:p w14:paraId="39D9C5AA">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VOCs</w:t>
                  </w:r>
                  <w:r>
                    <w:rPr>
                      <w:rFonts w:hint="eastAsia"/>
                      <w:color w:val="auto"/>
                      <w:sz w:val="18"/>
                      <w:szCs w:val="18"/>
                      <w:highlight w:val="none"/>
                      <w:lang w:val="en-US" w:eastAsia="zh-CN"/>
                    </w:rPr>
                    <w:t>小计</w:t>
                  </w:r>
                </w:p>
              </w:tc>
              <w:tc>
                <w:tcPr>
                  <w:tcW w:w="956" w:type="dxa"/>
                  <w:vAlign w:val="center"/>
                </w:tcPr>
                <w:p w14:paraId="7AC9012C">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6.579</w:t>
                  </w:r>
                </w:p>
              </w:tc>
              <w:tc>
                <w:tcPr>
                  <w:tcW w:w="987" w:type="dxa"/>
                  <w:vAlign w:val="center"/>
                </w:tcPr>
                <w:p w14:paraId="4641D598">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7.408</w:t>
                  </w:r>
                </w:p>
              </w:tc>
              <w:tc>
                <w:tcPr>
                  <w:tcW w:w="832" w:type="dxa"/>
                  <w:shd w:val="clear" w:color="auto" w:fill="auto"/>
                  <w:vAlign w:val="center"/>
                </w:tcPr>
                <w:p w14:paraId="6D60C015">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53B3C3F0">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0.318</w:t>
                  </w:r>
                </w:p>
              </w:tc>
              <w:tc>
                <w:tcPr>
                  <w:tcW w:w="863" w:type="dxa"/>
                  <w:vAlign w:val="center"/>
                </w:tcPr>
                <w:p w14:paraId="7DF7946F">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0.615</w:t>
                  </w:r>
                </w:p>
              </w:tc>
              <w:tc>
                <w:tcPr>
                  <w:tcW w:w="1234" w:type="dxa"/>
                  <w:vAlign w:val="center"/>
                </w:tcPr>
                <w:p w14:paraId="69638113">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6.282</w:t>
                  </w:r>
                </w:p>
              </w:tc>
              <w:tc>
                <w:tcPr>
                  <w:tcW w:w="712" w:type="dxa"/>
                  <w:vAlign w:val="center"/>
                </w:tcPr>
                <w:p w14:paraId="1AC5E570">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-0.297</w:t>
                  </w:r>
                </w:p>
              </w:tc>
            </w:tr>
            <w:tr w14:paraId="5F6CC0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11EA5DD5">
                  <w:pPr>
                    <w:pStyle w:val="60"/>
                    <w:rPr>
                      <w:color w:val="auto"/>
                      <w:sz w:val="18"/>
                      <w:szCs w:val="18"/>
                      <w:highlight w:val="none"/>
                    </w:rPr>
                  </w:pPr>
                </w:p>
              </w:tc>
              <w:tc>
                <w:tcPr>
                  <w:tcW w:w="497" w:type="dxa"/>
                  <w:vMerge w:val="restart"/>
                  <w:shd w:val="clear" w:color="auto" w:fill="auto"/>
                  <w:vAlign w:val="center"/>
                </w:tcPr>
                <w:p w14:paraId="654165BF">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其中</w:t>
                  </w:r>
                </w:p>
              </w:tc>
              <w:tc>
                <w:tcPr>
                  <w:tcW w:w="497" w:type="dxa"/>
                  <w:shd w:val="clear" w:color="auto" w:fill="auto"/>
                  <w:vAlign w:val="center"/>
                </w:tcPr>
                <w:p w14:paraId="23396B52">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甲醇</w:t>
                  </w:r>
                </w:p>
              </w:tc>
              <w:tc>
                <w:tcPr>
                  <w:tcW w:w="956" w:type="dxa"/>
                  <w:vAlign w:val="center"/>
                </w:tcPr>
                <w:p w14:paraId="4B9E8675">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2.300</w:t>
                  </w:r>
                </w:p>
              </w:tc>
              <w:tc>
                <w:tcPr>
                  <w:tcW w:w="987" w:type="dxa"/>
                  <w:vAlign w:val="center"/>
                </w:tcPr>
                <w:p w14:paraId="5B7CF04D">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475CA2EC">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301A0D95">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0.211</w:t>
                  </w:r>
                </w:p>
              </w:tc>
              <w:tc>
                <w:tcPr>
                  <w:tcW w:w="863" w:type="dxa"/>
                  <w:vAlign w:val="center"/>
                </w:tcPr>
                <w:p w14:paraId="0067CE80">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0.409</w:t>
                  </w:r>
                </w:p>
              </w:tc>
              <w:tc>
                <w:tcPr>
                  <w:tcW w:w="1234" w:type="dxa"/>
                  <w:shd w:val="clear" w:color="auto" w:fill="auto"/>
                  <w:vAlign w:val="center"/>
                </w:tcPr>
                <w:p w14:paraId="69662B07">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2.102</w:t>
                  </w:r>
                </w:p>
              </w:tc>
              <w:tc>
                <w:tcPr>
                  <w:tcW w:w="712" w:type="dxa"/>
                  <w:vAlign w:val="center"/>
                </w:tcPr>
                <w:p w14:paraId="56004E74">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-0.198</w:t>
                  </w:r>
                </w:p>
              </w:tc>
            </w:tr>
            <w:tr w14:paraId="035409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6D4656F4">
                  <w:pPr>
                    <w:pStyle w:val="60"/>
                    <w:rPr>
                      <w:rFonts w:hint="eastAsia" w:eastAsia="宋体"/>
                      <w:color w:val="auto"/>
                      <w:sz w:val="18"/>
                      <w:szCs w:val="18"/>
                      <w:highlight w:val="none"/>
                      <w:lang w:eastAsia="zh-CN"/>
                    </w:rPr>
                  </w:pPr>
                </w:p>
              </w:tc>
              <w:tc>
                <w:tcPr>
                  <w:tcW w:w="497" w:type="dxa"/>
                  <w:vMerge w:val="continue"/>
                  <w:shd w:val="clear" w:color="auto" w:fill="auto"/>
                  <w:vAlign w:val="center"/>
                </w:tcPr>
                <w:p w14:paraId="7E6E68FE">
                  <w:pPr>
                    <w:pStyle w:val="60"/>
                    <w:rPr>
                      <w:rFonts w:hint="eastAsia" w:ascii="Times New Roman" w:hAnsi="Times New Roman" w:eastAsia="宋体" w:cs="Times New Roman"/>
                      <w:color w:val="auto"/>
                      <w:kern w:val="2"/>
                      <w:sz w:val="18"/>
                      <w:szCs w:val="18"/>
                      <w:highlight w:val="none"/>
                      <w:lang w:val="en-US" w:eastAsia="zh-CN" w:bidi="ar-SA"/>
                    </w:rPr>
                  </w:pPr>
                </w:p>
              </w:tc>
              <w:tc>
                <w:tcPr>
                  <w:tcW w:w="497" w:type="dxa"/>
                  <w:shd w:val="clear" w:color="auto" w:fill="auto"/>
                  <w:vAlign w:val="center"/>
                </w:tcPr>
                <w:p w14:paraId="1357F129">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甲醛</w:t>
                  </w:r>
                </w:p>
              </w:tc>
              <w:tc>
                <w:tcPr>
                  <w:tcW w:w="956" w:type="dxa"/>
                  <w:vAlign w:val="center"/>
                </w:tcPr>
                <w:p w14:paraId="7A8540A5">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0.314</w:t>
                  </w:r>
                </w:p>
              </w:tc>
              <w:tc>
                <w:tcPr>
                  <w:tcW w:w="987" w:type="dxa"/>
                  <w:vAlign w:val="center"/>
                </w:tcPr>
                <w:p w14:paraId="55766F94">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5454C337">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52110211">
                  <w:pPr>
                    <w:pStyle w:val="60"/>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3" w:type="dxa"/>
                  <w:vAlign w:val="center"/>
                </w:tcPr>
                <w:p w14:paraId="15CF3E9D">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1234" w:type="dxa"/>
                  <w:shd w:val="clear" w:color="auto" w:fill="auto"/>
                  <w:vAlign w:val="center"/>
                </w:tcPr>
                <w:p w14:paraId="687DEF66">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0.314</w:t>
                  </w:r>
                </w:p>
              </w:tc>
              <w:tc>
                <w:tcPr>
                  <w:tcW w:w="712" w:type="dxa"/>
                  <w:vAlign w:val="center"/>
                </w:tcPr>
                <w:p w14:paraId="5DDF1003">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r>
            <w:tr w14:paraId="68C0B1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069AFD18">
                  <w:pPr>
                    <w:pStyle w:val="60"/>
                    <w:rPr>
                      <w:rFonts w:hint="default"/>
                      <w:color w:val="auto"/>
                      <w:sz w:val="18"/>
                      <w:szCs w:val="18"/>
                      <w:highlight w:val="none"/>
                      <w:lang w:val="en-US" w:eastAsia="zh-CN"/>
                    </w:rPr>
                  </w:pPr>
                </w:p>
              </w:tc>
              <w:tc>
                <w:tcPr>
                  <w:tcW w:w="994" w:type="dxa"/>
                  <w:gridSpan w:val="2"/>
                  <w:shd w:val="clear" w:color="auto" w:fill="auto"/>
                  <w:vAlign w:val="center"/>
                </w:tcPr>
                <w:p w14:paraId="66445613">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NOx</w:t>
                  </w:r>
                </w:p>
              </w:tc>
              <w:tc>
                <w:tcPr>
                  <w:tcW w:w="956" w:type="dxa"/>
                  <w:vAlign w:val="center"/>
                </w:tcPr>
                <w:p w14:paraId="42DAE257">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0.481</w:t>
                  </w:r>
                </w:p>
              </w:tc>
              <w:tc>
                <w:tcPr>
                  <w:tcW w:w="987" w:type="dxa"/>
                  <w:vAlign w:val="center"/>
                </w:tcPr>
                <w:p w14:paraId="3EF46BEB">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2.198</w:t>
                  </w:r>
                </w:p>
              </w:tc>
              <w:tc>
                <w:tcPr>
                  <w:tcW w:w="832" w:type="dxa"/>
                  <w:shd w:val="clear" w:color="auto" w:fill="auto"/>
                  <w:vAlign w:val="center"/>
                </w:tcPr>
                <w:p w14:paraId="700DBA4F">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21AA70A7">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0.0403</w:t>
                  </w:r>
                </w:p>
              </w:tc>
              <w:tc>
                <w:tcPr>
                  <w:tcW w:w="863" w:type="dxa"/>
                  <w:vAlign w:val="center"/>
                </w:tcPr>
                <w:p w14:paraId="556815BF">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0.0209</w:t>
                  </w:r>
                </w:p>
              </w:tc>
              <w:tc>
                <w:tcPr>
                  <w:tcW w:w="1234" w:type="dxa"/>
                  <w:shd w:val="clear" w:color="auto" w:fill="auto"/>
                  <w:vAlign w:val="center"/>
                </w:tcPr>
                <w:p w14:paraId="6CB378D3">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0.5004</w:t>
                  </w:r>
                </w:p>
              </w:tc>
              <w:tc>
                <w:tcPr>
                  <w:tcW w:w="712" w:type="dxa"/>
                  <w:vAlign w:val="center"/>
                </w:tcPr>
                <w:p w14:paraId="281FE726">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+0.0194</w:t>
                  </w:r>
                </w:p>
              </w:tc>
            </w:tr>
            <w:tr w14:paraId="21775B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restart"/>
                  <w:vAlign w:val="center"/>
                </w:tcPr>
                <w:p w14:paraId="7861B8ED">
                  <w:pPr>
                    <w:pStyle w:val="60"/>
                    <w:rPr>
                      <w:rFonts w:hint="default"/>
                      <w:color w:val="auto"/>
                      <w:sz w:val="18"/>
                      <w:szCs w:val="18"/>
                      <w:highlight w:val="none"/>
                      <w:lang w:val="en-US" w:eastAsia="zh-CN"/>
                    </w:rPr>
                  </w:pPr>
                  <w:r>
                    <w:rPr>
                      <w:rFonts w:hint="eastAsia"/>
                      <w:color w:val="auto"/>
                      <w:sz w:val="18"/>
                      <w:szCs w:val="18"/>
                      <w:highlight w:val="none"/>
                      <w:lang w:val="en-US" w:eastAsia="zh-CN"/>
                    </w:rPr>
                    <w:t>无组织废气</w:t>
                  </w:r>
                </w:p>
              </w:tc>
              <w:tc>
                <w:tcPr>
                  <w:tcW w:w="994" w:type="dxa"/>
                  <w:gridSpan w:val="2"/>
                  <w:vAlign w:val="center"/>
                </w:tcPr>
                <w:p w14:paraId="48D0F7A3">
                  <w:pPr>
                    <w:pStyle w:val="60"/>
                    <w:rPr>
                      <w:rFonts w:hint="default"/>
                      <w:color w:val="auto"/>
                      <w:sz w:val="18"/>
                      <w:szCs w:val="18"/>
                      <w:highlight w:val="none"/>
                      <w:lang w:val="en-US" w:eastAsia="zh-CN"/>
                    </w:rPr>
                  </w:pPr>
                  <w:r>
                    <w:rPr>
                      <w:rFonts w:hint="eastAsia"/>
                      <w:color w:val="auto"/>
                      <w:sz w:val="18"/>
                      <w:szCs w:val="18"/>
                      <w:highlight w:val="none"/>
                      <w:lang w:val="en-US" w:eastAsia="zh-CN"/>
                    </w:rPr>
                    <w:t>VOCs小计</w:t>
                  </w:r>
                </w:p>
              </w:tc>
              <w:tc>
                <w:tcPr>
                  <w:tcW w:w="956" w:type="dxa"/>
                  <w:vAlign w:val="center"/>
                </w:tcPr>
                <w:p w14:paraId="42236D31">
                  <w:pPr>
                    <w:pStyle w:val="60"/>
                    <w:rPr>
                      <w:rFonts w:hint="default"/>
                      <w:color w:val="auto"/>
                      <w:sz w:val="18"/>
                      <w:szCs w:val="18"/>
                      <w:highlight w:val="none"/>
                      <w:lang w:val="en-US" w:eastAsia="zh-CN"/>
                    </w:rPr>
                  </w:pPr>
                  <w:r>
                    <w:rPr>
                      <w:rFonts w:hint="eastAsia"/>
                      <w:color w:val="auto"/>
                      <w:sz w:val="18"/>
                      <w:szCs w:val="18"/>
                      <w:highlight w:val="none"/>
                      <w:lang w:val="en-US" w:eastAsia="zh-CN"/>
                    </w:rPr>
                    <w:t>1.142</w:t>
                  </w:r>
                </w:p>
              </w:tc>
              <w:tc>
                <w:tcPr>
                  <w:tcW w:w="987" w:type="dxa"/>
                  <w:vAlign w:val="center"/>
                </w:tcPr>
                <w:p w14:paraId="3AE0E965">
                  <w:pPr>
                    <w:pStyle w:val="60"/>
                    <w:rPr>
                      <w:rFonts w:hint="default"/>
                      <w:color w:val="auto"/>
                      <w:sz w:val="18"/>
                      <w:szCs w:val="18"/>
                      <w:highlight w:val="none"/>
                      <w:lang w:val="en-US" w:eastAsia="zh-CN"/>
                    </w:rPr>
                  </w:pPr>
                  <w:r>
                    <w:rPr>
                      <w:rFonts w:hint="eastAsia"/>
                      <w:color w:val="auto"/>
                      <w:sz w:val="18"/>
                      <w:szCs w:val="18"/>
                      <w:highlight w:val="none"/>
                      <w:lang w:val="en-US" w:eastAsia="zh-CN"/>
                    </w:rPr>
                    <w:t>2.026</w:t>
                  </w:r>
                </w:p>
              </w:tc>
              <w:tc>
                <w:tcPr>
                  <w:tcW w:w="832" w:type="dxa"/>
                  <w:shd w:val="clear" w:color="auto" w:fill="auto"/>
                  <w:vAlign w:val="center"/>
                </w:tcPr>
                <w:p w14:paraId="1850BB8D">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404929AC">
                  <w:pPr>
                    <w:pStyle w:val="60"/>
                    <w:rPr>
                      <w:rFonts w:hint="default"/>
                      <w:color w:val="auto"/>
                      <w:sz w:val="18"/>
                      <w:szCs w:val="18"/>
                      <w:highlight w:val="none"/>
                      <w:lang w:val="en-US" w:eastAsia="zh-CN"/>
                    </w:rPr>
                  </w:pPr>
                  <w:r>
                    <w:rPr>
                      <w:rFonts w:hint="eastAsia"/>
                      <w:color w:val="auto"/>
                      <w:sz w:val="18"/>
                      <w:szCs w:val="18"/>
                      <w:highlight w:val="none"/>
                      <w:lang w:val="en-US" w:eastAsia="zh-CN"/>
                    </w:rPr>
                    <w:t>2.034</w:t>
                  </w:r>
                </w:p>
              </w:tc>
              <w:tc>
                <w:tcPr>
                  <w:tcW w:w="863" w:type="dxa"/>
                  <w:vAlign w:val="center"/>
                </w:tcPr>
                <w:p w14:paraId="5061AC6A">
                  <w:pPr>
                    <w:pStyle w:val="60"/>
                    <w:rPr>
                      <w:rFonts w:hint="default"/>
                      <w:color w:val="auto"/>
                      <w:sz w:val="18"/>
                      <w:szCs w:val="18"/>
                      <w:highlight w:val="none"/>
                      <w:lang w:val="en-US" w:eastAsia="zh-CN"/>
                    </w:rPr>
                  </w:pPr>
                  <w:r>
                    <w:rPr>
                      <w:rFonts w:hint="eastAsia"/>
                      <w:color w:val="auto"/>
                      <w:sz w:val="18"/>
                      <w:szCs w:val="18"/>
                      <w:highlight w:val="none"/>
                      <w:lang w:val="en-US" w:eastAsia="zh-CN"/>
                    </w:rPr>
                    <w:t>0.677</w:t>
                  </w:r>
                </w:p>
              </w:tc>
              <w:tc>
                <w:tcPr>
                  <w:tcW w:w="1234" w:type="dxa"/>
                  <w:shd w:val="clear" w:color="auto" w:fill="auto"/>
                  <w:vAlign w:val="center"/>
                </w:tcPr>
                <w:p w14:paraId="24D7FBB7">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2.499</w:t>
                  </w:r>
                </w:p>
              </w:tc>
              <w:tc>
                <w:tcPr>
                  <w:tcW w:w="712" w:type="dxa"/>
                  <w:vAlign w:val="center"/>
                </w:tcPr>
                <w:p w14:paraId="0F0314CA">
                  <w:pPr>
                    <w:pStyle w:val="60"/>
                    <w:rPr>
                      <w:rFonts w:hint="default"/>
                      <w:color w:val="auto"/>
                      <w:sz w:val="18"/>
                      <w:szCs w:val="18"/>
                      <w:highlight w:val="none"/>
                      <w:lang w:val="en-US" w:eastAsia="zh-CN"/>
                    </w:rPr>
                  </w:pPr>
                  <w:r>
                    <w:rPr>
                      <w:rFonts w:hint="eastAsia"/>
                      <w:color w:val="auto"/>
                      <w:sz w:val="18"/>
                      <w:szCs w:val="18"/>
                      <w:highlight w:val="none"/>
                      <w:lang w:val="en-US" w:eastAsia="zh-CN"/>
                    </w:rPr>
                    <w:t>+1.357</w:t>
                  </w:r>
                </w:p>
              </w:tc>
            </w:tr>
            <w:tr w14:paraId="61FC0D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4D302470">
                  <w:pPr>
                    <w:pStyle w:val="60"/>
                    <w:rPr>
                      <w:rFonts w:hint="eastAsia"/>
                      <w:color w:val="auto"/>
                      <w:sz w:val="18"/>
                      <w:szCs w:val="18"/>
                      <w:highlight w:val="none"/>
                      <w:lang w:val="en-US" w:eastAsia="zh-CN"/>
                    </w:rPr>
                  </w:pPr>
                </w:p>
              </w:tc>
              <w:tc>
                <w:tcPr>
                  <w:tcW w:w="497" w:type="dxa"/>
                  <w:vMerge w:val="restart"/>
                  <w:vAlign w:val="center"/>
                </w:tcPr>
                <w:p w14:paraId="46ACC94A">
                  <w:pPr>
                    <w:pStyle w:val="60"/>
                    <w:rPr>
                      <w:rFonts w:hint="default"/>
                      <w:color w:val="auto"/>
                      <w:sz w:val="18"/>
                      <w:szCs w:val="18"/>
                      <w:highlight w:val="none"/>
                      <w:lang w:val="en-US" w:eastAsia="zh-CN"/>
                    </w:rPr>
                  </w:pPr>
                  <w:r>
                    <w:rPr>
                      <w:rFonts w:hint="eastAsia"/>
                      <w:color w:val="auto"/>
                      <w:sz w:val="18"/>
                      <w:szCs w:val="18"/>
                      <w:highlight w:val="none"/>
                      <w:lang w:val="en-US" w:eastAsia="zh-CN"/>
                    </w:rPr>
                    <w:t>其中</w:t>
                  </w:r>
                </w:p>
              </w:tc>
              <w:tc>
                <w:tcPr>
                  <w:tcW w:w="497" w:type="dxa"/>
                  <w:vAlign w:val="center"/>
                </w:tcPr>
                <w:p w14:paraId="5F21F45C">
                  <w:pPr>
                    <w:pStyle w:val="60"/>
                    <w:rPr>
                      <w:rFonts w:hint="default"/>
                      <w:color w:val="auto"/>
                      <w:sz w:val="18"/>
                      <w:szCs w:val="18"/>
                      <w:highlight w:val="none"/>
                      <w:lang w:val="en-US" w:eastAsia="zh-CN"/>
                    </w:rPr>
                  </w:pPr>
                  <w:r>
                    <w:rPr>
                      <w:rFonts w:hint="eastAsia"/>
                      <w:color w:val="auto"/>
                      <w:sz w:val="18"/>
                      <w:szCs w:val="18"/>
                      <w:highlight w:val="none"/>
                      <w:lang w:val="en-US" w:eastAsia="zh-CN"/>
                    </w:rPr>
                    <w:t>甲醇</w:t>
                  </w:r>
                </w:p>
              </w:tc>
              <w:tc>
                <w:tcPr>
                  <w:tcW w:w="956" w:type="dxa"/>
                  <w:vAlign w:val="center"/>
                </w:tcPr>
                <w:p w14:paraId="76E44FD4">
                  <w:pPr>
                    <w:pStyle w:val="60"/>
                    <w:rPr>
                      <w:rFonts w:hint="default"/>
                      <w:color w:val="auto"/>
                      <w:sz w:val="18"/>
                      <w:szCs w:val="18"/>
                      <w:highlight w:val="none"/>
                      <w:lang w:val="en-US" w:eastAsia="zh-CN"/>
                    </w:rPr>
                  </w:pPr>
                  <w:r>
                    <w:rPr>
                      <w:rFonts w:hint="eastAsia"/>
                      <w:color w:val="auto"/>
                      <w:sz w:val="18"/>
                      <w:szCs w:val="18"/>
                      <w:highlight w:val="none"/>
                      <w:lang w:val="en-US" w:eastAsia="zh-CN"/>
                    </w:rPr>
                    <w:t>0.572</w:t>
                  </w:r>
                </w:p>
              </w:tc>
              <w:tc>
                <w:tcPr>
                  <w:tcW w:w="987" w:type="dxa"/>
                  <w:vAlign w:val="center"/>
                </w:tcPr>
                <w:p w14:paraId="51B1807B">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38D27E49">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1FF70760">
                  <w:pPr>
                    <w:pStyle w:val="60"/>
                    <w:rPr>
                      <w:rFonts w:hint="default"/>
                      <w:color w:val="auto"/>
                      <w:sz w:val="18"/>
                      <w:szCs w:val="18"/>
                      <w:highlight w:val="none"/>
                      <w:lang w:val="en-US" w:eastAsia="zh-CN"/>
                    </w:rPr>
                  </w:pPr>
                  <w:r>
                    <w:rPr>
                      <w:rFonts w:hint="eastAsia"/>
                      <w:color w:val="auto"/>
                      <w:sz w:val="18"/>
                      <w:szCs w:val="18"/>
                      <w:highlight w:val="none"/>
                      <w:lang w:val="en-US" w:eastAsia="zh-CN"/>
                    </w:rPr>
                    <w:t>1.495</w:t>
                  </w:r>
                </w:p>
              </w:tc>
              <w:tc>
                <w:tcPr>
                  <w:tcW w:w="863" w:type="dxa"/>
                  <w:vAlign w:val="center"/>
                </w:tcPr>
                <w:p w14:paraId="197E97AF">
                  <w:pPr>
                    <w:pStyle w:val="60"/>
                    <w:rPr>
                      <w:rFonts w:hint="default"/>
                      <w:color w:val="auto"/>
                      <w:sz w:val="18"/>
                      <w:szCs w:val="18"/>
                      <w:highlight w:val="none"/>
                      <w:lang w:val="en-US" w:eastAsia="zh-CN"/>
                    </w:rPr>
                  </w:pPr>
                  <w:r>
                    <w:rPr>
                      <w:rFonts w:hint="eastAsia"/>
                      <w:color w:val="auto"/>
                      <w:sz w:val="18"/>
                      <w:szCs w:val="18"/>
                      <w:highlight w:val="none"/>
                      <w:lang w:val="en-US" w:eastAsia="zh-CN"/>
                    </w:rPr>
                    <w:t>0.542</w:t>
                  </w:r>
                </w:p>
              </w:tc>
              <w:tc>
                <w:tcPr>
                  <w:tcW w:w="1234" w:type="dxa"/>
                  <w:shd w:val="clear" w:color="auto" w:fill="auto"/>
                  <w:vAlign w:val="center"/>
                </w:tcPr>
                <w:p w14:paraId="09494CEE">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1.314</w:t>
                  </w:r>
                </w:p>
              </w:tc>
              <w:tc>
                <w:tcPr>
                  <w:tcW w:w="712" w:type="dxa"/>
                  <w:vAlign w:val="center"/>
                </w:tcPr>
                <w:p w14:paraId="7A194384">
                  <w:pPr>
                    <w:pStyle w:val="60"/>
                    <w:rPr>
                      <w:rFonts w:hint="default"/>
                      <w:color w:val="auto"/>
                      <w:sz w:val="18"/>
                      <w:szCs w:val="18"/>
                      <w:highlight w:val="none"/>
                      <w:lang w:val="en-US" w:eastAsia="zh-CN"/>
                    </w:rPr>
                  </w:pPr>
                  <w:r>
                    <w:rPr>
                      <w:rFonts w:hint="eastAsia"/>
                      <w:color w:val="auto"/>
                      <w:sz w:val="18"/>
                      <w:szCs w:val="18"/>
                      <w:highlight w:val="none"/>
                      <w:lang w:val="en-US" w:eastAsia="zh-CN"/>
                    </w:rPr>
                    <w:t>+0.742</w:t>
                  </w:r>
                </w:p>
              </w:tc>
            </w:tr>
            <w:tr w14:paraId="251459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118DC10F">
                  <w:pPr>
                    <w:pStyle w:val="60"/>
                    <w:rPr>
                      <w:rFonts w:hint="eastAsia"/>
                      <w:color w:val="auto"/>
                      <w:sz w:val="18"/>
                      <w:szCs w:val="18"/>
                      <w:highlight w:val="none"/>
                      <w:lang w:val="en-US" w:eastAsia="zh-CN"/>
                    </w:rPr>
                  </w:pPr>
                </w:p>
              </w:tc>
              <w:tc>
                <w:tcPr>
                  <w:tcW w:w="497" w:type="dxa"/>
                  <w:vMerge w:val="continue"/>
                  <w:vAlign w:val="center"/>
                </w:tcPr>
                <w:p w14:paraId="006FCB23">
                  <w:pPr>
                    <w:pStyle w:val="60"/>
                    <w:rPr>
                      <w:rFonts w:hint="eastAsia"/>
                      <w:color w:val="auto"/>
                      <w:sz w:val="18"/>
                      <w:szCs w:val="18"/>
                      <w:highlight w:val="none"/>
                      <w:lang w:val="en-US" w:eastAsia="zh-CN"/>
                    </w:rPr>
                  </w:pPr>
                </w:p>
              </w:tc>
              <w:tc>
                <w:tcPr>
                  <w:tcW w:w="497" w:type="dxa"/>
                  <w:vAlign w:val="center"/>
                </w:tcPr>
                <w:p w14:paraId="7DC35A02">
                  <w:pPr>
                    <w:pStyle w:val="60"/>
                    <w:rPr>
                      <w:rFonts w:hint="default"/>
                      <w:color w:val="auto"/>
                      <w:sz w:val="18"/>
                      <w:szCs w:val="18"/>
                      <w:highlight w:val="none"/>
                      <w:lang w:val="en-US" w:eastAsia="zh-CN"/>
                    </w:rPr>
                  </w:pPr>
                  <w:r>
                    <w:rPr>
                      <w:rFonts w:hint="eastAsia"/>
                      <w:color w:val="auto"/>
                      <w:sz w:val="18"/>
                      <w:szCs w:val="18"/>
                      <w:highlight w:val="none"/>
                      <w:lang w:val="en-US" w:eastAsia="zh-CN"/>
                    </w:rPr>
                    <w:t>甲醛</w:t>
                  </w:r>
                </w:p>
              </w:tc>
              <w:tc>
                <w:tcPr>
                  <w:tcW w:w="956" w:type="dxa"/>
                  <w:vAlign w:val="center"/>
                </w:tcPr>
                <w:p w14:paraId="22D1474A">
                  <w:pPr>
                    <w:pStyle w:val="60"/>
                    <w:rPr>
                      <w:rFonts w:hint="default"/>
                      <w:color w:val="auto"/>
                      <w:sz w:val="18"/>
                      <w:szCs w:val="18"/>
                      <w:highlight w:val="none"/>
                      <w:lang w:val="en-US" w:eastAsia="zh-CN"/>
                    </w:rPr>
                  </w:pPr>
                  <w:r>
                    <w:rPr>
                      <w:rFonts w:hint="eastAsia"/>
                      <w:color w:val="auto"/>
                      <w:sz w:val="18"/>
                      <w:szCs w:val="18"/>
                      <w:highlight w:val="none"/>
                      <w:lang w:val="en-US" w:eastAsia="zh-CN"/>
                    </w:rPr>
                    <w:t>0.456</w:t>
                  </w:r>
                </w:p>
              </w:tc>
              <w:tc>
                <w:tcPr>
                  <w:tcW w:w="987" w:type="dxa"/>
                  <w:vAlign w:val="center"/>
                </w:tcPr>
                <w:p w14:paraId="579571E3">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30DD6BB8">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51841EC6">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63" w:type="dxa"/>
                  <w:vAlign w:val="center"/>
                </w:tcPr>
                <w:p w14:paraId="4438516B">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1234" w:type="dxa"/>
                  <w:shd w:val="clear" w:color="auto" w:fill="auto"/>
                  <w:vAlign w:val="center"/>
                </w:tcPr>
                <w:p w14:paraId="64E30E17">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712" w:type="dxa"/>
                  <w:vAlign w:val="center"/>
                </w:tcPr>
                <w:p w14:paraId="6D2E62E5">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3887D1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restart"/>
                  <w:vAlign w:val="center"/>
                </w:tcPr>
                <w:p w14:paraId="1E8C3B05">
                  <w:pPr>
                    <w:pStyle w:val="60"/>
                    <w:rPr>
                      <w:rFonts w:hint="default"/>
                      <w:color w:val="auto"/>
                      <w:sz w:val="18"/>
                      <w:szCs w:val="18"/>
                      <w:highlight w:val="none"/>
                      <w:lang w:val="en-US" w:eastAsia="zh-CN"/>
                    </w:rPr>
                  </w:pPr>
                  <w:r>
                    <w:rPr>
                      <w:rFonts w:hint="eastAsia"/>
                      <w:color w:val="auto"/>
                      <w:sz w:val="18"/>
                      <w:szCs w:val="18"/>
                      <w:highlight w:val="none"/>
                      <w:lang w:val="en-US" w:eastAsia="zh-CN"/>
                    </w:rPr>
                    <w:t>合计</w:t>
                  </w:r>
                </w:p>
              </w:tc>
              <w:tc>
                <w:tcPr>
                  <w:tcW w:w="994" w:type="dxa"/>
                  <w:gridSpan w:val="2"/>
                  <w:vAlign w:val="center"/>
                </w:tcPr>
                <w:p w14:paraId="0B0B3F0D">
                  <w:pPr>
                    <w:pStyle w:val="60"/>
                    <w:rPr>
                      <w:rFonts w:hint="default"/>
                      <w:color w:val="auto"/>
                      <w:sz w:val="18"/>
                      <w:szCs w:val="18"/>
                      <w:highlight w:val="none"/>
                      <w:lang w:val="en-US" w:eastAsia="zh-CN"/>
                    </w:rPr>
                  </w:pPr>
                  <w:r>
                    <w:rPr>
                      <w:rFonts w:hint="eastAsia"/>
                      <w:color w:val="auto"/>
                      <w:sz w:val="18"/>
                      <w:szCs w:val="18"/>
                      <w:highlight w:val="none"/>
                      <w:lang w:val="en-US" w:eastAsia="zh-CN"/>
                    </w:rPr>
                    <w:t>VOCs合计</w:t>
                  </w:r>
                </w:p>
              </w:tc>
              <w:tc>
                <w:tcPr>
                  <w:tcW w:w="956" w:type="dxa"/>
                  <w:vAlign w:val="center"/>
                </w:tcPr>
                <w:p w14:paraId="18B56FB6">
                  <w:pPr>
                    <w:pStyle w:val="60"/>
                    <w:rPr>
                      <w:rFonts w:hint="default"/>
                      <w:color w:val="auto"/>
                      <w:sz w:val="18"/>
                      <w:szCs w:val="18"/>
                      <w:highlight w:val="none"/>
                      <w:lang w:val="en-US" w:eastAsia="zh-CN"/>
                    </w:rPr>
                  </w:pPr>
                  <w:r>
                    <w:rPr>
                      <w:rFonts w:hint="eastAsia"/>
                      <w:color w:val="auto"/>
                      <w:sz w:val="18"/>
                      <w:szCs w:val="18"/>
                      <w:highlight w:val="none"/>
                      <w:lang w:val="en-US" w:eastAsia="zh-CN"/>
                    </w:rPr>
                    <w:t>7.721</w:t>
                  </w:r>
                </w:p>
              </w:tc>
              <w:tc>
                <w:tcPr>
                  <w:tcW w:w="987" w:type="dxa"/>
                  <w:vAlign w:val="center"/>
                </w:tcPr>
                <w:p w14:paraId="3A305AC1">
                  <w:pPr>
                    <w:pStyle w:val="60"/>
                    <w:rPr>
                      <w:rFonts w:hint="default"/>
                      <w:color w:val="auto"/>
                      <w:sz w:val="18"/>
                      <w:szCs w:val="18"/>
                      <w:highlight w:val="none"/>
                      <w:lang w:val="en-US" w:eastAsia="zh-CN"/>
                    </w:rPr>
                  </w:pPr>
                  <w:r>
                    <w:rPr>
                      <w:rFonts w:hint="eastAsia"/>
                      <w:color w:val="auto"/>
                      <w:sz w:val="18"/>
                      <w:szCs w:val="18"/>
                      <w:highlight w:val="none"/>
                      <w:lang w:val="en-US" w:eastAsia="zh-CN"/>
                    </w:rPr>
                    <w:t>9.434</w:t>
                  </w:r>
                </w:p>
              </w:tc>
              <w:tc>
                <w:tcPr>
                  <w:tcW w:w="832" w:type="dxa"/>
                  <w:shd w:val="clear" w:color="auto" w:fill="auto"/>
                  <w:vAlign w:val="center"/>
                </w:tcPr>
                <w:p w14:paraId="15CC6C82">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59E8B70F">
                  <w:pPr>
                    <w:pStyle w:val="60"/>
                    <w:rPr>
                      <w:rFonts w:hint="default"/>
                      <w:color w:val="auto"/>
                      <w:sz w:val="18"/>
                      <w:szCs w:val="18"/>
                      <w:highlight w:val="none"/>
                      <w:lang w:val="en-US" w:eastAsia="zh-CN"/>
                    </w:rPr>
                  </w:pPr>
                  <w:r>
                    <w:rPr>
                      <w:rFonts w:hint="eastAsia"/>
                      <w:color w:val="auto"/>
                      <w:sz w:val="18"/>
                      <w:szCs w:val="18"/>
                      <w:highlight w:val="none"/>
                      <w:lang w:val="en-US" w:eastAsia="zh-CN"/>
                    </w:rPr>
                    <w:t>2.352</w:t>
                  </w:r>
                </w:p>
              </w:tc>
              <w:tc>
                <w:tcPr>
                  <w:tcW w:w="863" w:type="dxa"/>
                  <w:vAlign w:val="center"/>
                </w:tcPr>
                <w:p w14:paraId="75C5C788">
                  <w:pPr>
                    <w:pStyle w:val="60"/>
                    <w:rPr>
                      <w:rFonts w:hint="default"/>
                      <w:color w:val="auto"/>
                      <w:sz w:val="18"/>
                      <w:szCs w:val="18"/>
                      <w:highlight w:val="none"/>
                      <w:lang w:val="en-US" w:eastAsia="zh-CN"/>
                    </w:rPr>
                  </w:pPr>
                  <w:r>
                    <w:rPr>
                      <w:rFonts w:hint="eastAsia"/>
                      <w:color w:val="auto"/>
                      <w:sz w:val="18"/>
                      <w:szCs w:val="18"/>
                      <w:highlight w:val="none"/>
                      <w:lang w:val="en-US" w:eastAsia="zh-CN"/>
                    </w:rPr>
                    <w:t>1.292</w:t>
                  </w:r>
                </w:p>
              </w:tc>
              <w:tc>
                <w:tcPr>
                  <w:tcW w:w="1234" w:type="dxa"/>
                  <w:shd w:val="clear" w:color="auto" w:fill="auto"/>
                  <w:vAlign w:val="center"/>
                </w:tcPr>
                <w:p w14:paraId="166309DA">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8.781</w:t>
                  </w:r>
                </w:p>
              </w:tc>
              <w:tc>
                <w:tcPr>
                  <w:tcW w:w="712" w:type="dxa"/>
                  <w:vAlign w:val="center"/>
                </w:tcPr>
                <w:p w14:paraId="758F53BE">
                  <w:pPr>
                    <w:pStyle w:val="60"/>
                    <w:rPr>
                      <w:rFonts w:hint="default"/>
                      <w:color w:val="auto"/>
                      <w:sz w:val="18"/>
                      <w:szCs w:val="18"/>
                      <w:highlight w:val="none"/>
                      <w:lang w:val="en-US" w:eastAsia="zh-CN"/>
                    </w:rPr>
                  </w:pPr>
                  <w:r>
                    <w:rPr>
                      <w:rFonts w:hint="eastAsia"/>
                      <w:color w:val="auto"/>
                      <w:sz w:val="18"/>
                      <w:szCs w:val="18"/>
                      <w:highlight w:val="none"/>
                      <w:lang w:val="en-US" w:eastAsia="zh-CN"/>
                    </w:rPr>
                    <w:t>+1.060</w:t>
                  </w:r>
                </w:p>
              </w:tc>
            </w:tr>
            <w:tr w14:paraId="08EA6A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0C2D1BB4">
                  <w:pPr>
                    <w:pStyle w:val="60"/>
                    <w:rPr>
                      <w:rFonts w:hint="eastAsia"/>
                      <w:color w:val="auto"/>
                      <w:sz w:val="18"/>
                      <w:szCs w:val="18"/>
                      <w:highlight w:val="none"/>
                      <w:lang w:val="en-US" w:eastAsia="zh-CN"/>
                    </w:rPr>
                  </w:pPr>
                </w:p>
              </w:tc>
              <w:tc>
                <w:tcPr>
                  <w:tcW w:w="497" w:type="dxa"/>
                  <w:vMerge w:val="restart"/>
                  <w:vAlign w:val="center"/>
                </w:tcPr>
                <w:p w14:paraId="73BBD322">
                  <w:pPr>
                    <w:pStyle w:val="60"/>
                    <w:rPr>
                      <w:rFonts w:hint="default"/>
                      <w:color w:val="auto"/>
                      <w:sz w:val="18"/>
                      <w:szCs w:val="18"/>
                      <w:highlight w:val="none"/>
                      <w:lang w:val="en-US" w:eastAsia="zh-CN"/>
                    </w:rPr>
                  </w:pPr>
                  <w:r>
                    <w:rPr>
                      <w:rFonts w:hint="eastAsia"/>
                      <w:color w:val="auto"/>
                      <w:sz w:val="18"/>
                      <w:szCs w:val="18"/>
                      <w:highlight w:val="none"/>
                      <w:lang w:val="en-US" w:eastAsia="zh-CN"/>
                    </w:rPr>
                    <w:t>其中</w:t>
                  </w:r>
                </w:p>
              </w:tc>
              <w:tc>
                <w:tcPr>
                  <w:tcW w:w="497" w:type="dxa"/>
                  <w:vAlign w:val="center"/>
                </w:tcPr>
                <w:p w14:paraId="636B79BD">
                  <w:pPr>
                    <w:pStyle w:val="60"/>
                    <w:rPr>
                      <w:rFonts w:hint="default"/>
                      <w:color w:val="auto"/>
                      <w:sz w:val="18"/>
                      <w:szCs w:val="18"/>
                      <w:highlight w:val="none"/>
                      <w:lang w:val="en-US" w:eastAsia="zh-CN"/>
                    </w:rPr>
                  </w:pPr>
                  <w:r>
                    <w:rPr>
                      <w:rFonts w:hint="eastAsia"/>
                      <w:color w:val="auto"/>
                      <w:sz w:val="18"/>
                      <w:szCs w:val="18"/>
                      <w:highlight w:val="none"/>
                      <w:lang w:val="en-US" w:eastAsia="zh-CN"/>
                    </w:rPr>
                    <w:t>甲醇</w:t>
                  </w:r>
                </w:p>
              </w:tc>
              <w:tc>
                <w:tcPr>
                  <w:tcW w:w="956" w:type="dxa"/>
                  <w:vAlign w:val="center"/>
                </w:tcPr>
                <w:p w14:paraId="5667FF61">
                  <w:pPr>
                    <w:pStyle w:val="60"/>
                    <w:rPr>
                      <w:rFonts w:hint="default"/>
                      <w:color w:val="auto"/>
                      <w:sz w:val="18"/>
                      <w:szCs w:val="18"/>
                      <w:highlight w:val="none"/>
                      <w:lang w:val="en-US" w:eastAsia="zh-CN"/>
                    </w:rPr>
                  </w:pPr>
                  <w:r>
                    <w:rPr>
                      <w:rFonts w:hint="eastAsia"/>
                      <w:color w:val="auto"/>
                      <w:sz w:val="18"/>
                      <w:szCs w:val="18"/>
                      <w:highlight w:val="none"/>
                      <w:lang w:val="en-US" w:eastAsia="zh-CN"/>
                    </w:rPr>
                    <w:t>2.872</w:t>
                  </w:r>
                </w:p>
              </w:tc>
              <w:tc>
                <w:tcPr>
                  <w:tcW w:w="987" w:type="dxa"/>
                  <w:vAlign w:val="center"/>
                </w:tcPr>
                <w:p w14:paraId="3BBFBC95">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490B8F3E">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32251957">
                  <w:pPr>
                    <w:pStyle w:val="60"/>
                    <w:rPr>
                      <w:rFonts w:hint="default"/>
                      <w:color w:val="auto"/>
                      <w:sz w:val="18"/>
                      <w:szCs w:val="18"/>
                      <w:highlight w:val="none"/>
                      <w:lang w:val="en-US" w:eastAsia="zh-CN"/>
                    </w:rPr>
                  </w:pPr>
                  <w:r>
                    <w:rPr>
                      <w:rFonts w:hint="eastAsia"/>
                      <w:color w:val="auto"/>
                      <w:sz w:val="18"/>
                      <w:szCs w:val="18"/>
                      <w:highlight w:val="none"/>
                      <w:lang w:val="en-US" w:eastAsia="zh-CN"/>
                    </w:rPr>
                    <w:t>1.580</w:t>
                  </w:r>
                </w:p>
              </w:tc>
              <w:tc>
                <w:tcPr>
                  <w:tcW w:w="863" w:type="dxa"/>
                  <w:vAlign w:val="center"/>
                </w:tcPr>
                <w:p w14:paraId="45D192E7">
                  <w:pPr>
                    <w:pStyle w:val="60"/>
                    <w:rPr>
                      <w:rFonts w:hint="default"/>
                      <w:color w:val="auto"/>
                      <w:sz w:val="18"/>
                      <w:szCs w:val="18"/>
                      <w:highlight w:val="none"/>
                      <w:lang w:val="en-US" w:eastAsia="zh-CN"/>
                    </w:rPr>
                  </w:pPr>
                  <w:r>
                    <w:rPr>
                      <w:rFonts w:hint="eastAsia"/>
                      <w:color w:val="auto"/>
                      <w:sz w:val="18"/>
                      <w:szCs w:val="18"/>
                      <w:highlight w:val="none"/>
                      <w:lang w:val="en-US" w:eastAsia="zh-CN"/>
                    </w:rPr>
                    <w:t>0.951</w:t>
                  </w:r>
                </w:p>
              </w:tc>
              <w:tc>
                <w:tcPr>
                  <w:tcW w:w="1234" w:type="dxa"/>
                  <w:shd w:val="clear" w:color="auto" w:fill="auto"/>
                  <w:vAlign w:val="center"/>
                </w:tcPr>
                <w:p w14:paraId="0D30694A">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3.416</w:t>
                  </w:r>
                </w:p>
              </w:tc>
              <w:tc>
                <w:tcPr>
                  <w:tcW w:w="712" w:type="dxa"/>
                  <w:vAlign w:val="center"/>
                </w:tcPr>
                <w:p w14:paraId="1D180885">
                  <w:pPr>
                    <w:pStyle w:val="60"/>
                    <w:rPr>
                      <w:rFonts w:hint="default"/>
                      <w:color w:val="auto"/>
                      <w:sz w:val="18"/>
                      <w:szCs w:val="18"/>
                      <w:highlight w:val="none"/>
                      <w:lang w:val="en-US" w:eastAsia="zh-CN"/>
                    </w:rPr>
                  </w:pPr>
                  <w:r>
                    <w:rPr>
                      <w:rFonts w:hint="eastAsia"/>
                      <w:color w:val="auto"/>
                      <w:sz w:val="18"/>
                      <w:szCs w:val="18"/>
                      <w:highlight w:val="none"/>
                      <w:lang w:val="en-US" w:eastAsia="zh-CN"/>
                    </w:rPr>
                    <w:t>+0.544</w:t>
                  </w:r>
                </w:p>
              </w:tc>
            </w:tr>
            <w:tr w14:paraId="1EE7DC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5A0C6325">
                  <w:pPr>
                    <w:pStyle w:val="60"/>
                    <w:rPr>
                      <w:rFonts w:hint="eastAsia"/>
                      <w:color w:val="auto"/>
                      <w:sz w:val="18"/>
                      <w:szCs w:val="18"/>
                      <w:highlight w:val="none"/>
                      <w:lang w:val="en-US" w:eastAsia="zh-CN"/>
                    </w:rPr>
                  </w:pPr>
                </w:p>
              </w:tc>
              <w:tc>
                <w:tcPr>
                  <w:tcW w:w="497" w:type="dxa"/>
                  <w:vMerge w:val="continue"/>
                  <w:vAlign w:val="center"/>
                </w:tcPr>
                <w:p w14:paraId="5A1EE8FB">
                  <w:pPr>
                    <w:pStyle w:val="60"/>
                    <w:rPr>
                      <w:rFonts w:hint="eastAsia"/>
                      <w:color w:val="auto"/>
                      <w:sz w:val="18"/>
                      <w:szCs w:val="18"/>
                      <w:highlight w:val="none"/>
                      <w:lang w:val="en-US" w:eastAsia="zh-CN"/>
                    </w:rPr>
                  </w:pPr>
                </w:p>
              </w:tc>
              <w:tc>
                <w:tcPr>
                  <w:tcW w:w="497" w:type="dxa"/>
                  <w:vAlign w:val="center"/>
                </w:tcPr>
                <w:p w14:paraId="639C1E46">
                  <w:pPr>
                    <w:pStyle w:val="60"/>
                    <w:rPr>
                      <w:rFonts w:hint="default"/>
                      <w:color w:val="auto"/>
                      <w:sz w:val="18"/>
                      <w:szCs w:val="18"/>
                      <w:highlight w:val="none"/>
                      <w:lang w:val="en-US" w:eastAsia="zh-CN"/>
                    </w:rPr>
                  </w:pPr>
                  <w:r>
                    <w:rPr>
                      <w:rFonts w:hint="eastAsia"/>
                      <w:color w:val="auto"/>
                      <w:sz w:val="18"/>
                      <w:szCs w:val="18"/>
                      <w:highlight w:val="none"/>
                      <w:lang w:val="en-US" w:eastAsia="zh-CN"/>
                    </w:rPr>
                    <w:t>甲醛</w:t>
                  </w:r>
                </w:p>
              </w:tc>
              <w:tc>
                <w:tcPr>
                  <w:tcW w:w="956" w:type="dxa"/>
                  <w:vAlign w:val="center"/>
                </w:tcPr>
                <w:p w14:paraId="36B704C3">
                  <w:pPr>
                    <w:pStyle w:val="60"/>
                    <w:rPr>
                      <w:rFonts w:hint="default"/>
                      <w:color w:val="auto"/>
                      <w:sz w:val="18"/>
                      <w:szCs w:val="18"/>
                      <w:highlight w:val="none"/>
                      <w:lang w:val="en-US" w:eastAsia="zh-CN"/>
                    </w:rPr>
                  </w:pPr>
                  <w:r>
                    <w:rPr>
                      <w:rFonts w:hint="eastAsia"/>
                      <w:color w:val="auto"/>
                      <w:sz w:val="18"/>
                      <w:szCs w:val="18"/>
                      <w:highlight w:val="none"/>
                      <w:lang w:val="en-US" w:eastAsia="zh-CN"/>
                    </w:rPr>
                    <w:t>0.770</w:t>
                  </w:r>
                </w:p>
              </w:tc>
              <w:tc>
                <w:tcPr>
                  <w:tcW w:w="987" w:type="dxa"/>
                  <w:vAlign w:val="center"/>
                </w:tcPr>
                <w:p w14:paraId="6FE6F7D9">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32" w:type="dxa"/>
                  <w:shd w:val="clear" w:color="auto" w:fill="auto"/>
                  <w:vAlign w:val="center"/>
                </w:tcPr>
                <w:p w14:paraId="49D974D7">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4CADEB30">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63" w:type="dxa"/>
                  <w:vAlign w:val="center"/>
                </w:tcPr>
                <w:p w14:paraId="25BF772E">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1234" w:type="dxa"/>
                  <w:shd w:val="clear" w:color="auto" w:fill="auto"/>
                  <w:vAlign w:val="center"/>
                </w:tcPr>
                <w:p w14:paraId="61252BA6">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712" w:type="dxa"/>
                  <w:vAlign w:val="center"/>
                </w:tcPr>
                <w:p w14:paraId="2B397D2E">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7B935E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795" w:type="dxa"/>
                  <w:vMerge w:val="continue"/>
                  <w:vAlign w:val="center"/>
                </w:tcPr>
                <w:p w14:paraId="044073C3">
                  <w:pPr>
                    <w:pStyle w:val="60"/>
                    <w:rPr>
                      <w:rFonts w:hint="eastAsia"/>
                      <w:color w:val="auto"/>
                      <w:sz w:val="18"/>
                      <w:szCs w:val="18"/>
                      <w:highlight w:val="none"/>
                      <w:lang w:val="en-US" w:eastAsia="zh-CN"/>
                    </w:rPr>
                  </w:pPr>
                </w:p>
              </w:tc>
              <w:tc>
                <w:tcPr>
                  <w:tcW w:w="994" w:type="dxa"/>
                  <w:gridSpan w:val="2"/>
                  <w:vAlign w:val="center"/>
                </w:tcPr>
                <w:p w14:paraId="78EA25EF">
                  <w:pPr>
                    <w:pStyle w:val="60"/>
                    <w:rPr>
                      <w:rFonts w:hint="eastAsia"/>
                      <w:color w:val="auto"/>
                      <w:sz w:val="18"/>
                      <w:szCs w:val="18"/>
                      <w:highlight w:val="none"/>
                      <w:lang w:val="en-US" w:eastAsia="zh-CN"/>
                    </w:rPr>
                  </w:pPr>
                  <w:r>
                    <w:rPr>
                      <w:rFonts w:hint="eastAsia"/>
                      <w:color w:val="auto"/>
                      <w:sz w:val="18"/>
                      <w:szCs w:val="18"/>
                      <w:highlight w:val="none"/>
                      <w:lang w:val="en-US" w:eastAsia="zh-CN"/>
                    </w:rPr>
                    <w:t>NOx</w:t>
                  </w:r>
                </w:p>
              </w:tc>
              <w:tc>
                <w:tcPr>
                  <w:tcW w:w="956" w:type="dxa"/>
                  <w:vAlign w:val="center"/>
                </w:tcPr>
                <w:p w14:paraId="1A6AECC8">
                  <w:pPr>
                    <w:pStyle w:val="60"/>
                    <w:rPr>
                      <w:rFonts w:hint="default"/>
                      <w:color w:val="auto"/>
                      <w:sz w:val="18"/>
                      <w:szCs w:val="18"/>
                      <w:highlight w:val="none"/>
                      <w:lang w:val="en-US" w:eastAsia="zh-CN"/>
                    </w:rPr>
                  </w:pPr>
                  <w:r>
                    <w:rPr>
                      <w:rFonts w:hint="eastAsia"/>
                      <w:color w:val="auto"/>
                      <w:sz w:val="18"/>
                      <w:szCs w:val="18"/>
                      <w:highlight w:val="none"/>
                      <w:lang w:val="en-US" w:eastAsia="zh-CN"/>
                    </w:rPr>
                    <w:t>0.481</w:t>
                  </w:r>
                </w:p>
              </w:tc>
              <w:tc>
                <w:tcPr>
                  <w:tcW w:w="987" w:type="dxa"/>
                  <w:vAlign w:val="center"/>
                </w:tcPr>
                <w:p w14:paraId="09E00A04">
                  <w:pPr>
                    <w:pStyle w:val="60"/>
                    <w:rPr>
                      <w:rFonts w:hint="default"/>
                      <w:color w:val="auto"/>
                      <w:sz w:val="18"/>
                      <w:szCs w:val="18"/>
                      <w:highlight w:val="none"/>
                      <w:lang w:val="en-US" w:eastAsia="zh-CN"/>
                    </w:rPr>
                  </w:pPr>
                  <w:r>
                    <w:rPr>
                      <w:rFonts w:hint="eastAsia"/>
                      <w:color w:val="auto"/>
                      <w:sz w:val="18"/>
                      <w:szCs w:val="18"/>
                      <w:highlight w:val="none"/>
                      <w:lang w:val="en-US" w:eastAsia="zh-CN"/>
                    </w:rPr>
                    <w:t>2.198</w:t>
                  </w:r>
                </w:p>
              </w:tc>
              <w:tc>
                <w:tcPr>
                  <w:tcW w:w="832" w:type="dxa"/>
                  <w:shd w:val="clear" w:color="auto" w:fill="auto"/>
                  <w:vAlign w:val="center"/>
                </w:tcPr>
                <w:p w14:paraId="4F38FEF1">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48" w:type="dxa"/>
                  <w:vAlign w:val="center"/>
                </w:tcPr>
                <w:p w14:paraId="58EC4F93">
                  <w:pPr>
                    <w:pStyle w:val="60"/>
                    <w:rPr>
                      <w:rFonts w:hint="default"/>
                      <w:color w:val="auto"/>
                      <w:sz w:val="18"/>
                      <w:szCs w:val="18"/>
                      <w:highlight w:val="none"/>
                      <w:lang w:val="en-US" w:eastAsia="zh-CN"/>
                    </w:rPr>
                  </w:pPr>
                  <w:r>
                    <w:rPr>
                      <w:rFonts w:hint="eastAsia"/>
                      <w:color w:val="auto"/>
                      <w:sz w:val="18"/>
                      <w:szCs w:val="18"/>
                      <w:highlight w:val="none"/>
                      <w:lang w:val="en-US" w:eastAsia="zh-CN"/>
                    </w:rPr>
                    <w:t>0.0403</w:t>
                  </w:r>
                </w:p>
              </w:tc>
              <w:tc>
                <w:tcPr>
                  <w:tcW w:w="863" w:type="dxa"/>
                  <w:vAlign w:val="center"/>
                </w:tcPr>
                <w:p w14:paraId="73672F1B">
                  <w:pPr>
                    <w:pStyle w:val="60"/>
                    <w:rPr>
                      <w:rFonts w:hint="default"/>
                      <w:color w:val="auto"/>
                      <w:sz w:val="18"/>
                      <w:szCs w:val="18"/>
                      <w:highlight w:val="none"/>
                      <w:lang w:val="en-US" w:eastAsia="zh-CN"/>
                    </w:rPr>
                  </w:pPr>
                  <w:r>
                    <w:rPr>
                      <w:rFonts w:hint="eastAsia"/>
                      <w:color w:val="auto"/>
                      <w:sz w:val="18"/>
                      <w:szCs w:val="18"/>
                      <w:highlight w:val="none"/>
                      <w:lang w:val="en-US" w:eastAsia="zh-CN"/>
                    </w:rPr>
                    <w:t>0.0209</w:t>
                  </w:r>
                </w:p>
              </w:tc>
              <w:tc>
                <w:tcPr>
                  <w:tcW w:w="1234" w:type="dxa"/>
                  <w:shd w:val="clear" w:color="auto" w:fill="auto"/>
                  <w:vAlign w:val="center"/>
                </w:tcPr>
                <w:p w14:paraId="7E4EFB00">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0.5004</w:t>
                  </w:r>
                </w:p>
              </w:tc>
              <w:tc>
                <w:tcPr>
                  <w:tcW w:w="712" w:type="dxa"/>
                  <w:vAlign w:val="center"/>
                </w:tcPr>
                <w:p w14:paraId="1891E2C1">
                  <w:pPr>
                    <w:pStyle w:val="60"/>
                    <w:rPr>
                      <w:rFonts w:hint="default"/>
                      <w:color w:val="auto"/>
                      <w:sz w:val="18"/>
                      <w:szCs w:val="18"/>
                      <w:highlight w:val="none"/>
                      <w:lang w:val="en-US" w:eastAsia="zh-CN"/>
                    </w:rPr>
                  </w:pPr>
                  <w:r>
                    <w:rPr>
                      <w:rFonts w:hint="eastAsia"/>
                      <w:color w:val="auto"/>
                      <w:sz w:val="18"/>
                      <w:szCs w:val="18"/>
                      <w:highlight w:val="none"/>
                      <w:lang w:val="en-US" w:eastAsia="zh-CN"/>
                    </w:rPr>
                    <w:t>+0.0194</w:t>
                  </w:r>
                </w:p>
              </w:tc>
            </w:tr>
            <w:tr w14:paraId="0BE030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283" w:hRule="atLeast"/>
                <w:jc w:val="center"/>
              </w:trPr>
              <w:tc>
                <w:tcPr>
                  <w:tcW w:w="8421" w:type="dxa"/>
                  <w:gridSpan w:val="10"/>
                  <w:vAlign w:val="center"/>
                </w:tcPr>
                <w:p w14:paraId="4BF9E596">
                  <w:pPr>
                    <w:pStyle w:val="60"/>
                    <w:jc w:val="both"/>
                    <w:rPr>
                      <w:rFonts w:hint="eastAsia"/>
                      <w:color w:val="auto"/>
                      <w:sz w:val="18"/>
                      <w:szCs w:val="18"/>
                      <w:highlight w:val="none"/>
                      <w:lang w:val="en-US" w:eastAsia="zh-CN"/>
                    </w:rPr>
                  </w:pPr>
                  <w:r>
                    <w:rPr>
                      <w:rFonts w:hint="eastAsia"/>
                      <w:color w:val="auto"/>
                      <w:sz w:val="18"/>
                      <w:szCs w:val="18"/>
                      <w:highlight w:val="none"/>
                      <w:lang w:val="en-US" w:eastAsia="zh-CN"/>
                    </w:rPr>
                    <w:t>备注：①根据前述，本次评价范围为本次新增2座甲醇原料罐、1座叔丁醇产品罐、甲醇自动化定量卸车设施、叔丁醇自动化定量装车设施，以及现有1座甲醇原料罐、1座叔丁醇产品暂存罐和叔丁醇卸车设施。故本次有组织“以新带老”量考虑现有甲醇原料罐、叔丁醇产品暂存罐及叔丁醇产品灌装废气，根据现有项目有组织废气核算，该部分替代量为：VOCs0.615t/a、甲醇0.409t/a；无组织“以新带老”考虑现有甲醇原料罐、叔丁醇产品暂存罐及装卸车区动静密封点泄漏量，根据现有项目无组织废气核算，该部分替代量为：VOCs0.677t/a、甲醇0.542t/a。综上，合计“以新带老”量为：VOCs1.292t/a、甲醇0.951t/a。</w:t>
                  </w:r>
                </w:p>
                <w:p w14:paraId="136F0CD4">
                  <w:pPr>
                    <w:pStyle w:val="60"/>
                    <w:ind w:firstLine="540" w:firstLineChars="300"/>
                    <w:jc w:val="both"/>
                    <w:rPr>
                      <w:rFonts w:hint="eastAsia"/>
                      <w:color w:val="auto"/>
                      <w:sz w:val="18"/>
                      <w:szCs w:val="18"/>
                      <w:highlight w:val="none"/>
                      <w:lang w:val="en-US" w:eastAsia="zh-CN"/>
                    </w:rPr>
                  </w:pPr>
                  <w:r>
                    <w:rPr>
                      <w:rFonts w:hint="eastAsia"/>
                      <w:color w:val="auto"/>
                      <w:sz w:val="18"/>
                      <w:szCs w:val="18"/>
                      <w:highlight w:val="none"/>
                      <w:lang w:val="en-US" w:eastAsia="zh-CN"/>
                    </w:rPr>
                    <w:t>②现有项目无组织VOCs许可排放量来自山东诚光工贸有限公司排污许可证填报数据。</w:t>
                  </w:r>
                </w:p>
                <w:p w14:paraId="1BCADE27">
                  <w:pPr>
                    <w:pStyle w:val="60"/>
                    <w:ind w:firstLine="540" w:firstLineChars="300"/>
                    <w:jc w:val="both"/>
                    <w:rPr>
                      <w:rFonts w:hint="default"/>
                      <w:color w:val="auto"/>
                      <w:sz w:val="18"/>
                      <w:szCs w:val="18"/>
                      <w:highlight w:val="none"/>
                      <w:lang w:val="en-US" w:eastAsia="zh-CN"/>
                    </w:rPr>
                  </w:pPr>
                  <w:r>
                    <w:rPr>
                      <w:rFonts w:hint="eastAsia"/>
                      <w:color w:val="auto"/>
                      <w:sz w:val="18"/>
                      <w:szCs w:val="18"/>
                      <w:highlight w:val="none"/>
                      <w:lang w:val="en-US" w:eastAsia="zh-CN"/>
                    </w:rPr>
                    <w:t>③NOx“以新带老”量考虑现有甲醇原料罐、叔丁醇产品暂存罐及叔丁醇产品灌装废气单独去尾气炉焚烧时的产生量（计算公式参照本项目废气量核算）。</w:t>
                  </w:r>
                </w:p>
              </w:tc>
            </w:tr>
          </w:tbl>
          <w:p w14:paraId="2A582736">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color w:val="auto"/>
                <w:szCs w:val="21"/>
                <w:highlight w:val="none"/>
                <w:lang w:val="en-US" w:eastAsia="zh-CN"/>
              </w:rPr>
            </w:pPr>
            <w:r>
              <w:rPr>
                <w:rFonts w:hint="eastAsia"/>
                <w:color w:val="auto"/>
                <w:szCs w:val="21"/>
                <w:highlight w:val="none"/>
                <w:lang w:val="en-US" w:eastAsia="zh-CN"/>
              </w:rPr>
              <w:t>根据上表，本项目建成后全厂VOCs排放量为8.781t/a、NOx排放量为0.5004t/a。</w:t>
            </w:r>
          </w:p>
          <w:p w14:paraId="5E6A5C1E">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default"/>
                <w:color w:val="auto"/>
                <w:lang w:val="en-US" w:eastAsia="zh-CN"/>
              </w:rPr>
            </w:pPr>
            <w:r>
              <w:rPr>
                <w:rFonts w:hint="eastAsia"/>
                <w:color w:val="auto"/>
                <w:szCs w:val="21"/>
                <w:highlight w:val="none"/>
                <w:lang w:val="en-US" w:eastAsia="zh-CN"/>
              </w:rPr>
              <w:t>VOCs、NOx均未超过现有项目许可排放量，无需额外申请总量控制指标</w:t>
            </w:r>
            <w:r>
              <w:rPr>
                <w:rFonts w:hint="default" w:eastAsia="宋体"/>
                <w:color w:val="auto"/>
                <w:szCs w:val="21"/>
                <w:highlight w:val="none"/>
                <w:lang w:val="en-US" w:eastAsia="zh-CN"/>
              </w:rPr>
              <w:t>。</w:t>
            </w:r>
          </w:p>
        </w:tc>
      </w:tr>
    </w:tbl>
    <w:p w14:paraId="423D95C9">
      <w:pPr>
        <w:pStyle w:val="18"/>
        <w:tabs>
          <w:tab w:val="left" w:pos="6525"/>
        </w:tabs>
        <w:outlineLvl w:val="0"/>
        <w:rPr>
          <w:rFonts w:ascii="Times New Roman" w:hAnsi="Times New Roman" w:eastAsia="黑体"/>
          <w:snapToGrid w:val="0"/>
          <w:color w:val="auto"/>
          <w:sz w:val="36"/>
          <w:szCs w:val="36"/>
        </w:rPr>
        <w:sectPr>
          <w:pgSz w:w="11907" w:h="16840"/>
          <w:pgMar w:top="1701" w:right="1531" w:bottom="1560" w:left="1531" w:header="851" w:footer="851" w:gutter="0"/>
          <w:pgBorders>
            <w:top w:val="none" w:sz="0" w:space="0"/>
            <w:left w:val="none" w:sz="0" w:space="0"/>
            <w:bottom w:val="none" w:sz="0" w:space="0"/>
            <w:right w:val="none" w:sz="0" w:space="0"/>
          </w:pgBorders>
          <w:cols w:space="720" w:num="1"/>
          <w:docGrid w:linePitch="312" w:charSpace="0"/>
        </w:sectPr>
      </w:pPr>
    </w:p>
    <w:p w14:paraId="7B904C18">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410"/>
      </w:tblGrid>
      <w:tr w14:paraId="7458B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318" w:type="pct"/>
            <w:tcBorders>
              <w:left w:val="single" w:color="auto" w:sz="4" w:space="0"/>
            </w:tcBorders>
            <w:tcMar>
              <w:left w:w="28" w:type="dxa"/>
              <w:right w:w="28" w:type="dxa"/>
            </w:tcMar>
            <w:vAlign w:val="center"/>
          </w:tcPr>
          <w:p w14:paraId="69C4209D">
            <w:pPr>
              <w:adjustRightInd w:val="0"/>
              <w:snapToGrid w:val="0"/>
              <w:jc w:val="center"/>
              <w:rPr>
                <w:bCs/>
                <w:color w:val="auto"/>
                <w:szCs w:val="21"/>
              </w:rPr>
            </w:pPr>
            <w:r>
              <w:rPr>
                <w:bCs/>
                <w:color w:val="auto"/>
                <w:szCs w:val="21"/>
              </w:rPr>
              <w:t>施工期环</w:t>
            </w:r>
          </w:p>
          <w:p w14:paraId="24241675">
            <w:pPr>
              <w:adjustRightInd w:val="0"/>
              <w:snapToGrid w:val="0"/>
              <w:jc w:val="center"/>
              <w:rPr>
                <w:bCs/>
                <w:color w:val="auto"/>
                <w:szCs w:val="21"/>
              </w:rPr>
            </w:pPr>
            <w:r>
              <w:rPr>
                <w:bCs/>
                <w:color w:val="auto"/>
                <w:szCs w:val="21"/>
              </w:rPr>
              <w:t>境影</w:t>
            </w:r>
          </w:p>
          <w:p w14:paraId="177E3DCE">
            <w:pPr>
              <w:adjustRightInd w:val="0"/>
              <w:snapToGrid w:val="0"/>
              <w:jc w:val="center"/>
              <w:rPr>
                <w:bCs/>
                <w:color w:val="auto"/>
                <w:szCs w:val="21"/>
              </w:rPr>
            </w:pPr>
            <w:r>
              <w:rPr>
                <w:bCs/>
                <w:color w:val="auto"/>
                <w:szCs w:val="21"/>
              </w:rPr>
              <w:t>响和</w:t>
            </w:r>
          </w:p>
          <w:p w14:paraId="6115BD42">
            <w:pPr>
              <w:adjustRightInd w:val="0"/>
              <w:snapToGrid w:val="0"/>
              <w:jc w:val="center"/>
              <w:rPr>
                <w:bCs/>
                <w:color w:val="auto"/>
                <w:szCs w:val="21"/>
              </w:rPr>
            </w:pPr>
            <w:r>
              <w:rPr>
                <w:bCs/>
                <w:color w:val="auto"/>
                <w:szCs w:val="21"/>
              </w:rPr>
              <w:t>保护</w:t>
            </w:r>
          </w:p>
          <w:p w14:paraId="1A0A7A60">
            <w:pPr>
              <w:adjustRightInd w:val="0"/>
              <w:snapToGrid w:val="0"/>
              <w:jc w:val="center"/>
              <w:rPr>
                <w:bCs/>
                <w:color w:val="auto"/>
                <w:szCs w:val="21"/>
              </w:rPr>
            </w:pPr>
            <w:r>
              <w:rPr>
                <w:bCs/>
                <w:color w:val="auto"/>
                <w:szCs w:val="21"/>
              </w:rPr>
              <w:t>措施</w:t>
            </w:r>
          </w:p>
        </w:tc>
        <w:tc>
          <w:tcPr>
            <w:tcW w:w="4682" w:type="pct"/>
            <w:vAlign w:val="center"/>
          </w:tcPr>
          <w:p w14:paraId="3C58161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本项目为原料、产品罐区安全环保提升技术改造项目，</w:t>
            </w:r>
            <w:r>
              <w:rPr>
                <w:rFonts w:hint="default" w:ascii="Times New Roman" w:hAnsi="Times New Roman" w:cs="Times New Roman"/>
                <w:color w:val="auto"/>
                <w:szCs w:val="21"/>
                <w:highlight w:val="none"/>
              </w:rPr>
              <w:t>施工期主要</w:t>
            </w:r>
            <w:r>
              <w:rPr>
                <w:rFonts w:hint="eastAsia" w:ascii="Times New Roman" w:hAnsi="Times New Roman" w:cs="Times New Roman"/>
                <w:color w:val="auto"/>
                <w:szCs w:val="21"/>
                <w:highlight w:val="none"/>
                <w:lang w:val="en-US" w:eastAsia="zh-CN"/>
              </w:rPr>
              <w:t>工作</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lang w:val="en-US" w:eastAsia="zh-CN"/>
              </w:rPr>
              <w:t>拆除</w:t>
            </w:r>
            <w:r>
              <w:rPr>
                <w:rFonts w:hint="eastAsia" w:ascii="Times New Roman" w:hAnsi="Times New Roman" w:cs="Times New Roman"/>
                <w:color w:val="auto"/>
                <w:szCs w:val="21"/>
                <w:highlight w:val="none"/>
                <w:lang w:val="en-US" w:eastAsia="zh-CN"/>
              </w:rPr>
              <w:t>西</w:t>
            </w:r>
            <w:r>
              <w:rPr>
                <w:rFonts w:hint="default" w:ascii="Times New Roman" w:hAnsi="Times New Roman" w:cs="Times New Roman"/>
                <w:color w:val="auto"/>
                <w:szCs w:val="21"/>
                <w:highlight w:val="none"/>
                <w:lang w:val="en-US" w:eastAsia="zh-CN"/>
              </w:rPr>
              <w:t>厂区内现有</w:t>
            </w:r>
            <w:r>
              <w:rPr>
                <w:rFonts w:hint="default" w:ascii="Times New Roman" w:hAnsi="Times New Roman" w:eastAsia="宋体" w:cs="Times New Roman"/>
                <w:color w:val="auto"/>
                <w:szCs w:val="21"/>
                <w:highlight w:val="none"/>
                <w:lang w:val="en-US" w:eastAsia="zh-CN"/>
              </w:rPr>
              <w:t>办公</w:t>
            </w:r>
            <w:r>
              <w:rPr>
                <w:rFonts w:hint="eastAsia" w:ascii="Times New Roman" w:hAnsi="Times New Roman" w:eastAsia="宋体" w:cs="Times New Roman"/>
                <w:color w:val="auto"/>
                <w:szCs w:val="21"/>
                <w:highlight w:val="none"/>
                <w:lang w:val="en-US" w:eastAsia="zh-CN"/>
              </w:rPr>
              <w:t>室及循环水池</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东厂区内叔丁醇产品暂存罐及甲醇卸车设施</w:t>
            </w:r>
            <w:r>
              <w:rPr>
                <w:rFonts w:hint="default" w:ascii="Times New Roman" w:hAnsi="Times New Roman" w:eastAsia="宋体" w:cs="Times New Roman"/>
                <w:color w:val="auto"/>
                <w:szCs w:val="21"/>
                <w:highlight w:val="none"/>
                <w:lang w:val="en-US" w:eastAsia="zh-CN"/>
              </w:rPr>
              <w:t>，并</w:t>
            </w:r>
            <w:r>
              <w:rPr>
                <w:rFonts w:hint="eastAsia" w:ascii="Times New Roman" w:hAnsi="Times New Roman" w:eastAsia="宋体" w:cs="Times New Roman"/>
                <w:color w:val="auto"/>
                <w:szCs w:val="21"/>
                <w:highlight w:val="none"/>
                <w:lang w:val="en-US" w:eastAsia="zh-CN"/>
              </w:rPr>
              <w:t>在西厂区新建储罐区、装卸车区，同时对现有事故应急池进行棚盖并覆土施工，改造现有废水池。</w:t>
            </w:r>
          </w:p>
          <w:p w14:paraId="15B2F982">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Times New Roman" w:hAnsi="Times New Roman" w:eastAsia="宋体" w:cs="Times New Roman"/>
                <w:color w:val="auto"/>
                <w:szCs w:val="21"/>
                <w:highlight w:val="none"/>
                <w:lang w:val="en-US" w:eastAsia="zh-CN"/>
              </w:rPr>
            </w:pPr>
            <w:r>
              <w:rPr>
                <w:color w:val="auto"/>
              </w:rPr>
              <w:t>本次技改项目在设备拆除过程中，应严格按照《企业拆除活动污染防治技术规定（试行）》（原环保部2017年第78号公告）、《企业设备、建（构）筑物拆除活动污染防治技术指南》（T/CAEPI16-2018）相关要求，制定《企业拆除活动污染防治方案》、《拆除活动环境应急预案》，并采取相应的环境保护和风险防控措施。</w:t>
            </w:r>
          </w:p>
          <w:p w14:paraId="53A111B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施工建设过程中原有</w:t>
            </w:r>
            <w:r>
              <w:rPr>
                <w:rFonts w:hint="eastAsia" w:ascii="Times New Roman" w:hAnsi="Times New Roman" w:eastAsia="宋体" w:cs="Times New Roman"/>
                <w:color w:val="auto"/>
                <w:kern w:val="2"/>
                <w:sz w:val="21"/>
                <w:szCs w:val="21"/>
                <w:highlight w:val="none"/>
                <w:lang w:val="en-US" w:eastAsia="zh-CN" w:bidi="ar-SA"/>
              </w:rPr>
              <w:t>建构筑物</w:t>
            </w:r>
            <w:r>
              <w:rPr>
                <w:rFonts w:hint="default" w:ascii="Times New Roman" w:hAnsi="Times New Roman" w:eastAsia="宋体" w:cs="Times New Roman"/>
                <w:color w:val="auto"/>
                <w:kern w:val="2"/>
                <w:sz w:val="21"/>
                <w:szCs w:val="21"/>
                <w:highlight w:val="none"/>
                <w:lang w:val="en-US" w:eastAsia="zh-CN" w:bidi="ar-SA"/>
              </w:rPr>
              <w:t>及</w:t>
            </w:r>
            <w:r>
              <w:rPr>
                <w:rFonts w:hint="eastAsia" w:ascii="Times New Roman" w:hAnsi="Times New Roman" w:eastAsia="宋体" w:cs="Times New Roman"/>
                <w:color w:val="auto"/>
                <w:kern w:val="2"/>
                <w:sz w:val="21"/>
                <w:szCs w:val="21"/>
                <w:highlight w:val="none"/>
                <w:lang w:val="en-US" w:eastAsia="zh-CN" w:bidi="ar-SA"/>
              </w:rPr>
              <w:t>储罐</w:t>
            </w:r>
            <w:r>
              <w:rPr>
                <w:rFonts w:hint="default" w:ascii="Times New Roman" w:hAnsi="Times New Roman" w:eastAsia="宋体" w:cs="Times New Roman"/>
                <w:color w:val="auto"/>
                <w:kern w:val="2"/>
                <w:sz w:val="21"/>
                <w:szCs w:val="21"/>
                <w:highlight w:val="none"/>
                <w:lang w:val="en-US" w:eastAsia="zh-CN" w:bidi="ar-SA"/>
              </w:rPr>
              <w:t>拆除、场地清理、土石方挖掘、物料堆存及运输、设备运输及安装等环节会产生废气、噪声、废水和固废等污染物。</w:t>
            </w:r>
            <w:r>
              <w:rPr>
                <w:rFonts w:hint="eastAsia" w:ascii="Times New Roman" w:hAnsi="Times New Roman" w:eastAsia="宋体" w:cs="Times New Roman"/>
                <w:color w:val="auto"/>
                <w:kern w:val="2"/>
                <w:sz w:val="21"/>
                <w:szCs w:val="21"/>
                <w:highlight w:val="none"/>
                <w:lang w:val="en-US" w:eastAsia="zh-CN" w:bidi="ar-SA"/>
              </w:rPr>
              <w:t>拟采取如下环境保护措施：</w:t>
            </w:r>
          </w:p>
          <w:p w14:paraId="6FAB13D9">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default" w:eastAsia="宋体"/>
                <w:b/>
                <w:bCs/>
                <w:color w:val="auto"/>
                <w:lang w:val="en-US" w:eastAsia="zh-CN"/>
              </w:rPr>
            </w:pPr>
            <w:r>
              <w:rPr>
                <w:rFonts w:hint="eastAsia"/>
                <w:b/>
                <w:bCs/>
                <w:color w:val="auto"/>
                <w:lang w:val="en-US" w:eastAsia="zh-CN"/>
              </w:rPr>
              <w:t>一、施工期废气防治措施</w:t>
            </w:r>
          </w:p>
          <w:p w14:paraId="30503FE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施工过程产生的废气主要为</w:t>
            </w:r>
            <w:r>
              <w:rPr>
                <w:rFonts w:hint="eastAsia" w:ascii="Times New Roman" w:hAnsi="Times New Roman" w:eastAsia="宋体" w:cs="Times New Roman"/>
                <w:color w:val="auto"/>
                <w:kern w:val="2"/>
                <w:sz w:val="21"/>
                <w:szCs w:val="21"/>
                <w:highlight w:val="none"/>
                <w:lang w:val="en-US" w:eastAsia="zh-CN" w:bidi="ar-SA"/>
              </w:rPr>
              <w:t>构筑物及储罐等</w:t>
            </w:r>
            <w:r>
              <w:rPr>
                <w:rFonts w:hint="default" w:ascii="Times New Roman" w:hAnsi="Times New Roman" w:eastAsia="宋体" w:cs="Times New Roman"/>
                <w:color w:val="auto"/>
                <w:kern w:val="2"/>
                <w:sz w:val="21"/>
                <w:szCs w:val="21"/>
                <w:highlight w:val="none"/>
                <w:lang w:val="en-US" w:eastAsia="zh-CN" w:bidi="ar-SA"/>
              </w:rPr>
              <w:t>拆除扬尘、施工扬尘、施工机械废气、储罐防腐防水工程涂装废气、储罐及管道焊接烟尘等</w:t>
            </w:r>
            <w:r>
              <w:rPr>
                <w:rFonts w:hint="eastAsia" w:ascii="Times New Roman" w:hAnsi="Times New Roman" w:eastAsia="宋体" w:cs="Times New Roman"/>
                <w:color w:val="auto"/>
                <w:kern w:val="2"/>
                <w:sz w:val="21"/>
                <w:szCs w:val="21"/>
                <w:highlight w:val="none"/>
                <w:lang w:val="en-US" w:eastAsia="zh-CN" w:bidi="ar-SA"/>
              </w:rPr>
              <w:t>。</w:t>
            </w:r>
          </w:p>
          <w:p w14:paraId="1B3BBC5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1、拆除及施工扬尘防治措施</w:t>
            </w:r>
          </w:p>
          <w:p w14:paraId="5A91A31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rPr>
              <w:t>为使施工过程中产生的扬尘对周围环境空气的影响降低到最小程度，本项目拟严格按照《山东省扬尘污染防治管理办法》（省政府令第311号）、《山东省扬尘污染综合整治方案》（鲁环发[2019]112号）、《淄博市建设领域扬尘污染专项治理实施方案》（淄建发[2019]85号）等相关要求，加强施工扬尘综合治理，做到施工现场围挡率、进出道路硬化率、工地物料篷盖率、场地洒水清扫保洁率、密闭运输率、出入车辆清洗率、视频在线监控率、PM</w:t>
            </w:r>
            <w:r>
              <w:rPr>
                <w:rFonts w:hint="eastAsia"/>
                <w:color w:val="auto"/>
                <w:vertAlign w:val="subscript"/>
              </w:rPr>
              <w:t>10</w:t>
            </w:r>
            <w:r>
              <w:rPr>
                <w:rFonts w:hint="eastAsia"/>
                <w:color w:val="auto"/>
              </w:rPr>
              <w:t>在线监测率“8个100%”。具体采取措施如下：</w:t>
            </w:r>
          </w:p>
          <w:p w14:paraId="40EB8D8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1）施工现场围挡封闭管理。施工场地周边设置高度为2.5米的封闭式硬质围挡；外脚手架使用密目式安全网封闭（密度不低于2000目/100cm</w:t>
            </w:r>
            <w:r>
              <w:rPr>
                <w:rFonts w:hint="eastAsia"/>
                <w:color w:val="auto"/>
                <w:vertAlign w:val="superscript"/>
                <w:lang w:val="en-US" w:eastAsia="zh-CN"/>
              </w:rPr>
              <w:t>2</w:t>
            </w:r>
            <w:r>
              <w:rPr>
                <w:rFonts w:hint="eastAsia"/>
                <w:color w:val="auto"/>
                <w:lang w:val="en-US" w:eastAsia="zh-CN"/>
              </w:rPr>
              <w:t>），并保持整洁。</w:t>
            </w:r>
          </w:p>
          <w:p w14:paraId="59B9AC7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2）施工现场道路硬化。现场出入口、主要施工道路进行硬化处理。对含水率较低能够产生扬尘的粉土、沙土采用大炮喷雾降尘。</w:t>
            </w:r>
          </w:p>
          <w:p w14:paraId="17D5BDE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3）施工区域散料覆盖。施工现场若涉及水泥等产尘物料的使用，则水泥等细颗粒材料存放在库房或密闭容器内，其他易产尘物料采取覆盖措施，覆盖防尘网伸展平整，防尘网覆盖密度不低于800目/100cm</w:t>
            </w:r>
            <w:r>
              <w:rPr>
                <w:rFonts w:hint="eastAsia"/>
                <w:color w:val="auto"/>
                <w:vertAlign w:val="superscript"/>
                <w:lang w:val="en-US" w:eastAsia="zh-CN"/>
              </w:rPr>
              <w:t>2</w:t>
            </w:r>
            <w:r>
              <w:rPr>
                <w:rFonts w:hint="eastAsia"/>
                <w:color w:val="auto"/>
                <w:lang w:val="en-US" w:eastAsia="zh-CN"/>
              </w:rPr>
              <w:t>，网间拼接严密、不露尘，边缘及连接处固定牢固；定期对覆盖处洒水，促使土体表层硬化结壳，避免风蚀扬尘。</w:t>
            </w:r>
          </w:p>
          <w:p w14:paraId="3DFA8DB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4）施工现场洒水清扫保洁。安排专人负责出入口和车行主干道和场地清扫保洁，及时洒水压尘，保持路面清洁湿润、不积水、不积尘；建筑工地塔吊臂或建筑脚手架上端周边，安装喷雾设施，正常施工作业期间喷雾间隔时间不超过1小时，人工洒水间隔时间不超过2小时。施工现场进行拆除、油锤破碎、路面切割、石材切割、清扫施工现场等易产生扬尘的作业时，采取湿法作业，配备固定式或移动式洒水降尘设备，进行洒水、喷雾降尘。</w:t>
            </w:r>
          </w:p>
          <w:p w14:paraId="194B20AF">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5）物料密闭运输。运送砂石、各类粉状物、建筑垃圾等的车辆手续齐全、按指定的线路运输。易产尘物料装车时使用降尘设备进行喷雾降尘，并安排专人清扫散落物料。</w:t>
            </w:r>
          </w:p>
          <w:p w14:paraId="03F3D74F">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6）垃圾清运。施工现场建筑垃圾、生活垃圾分类、集中堆放，垃圾日产日清；装饰、安装阶段采用成品、半成品实施装配式作业，尽量减少因石材砌体、混凝土等材料切割造成的扬尘污染。</w:t>
            </w:r>
          </w:p>
          <w:p w14:paraId="30964BD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7）现场公示。建筑工地现场制定扬尘污染防治方案，落实责任人，建立完善检查考核制度；施工现场门口按要求设置扬尘防治管理公示牌。将扬尘防治措施的各项要求纳入工人教育培训、岗前交底及工作奖惩，提高一线作业人员扬尘防治自觉性。</w:t>
            </w:r>
          </w:p>
          <w:p w14:paraId="3C24D2DC">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本项目施工期的扬尘污染属于局部和短期的影响，若建设单位在施工期间文明施工，采取有效的防尘、降尘措施，可确保扬尘污染对区域大气环境不产生太大的影响。</w:t>
            </w:r>
          </w:p>
          <w:p w14:paraId="4BB0485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2、机械设备尾气污染防治措施</w:t>
            </w:r>
          </w:p>
          <w:p w14:paraId="67CCE098">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机械设备尾气主要来自于施工机械和运输车辆，排放的主要污染物为NO</w:t>
            </w:r>
            <w:r>
              <w:rPr>
                <w:rFonts w:hint="eastAsia"/>
                <w:color w:val="auto"/>
                <w:lang w:val="en-US" w:eastAsia="zh-CN"/>
              </w:rPr>
              <w:t>x</w:t>
            </w:r>
            <w:r>
              <w:rPr>
                <w:rFonts w:hint="default"/>
                <w:color w:val="auto"/>
                <w:lang w:val="en-US" w:eastAsia="zh-CN"/>
              </w:rPr>
              <w:t>、CO和碳氢化合物等。施工机械所产生的燃油废气，其产生量和施工机械的选用、机械性能和维护水平有关。针对施工机械废气，拟采取如下防治措施：</w:t>
            </w:r>
          </w:p>
          <w:p w14:paraId="5005CDE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1）施工现场使用的非道路移动机械须符合《山东省非道路移动机械排气污染防治规定》的要求，推荐采用有编码登记的国三及以上非道路移动机械，禁止使用超过污染物排放标准和有明显可见烟的非道路移动机械。</w:t>
            </w:r>
          </w:p>
          <w:p w14:paraId="4C0B17EB">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2）禁止使用冒黑烟超标排放工程机械和车辆（含装载机、叉车、吊车等）。</w:t>
            </w:r>
          </w:p>
          <w:p w14:paraId="1FF8A2FF">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3）建立机械设备环保管理工作台账，实行“一机一卡”制度，落实工程机械环保准入、油品管控、维护保养等措施。</w:t>
            </w:r>
          </w:p>
          <w:p w14:paraId="2AFA4CF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4）建议施工机械采用新能源机械。</w:t>
            </w:r>
          </w:p>
          <w:p w14:paraId="42767D68">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3、涂装废气污染防治措施</w:t>
            </w:r>
          </w:p>
          <w:p w14:paraId="70BB4AA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1）源头控制措施：选择水性涂料、高固体分涂料等低（无）VOCs的涂料，减少挥发性有机物的排放，避免使用含苯、甲苯、二甲苯等有害物质的溶剂型涂料。根据设计要求控制涂层厚度，避免过度喷涂，减少涂料消耗和废气排放。</w:t>
            </w:r>
          </w:p>
          <w:p w14:paraId="59B8DB7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2）过程控制措施：优先选用无气喷涂等高效涂装技术，或刷涂方式，减少漆雾和溶剂挥发。在风速较低、温度适宜的条件下施工，减少废气扩散。</w:t>
            </w:r>
          </w:p>
          <w:p w14:paraId="30532C8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3）加强施工管理：制定涂装作业规程，对施工人员进行培训，确保规范操作，减少涂料浪费和废气产生。</w:t>
            </w:r>
          </w:p>
          <w:p w14:paraId="7D44DB1C">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default"/>
                <w:color w:val="auto"/>
                <w:lang w:val="en-US" w:eastAsia="zh-CN"/>
              </w:rPr>
              <w:t>4、焊接废气污染防治措施</w:t>
            </w:r>
          </w:p>
          <w:p w14:paraId="61B5916B">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1）</w:t>
            </w:r>
            <w:r>
              <w:rPr>
                <w:rFonts w:hint="default"/>
                <w:color w:val="auto"/>
                <w:lang w:val="en-US" w:eastAsia="zh-CN"/>
              </w:rPr>
              <w:t>优先选用低烟尘焊条及自动化焊接设备，从源头降低烟尘产生量</w:t>
            </w:r>
            <w:r>
              <w:rPr>
                <w:rFonts w:hint="eastAsia"/>
                <w:color w:val="auto"/>
                <w:lang w:val="en-US" w:eastAsia="zh-CN"/>
              </w:rPr>
              <w:t>。</w:t>
            </w:r>
          </w:p>
          <w:p w14:paraId="70A102C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2）</w:t>
            </w:r>
            <w:r>
              <w:rPr>
                <w:rFonts w:hint="default"/>
                <w:color w:val="auto"/>
                <w:lang w:val="en-US" w:eastAsia="zh-CN"/>
              </w:rPr>
              <w:t>焊接作业区设置可移动式防尘围挡（高度≥1.8m），形成局部封闭空间，采用抑尘网覆盖周边易起尘物料</w:t>
            </w:r>
            <w:r>
              <w:rPr>
                <w:rFonts w:hint="eastAsia"/>
                <w:color w:val="auto"/>
                <w:lang w:val="en-US" w:eastAsia="zh-CN"/>
              </w:rPr>
              <w:t>。</w:t>
            </w:r>
          </w:p>
          <w:p w14:paraId="1090C60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3）</w:t>
            </w:r>
            <w:r>
              <w:rPr>
                <w:rFonts w:hint="default"/>
                <w:color w:val="auto"/>
                <w:lang w:val="en-US" w:eastAsia="zh-CN"/>
              </w:rPr>
              <w:t>实施错峰焊接作业，避开4级以上大风天气，每日连续焊接时间不超过6小时。</w:t>
            </w:r>
          </w:p>
          <w:p w14:paraId="49D7B182">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default"/>
                <w:b/>
                <w:bCs/>
                <w:color w:val="auto"/>
                <w:lang w:val="en-US" w:eastAsia="zh-CN"/>
              </w:rPr>
            </w:pPr>
            <w:r>
              <w:rPr>
                <w:rFonts w:hint="eastAsia"/>
                <w:b/>
                <w:bCs/>
                <w:color w:val="auto"/>
                <w:lang w:val="en-US" w:eastAsia="zh-CN"/>
              </w:rPr>
              <w:t>二、施工期废水防治措施</w:t>
            </w:r>
          </w:p>
          <w:p w14:paraId="3C705FD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1）施工人员生活污水依托厂区现有化粪池收集后由环卫部门定期清运，不外排。</w:t>
            </w:r>
          </w:p>
          <w:p w14:paraId="05D378C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2）施工过程中产生的冲洗废水等施工废水经隔油沉淀池沉淀处理后，全部用于施工降尘洒水等，不外排。</w:t>
            </w:r>
          </w:p>
          <w:p w14:paraId="09901B2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3）对各类车辆、设备使用的燃油、机油、润滑油等废弃的油脂，要加强管理，集中处理，不得随意抛弃，防止排到周围水体环境中。</w:t>
            </w:r>
          </w:p>
          <w:p w14:paraId="606093C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4）做好建筑材料和建筑废料的管理，防止其成为地面水的二次污染源。</w:t>
            </w:r>
          </w:p>
          <w:p w14:paraId="35658EA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5）设备拆除作业时物料放空、拆解、临时堆放等区域，拟设置适当的防雨、防渗、拦挡等隔离措施，防止废水外溢或渗漏。</w:t>
            </w:r>
          </w:p>
          <w:p w14:paraId="4D9D54B2">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default"/>
                <w:b/>
                <w:bCs/>
                <w:color w:val="auto"/>
                <w:lang w:val="en-US" w:eastAsia="zh-CN"/>
              </w:rPr>
            </w:pPr>
            <w:r>
              <w:rPr>
                <w:rFonts w:hint="eastAsia"/>
                <w:b/>
                <w:bCs/>
                <w:color w:val="auto"/>
                <w:lang w:val="en-US" w:eastAsia="zh-CN"/>
              </w:rPr>
              <w:t>三、施工期噪声防治措施</w:t>
            </w:r>
          </w:p>
          <w:p w14:paraId="3DF52CA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施工期的噪声源主要为施工机械、运输车辆和设备安装噪声，其特点是间歇或阵发性的，并具备一定流动性、无规则的特征，施工期间采取的降噪措施主要有：</w:t>
            </w:r>
          </w:p>
          <w:p w14:paraId="7C9EF2A5">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1）合理安排施工时间，安排施工计划时，应尽可能避免大量的高噪声设备同时施工，避开周围环境对噪声的敏感时间，禁止夜间22：00至次日6：00施工。尽量加快施工进度，缩短整个工期。</w:t>
            </w:r>
          </w:p>
          <w:p w14:paraId="2AB78E0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2）合理布置施工作业区，高噪音施工设备尽量布置在远离敏感目标的位置。</w:t>
            </w:r>
          </w:p>
          <w:p w14:paraId="2012F3D2">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3）选用低噪声机械设备，对动力机械设备进行定期的维修、养护、维护不良的设备；闲置不用的设备应立即关闭；运输车辆进入现场应减速，并减少鸣笛。</w:t>
            </w:r>
          </w:p>
          <w:p w14:paraId="6340C6E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4）降低人为噪声。根据当地环保部门制定的噪声防治条例的要求施工。</w:t>
            </w:r>
          </w:p>
          <w:p w14:paraId="0B356A7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5）运输车辆的运输路线应尽量远离敏感点，出入现场时应低速、禁鸣。</w:t>
            </w:r>
          </w:p>
          <w:p w14:paraId="5190D0EA">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default"/>
                <w:b/>
                <w:bCs/>
                <w:color w:val="auto"/>
                <w:lang w:val="en-US" w:eastAsia="zh-CN"/>
              </w:rPr>
            </w:pPr>
            <w:r>
              <w:rPr>
                <w:rFonts w:hint="eastAsia"/>
                <w:b/>
                <w:bCs/>
                <w:color w:val="auto"/>
                <w:lang w:val="en-US" w:eastAsia="zh-CN"/>
              </w:rPr>
              <w:t>四、施工期固体废物防治措施</w:t>
            </w:r>
          </w:p>
          <w:p w14:paraId="728B831B">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1、废弃土石方及建筑垃圾污染防治措施</w:t>
            </w:r>
          </w:p>
          <w:p w14:paraId="6D6C744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1）本工程土石方调运采取尽量减少取、弃方量的原则，从源头上减少弃方量。</w:t>
            </w:r>
          </w:p>
          <w:p w14:paraId="271BA2BD">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2）弃土及表土临时堆场四周设置围挡防风阻尘，配备篷布遮盖并定期洒水保持湿润；堆场四周开挖排水沟，排水沟末端设置沉淀池，截留雨水径流。</w:t>
            </w:r>
          </w:p>
          <w:p w14:paraId="079CE8A0">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3）弃方与临时沉淀池沉渣一起运至政府指定的弃土场处理，不得随意倾倒。</w:t>
            </w:r>
          </w:p>
          <w:p w14:paraId="104DD7B2">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4）对于废弃的建材、金属废料等固体废弃物能回用的尽量回用，不能回用的应集中收集，并及时运至政府指定的建筑垃圾处理场处理。</w:t>
            </w:r>
          </w:p>
          <w:p w14:paraId="68D30808">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5）建筑垃圾运输全部采用经相关部门核准的渣土运输公司的专用运输车辆密闭运输；运送车辆必须手续齐全、必须按指定的线路运输；建筑垃圾装车时要使用降尘设备进行喷雾降尘，并安排专人清扫散落的渣土等。</w:t>
            </w:r>
          </w:p>
          <w:p w14:paraId="4001EB7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2、生活垃圾污染防治措施</w:t>
            </w:r>
          </w:p>
          <w:p w14:paraId="6FDE954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施工区内设置临时垃圾桶，生活垃圾放置于临时垃圾桶内，由环卫部行统一收集处置。</w:t>
            </w:r>
          </w:p>
          <w:p w14:paraId="38ACE3E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3、拆除设备的管理措施</w:t>
            </w:r>
          </w:p>
          <w:p w14:paraId="11B6C4C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1）设备在放空遗留物料或残留污染物后，应保证设备中的物料及表面沾染污染物被清理干净，确保设备拆除、转移过程中不会产生二次污染。放空或清理下来的物料等固体废物应按照相关要求妥善处理处置。</w:t>
            </w:r>
          </w:p>
          <w:p w14:paraId="578D40D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2）不同设备采用不同拆除方式，对于能够继续正常使用设备或零部件拟采取保护性拆除，以保证设备或原零部件完整与可用性，以便资源化利用。</w:t>
            </w:r>
          </w:p>
          <w:p w14:paraId="199253C2">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3）拆除下来的设备或零件按指定地点存放，现场设置防治拆卸污染装置、固体废物回收措施等，并设置隔离带和采取保护措施（如遮盖、封装等）。</w:t>
            </w:r>
          </w:p>
          <w:p w14:paraId="0D30829C">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lang w:val="en-US" w:eastAsia="zh-CN"/>
              </w:rPr>
            </w:pPr>
            <w:r>
              <w:rPr>
                <w:rFonts w:hint="eastAsia"/>
                <w:color w:val="auto"/>
                <w:lang w:val="en-US" w:eastAsia="zh-CN"/>
              </w:rPr>
              <w:t>4）妥善处理设备拆除过程中产生的固体废物，涉及易燃、易爆及有毒有害化学品的废物，按照国家危险废物或相关技术标准进行处理。能够继续正常使用的设备及零部件交由本企业或其他需要的企业利用。</w:t>
            </w:r>
          </w:p>
          <w:p w14:paraId="2F255987">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default"/>
                <w:b/>
                <w:bCs/>
                <w:color w:val="auto"/>
                <w:lang w:val="en-US" w:eastAsia="zh-CN"/>
              </w:rPr>
            </w:pPr>
            <w:r>
              <w:rPr>
                <w:rFonts w:hint="eastAsia"/>
                <w:b/>
                <w:bCs/>
                <w:color w:val="auto"/>
                <w:lang w:val="en-US" w:eastAsia="zh-CN"/>
              </w:rPr>
              <w:t>五、施工期环境风险防控及处置措施</w:t>
            </w:r>
          </w:p>
          <w:p w14:paraId="3661E574">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当在施工过程中发生突发环境事故时，应按照《拆除活动环境应急预案》相关要求，立即开展应急处置与应急救援工作，避免新增或加重污染。</w:t>
            </w:r>
          </w:p>
          <w:p w14:paraId="25BCEF99">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遗留物料泄露事故应急处置：</w:t>
            </w:r>
          </w:p>
          <w:p w14:paraId="3F5CDE60">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①当拆除过程损坏地上/地下管道、</w:t>
            </w:r>
            <w:r>
              <w:rPr>
                <w:rFonts w:hint="eastAsia" w:ascii="Times New Roman" w:hAnsi="Times New Roman" w:eastAsia="宋体" w:cs="Times New Roman"/>
                <w:color w:val="auto"/>
                <w:sz w:val="21"/>
                <w:szCs w:val="21"/>
                <w:lang w:val="en-US" w:eastAsia="zh-CN"/>
              </w:rPr>
              <w:t>叔丁醇产品暂存罐</w:t>
            </w:r>
            <w:r>
              <w:rPr>
                <w:rFonts w:hint="default" w:ascii="Times New Roman" w:hAnsi="Times New Roman" w:eastAsia="宋体" w:cs="Times New Roman"/>
                <w:color w:val="auto"/>
                <w:sz w:val="21"/>
                <w:szCs w:val="21"/>
              </w:rPr>
              <w:t>等储存设施造成物料泄露时，应立即停工，封堵泄露点并及时闭合相应阀门或开关，以切断污染源，同时切断施工设施电源，将拆除设施撤离作业区，避免发生其他事故。</w:t>
            </w:r>
          </w:p>
          <w:p w14:paraId="1733AA7C">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②若无法切断污染源，存在污染物扩散风险时，应采用围挡、阻隔沙包等应急物资对其进行有效阻隔，防止污染物快速扩散，其中阻隔材料的选择应充分考虑其与泄漏物料的相容性。</w:t>
            </w:r>
          </w:p>
          <w:p w14:paraId="4D5CCF9B">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③对围堵的泄漏物料应尽快采用打捞、抽取、中和、稀释、表面覆盖等收集处理方式控制污染物深层扩散，降低暴露风险；同时对受到污染的土壤进行清挖，防止污染纵向扩散污染地下水。</w:t>
            </w:r>
          </w:p>
          <w:p w14:paraId="3D2DD181">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④通过打捞、抽取、稀释、中和、覆盖、清挖等措施收集或产生的泄漏遗留物质、中和废弃物、稀释废弃物、污染硬化地面、污染土壤等有毒有害物质应交由有相关资质单位进行安全处置，避免新增或加重污染。</w:t>
            </w:r>
          </w:p>
          <w:p w14:paraId="4E500782">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火灾、爆炸事故应急处置</w:t>
            </w:r>
          </w:p>
          <w:p w14:paraId="7BC19F9D">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拆除施工过程若发生火灾、爆炸等突发事件，施工单位应根据实际情况快速判断事故原因，根据火灾、爆炸物质的理化性质，启用相应安全应急消防措施安全处置，期间应对产生的消防废水进行收集，事故后根据废水水质情况交相关单位妥善处理。</w:t>
            </w:r>
          </w:p>
          <w:p w14:paraId="54673BD2">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②启动应急监测机制，对火灾、爆炸及消防废水覆盖区域进行土壤、地下水监测，必要时对涉及场地进行清挖，清挖土壤应妥善处理。</w:t>
            </w:r>
          </w:p>
          <w:p w14:paraId="30C6BF9E">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③应急人员应采用物理隔离方法与相应管制措施，对事故临近的饮用水等生活资源、居民区等重要环境敏感目标进行重点保护。</w:t>
            </w:r>
          </w:p>
          <w:p w14:paraId="54931E73">
            <w:pPr>
              <w:keepNext w:val="0"/>
              <w:keepLines w:val="0"/>
              <w:pageBreakBefore w:val="0"/>
              <w:widowControl w:val="0"/>
              <w:kinsoku/>
              <w:wordWrap/>
              <w:overflowPunct/>
              <w:topLinePunct w:val="0"/>
              <w:autoSpaceDE/>
              <w:autoSpaceDN/>
              <w:bidi w:val="0"/>
              <w:adjustRightInd w:val="0"/>
              <w:spacing w:line="420" w:lineRule="exact"/>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④企业拆除活动责任主体或施工单位要及时组织制订受事故影响的环境恢复、事故废弃物处理、事故应急设施按需移除等善后工作方案并组织落实。</w:t>
            </w:r>
          </w:p>
          <w:p w14:paraId="2A7572DC">
            <w:pPr>
              <w:pStyle w:val="92"/>
              <w:keepNext w:val="0"/>
              <w:keepLines w:val="0"/>
              <w:pageBreakBefore w:val="0"/>
              <w:widowControl w:val="0"/>
              <w:kinsoku/>
              <w:wordWrap/>
              <w:overflowPunct/>
              <w:topLinePunct w:val="0"/>
              <w:autoSpaceDE/>
              <w:autoSpaceDN/>
              <w:bidi w:val="0"/>
              <w:adjustRightInd w:val="0"/>
              <w:spacing w:line="420" w:lineRule="exact"/>
              <w:ind w:firstLine="480"/>
              <w:textAlignment w:val="auto"/>
              <w:rPr>
                <w:color w:val="auto"/>
              </w:rPr>
            </w:pPr>
            <w:r>
              <w:rPr>
                <w:rFonts w:hint="default" w:ascii="Times New Roman" w:hAnsi="Times New Roman" w:eastAsia="宋体" w:cs="Times New Roman"/>
                <w:color w:val="auto"/>
                <w:sz w:val="21"/>
                <w:szCs w:val="21"/>
              </w:rPr>
              <w:t>企业在设备拆除活动结束后，应对照《企业拆除活动污染防治方案》，查看拆除施工过程的污染防治措施落实情况、拆除过程环境监测情况、拆除活动结束后现场清理情况，并组织编制《企业拆除活动环境保护工作总结报告》。</w:t>
            </w:r>
          </w:p>
        </w:tc>
      </w:tr>
      <w:tr w14:paraId="21C76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318" w:type="pct"/>
            <w:tcBorders>
              <w:left w:val="single" w:color="auto" w:sz="4" w:space="0"/>
            </w:tcBorders>
            <w:tcMar>
              <w:left w:w="28" w:type="dxa"/>
              <w:right w:w="28" w:type="dxa"/>
            </w:tcMar>
            <w:vAlign w:val="center"/>
          </w:tcPr>
          <w:p w14:paraId="0BBC1241">
            <w:pPr>
              <w:adjustRightInd w:val="0"/>
              <w:snapToGrid w:val="0"/>
              <w:jc w:val="center"/>
              <w:rPr>
                <w:bCs/>
                <w:color w:val="auto"/>
                <w:szCs w:val="21"/>
              </w:rPr>
            </w:pPr>
            <w:r>
              <w:rPr>
                <w:bCs/>
                <w:color w:val="auto"/>
                <w:szCs w:val="21"/>
              </w:rPr>
              <w:t>运营</w:t>
            </w:r>
          </w:p>
          <w:p w14:paraId="4914F2D9">
            <w:pPr>
              <w:adjustRightInd w:val="0"/>
              <w:snapToGrid w:val="0"/>
              <w:jc w:val="center"/>
              <w:rPr>
                <w:bCs/>
                <w:color w:val="auto"/>
                <w:szCs w:val="21"/>
              </w:rPr>
            </w:pPr>
            <w:r>
              <w:rPr>
                <w:bCs/>
                <w:color w:val="auto"/>
                <w:szCs w:val="21"/>
              </w:rPr>
              <w:t>期环</w:t>
            </w:r>
          </w:p>
          <w:p w14:paraId="43B54141">
            <w:pPr>
              <w:adjustRightInd w:val="0"/>
              <w:snapToGrid w:val="0"/>
              <w:jc w:val="center"/>
              <w:rPr>
                <w:bCs/>
                <w:color w:val="auto"/>
                <w:szCs w:val="21"/>
              </w:rPr>
            </w:pPr>
            <w:r>
              <w:rPr>
                <w:bCs/>
                <w:color w:val="auto"/>
                <w:szCs w:val="21"/>
              </w:rPr>
              <w:t>境影</w:t>
            </w:r>
          </w:p>
          <w:p w14:paraId="1B952CF6">
            <w:pPr>
              <w:adjustRightInd w:val="0"/>
              <w:snapToGrid w:val="0"/>
              <w:jc w:val="center"/>
              <w:rPr>
                <w:bCs/>
                <w:color w:val="auto"/>
                <w:szCs w:val="21"/>
              </w:rPr>
            </w:pPr>
            <w:r>
              <w:rPr>
                <w:bCs/>
                <w:color w:val="auto"/>
                <w:szCs w:val="21"/>
              </w:rPr>
              <w:t>响和</w:t>
            </w:r>
          </w:p>
          <w:p w14:paraId="44EAA4BF">
            <w:pPr>
              <w:adjustRightInd w:val="0"/>
              <w:snapToGrid w:val="0"/>
              <w:jc w:val="center"/>
              <w:rPr>
                <w:bCs/>
                <w:color w:val="auto"/>
                <w:szCs w:val="21"/>
              </w:rPr>
            </w:pPr>
            <w:r>
              <w:rPr>
                <w:bCs/>
                <w:color w:val="auto"/>
                <w:szCs w:val="21"/>
              </w:rPr>
              <w:t>保护</w:t>
            </w:r>
          </w:p>
          <w:p w14:paraId="78BF02E2">
            <w:pPr>
              <w:adjustRightInd w:val="0"/>
              <w:snapToGrid w:val="0"/>
              <w:jc w:val="center"/>
              <w:rPr>
                <w:bCs/>
                <w:color w:val="auto"/>
                <w:szCs w:val="21"/>
              </w:rPr>
            </w:pPr>
            <w:r>
              <w:rPr>
                <w:bCs/>
                <w:color w:val="auto"/>
                <w:szCs w:val="21"/>
              </w:rPr>
              <w:t>措施</w:t>
            </w:r>
          </w:p>
        </w:tc>
        <w:tc>
          <w:tcPr>
            <w:tcW w:w="4682" w:type="pct"/>
            <w:vAlign w:val="center"/>
          </w:tcPr>
          <w:p w14:paraId="52DE8D97">
            <w:pPr>
              <w:keepNext w:val="0"/>
              <w:keepLines w:val="0"/>
              <w:pageBreakBefore w:val="0"/>
              <w:widowControl w:val="0"/>
              <w:kinsoku/>
              <w:wordWrap/>
              <w:overflowPunct/>
              <w:topLinePunct w:val="0"/>
              <w:autoSpaceDE/>
              <w:autoSpaceDN/>
              <w:bidi w:val="0"/>
              <w:adjustRightInd w:val="0"/>
              <w:snapToGrid w:val="0"/>
              <w:spacing w:line="440" w:lineRule="exact"/>
              <w:textAlignment w:val="auto"/>
              <w:rPr>
                <w:b/>
                <w:bCs/>
                <w:color w:val="auto"/>
                <w:szCs w:val="21"/>
              </w:rPr>
            </w:pPr>
            <w:r>
              <w:rPr>
                <w:b/>
                <w:bCs/>
                <w:color w:val="auto"/>
                <w:szCs w:val="21"/>
              </w:rPr>
              <w:t>一、废气</w:t>
            </w:r>
          </w:p>
          <w:p w14:paraId="4976590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（一）废气产生及排放情况</w:t>
            </w:r>
          </w:p>
          <w:p w14:paraId="17D36F8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rPr>
            </w:pPr>
            <w:r>
              <w:rPr>
                <w:rFonts w:hint="eastAsia"/>
                <w:b/>
                <w:bCs/>
                <w:color w:val="auto"/>
                <w:lang w:val="en-US" w:eastAsia="zh-CN"/>
              </w:rPr>
              <w:t>1、有组织废气</w:t>
            </w:r>
          </w:p>
          <w:p w14:paraId="15E1A4B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废气治理方案</w:t>
            </w:r>
          </w:p>
          <w:p w14:paraId="1F29BA1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20" w:firstLineChars="200"/>
              <w:textAlignment w:val="auto"/>
              <w:rPr>
                <w:rFonts w:hint="default"/>
                <w:color w:val="auto"/>
                <w:szCs w:val="22"/>
                <w:lang w:val="en-US"/>
              </w:rPr>
            </w:pPr>
            <w:r>
              <w:rPr>
                <w:rFonts w:hint="eastAsia"/>
                <w:b w:val="0"/>
                <w:bCs w:val="0"/>
                <w:color w:val="auto"/>
                <w:sz w:val="21"/>
                <w:szCs w:val="21"/>
                <w:lang w:val="en-US" w:eastAsia="zh-CN"/>
              </w:rPr>
              <w:t>本项目有组织废气主要为储罐呼吸废气及装卸车区废气。废气经水洗塔预处理后送西厂区2台尾气炉焚烧处理后经配套DA001/DA002排气筒排放。</w:t>
            </w:r>
            <w:r>
              <w:rPr>
                <w:rFonts w:hint="eastAsia"/>
                <w:color w:val="auto"/>
                <w:szCs w:val="22"/>
                <w:lang w:val="en-US" w:eastAsia="zh-CN"/>
              </w:rPr>
              <w:t>技改完成后项目有组织废气产生、治理情况详见图4-1。</w:t>
            </w:r>
          </w:p>
          <w:p w14:paraId="04A0A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Cs w:val="22"/>
                <w:lang w:val="en-US" w:eastAsia="zh-CN"/>
              </w:rPr>
            </w:pPr>
            <w:r>
              <w:rPr>
                <w:rFonts w:cs="Times New Roman"/>
                <w:b/>
                <w:color w:val="auto"/>
              </w:rPr>
              <w:object>
                <v:shape id="_x0000_i1030" o:spt="75" type="#_x0000_t75" style="height:151.05pt;width:419.1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r>
              <w:rPr>
                <w:rFonts w:hint="eastAsia" w:cs="Times New Roman"/>
                <w:b/>
                <w:color w:val="auto"/>
                <w:lang w:val="en-US" w:eastAsia="zh-CN"/>
              </w:rPr>
              <w:t>图</w:t>
            </w:r>
            <w:r>
              <w:rPr>
                <w:rFonts w:hint="eastAsia"/>
                <w:b/>
                <w:bCs/>
                <w:color w:val="auto"/>
                <w:szCs w:val="22"/>
                <w:lang w:val="en-US" w:eastAsia="zh-CN"/>
              </w:rPr>
              <w:t>4-1  本项目有组织废气产生及治理情况示意图</w:t>
            </w:r>
          </w:p>
          <w:p w14:paraId="73B90DDF">
            <w:pPr>
              <w:keepNext w:val="0"/>
              <w:keepLines w:val="0"/>
              <w:pageBreakBefore w:val="0"/>
              <w:kinsoku/>
              <w:wordWrap/>
              <w:overflowPunct/>
              <w:topLinePunct w:val="0"/>
              <w:autoSpaceDE/>
              <w:autoSpaceDN/>
              <w:bidi w:val="0"/>
              <w:adjustRightInd w:val="0"/>
              <w:snapToGrid w:val="0"/>
              <w:spacing w:line="440" w:lineRule="exact"/>
              <w:ind w:left="0" w:leftChars="0" w:firstLine="420" w:firstLineChars="200"/>
              <w:textAlignment w:val="auto"/>
              <w:rPr>
                <w:rFonts w:hint="default"/>
                <w:b w:val="0"/>
                <w:bCs w:val="0"/>
                <w:color w:val="auto"/>
                <w:sz w:val="21"/>
                <w:szCs w:val="21"/>
                <w:lang w:val="en-US" w:eastAsia="zh-CN"/>
              </w:rPr>
            </w:pPr>
            <w:r>
              <w:rPr>
                <w:rFonts w:hint="eastAsia"/>
                <w:b w:val="0"/>
                <w:bCs w:val="0"/>
                <w:color w:val="auto"/>
                <w:sz w:val="21"/>
                <w:szCs w:val="21"/>
                <w:lang w:val="en-US" w:eastAsia="zh-CN"/>
              </w:rPr>
              <w:t>（2）污染物源强核算</w:t>
            </w:r>
          </w:p>
          <w:p w14:paraId="5DC7C9BC">
            <w:pPr>
              <w:pStyle w:val="79"/>
              <w:ind w:firstLine="480"/>
              <w:rPr>
                <w:color w:val="auto"/>
                <w:sz w:val="21"/>
                <w:szCs w:val="21"/>
              </w:rPr>
            </w:pPr>
            <w:r>
              <w:rPr>
                <w:rFonts w:hint="eastAsia"/>
                <w:color w:val="auto"/>
                <w:sz w:val="21"/>
                <w:szCs w:val="21"/>
              </w:rPr>
              <w:t>本项目有组织废气污染物源强计算依据见表</w:t>
            </w:r>
            <w:r>
              <w:rPr>
                <w:rFonts w:hint="eastAsia"/>
                <w:color w:val="auto"/>
                <w:sz w:val="21"/>
                <w:szCs w:val="21"/>
                <w:lang w:val="en-US" w:eastAsia="zh-CN"/>
              </w:rPr>
              <w:t>4</w:t>
            </w:r>
            <w:r>
              <w:rPr>
                <w:rFonts w:hint="eastAsia"/>
                <w:color w:val="auto"/>
                <w:sz w:val="21"/>
                <w:szCs w:val="21"/>
              </w:rPr>
              <w:t>-</w:t>
            </w:r>
            <w:r>
              <w:rPr>
                <w:rFonts w:hint="eastAsia"/>
                <w:color w:val="auto"/>
                <w:sz w:val="21"/>
                <w:szCs w:val="21"/>
                <w:lang w:val="en-US" w:eastAsia="zh-CN"/>
              </w:rPr>
              <w:t>1</w:t>
            </w:r>
            <w:r>
              <w:rPr>
                <w:rFonts w:hint="eastAsia"/>
                <w:color w:val="auto"/>
                <w:sz w:val="21"/>
                <w:szCs w:val="21"/>
              </w:rPr>
              <w:t>。</w:t>
            </w:r>
          </w:p>
          <w:p w14:paraId="554E867C">
            <w:pPr>
              <w:spacing w:before="120" w:beforeLines="50"/>
              <w:jc w:val="center"/>
              <w:rPr>
                <w:b/>
                <w:bCs/>
                <w:color w:val="auto"/>
              </w:rPr>
            </w:pPr>
            <w:r>
              <w:rPr>
                <w:b/>
                <w:bCs/>
                <w:color w:val="auto"/>
              </w:rPr>
              <w:t>表</w:t>
            </w:r>
            <w:r>
              <w:rPr>
                <w:rFonts w:hint="eastAsia"/>
                <w:b/>
                <w:bCs/>
                <w:color w:val="auto"/>
                <w:lang w:val="en-US" w:eastAsia="zh-CN"/>
              </w:rPr>
              <w:t>4-1</w:t>
            </w:r>
            <w:r>
              <w:rPr>
                <w:b/>
                <w:bCs/>
                <w:color w:val="auto"/>
              </w:rPr>
              <w:t xml:space="preserve">  项目废气污染物源强计算依据一览表</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990"/>
              <w:gridCol w:w="5588"/>
            </w:tblGrid>
            <w:tr w14:paraId="55F08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pct"/>
                  <w:vAlign w:val="center"/>
                </w:tcPr>
                <w:p w14:paraId="408A3098">
                  <w:pPr>
                    <w:pStyle w:val="66"/>
                    <w:jc w:val="center"/>
                    <w:rPr>
                      <w:rFonts w:hint="eastAsia"/>
                      <w:color w:val="auto"/>
                      <w:sz w:val="18"/>
                      <w:szCs w:val="18"/>
                      <w:lang w:val="en-US"/>
                    </w:rPr>
                  </w:pPr>
                  <w:r>
                    <w:rPr>
                      <w:color w:val="auto"/>
                      <w:sz w:val="18"/>
                      <w:szCs w:val="18"/>
                      <w:lang w:val="en-US"/>
                    </w:rPr>
                    <w:t>污染源</w:t>
                  </w:r>
                </w:p>
              </w:tc>
              <w:tc>
                <w:tcPr>
                  <w:tcW w:w="604" w:type="pct"/>
                  <w:vAlign w:val="center"/>
                </w:tcPr>
                <w:p w14:paraId="10770021">
                  <w:pPr>
                    <w:pStyle w:val="66"/>
                    <w:jc w:val="center"/>
                    <w:rPr>
                      <w:rFonts w:hint="eastAsia"/>
                      <w:color w:val="auto"/>
                      <w:sz w:val="18"/>
                      <w:szCs w:val="18"/>
                      <w:lang w:val="en-US"/>
                    </w:rPr>
                  </w:pPr>
                  <w:r>
                    <w:rPr>
                      <w:color w:val="auto"/>
                      <w:sz w:val="18"/>
                      <w:szCs w:val="18"/>
                      <w:lang w:val="en-US"/>
                    </w:rPr>
                    <w:t>污染因子</w:t>
                  </w:r>
                </w:p>
              </w:tc>
              <w:tc>
                <w:tcPr>
                  <w:tcW w:w="3410" w:type="pct"/>
                  <w:vAlign w:val="center"/>
                </w:tcPr>
                <w:p w14:paraId="404C9B59">
                  <w:pPr>
                    <w:pStyle w:val="66"/>
                    <w:jc w:val="center"/>
                    <w:rPr>
                      <w:rFonts w:hint="eastAsia"/>
                      <w:color w:val="auto"/>
                      <w:sz w:val="18"/>
                      <w:szCs w:val="18"/>
                      <w:lang w:val="en-US"/>
                    </w:rPr>
                  </w:pPr>
                  <w:r>
                    <w:rPr>
                      <w:color w:val="auto"/>
                      <w:sz w:val="18"/>
                      <w:szCs w:val="18"/>
                      <w:lang w:val="en-US"/>
                    </w:rPr>
                    <w:t>源强计算依据</w:t>
                  </w:r>
                </w:p>
              </w:tc>
            </w:tr>
            <w:tr w14:paraId="2DC93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pct"/>
                  <w:vAlign w:val="center"/>
                </w:tcPr>
                <w:p w14:paraId="07D27B12">
                  <w:pPr>
                    <w:jc w:val="center"/>
                    <w:rPr>
                      <w:rFonts w:ascii="Times New Roman" w:hAnsi="Times New Roman"/>
                      <w:color w:val="auto"/>
                      <w:spacing w:val="-1"/>
                      <w:position w:val="1"/>
                      <w:sz w:val="18"/>
                      <w:szCs w:val="18"/>
                    </w:rPr>
                  </w:pPr>
                  <w:r>
                    <w:rPr>
                      <w:rFonts w:ascii="Times New Roman" w:hAnsi="Times New Roman"/>
                      <w:color w:val="auto"/>
                      <w:spacing w:val="-1"/>
                      <w:position w:val="1"/>
                      <w:sz w:val="18"/>
                      <w:szCs w:val="18"/>
                    </w:rPr>
                    <w:t>储罐呼吸废气</w:t>
                  </w:r>
                  <w:r>
                    <w:rPr>
                      <w:rFonts w:hint="eastAsia" w:ascii="Times New Roman" w:hAnsi="Times New Roman"/>
                      <w:color w:val="auto"/>
                      <w:spacing w:val="-1"/>
                      <w:position w:val="1"/>
                      <w:sz w:val="18"/>
                      <w:szCs w:val="18"/>
                    </w:rPr>
                    <w:t>G1</w:t>
                  </w:r>
                </w:p>
              </w:tc>
              <w:tc>
                <w:tcPr>
                  <w:tcW w:w="604" w:type="pct"/>
                  <w:vAlign w:val="center"/>
                </w:tcPr>
                <w:p w14:paraId="30C8238D">
                  <w:pPr>
                    <w:spacing w:line="240" w:lineRule="exact"/>
                    <w:jc w:val="center"/>
                    <w:rPr>
                      <w:rFonts w:ascii="Times New Roman" w:hAnsi="Times New Roman"/>
                      <w:color w:val="auto"/>
                      <w:kern w:val="0"/>
                      <w:sz w:val="18"/>
                      <w:szCs w:val="18"/>
                      <w:lang w:bidi="ar"/>
                    </w:rPr>
                  </w:pPr>
                  <w:r>
                    <w:rPr>
                      <w:rFonts w:ascii="Times New Roman" w:hAnsi="Times New Roman"/>
                      <w:color w:val="auto"/>
                      <w:sz w:val="18"/>
                      <w:szCs w:val="18"/>
                      <w:lang w:bidi="zh-CN"/>
                    </w:rPr>
                    <w:t>VOCs</w:t>
                  </w:r>
                </w:p>
              </w:tc>
              <w:tc>
                <w:tcPr>
                  <w:tcW w:w="3410" w:type="pct"/>
                  <w:vAlign w:val="center"/>
                </w:tcPr>
                <w:p w14:paraId="0908B30A">
                  <w:pPr>
                    <w:jc w:val="center"/>
                    <w:rPr>
                      <w:rFonts w:ascii="Times New Roman" w:hAnsi="Times New Roman"/>
                      <w:color w:val="auto"/>
                      <w:sz w:val="18"/>
                      <w:szCs w:val="18"/>
                    </w:rPr>
                  </w:pPr>
                  <w:r>
                    <w:rPr>
                      <w:rFonts w:ascii="Times New Roman" w:hAnsi="Times New Roman"/>
                      <w:color w:val="auto"/>
                      <w:sz w:val="18"/>
                      <w:szCs w:val="18"/>
                    </w:rPr>
                    <w:t>《污染源源强核算技术指南 石油炼制工业》（HJ982-2018）及《石化行业VOCs污染源排查工作指南》中计算方法</w:t>
                  </w:r>
                </w:p>
              </w:tc>
            </w:tr>
            <w:tr w14:paraId="613DF3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pct"/>
                  <w:vAlign w:val="center"/>
                </w:tcPr>
                <w:p w14:paraId="1CA18C04">
                  <w:pPr>
                    <w:jc w:val="center"/>
                    <w:rPr>
                      <w:rFonts w:ascii="Times New Roman" w:hAnsi="Times New Roman"/>
                      <w:color w:val="auto"/>
                      <w:spacing w:val="-1"/>
                      <w:position w:val="1"/>
                      <w:sz w:val="18"/>
                      <w:szCs w:val="18"/>
                    </w:rPr>
                  </w:pPr>
                  <w:r>
                    <w:rPr>
                      <w:rFonts w:ascii="Times New Roman" w:hAnsi="Times New Roman"/>
                      <w:color w:val="auto"/>
                      <w:spacing w:val="-1"/>
                      <w:position w:val="1"/>
                      <w:sz w:val="18"/>
                      <w:szCs w:val="18"/>
                    </w:rPr>
                    <w:t>装卸车废气</w:t>
                  </w:r>
                  <w:r>
                    <w:rPr>
                      <w:rFonts w:hint="eastAsia" w:ascii="Times New Roman" w:hAnsi="Times New Roman"/>
                      <w:color w:val="auto"/>
                      <w:spacing w:val="-1"/>
                      <w:position w:val="1"/>
                      <w:sz w:val="18"/>
                      <w:szCs w:val="18"/>
                    </w:rPr>
                    <w:t>G2</w:t>
                  </w:r>
                </w:p>
              </w:tc>
              <w:tc>
                <w:tcPr>
                  <w:tcW w:w="604" w:type="pct"/>
                  <w:vAlign w:val="center"/>
                </w:tcPr>
                <w:p w14:paraId="7C85488C">
                  <w:pPr>
                    <w:spacing w:line="240" w:lineRule="exact"/>
                    <w:jc w:val="center"/>
                    <w:rPr>
                      <w:rFonts w:ascii="Times New Roman" w:hAnsi="Times New Roman"/>
                      <w:color w:val="auto"/>
                      <w:kern w:val="0"/>
                      <w:sz w:val="18"/>
                      <w:szCs w:val="18"/>
                      <w:lang w:bidi="ar"/>
                    </w:rPr>
                  </w:pPr>
                  <w:r>
                    <w:rPr>
                      <w:rFonts w:ascii="Times New Roman" w:hAnsi="Times New Roman"/>
                      <w:color w:val="auto"/>
                      <w:sz w:val="18"/>
                      <w:szCs w:val="18"/>
                      <w:lang w:bidi="zh-CN"/>
                    </w:rPr>
                    <w:t>VOCs</w:t>
                  </w:r>
                </w:p>
              </w:tc>
              <w:tc>
                <w:tcPr>
                  <w:tcW w:w="3410" w:type="pct"/>
                  <w:vAlign w:val="center"/>
                </w:tcPr>
                <w:p w14:paraId="203D0D8F">
                  <w:pPr>
                    <w:jc w:val="center"/>
                    <w:rPr>
                      <w:rFonts w:ascii="Times New Roman" w:hAnsi="Times New Roman"/>
                      <w:color w:val="auto"/>
                      <w:sz w:val="18"/>
                      <w:szCs w:val="18"/>
                    </w:rPr>
                  </w:pPr>
                  <w:r>
                    <w:rPr>
                      <w:rFonts w:ascii="Times New Roman" w:hAnsi="Times New Roman"/>
                      <w:color w:val="auto"/>
                      <w:sz w:val="18"/>
                      <w:szCs w:val="18"/>
                    </w:rPr>
                    <w:t>《污染源源强核算技术指南 石油炼制工业》（HJ982-2018）</w:t>
                  </w:r>
                </w:p>
              </w:tc>
            </w:tr>
            <w:tr w14:paraId="5132B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pct"/>
                  <w:vAlign w:val="center"/>
                </w:tcPr>
                <w:p w14:paraId="51A82DD4">
                  <w:pPr>
                    <w:jc w:val="center"/>
                    <w:rPr>
                      <w:rFonts w:hint="default" w:ascii="Times New Roman" w:hAnsi="Times New Roman" w:eastAsia="宋体"/>
                      <w:color w:val="auto"/>
                      <w:spacing w:val="-1"/>
                      <w:position w:val="1"/>
                      <w:sz w:val="18"/>
                      <w:szCs w:val="18"/>
                      <w:lang w:val="en-US" w:eastAsia="zh-CN"/>
                    </w:rPr>
                  </w:pPr>
                  <w:r>
                    <w:rPr>
                      <w:rFonts w:hint="eastAsia"/>
                      <w:color w:val="auto"/>
                      <w:spacing w:val="-1"/>
                      <w:position w:val="1"/>
                      <w:sz w:val="18"/>
                      <w:szCs w:val="18"/>
                      <w:lang w:val="en-US" w:eastAsia="zh-CN"/>
                    </w:rPr>
                    <w:t>灌装废气G3</w:t>
                  </w:r>
                </w:p>
              </w:tc>
              <w:tc>
                <w:tcPr>
                  <w:tcW w:w="604" w:type="pct"/>
                  <w:vAlign w:val="center"/>
                </w:tcPr>
                <w:p w14:paraId="7568C55F">
                  <w:pPr>
                    <w:spacing w:line="240" w:lineRule="exact"/>
                    <w:jc w:val="center"/>
                    <w:rPr>
                      <w:rFonts w:hint="default" w:ascii="Times New Roman" w:hAnsi="Times New Roman"/>
                      <w:color w:val="auto"/>
                      <w:sz w:val="18"/>
                      <w:szCs w:val="18"/>
                      <w:lang w:val="en-US" w:bidi="zh-CN"/>
                    </w:rPr>
                  </w:pPr>
                  <w:r>
                    <w:rPr>
                      <w:rFonts w:hint="eastAsia"/>
                      <w:color w:val="auto"/>
                      <w:sz w:val="18"/>
                      <w:szCs w:val="18"/>
                      <w:lang w:val="en-US" w:bidi="zh-CN"/>
                    </w:rPr>
                    <w:t>VOCs</w:t>
                  </w:r>
                </w:p>
              </w:tc>
              <w:tc>
                <w:tcPr>
                  <w:tcW w:w="3410" w:type="pct"/>
                  <w:vAlign w:val="center"/>
                </w:tcPr>
                <w:p w14:paraId="319D8078">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经验系数法</w:t>
                  </w:r>
                </w:p>
              </w:tc>
            </w:tr>
          </w:tbl>
          <w:p w14:paraId="25D31AC2">
            <w:pPr>
              <w:keepNext w:val="0"/>
              <w:keepLines w:val="0"/>
              <w:pageBreakBefore w:val="0"/>
              <w:kinsoku/>
              <w:wordWrap/>
              <w:overflowPunct/>
              <w:topLinePunct w:val="0"/>
              <w:autoSpaceDE/>
              <w:autoSpaceDN/>
              <w:bidi w:val="0"/>
              <w:adjustRightInd w:val="0"/>
              <w:snapToGrid w:val="0"/>
              <w:spacing w:line="440" w:lineRule="exact"/>
              <w:ind w:left="0" w:leftChars="0" w:firstLine="420" w:firstLineChars="200"/>
              <w:textAlignment w:val="auto"/>
              <w:rPr>
                <w:rFonts w:hint="default"/>
                <w:b w:val="0"/>
                <w:bCs w:val="0"/>
                <w:color w:val="auto"/>
                <w:sz w:val="21"/>
                <w:szCs w:val="21"/>
                <w:lang w:val="en-US" w:eastAsia="zh-CN"/>
              </w:rPr>
            </w:pPr>
            <w:r>
              <w:rPr>
                <w:rFonts w:hint="eastAsia"/>
                <w:b w:val="0"/>
                <w:bCs w:val="0"/>
                <w:color w:val="auto"/>
                <w:sz w:val="21"/>
                <w:szCs w:val="21"/>
                <w:lang w:val="en-US" w:eastAsia="zh-CN"/>
              </w:rPr>
              <w:t>1）储罐呼吸废气</w:t>
            </w:r>
          </w:p>
          <w:p w14:paraId="1F9B3BAE">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hint="default" w:eastAsia="宋体"/>
                <w:color w:val="auto"/>
                <w:sz w:val="21"/>
                <w:szCs w:val="21"/>
                <w:lang w:val="en-US" w:eastAsia="zh-CN"/>
              </w:rPr>
            </w:pPr>
            <w:r>
              <w:rPr>
                <w:rFonts w:hint="eastAsia"/>
                <w:color w:val="auto"/>
                <w:sz w:val="21"/>
                <w:szCs w:val="21"/>
                <w:lang w:val="en-US" w:eastAsia="zh-CN"/>
              </w:rPr>
              <w:t>①内浮顶储罐</w:t>
            </w:r>
          </w:p>
          <w:p w14:paraId="3F71AEA3">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内浮顶储罐“呼吸”废气的核算采用《石化行业VOCs污染源排查工作指南》中“浮顶罐总损耗”计算方法进行计算：</w:t>
            </w:r>
          </w:p>
          <w:p w14:paraId="28908783">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浮顶罐的总损耗如下：</w:t>
            </w:r>
          </w:p>
          <w:p w14:paraId="4BAB7CD6">
            <w:pPr>
              <w:pStyle w:val="79"/>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color w:val="auto"/>
                <w:sz w:val="21"/>
                <w:szCs w:val="21"/>
              </w:rPr>
            </w:pPr>
            <w:r>
              <w:rPr>
                <w:rFonts w:hint="eastAsia"/>
                <w:color w:val="auto"/>
                <w:sz w:val="21"/>
                <w:szCs w:val="21"/>
              </w:rPr>
              <w:t>L</w:t>
            </w:r>
            <w:r>
              <w:rPr>
                <w:rFonts w:hint="eastAsia"/>
                <w:color w:val="auto"/>
                <w:sz w:val="21"/>
                <w:szCs w:val="21"/>
                <w:vertAlign w:val="subscript"/>
              </w:rPr>
              <w:t>T</w:t>
            </w:r>
            <w:r>
              <w:rPr>
                <w:rFonts w:hint="eastAsia"/>
                <w:color w:val="auto"/>
                <w:sz w:val="21"/>
                <w:szCs w:val="21"/>
              </w:rPr>
              <w:t>=L</w:t>
            </w:r>
            <w:r>
              <w:rPr>
                <w:rFonts w:hint="eastAsia"/>
                <w:color w:val="auto"/>
                <w:sz w:val="21"/>
                <w:szCs w:val="21"/>
                <w:vertAlign w:val="subscript"/>
              </w:rPr>
              <w:t>R</w:t>
            </w:r>
            <w:r>
              <w:rPr>
                <w:rFonts w:hint="eastAsia"/>
                <w:color w:val="auto"/>
                <w:sz w:val="21"/>
                <w:szCs w:val="21"/>
              </w:rPr>
              <w:t>+L</w:t>
            </w:r>
            <w:r>
              <w:rPr>
                <w:rFonts w:hint="eastAsia"/>
                <w:color w:val="auto"/>
                <w:sz w:val="21"/>
                <w:szCs w:val="21"/>
                <w:vertAlign w:val="subscript"/>
              </w:rPr>
              <w:t>WD</w:t>
            </w:r>
            <w:r>
              <w:rPr>
                <w:rFonts w:hint="eastAsia"/>
                <w:color w:val="auto"/>
                <w:sz w:val="21"/>
                <w:szCs w:val="21"/>
              </w:rPr>
              <w:t>+L</w:t>
            </w:r>
            <w:r>
              <w:rPr>
                <w:rFonts w:hint="eastAsia"/>
                <w:color w:val="auto"/>
                <w:sz w:val="21"/>
                <w:szCs w:val="21"/>
                <w:vertAlign w:val="subscript"/>
              </w:rPr>
              <w:t>F</w:t>
            </w:r>
            <w:r>
              <w:rPr>
                <w:rFonts w:hint="eastAsia"/>
                <w:color w:val="auto"/>
                <w:sz w:val="21"/>
                <w:szCs w:val="21"/>
              </w:rPr>
              <w:t>+L</w:t>
            </w:r>
            <w:r>
              <w:rPr>
                <w:rFonts w:hint="eastAsia"/>
                <w:color w:val="auto"/>
                <w:sz w:val="21"/>
                <w:szCs w:val="21"/>
                <w:vertAlign w:val="subscript"/>
              </w:rPr>
              <w:t>D</w:t>
            </w:r>
          </w:p>
          <w:p w14:paraId="0CE10C31">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式中：L</w:t>
            </w:r>
            <w:r>
              <w:rPr>
                <w:rFonts w:hint="eastAsia"/>
                <w:color w:val="auto"/>
                <w:sz w:val="21"/>
                <w:szCs w:val="21"/>
                <w:vertAlign w:val="subscript"/>
              </w:rPr>
              <w:t>T</w:t>
            </w:r>
            <w:r>
              <w:rPr>
                <w:rFonts w:hint="eastAsia"/>
                <w:color w:val="auto"/>
                <w:sz w:val="21"/>
                <w:szCs w:val="21"/>
              </w:rPr>
              <w:t>——总损耗，1b/a；</w:t>
            </w:r>
          </w:p>
          <w:p w14:paraId="309D5D3D">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L</w:t>
            </w:r>
            <w:r>
              <w:rPr>
                <w:rFonts w:hint="eastAsia"/>
                <w:color w:val="auto"/>
                <w:sz w:val="21"/>
                <w:szCs w:val="21"/>
                <w:vertAlign w:val="subscript"/>
              </w:rPr>
              <w:t>R</w:t>
            </w:r>
            <w:r>
              <w:rPr>
                <w:rFonts w:hint="eastAsia"/>
                <w:color w:val="auto"/>
                <w:sz w:val="21"/>
                <w:szCs w:val="21"/>
              </w:rPr>
              <w:t>——边缘密封损耗，1b/a；</w:t>
            </w:r>
          </w:p>
          <w:p w14:paraId="200EB1CC">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L</w:t>
            </w:r>
            <w:r>
              <w:rPr>
                <w:rFonts w:hint="eastAsia"/>
                <w:color w:val="auto"/>
                <w:sz w:val="21"/>
                <w:szCs w:val="21"/>
                <w:vertAlign w:val="subscript"/>
              </w:rPr>
              <w:t>WD</w:t>
            </w:r>
            <w:r>
              <w:rPr>
                <w:rFonts w:hint="eastAsia"/>
                <w:color w:val="auto"/>
                <w:sz w:val="21"/>
                <w:szCs w:val="21"/>
              </w:rPr>
              <w:t>——挂壁损耗，1b/a；</w:t>
            </w:r>
          </w:p>
          <w:p w14:paraId="6EC7A145">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L</w:t>
            </w:r>
            <w:r>
              <w:rPr>
                <w:rFonts w:hint="eastAsia"/>
                <w:color w:val="auto"/>
                <w:sz w:val="21"/>
                <w:szCs w:val="21"/>
                <w:vertAlign w:val="subscript"/>
              </w:rPr>
              <w:t>F</w:t>
            </w:r>
            <w:r>
              <w:rPr>
                <w:rFonts w:hint="eastAsia"/>
                <w:color w:val="auto"/>
                <w:sz w:val="21"/>
                <w:szCs w:val="21"/>
              </w:rPr>
              <w:t>——浮盘附件损耗，1b/a；</w:t>
            </w:r>
          </w:p>
          <w:p w14:paraId="7B82BCD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L</w:t>
            </w:r>
            <w:r>
              <w:rPr>
                <w:rFonts w:hint="eastAsia"/>
                <w:color w:val="auto"/>
                <w:sz w:val="21"/>
                <w:szCs w:val="21"/>
                <w:vertAlign w:val="subscript"/>
              </w:rPr>
              <w:t>D</w:t>
            </w:r>
            <w:r>
              <w:rPr>
                <w:rFonts w:hint="eastAsia"/>
                <w:color w:val="auto"/>
                <w:sz w:val="21"/>
                <w:szCs w:val="21"/>
              </w:rPr>
              <w:t>——浮盘缝隙损耗（只限螺栓连接式的浮盘或浮顶）；</w:t>
            </w:r>
          </w:p>
          <w:p w14:paraId="6192755E">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a.边缘密封损耗L</w:t>
            </w:r>
            <w:r>
              <w:rPr>
                <w:rFonts w:hint="eastAsia"/>
                <w:color w:val="auto"/>
                <w:sz w:val="21"/>
                <w:szCs w:val="21"/>
                <w:vertAlign w:val="subscript"/>
              </w:rPr>
              <w:t>R</w:t>
            </w:r>
          </w:p>
          <w:p w14:paraId="4AAD7017">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浮顶罐的边缘密封损耗可由下列公式估算得出：</w:t>
            </w:r>
          </w:p>
          <w:p w14:paraId="7AB1ED21">
            <w:pPr>
              <w:pStyle w:val="79"/>
              <w:spacing w:line="240" w:lineRule="auto"/>
              <w:ind w:firstLine="0" w:firstLineChars="0"/>
              <w:jc w:val="center"/>
              <w:rPr>
                <w:color w:val="auto"/>
              </w:rPr>
            </w:pPr>
            <w:r>
              <w:rPr>
                <w:color w:val="auto"/>
              </w:rPr>
              <w:drawing>
                <wp:inline distT="0" distB="0" distL="0" distR="0">
                  <wp:extent cx="2333625" cy="375285"/>
                  <wp:effectExtent l="0" t="0" r="0" b="5715"/>
                  <wp:docPr id="130369903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99030" name="图片 1" descr="文本&#10;&#10;AI 生成的内容可能不正确。"/>
                          <pic:cNvPicPr>
                            <a:picLocks noChangeAspect="1"/>
                          </pic:cNvPicPr>
                        </pic:nvPicPr>
                        <pic:blipFill>
                          <a:blip r:embed="rId22"/>
                          <a:stretch>
                            <a:fillRect/>
                          </a:stretch>
                        </pic:blipFill>
                        <pic:spPr>
                          <a:xfrm>
                            <a:off x="0" y="0"/>
                            <a:ext cx="2390367" cy="384827"/>
                          </a:xfrm>
                          <a:prstGeom prst="rect">
                            <a:avLst/>
                          </a:prstGeom>
                        </pic:spPr>
                      </pic:pic>
                    </a:graphicData>
                  </a:graphic>
                </wp:inline>
              </w:drawing>
            </w:r>
          </w:p>
          <w:p w14:paraId="16E315D5">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式中：L</w:t>
            </w:r>
            <w:r>
              <w:rPr>
                <w:rFonts w:hint="eastAsia"/>
                <w:color w:val="auto"/>
                <w:sz w:val="21"/>
                <w:szCs w:val="21"/>
                <w:vertAlign w:val="subscript"/>
              </w:rPr>
              <w:t>R</w:t>
            </w:r>
            <w:r>
              <w:rPr>
                <w:rFonts w:hint="eastAsia"/>
                <w:color w:val="auto"/>
                <w:sz w:val="21"/>
                <w:szCs w:val="21"/>
              </w:rPr>
              <w:t>——边缘密封损耗，1b/a；</w:t>
            </w:r>
          </w:p>
          <w:p w14:paraId="20C9562F">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K</w:t>
            </w:r>
            <w:r>
              <w:rPr>
                <w:rFonts w:hint="eastAsia"/>
                <w:color w:val="auto"/>
                <w:sz w:val="21"/>
                <w:szCs w:val="21"/>
                <w:vertAlign w:val="subscript"/>
              </w:rPr>
              <w:t>Ra</w:t>
            </w:r>
            <w:r>
              <w:rPr>
                <w:rFonts w:hint="eastAsia"/>
                <w:color w:val="auto"/>
                <w:sz w:val="21"/>
                <w:szCs w:val="21"/>
              </w:rPr>
              <w:t>——零风速边缘密封损耗因子，1b-mol/ft.a；</w:t>
            </w:r>
          </w:p>
          <w:p w14:paraId="66FC1FB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K</w:t>
            </w:r>
            <w:r>
              <w:rPr>
                <w:rFonts w:hint="eastAsia"/>
                <w:color w:val="auto"/>
                <w:sz w:val="21"/>
                <w:szCs w:val="21"/>
                <w:vertAlign w:val="subscript"/>
              </w:rPr>
              <w:t>R</w:t>
            </w:r>
            <w:r>
              <w:rPr>
                <w:rFonts w:hint="eastAsia"/>
                <w:color w:val="auto"/>
                <w:sz w:val="21"/>
                <w:szCs w:val="21"/>
              </w:rPr>
              <w:t>——有风时边缘密封损耗因子，1b-mol/（mph）</w:t>
            </w:r>
            <w:r>
              <w:rPr>
                <w:rFonts w:hint="eastAsia"/>
                <w:color w:val="auto"/>
                <w:sz w:val="21"/>
                <w:szCs w:val="21"/>
                <w:vertAlign w:val="superscript"/>
              </w:rPr>
              <w:t>n</w:t>
            </w:r>
            <w:r>
              <w:rPr>
                <w:rFonts w:hint="eastAsia"/>
                <w:color w:val="auto"/>
                <w:sz w:val="21"/>
                <w:szCs w:val="21"/>
              </w:rPr>
              <w:t>.ft.a；</w:t>
            </w:r>
          </w:p>
          <w:p w14:paraId="7158A23D">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v——罐体平均环境风速，mph；</w:t>
            </w:r>
          </w:p>
          <w:p w14:paraId="7054EF4D">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n——密封相关风速指数，无量纲量；</w:t>
            </w:r>
          </w:p>
          <w:p w14:paraId="056D419B">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P*——蒸气压函数，无量纲量；</w:t>
            </w:r>
          </w:p>
          <w:p w14:paraId="4B7A88B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D——罐体直径，ft；</w:t>
            </w:r>
          </w:p>
          <w:p w14:paraId="36DA965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Mv——气相分子质量，1b/1b-mol；</w:t>
            </w:r>
          </w:p>
          <w:p w14:paraId="7AC554C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Kc——产品因子；原油为0.4，其他有机液体为1.0；</w:t>
            </w:r>
          </w:p>
          <w:p w14:paraId="7F5133D8">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b.挂壁损耗</w:t>
            </w:r>
          </w:p>
          <w:p w14:paraId="693EED76">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浮顶罐的挂壁损耗可由下列公式估算得出：</w:t>
            </w:r>
          </w:p>
          <w:p w14:paraId="2E28BBC8">
            <w:pPr>
              <w:pStyle w:val="79"/>
              <w:spacing w:line="240" w:lineRule="auto"/>
              <w:ind w:firstLine="0" w:firstLineChars="0"/>
              <w:jc w:val="center"/>
              <w:rPr>
                <w:color w:val="auto"/>
              </w:rPr>
            </w:pPr>
            <w:r>
              <w:rPr>
                <w:color w:val="auto"/>
              </w:rPr>
              <w:drawing>
                <wp:inline distT="0" distB="0" distL="0" distR="0">
                  <wp:extent cx="2143125" cy="495935"/>
                  <wp:effectExtent l="0" t="0" r="9525" b="18415"/>
                  <wp:docPr id="114744924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49248" name="图片 1" descr="文本&#10;&#10;AI 生成的内容可能不正确。"/>
                          <pic:cNvPicPr>
                            <a:picLocks noChangeAspect="1"/>
                          </pic:cNvPicPr>
                        </pic:nvPicPr>
                        <pic:blipFill>
                          <a:blip r:embed="rId23"/>
                          <a:stretch>
                            <a:fillRect/>
                          </a:stretch>
                        </pic:blipFill>
                        <pic:spPr>
                          <a:xfrm>
                            <a:off x="0" y="0"/>
                            <a:ext cx="2202955" cy="510362"/>
                          </a:xfrm>
                          <a:prstGeom prst="rect">
                            <a:avLst/>
                          </a:prstGeom>
                        </pic:spPr>
                      </pic:pic>
                    </a:graphicData>
                  </a:graphic>
                </wp:inline>
              </w:drawing>
            </w:r>
          </w:p>
          <w:p w14:paraId="6BB8C16B">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式中：L</w:t>
            </w:r>
            <w:r>
              <w:rPr>
                <w:rFonts w:hint="eastAsia"/>
                <w:color w:val="auto"/>
                <w:sz w:val="21"/>
                <w:szCs w:val="21"/>
                <w:vertAlign w:val="subscript"/>
              </w:rPr>
              <w:t>WD</w:t>
            </w:r>
            <w:r>
              <w:rPr>
                <w:rFonts w:hint="eastAsia"/>
                <w:color w:val="auto"/>
                <w:sz w:val="21"/>
                <w:szCs w:val="21"/>
              </w:rPr>
              <w:t>——挂壁损耗，1b/a；</w:t>
            </w:r>
          </w:p>
          <w:p w14:paraId="29E116F1">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Q——年周转量，bbl/a；</w:t>
            </w:r>
          </w:p>
          <w:p w14:paraId="3B39D2C6">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Cs——罐体油垢因子；</w:t>
            </w:r>
          </w:p>
          <w:p w14:paraId="3457CAC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M</w:t>
            </w:r>
            <w:r>
              <w:rPr>
                <w:rFonts w:hint="eastAsia"/>
                <w:color w:val="auto"/>
                <w:sz w:val="21"/>
                <w:szCs w:val="21"/>
                <w:vertAlign w:val="subscript"/>
              </w:rPr>
              <w:t>L</w:t>
            </w:r>
            <w:r>
              <w:rPr>
                <w:rFonts w:hint="eastAsia"/>
                <w:color w:val="auto"/>
                <w:sz w:val="21"/>
                <w:szCs w:val="21"/>
              </w:rPr>
              <w:t>——有机液体密度，1b/gal；</w:t>
            </w:r>
          </w:p>
          <w:p w14:paraId="2709F2E8">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D——罐体直径，ft；</w:t>
            </w:r>
          </w:p>
          <w:p w14:paraId="43B868E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Nc——固定顶支撑柱数量（对于自支撑固定浮顶或外浮顶罐：Nc=0）；</w:t>
            </w:r>
          </w:p>
          <w:p w14:paraId="149C34DE">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Fc——有效柱直径，取值1.0；</w:t>
            </w:r>
          </w:p>
          <w:p w14:paraId="47A4D3CF">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c.浮盘附件损耗</w:t>
            </w:r>
          </w:p>
          <w:p w14:paraId="195E77A8">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浮顶罐的浮盘附件损耗可由下面的公式估算得出：</w:t>
            </w:r>
          </w:p>
          <w:p w14:paraId="58211822">
            <w:pPr>
              <w:pStyle w:val="79"/>
              <w:spacing w:line="240" w:lineRule="auto"/>
              <w:ind w:firstLine="0" w:firstLineChars="0"/>
              <w:jc w:val="center"/>
              <w:rPr>
                <w:color w:val="auto"/>
              </w:rPr>
            </w:pPr>
            <w:r>
              <w:rPr>
                <w:color w:val="auto"/>
              </w:rPr>
              <w:drawing>
                <wp:inline distT="0" distB="0" distL="0" distR="0">
                  <wp:extent cx="1333500" cy="314960"/>
                  <wp:effectExtent l="0" t="0" r="0" b="8890"/>
                  <wp:docPr id="68735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5473" name="图片 1"/>
                          <pic:cNvPicPr>
                            <a:picLocks noChangeAspect="1"/>
                          </pic:cNvPicPr>
                        </pic:nvPicPr>
                        <pic:blipFill>
                          <a:blip r:embed="rId24"/>
                          <a:stretch>
                            <a:fillRect/>
                          </a:stretch>
                        </pic:blipFill>
                        <pic:spPr>
                          <a:xfrm>
                            <a:off x="0" y="0"/>
                            <a:ext cx="1376313" cy="325580"/>
                          </a:xfrm>
                          <a:prstGeom prst="rect">
                            <a:avLst/>
                          </a:prstGeom>
                        </pic:spPr>
                      </pic:pic>
                    </a:graphicData>
                  </a:graphic>
                </wp:inline>
              </w:drawing>
            </w:r>
          </w:p>
          <w:p w14:paraId="08A7C1B9">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式中：L</w:t>
            </w:r>
            <w:r>
              <w:rPr>
                <w:rFonts w:hint="eastAsia"/>
                <w:color w:val="auto"/>
                <w:sz w:val="21"/>
                <w:szCs w:val="21"/>
                <w:vertAlign w:val="subscript"/>
              </w:rPr>
              <w:t>F</w:t>
            </w:r>
            <w:r>
              <w:rPr>
                <w:rFonts w:hint="eastAsia"/>
                <w:color w:val="auto"/>
                <w:sz w:val="21"/>
                <w:szCs w:val="21"/>
              </w:rPr>
              <w:t>——浮盘附件损耗，1b/a；</w:t>
            </w:r>
          </w:p>
          <w:p w14:paraId="26BF82DE">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F</w:t>
            </w:r>
            <w:r>
              <w:rPr>
                <w:rFonts w:hint="eastAsia"/>
                <w:color w:val="auto"/>
                <w:sz w:val="21"/>
                <w:szCs w:val="21"/>
                <w:vertAlign w:val="subscript"/>
              </w:rPr>
              <w:t>F</w:t>
            </w:r>
            <w:r>
              <w:rPr>
                <w:rFonts w:hint="eastAsia"/>
                <w:color w:val="auto"/>
                <w:sz w:val="21"/>
                <w:szCs w:val="21"/>
              </w:rPr>
              <w:t>——总浮盘附件损耗因子，1b-mol/a；</w:t>
            </w:r>
          </w:p>
          <w:p w14:paraId="1C0C3C04">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P*——蒸气压函数，无量纲量；</w:t>
            </w:r>
          </w:p>
          <w:p w14:paraId="1C67363A">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Mv——气相分子质量，1b/1b-mol；</w:t>
            </w:r>
          </w:p>
          <w:p w14:paraId="3E982191">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Kc——产品因子；原油为0.4，其他有机液体为1.0；</w:t>
            </w:r>
          </w:p>
          <w:p w14:paraId="6D4C90FD">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d.浮盘缝隙损耗</w:t>
            </w:r>
          </w:p>
          <w:p w14:paraId="2D632788">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浮盘经焊接的内浮顶罐和外浮顶罐都没有盘缝损耗。由螺栓固定的内浮顶罐可能存在盘缝损耗，可由下式估算：</w:t>
            </w:r>
          </w:p>
          <w:p w14:paraId="4FF05C5B">
            <w:pPr>
              <w:pStyle w:val="79"/>
              <w:spacing w:line="240" w:lineRule="auto"/>
              <w:ind w:firstLine="0" w:firstLineChars="0"/>
              <w:jc w:val="center"/>
              <w:rPr>
                <w:color w:val="auto"/>
              </w:rPr>
            </w:pPr>
            <w:r>
              <w:rPr>
                <w:color w:val="auto"/>
              </w:rPr>
              <w:drawing>
                <wp:inline distT="0" distB="0" distL="0" distR="0">
                  <wp:extent cx="1676400" cy="302895"/>
                  <wp:effectExtent l="0" t="0" r="0" b="1905"/>
                  <wp:docPr id="1023282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82789" name="图片 1"/>
                          <pic:cNvPicPr>
                            <a:picLocks noChangeAspect="1"/>
                          </pic:cNvPicPr>
                        </pic:nvPicPr>
                        <pic:blipFill>
                          <a:blip r:embed="rId25"/>
                          <a:stretch>
                            <a:fillRect/>
                          </a:stretch>
                        </pic:blipFill>
                        <pic:spPr>
                          <a:xfrm>
                            <a:off x="0" y="0"/>
                            <a:ext cx="1711777" cy="309890"/>
                          </a:xfrm>
                          <a:prstGeom prst="rect">
                            <a:avLst/>
                          </a:prstGeom>
                        </pic:spPr>
                      </pic:pic>
                    </a:graphicData>
                  </a:graphic>
                </wp:inline>
              </w:drawing>
            </w:r>
          </w:p>
          <w:p w14:paraId="5313E1A1">
            <w:pPr>
              <w:pStyle w:val="79"/>
              <w:keepNext w:val="0"/>
              <w:keepLines w:val="0"/>
              <w:pageBreakBefore w:val="0"/>
              <w:widowControl w:val="0"/>
              <w:kinsoku/>
              <w:wordWrap/>
              <w:overflowPunct/>
              <w:topLinePunct w:val="0"/>
              <w:autoSpaceDE/>
              <w:autoSpaceDN/>
              <w:bidi w:val="0"/>
              <w:snapToGrid w:val="0"/>
              <w:spacing w:line="440" w:lineRule="exact"/>
              <w:ind w:firstLine="480"/>
              <w:textAlignment w:val="auto"/>
              <w:rPr>
                <w:color w:val="auto"/>
                <w:sz w:val="21"/>
                <w:szCs w:val="21"/>
              </w:rPr>
            </w:pPr>
            <w:r>
              <w:rPr>
                <w:rFonts w:hint="eastAsia"/>
                <w:color w:val="auto"/>
                <w:sz w:val="21"/>
                <w:szCs w:val="21"/>
              </w:rPr>
              <w:t>式中：L</w:t>
            </w:r>
            <w:r>
              <w:rPr>
                <w:rFonts w:hint="eastAsia"/>
                <w:color w:val="auto"/>
                <w:sz w:val="21"/>
                <w:szCs w:val="21"/>
                <w:vertAlign w:val="subscript"/>
              </w:rPr>
              <w:t>D</w:t>
            </w:r>
            <w:r>
              <w:rPr>
                <w:rFonts w:hint="eastAsia"/>
                <w:color w:val="auto"/>
                <w:sz w:val="21"/>
                <w:szCs w:val="21"/>
              </w:rPr>
              <w:t>——浮盘缝隙损耗，1b/a；</w:t>
            </w:r>
          </w:p>
          <w:p w14:paraId="3CC3BDC6">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K</w:t>
            </w:r>
            <w:r>
              <w:rPr>
                <w:rFonts w:hint="eastAsia"/>
                <w:color w:val="auto"/>
                <w:sz w:val="21"/>
                <w:szCs w:val="21"/>
                <w:vertAlign w:val="subscript"/>
              </w:rPr>
              <w:t>D</w:t>
            </w:r>
            <w:r>
              <w:rPr>
                <w:rFonts w:hint="eastAsia"/>
                <w:color w:val="auto"/>
                <w:sz w:val="21"/>
                <w:szCs w:val="21"/>
              </w:rPr>
              <w:t>——盘缝损耗单位缝长因子，1b-mol/ft.a；</w:t>
            </w:r>
          </w:p>
          <w:p w14:paraId="3C541811">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S</w:t>
            </w:r>
            <w:r>
              <w:rPr>
                <w:rFonts w:hint="eastAsia"/>
                <w:color w:val="auto"/>
                <w:sz w:val="21"/>
                <w:szCs w:val="21"/>
                <w:vertAlign w:val="subscript"/>
              </w:rPr>
              <w:t>D</w:t>
            </w:r>
            <w:r>
              <w:rPr>
                <w:rFonts w:hint="eastAsia"/>
                <w:color w:val="auto"/>
                <w:sz w:val="21"/>
                <w:szCs w:val="21"/>
              </w:rPr>
              <w:t>——盘缝长度因子，ft/ft</w:t>
            </w:r>
            <w:r>
              <w:rPr>
                <w:rFonts w:hint="eastAsia"/>
                <w:color w:val="auto"/>
                <w:sz w:val="21"/>
                <w:szCs w:val="21"/>
                <w:vertAlign w:val="superscript"/>
              </w:rPr>
              <w:t>2</w:t>
            </w:r>
            <w:r>
              <w:rPr>
                <w:rFonts w:hint="eastAsia"/>
                <w:color w:val="auto"/>
                <w:sz w:val="21"/>
                <w:szCs w:val="21"/>
              </w:rPr>
              <w:t>；</w:t>
            </w:r>
          </w:p>
          <w:p w14:paraId="012C146E">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D——罐体直径，ft；</w:t>
            </w:r>
          </w:p>
          <w:p w14:paraId="131861AF">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P*——蒸气压函数，无量纲量；</w:t>
            </w:r>
          </w:p>
          <w:p w14:paraId="29682003">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Mv——气相分子质量，1b/1b-mol；</w:t>
            </w:r>
          </w:p>
          <w:p w14:paraId="1AA0E33A">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color w:val="auto"/>
                <w:sz w:val="21"/>
                <w:szCs w:val="21"/>
              </w:rPr>
            </w:pPr>
            <w:r>
              <w:rPr>
                <w:rFonts w:hint="eastAsia"/>
                <w:color w:val="auto"/>
                <w:sz w:val="21"/>
                <w:szCs w:val="21"/>
              </w:rPr>
              <w:t>Kc——产品因子；原油为0.4，其他有机液体为1.0；</w:t>
            </w:r>
          </w:p>
          <w:p w14:paraId="523C12B6">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20" w:firstLineChars="200"/>
              <w:textAlignment w:val="auto"/>
              <w:rPr>
                <w:rFonts w:hint="eastAsia"/>
                <w:b w:val="0"/>
                <w:bCs w:val="0"/>
                <w:color w:val="auto"/>
                <w:sz w:val="21"/>
                <w:szCs w:val="21"/>
                <w:lang w:val="en-US" w:eastAsia="zh-CN"/>
              </w:rPr>
            </w:pPr>
            <w:r>
              <w:rPr>
                <w:rFonts w:hint="eastAsia"/>
                <w:color w:val="auto"/>
                <w:sz w:val="21"/>
                <w:szCs w:val="21"/>
              </w:rPr>
              <w:t>本项目</w:t>
            </w:r>
            <w:r>
              <w:rPr>
                <w:rFonts w:hint="eastAsia"/>
                <w:color w:val="auto"/>
                <w:sz w:val="21"/>
                <w:szCs w:val="21"/>
                <w:lang w:val="en-US" w:eastAsia="zh-CN"/>
              </w:rPr>
              <w:t>内浮顶储罐呼吸废气</w:t>
            </w:r>
            <w:r>
              <w:rPr>
                <w:rFonts w:hint="eastAsia"/>
                <w:color w:val="auto"/>
                <w:sz w:val="21"/>
                <w:szCs w:val="21"/>
              </w:rPr>
              <w:t>总损耗计算结果详见下表</w:t>
            </w:r>
            <w:r>
              <w:rPr>
                <w:rFonts w:hint="eastAsia"/>
                <w:color w:val="auto"/>
                <w:sz w:val="21"/>
                <w:szCs w:val="21"/>
                <w:lang w:eastAsia="zh-CN"/>
              </w:rPr>
              <w:t>：</w:t>
            </w:r>
          </w:p>
          <w:p w14:paraId="65CC14E1">
            <w:pPr>
              <w:spacing w:before="120" w:beforeLines="50"/>
              <w:jc w:val="center"/>
              <w:rPr>
                <w:b/>
                <w:bCs/>
                <w:color w:val="auto"/>
              </w:rPr>
            </w:pPr>
          </w:p>
          <w:p w14:paraId="3A4EAB8F">
            <w:pPr>
              <w:spacing w:before="120" w:beforeLines="50"/>
              <w:jc w:val="center"/>
              <w:rPr>
                <w:b/>
                <w:bCs/>
                <w:color w:val="auto"/>
              </w:rPr>
            </w:pPr>
          </w:p>
          <w:p w14:paraId="6DB9D12F">
            <w:pPr>
              <w:spacing w:before="120" w:beforeLines="50"/>
              <w:jc w:val="center"/>
              <w:rPr>
                <w:b/>
                <w:bCs/>
                <w:color w:val="auto"/>
              </w:rPr>
            </w:pPr>
            <w:r>
              <w:rPr>
                <w:b/>
                <w:bCs/>
                <w:color w:val="auto"/>
              </w:rPr>
              <w:t>表</w:t>
            </w:r>
            <w:r>
              <w:rPr>
                <w:rFonts w:hint="eastAsia"/>
                <w:b/>
                <w:bCs/>
                <w:color w:val="auto"/>
                <w:lang w:val="en-US" w:eastAsia="zh-CN"/>
              </w:rPr>
              <w:t>4</w:t>
            </w:r>
            <w:r>
              <w:rPr>
                <w:rFonts w:hint="eastAsia"/>
                <w:b/>
                <w:bCs/>
                <w:color w:val="auto"/>
              </w:rPr>
              <w:t>-</w:t>
            </w:r>
            <w:r>
              <w:rPr>
                <w:rFonts w:hint="eastAsia"/>
                <w:b/>
                <w:bCs/>
                <w:color w:val="auto"/>
                <w:lang w:val="en-US" w:eastAsia="zh-CN"/>
              </w:rPr>
              <w:t>2</w:t>
            </w:r>
            <w:r>
              <w:rPr>
                <w:b/>
                <w:bCs/>
                <w:color w:val="auto"/>
              </w:rPr>
              <w:t xml:space="preserve">  </w:t>
            </w:r>
            <w:r>
              <w:rPr>
                <w:rFonts w:hint="eastAsia"/>
                <w:b/>
                <w:bCs/>
                <w:color w:val="auto"/>
              </w:rPr>
              <w:t>本</w:t>
            </w:r>
            <w:r>
              <w:rPr>
                <w:b/>
                <w:bCs/>
                <w:color w:val="auto"/>
              </w:rPr>
              <w:t>项目</w:t>
            </w:r>
            <w:r>
              <w:rPr>
                <w:rFonts w:hint="eastAsia"/>
                <w:b/>
                <w:bCs/>
                <w:color w:val="auto"/>
                <w:lang w:val="en-US" w:eastAsia="zh-CN"/>
              </w:rPr>
              <w:t>内浮顶</w:t>
            </w:r>
            <w:r>
              <w:rPr>
                <w:b/>
                <w:bCs/>
                <w:color w:val="auto"/>
              </w:rPr>
              <w:t>储罐</w:t>
            </w:r>
            <w:r>
              <w:rPr>
                <w:rFonts w:hint="eastAsia"/>
                <w:b/>
                <w:bCs/>
                <w:color w:val="auto"/>
              </w:rPr>
              <w:t>呼吸</w:t>
            </w:r>
            <w:r>
              <w:rPr>
                <w:b/>
                <w:bCs/>
                <w:color w:val="auto"/>
              </w:rPr>
              <w:t>废气产生情况计算表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1"/>
              <w:gridCol w:w="241"/>
              <w:gridCol w:w="438"/>
              <w:gridCol w:w="407"/>
              <w:gridCol w:w="253"/>
              <w:gridCol w:w="599"/>
              <w:gridCol w:w="570"/>
              <w:gridCol w:w="542"/>
              <w:gridCol w:w="602"/>
              <w:gridCol w:w="242"/>
              <w:gridCol w:w="332"/>
              <w:gridCol w:w="278"/>
              <w:gridCol w:w="278"/>
              <w:gridCol w:w="312"/>
              <w:gridCol w:w="242"/>
              <w:gridCol w:w="278"/>
              <w:gridCol w:w="242"/>
              <w:gridCol w:w="563"/>
              <w:gridCol w:w="350"/>
              <w:gridCol w:w="94"/>
              <w:gridCol w:w="444"/>
              <w:gridCol w:w="536"/>
            </w:tblGrid>
            <w:tr w14:paraId="43DE1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1" w:type="dxa"/>
                  <w:vMerge w:val="restart"/>
                  <w:shd w:val="clear" w:color="auto" w:fill="auto"/>
                  <w:vAlign w:val="center"/>
                </w:tcPr>
                <w:p w14:paraId="35498C5B">
                  <w:pPr>
                    <w:pStyle w:val="60"/>
                    <w:rPr>
                      <w:color w:val="auto"/>
                      <w:sz w:val="18"/>
                      <w:szCs w:val="18"/>
                    </w:rPr>
                  </w:pPr>
                  <w:r>
                    <w:rPr>
                      <w:rFonts w:hint="eastAsia"/>
                      <w:color w:val="auto"/>
                      <w:sz w:val="18"/>
                      <w:szCs w:val="18"/>
                    </w:rPr>
                    <w:t>储存物料名称</w:t>
                  </w:r>
                </w:p>
              </w:tc>
              <w:tc>
                <w:tcPr>
                  <w:tcW w:w="241" w:type="dxa"/>
                  <w:vMerge w:val="restart"/>
                  <w:shd w:val="clear" w:color="auto" w:fill="auto"/>
                  <w:vAlign w:val="center"/>
                </w:tcPr>
                <w:p w14:paraId="04568DDC">
                  <w:pPr>
                    <w:pStyle w:val="60"/>
                    <w:rPr>
                      <w:color w:val="auto"/>
                      <w:sz w:val="18"/>
                      <w:szCs w:val="18"/>
                    </w:rPr>
                  </w:pPr>
                  <w:r>
                    <w:rPr>
                      <w:rFonts w:hint="eastAsia"/>
                      <w:color w:val="auto"/>
                      <w:sz w:val="18"/>
                      <w:szCs w:val="18"/>
                    </w:rPr>
                    <w:t>储罐数量</w:t>
                  </w:r>
                </w:p>
              </w:tc>
              <w:tc>
                <w:tcPr>
                  <w:tcW w:w="7602" w:type="dxa"/>
                  <w:gridSpan w:val="20"/>
                  <w:shd w:val="clear" w:color="auto" w:fill="auto"/>
                  <w:vAlign w:val="center"/>
                </w:tcPr>
                <w:p w14:paraId="2CEB9403">
                  <w:pPr>
                    <w:pStyle w:val="60"/>
                    <w:rPr>
                      <w:color w:val="auto"/>
                      <w:sz w:val="18"/>
                      <w:szCs w:val="18"/>
                    </w:rPr>
                  </w:pPr>
                  <w:r>
                    <w:rPr>
                      <w:rFonts w:hint="eastAsia"/>
                      <w:color w:val="auto"/>
                      <w:sz w:val="18"/>
                      <w:szCs w:val="18"/>
                    </w:rPr>
                    <w:t>储罐构造参数</w:t>
                  </w:r>
                </w:p>
              </w:tc>
            </w:tr>
            <w:tr w14:paraId="4DFA8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1" w:type="dxa"/>
                  <w:vMerge w:val="continue"/>
                  <w:shd w:val="clear" w:color="auto" w:fill="auto"/>
                  <w:vAlign w:val="center"/>
                </w:tcPr>
                <w:p w14:paraId="2A382315">
                  <w:pPr>
                    <w:pStyle w:val="60"/>
                    <w:rPr>
                      <w:color w:val="auto"/>
                      <w:sz w:val="18"/>
                      <w:szCs w:val="18"/>
                    </w:rPr>
                  </w:pPr>
                </w:p>
              </w:tc>
              <w:tc>
                <w:tcPr>
                  <w:tcW w:w="241" w:type="dxa"/>
                  <w:vMerge w:val="continue"/>
                  <w:shd w:val="clear" w:color="auto" w:fill="auto"/>
                  <w:vAlign w:val="center"/>
                </w:tcPr>
                <w:p w14:paraId="7EAFF514">
                  <w:pPr>
                    <w:pStyle w:val="60"/>
                    <w:rPr>
                      <w:color w:val="auto"/>
                      <w:sz w:val="18"/>
                      <w:szCs w:val="18"/>
                    </w:rPr>
                  </w:pPr>
                </w:p>
              </w:tc>
              <w:tc>
                <w:tcPr>
                  <w:tcW w:w="438" w:type="dxa"/>
                  <w:shd w:val="clear" w:color="auto" w:fill="auto"/>
                  <w:vAlign w:val="center"/>
                </w:tcPr>
                <w:p w14:paraId="1E42B7E0">
                  <w:pPr>
                    <w:pStyle w:val="60"/>
                    <w:rPr>
                      <w:color w:val="auto"/>
                      <w:sz w:val="18"/>
                      <w:szCs w:val="18"/>
                    </w:rPr>
                  </w:pPr>
                  <w:r>
                    <w:rPr>
                      <w:rFonts w:hint="eastAsia"/>
                      <w:color w:val="auto"/>
                      <w:sz w:val="18"/>
                      <w:szCs w:val="18"/>
                    </w:rPr>
                    <w:t>大气压kPa</w:t>
                  </w:r>
                </w:p>
              </w:tc>
              <w:tc>
                <w:tcPr>
                  <w:tcW w:w="407" w:type="dxa"/>
                  <w:shd w:val="clear" w:color="auto" w:fill="auto"/>
                  <w:vAlign w:val="center"/>
                </w:tcPr>
                <w:p w14:paraId="3C5BC02F">
                  <w:pPr>
                    <w:pStyle w:val="60"/>
                    <w:rPr>
                      <w:color w:val="auto"/>
                      <w:sz w:val="18"/>
                      <w:szCs w:val="18"/>
                    </w:rPr>
                  </w:pPr>
                  <w:r>
                    <w:rPr>
                      <w:rFonts w:hint="eastAsia"/>
                      <w:color w:val="auto"/>
                      <w:sz w:val="18"/>
                      <w:szCs w:val="18"/>
                    </w:rPr>
                    <w:t>容积m</w:t>
                  </w:r>
                  <w:r>
                    <w:rPr>
                      <w:rFonts w:hint="eastAsia"/>
                      <w:color w:val="auto"/>
                      <w:sz w:val="18"/>
                      <w:szCs w:val="18"/>
                      <w:vertAlign w:val="superscript"/>
                    </w:rPr>
                    <w:t>3</w:t>
                  </w:r>
                </w:p>
              </w:tc>
              <w:tc>
                <w:tcPr>
                  <w:tcW w:w="253" w:type="dxa"/>
                  <w:shd w:val="clear" w:color="auto" w:fill="auto"/>
                  <w:vAlign w:val="center"/>
                </w:tcPr>
                <w:p w14:paraId="6CEABF6D">
                  <w:pPr>
                    <w:pStyle w:val="60"/>
                    <w:rPr>
                      <w:color w:val="auto"/>
                      <w:sz w:val="18"/>
                      <w:szCs w:val="18"/>
                    </w:rPr>
                  </w:pPr>
                  <w:r>
                    <w:rPr>
                      <w:rFonts w:hint="eastAsia"/>
                      <w:color w:val="auto"/>
                      <w:sz w:val="18"/>
                      <w:szCs w:val="18"/>
                    </w:rPr>
                    <w:t>直径/m</w:t>
                  </w:r>
                </w:p>
              </w:tc>
              <w:tc>
                <w:tcPr>
                  <w:tcW w:w="599" w:type="dxa"/>
                  <w:shd w:val="clear" w:color="auto" w:fill="auto"/>
                  <w:vAlign w:val="center"/>
                </w:tcPr>
                <w:p w14:paraId="376C8F62">
                  <w:pPr>
                    <w:pStyle w:val="60"/>
                    <w:rPr>
                      <w:color w:val="auto"/>
                      <w:sz w:val="18"/>
                      <w:szCs w:val="18"/>
                    </w:rPr>
                  </w:pPr>
                  <w:r>
                    <w:rPr>
                      <w:rFonts w:hint="eastAsia"/>
                      <w:color w:val="auto"/>
                      <w:sz w:val="18"/>
                      <w:szCs w:val="18"/>
                    </w:rPr>
                    <w:t>密封选型</w:t>
                  </w:r>
                </w:p>
              </w:tc>
              <w:tc>
                <w:tcPr>
                  <w:tcW w:w="570" w:type="dxa"/>
                  <w:shd w:val="clear" w:color="auto" w:fill="auto"/>
                  <w:vAlign w:val="center"/>
                </w:tcPr>
                <w:p w14:paraId="38EA617C">
                  <w:pPr>
                    <w:pStyle w:val="60"/>
                    <w:rPr>
                      <w:color w:val="auto"/>
                      <w:sz w:val="18"/>
                      <w:szCs w:val="18"/>
                    </w:rPr>
                  </w:pPr>
                  <w:r>
                    <w:rPr>
                      <w:rFonts w:hint="eastAsia"/>
                      <w:color w:val="auto"/>
                      <w:sz w:val="18"/>
                      <w:szCs w:val="18"/>
                    </w:rPr>
                    <w:t>边缘密封损失t/a</w:t>
                  </w:r>
                </w:p>
              </w:tc>
              <w:tc>
                <w:tcPr>
                  <w:tcW w:w="542" w:type="dxa"/>
                  <w:shd w:val="clear" w:color="auto" w:fill="auto"/>
                  <w:vAlign w:val="center"/>
                </w:tcPr>
                <w:p w14:paraId="4F9E5EB4">
                  <w:pPr>
                    <w:pStyle w:val="60"/>
                    <w:rPr>
                      <w:color w:val="auto"/>
                      <w:sz w:val="18"/>
                      <w:szCs w:val="18"/>
                    </w:rPr>
                  </w:pPr>
                  <w:r>
                    <w:rPr>
                      <w:rFonts w:hint="eastAsia"/>
                      <w:color w:val="auto"/>
                      <w:sz w:val="18"/>
                      <w:szCs w:val="18"/>
                    </w:rPr>
                    <w:t>周转量万t/a</w:t>
                  </w:r>
                </w:p>
              </w:tc>
              <w:tc>
                <w:tcPr>
                  <w:tcW w:w="602" w:type="dxa"/>
                  <w:shd w:val="clear" w:color="auto" w:fill="auto"/>
                  <w:vAlign w:val="center"/>
                </w:tcPr>
                <w:p w14:paraId="16A758A4">
                  <w:pPr>
                    <w:pStyle w:val="60"/>
                    <w:rPr>
                      <w:color w:val="auto"/>
                      <w:sz w:val="18"/>
                      <w:szCs w:val="18"/>
                    </w:rPr>
                  </w:pPr>
                  <w:r>
                    <w:rPr>
                      <w:rFonts w:hint="eastAsia"/>
                      <w:color w:val="auto"/>
                      <w:sz w:val="18"/>
                      <w:szCs w:val="18"/>
                    </w:rPr>
                    <w:t>挂壁损失t/a</w:t>
                  </w:r>
                </w:p>
              </w:tc>
              <w:tc>
                <w:tcPr>
                  <w:tcW w:w="242" w:type="dxa"/>
                  <w:shd w:val="clear" w:color="auto" w:fill="auto"/>
                  <w:vAlign w:val="center"/>
                </w:tcPr>
                <w:p w14:paraId="5E0AD506">
                  <w:pPr>
                    <w:pStyle w:val="60"/>
                    <w:rPr>
                      <w:color w:val="auto"/>
                      <w:sz w:val="18"/>
                      <w:szCs w:val="18"/>
                    </w:rPr>
                  </w:pPr>
                  <w:r>
                    <w:rPr>
                      <w:rFonts w:hint="eastAsia"/>
                      <w:color w:val="auto"/>
                      <w:sz w:val="18"/>
                      <w:szCs w:val="18"/>
                    </w:rPr>
                    <w:t>人孔/个</w:t>
                  </w:r>
                </w:p>
              </w:tc>
              <w:tc>
                <w:tcPr>
                  <w:tcW w:w="332" w:type="dxa"/>
                  <w:shd w:val="clear" w:color="auto" w:fill="auto"/>
                  <w:vAlign w:val="center"/>
                </w:tcPr>
                <w:p w14:paraId="0170C268">
                  <w:pPr>
                    <w:pStyle w:val="60"/>
                    <w:rPr>
                      <w:color w:val="auto"/>
                      <w:sz w:val="18"/>
                      <w:szCs w:val="18"/>
                    </w:rPr>
                  </w:pPr>
                  <w:r>
                    <w:rPr>
                      <w:rFonts w:hint="eastAsia"/>
                      <w:color w:val="auto"/>
                      <w:sz w:val="18"/>
                      <w:szCs w:val="18"/>
                    </w:rPr>
                    <w:t>计量井/检尺口</w:t>
                  </w:r>
                </w:p>
              </w:tc>
              <w:tc>
                <w:tcPr>
                  <w:tcW w:w="278" w:type="dxa"/>
                  <w:shd w:val="clear" w:color="auto" w:fill="auto"/>
                  <w:vAlign w:val="center"/>
                </w:tcPr>
                <w:p w14:paraId="27F9AEF6">
                  <w:pPr>
                    <w:pStyle w:val="60"/>
                    <w:rPr>
                      <w:color w:val="auto"/>
                      <w:sz w:val="18"/>
                      <w:szCs w:val="18"/>
                    </w:rPr>
                  </w:pPr>
                  <w:r>
                    <w:rPr>
                      <w:rFonts w:hint="eastAsia"/>
                      <w:color w:val="auto"/>
                      <w:sz w:val="18"/>
                      <w:szCs w:val="18"/>
                    </w:rPr>
                    <w:t>浮盘支腿/个</w:t>
                  </w:r>
                </w:p>
              </w:tc>
              <w:tc>
                <w:tcPr>
                  <w:tcW w:w="278" w:type="dxa"/>
                  <w:shd w:val="clear" w:color="auto" w:fill="auto"/>
                  <w:vAlign w:val="center"/>
                </w:tcPr>
                <w:p w14:paraId="618A6A52">
                  <w:pPr>
                    <w:pStyle w:val="60"/>
                    <w:rPr>
                      <w:color w:val="auto"/>
                      <w:sz w:val="18"/>
                      <w:szCs w:val="18"/>
                    </w:rPr>
                  </w:pPr>
                  <w:r>
                    <w:rPr>
                      <w:rFonts w:hint="eastAsia"/>
                      <w:color w:val="auto"/>
                      <w:sz w:val="18"/>
                      <w:szCs w:val="18"/>
                    </w:rPr>
                    <w:t>采样管/井/个</w:t>
                  </w:r>
                </w:p>
              </w:tc>
              <w:tc>
                <w:tcPr>
                  <w:tcW w:w="312" w:type="dxa"/>
                  <w:shd w:val="clear" w:color="auto" w:fill="auto"/>
                  <w:vAlign w:val="center"/>
                </w:tcPr>
                <w:p w14:paraId="55574DA2">
                  <w:pPr>
                    <w:pStyle w:val="60"/>
                    <w:rPr>
                      <w:color w:val="auto"/>
                      <w:sz w:val="18"/>
                      <w:szCs w:val="18"/>
                    </w:rPr>
                  </w:pPr>
                  <w:r>
                    <w:rPr>
                      <w:rFonts w:hint="eastAsia"/>
                      <w:color w:val="auto"/>
                      <w:sz w:val="18"/>
                      <w:szCs w:val="18"/>
                    </w:rPr>
                    <w:t>边缘通气孔/个</w:t>
                  </w:r>
                </w:p>
              </w:tc>
              <w:tc>
                <w:tcPr>
                  <w:tcW w:w="242" w:type="dxa"/>
                  <w:shd w:val="clear" w:color="auto" w:fill="auto"/>
                  <w:vAlign w:val="center"/>
                </w:tcPr>
                <w:p w14:paraId="502E0208">
                  <w:pPr>
                    <w:pStyle w:val="60"/>
                    <w:rPr>
                      <w:color w:val="auto"/>
                      <w:sz w:val="18"/>
                      <w:szCs w:val="18"/>
                    </w:rPr>
                  </w:pPr>
                  <w:r>
                    <w:rPr>
                      <w:rFonts w:hint="eastAsia"/>
                      <w:color w:val="auto"/>
                      <w:sz w:val="18"/>
                      <w:szCs w:val="18"/>
                    </w:rPr>
                    <w:t>真空阀/个</w:t>
                  </w:r>
                </w:p>
              </w:tc>
              <w:tc>
                <w:tcPr>
                  <w:tcW w:w="278" w:type="dxa"/>
                  <w:shd w:val="clear" w:color="auto" w:fill="auto"/>
                  <w:vAlign w:val="center"/>
                </w:tcPr>
                <w:p w14:paraId="35C2C2E7">
                  <w:pPr>
                    <w:pStyle w:val="60"/>
                    <w:rPr>
                      <w:color w:val="auto"/>
                      <w:sz w:val="18"/>
                      <w:szCs w:val="18"/>
                    </w:rPr>
                  </w:pPr>
                  <w:r>
                    <w:rPr>
                      <w:rFonts w:hint="eastAsia"/>
                      <w:color w:val="auto"/>
                      <w:sz w:val="18"/>
                      <w:szCs w:val="18"/>
                    </w:rPr>
                    <w:t>固定支撑柱井</w:t>
                  </w:r>
                </w:p>
              </w:tc>
              <w:tc>
                <w:tcPr>
                  <w:tcW w:w="242" w:type="dxa"/>
                  <w:shd w:val="clear" w:color="auto" w:fill="auto"/>
                  <w:vAlign w:val="center"/>
                </w:tcPr>
                <w:p w14:paraId="768A8D47">
                  <w:pPr>
                    <w:pStyle w:val="60"/>
                    <w:rPr>
                      <w:color w:val="auto"/>
                      <w:sz w:val="18"/>
                      <w:szCs w:val="18"/>
                    </w:rPr>
                  </w:pPr>
                  <w:r>
                    <w:rPr>
                      <w:rFonts w:hint="eastAsia"/>
                      <w:color w:val="auto"/>
                      <w:sz w:val="18"/>
                      <w:szCs w:val="18"/>
                    </w:rPr>
                    <w:t>楼梯井/个</w:t>
                  </w:r>
                </w:p>
              </w:tc>
              <w:tc>
                <w:tcPr>
                  <w:tcW w:w="563" w:type="dxa"/>
                  <w:shd w:val="clear" w:color="auto" w:fill="auto"/>
                  <w:vAlign w:val="center"/>
                </w:tcPr>
                <w:p w14:paraId="7235A436">
                  <w:pPr>
                    <w:pStyle w:val="60"/>
                    <w:rPr>
                      <w:color w:val="auto"/>
                      <w:sz w:val="18"/>
                      <w:szCs w:val="18"/>
                    </w:rPr>
                  </w:pPr>
                  <w:r>
                    <w:rPr>
                      <w:rFonts w:hint="eastAsia"/>
                      <w:color w:val="auto"/>
                      <w:sz w:val="18"/>
                      <w:szCs w:val="18"/>
                    </w:rPr>
                    <w:t>浮盘附件损失t/a</w:t>
                  </w:r>
                </w:p>
              </w:tc>
              <w:tc>
                <w:tcPr>
                  <w:tcW w:w="350" w:type="dxa"/>
                  <w:shd w:val="clear" w:color="auto" w:fill="auto"/>
                  <w:vAlign w:val="center"/>
                </w:tcPr>
                <w:p w14:paraId="03D63FF7">
                  <w:pPr>
                    <w:pStyle w:val="60"/>
                    <w:rPr>
                      <w:color w:val="auto"/>
                      <w:sz w:val="18"/>
                      <w:szCs w:val="18"/>
                    </w:rPr>
                  </w:pPr>
                  <w:r>
                    <w:rPr>
                      <w:rFonts w:hint="eastAsia"/>
                      <w:color w:val="auto"/>
                      <w:sz w:val="18"/>
                      <w:szCs w:val="18"/>
                    </w:rPr>
                    <w:t>浮盘类型</w:t>
                  </w:r>
                </w:p>
              </w:tc>
              <w:tc>
                <w:tcPr>
                  <w:tcW w:w="538" w:type="dxa"/>
                  <w:gridSpan w:val="2"/>
                  <w:shd w:val="clear" w:color="auto" w:fill="auto"/>
                  <w:vAlign w:val="center"/>
                </w:tcPr>
                <w:p w14:paraId="28F1E7AD">
                  <w:pPr>
                    <w:pStyle w:val="60"/>
                    <w:rPr>
                      <w:color w:val="auto"/>
                      <w:sz w:val="18"/>
                      <w:szCs w:val="18"/>
                    </w:rPr>
                  </w:pPr>
                  <w:r>
                    <w:rPr>
                      <w:rFonts w:hint="eastAsia"/>
                      <w:color w:val="auto"/>
                      <w:sz w:val="18"/>
                      <w:szCs w:val="18"/>
                    </w:rPr>
                    <w:t>盘缝损失t/a</w:t>
                  </w:r>
                </w:p>
              </w:tc>
              <w:tc>
                <w:tcPr>
                  <w:tcW w:w="536" w:type="dxa"/>
                  <w:shd w:val="clear" w:color="auto" w:fill="auto"/>
                  <w:vAlign w:val="center"/>
                </w:tcPr>
                <w:p w14:paraId="756FFE1A">
                  <w:pPr>
                    <w:pStyle w:val="60"/>
                    <w:rPr>
                      <w:color w:val="auto"/>
                      <w:sz w:val="18"/>
                      <w:szCs w:val="18"/>
                    </w:rPr>
                  </w:pPr>
                  <w:r>
                    <w:rPr>
                      <w:rFonts w:hint="eastAsia"/>
                      <w:color w:val="auto"/>
                      <w:sz w:val="18"/>
                      <w:szCs w:val="18"/>
                    </w:rPr>
                    <w:t>合计t/a</w:t>
                  </w:r>
                </w:p>
              </w:tc>
            </w:tr>
            <w:tr w14:paraId="648C3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1" w:type="dxa"/>
                  <w:vMerge w:val="restart"/>
                  <w:shd w:val="clear" w:color="auto" w:fill="auto"/>
                  <w:vAlign w:val="center"/>
                </w:tcPr>
                <w:p w14:paraId="18240E8E">
                  <w:pPr>
                    <w:pStyle w:val="60"/>
                    <w:rPr>
                      <w:rFonts w:hint="default" w:eastAsia="宋体"/>
                      <w:color w:val="auto"/>
                      <w:sz w:val="18"/>
                      <w:szCs w:val="18"/>
                      <w:lang w:val="en-US" w:eastAsia="zh-CN"/>
                    </w:rPr>
                  </w:pPr>
                  <w:r>
                    <w:rPr>
                      <w:rFonts w:hint="eastAsia"/>
                      <w:color w:val="auto"/>
                      <w:sz w:val="18"/>
                      <w:szCs w:val="18"/>
                      <w:lang w:val="en-US" w:eastAsia="zh-CN"/>
                    </w:rPr>
                    <w:t>甲醇</w:t>
                  </w:r>
                </w:p>
              </w:tc>
              <w:tc>
                <w:tcPr>
                  <w:tcW w:w="241" w:type="dxa"/>
                  <w:shd w:val="clear" w:color="auto" w:fill="auto"/>
                  <w:vAlign w:val="center"/>
                </w:tcPr>
                <w:p w14:paraId="736059B4">
                  <w:pPr>
                    <w:pStyle w:val="60"/>
                    <w:rPr>
                      <w:color w:val="auto"/>
                      <w:sz w:val="18"/>
                      <w:szCs w:val="18"/>
                    </w:rPr>
                  </w:pPr>
                  <w:r>
                    <w:rPr>
                      <w:rFonts w:hint="eastAsia"/>
                      <w:color w:val="auto"/>
                      <w:sz w:val="18"/>
                      <w:szCs w:val="18"/>
                    </w:rPr>
                    <w:t>1</w:t>
                  </w:r>
                </w:p>
              </w:tc>
              <w:tc>
                <w:tcPr>
                  <w:tcW w:w="438" w:type="dxa"/>
                  <w:shd w:val="clear" w:color="auto" w:fill="auto"/>
                  <w:vAlign w:val="center"/>
                </w:tcPr>
                <w:p w14:paraId="0FA64E6F">
                  <w:pPr>
                    <w:pStyle w:val="60"/>
                    <w:rPr>
                      <w:color w:val="auto"/>
                      <w:sz w:val="18"/>
                      <w:szCs w:val="18"/>
                    </w:rPr>
                  </w:pPr>
                  <w:r>
                    <w:rPr>
                      <w:rFonts w:hint="eastAsia"/>
                      <w:color w:val="auto"/>
                      <w:sz w:val="18"/>
                      <w:szCs w:val="18"/>
                    </w:rPr>
                    <w:t>101.3</w:t>
                  </w:r>
                </w:p>
              </w:tc>
              <w:tc>
                <w:tcPr>
                  <w:tcW w:w="407" w:type="dxa"/>
                  <w:shd w:val="clear" w:color="auto" w:fill="auto"/>
                  <w:vAlign w:val="center"/>
                </w:tcPr>
                <w:p w14:paraId="3032B626">
                  <w:pPr>
                    <w:pStyle w:val="60"/>
                    <w:rPr>
                      <w:rFonts w:hint="default" w:eastAsia="宋体"/>
                      <w:color w:val="auto"/>
                      <w:sz w:val="18"/>
                      <w:szCs w:val="18"/>
                      <w:lang w:val="en-US" w:eastAsia="zh-CN"/>
                    </w:rPr>
                  </w:pPr>
                  <w:r>
                    <w:rPr>
                      <w:rFonts w:hint="eastAsia"/>
                      <w:color w:val="auto"/>
                      <w:sz w:val="18"/>
                      <w:szCs w:val="18"/>
                      <w:lang w:val="en-US" w:eastAsia="zh-CN"/>
                    </w:rPr>
                    <w:t>1000</w:t>
                  </w:r>
                </w:p>
              </w:tc>
              <w:tc>
                <w:tcPr>
                  <w:tcW w:w="253" w:type="dxa"/>
                  <w:shd w:val="clear" w:color="auto" w:fill="auto"/>
                  <w:vAlign w:val="center"/>
                </w:tcPr>
                <w:p w14:paraId="1406A711">
                  <w:pPr>
                    <w:pStyle w:val="60"/>
                    <w:rPr>
                      <w:rFonts w:hint="default" w:eastAsia="宋体"/>
                      <w:color w:val="auto"/>
                      <w:sz w:val="18"/>
                      <w:szCs w:val="18"/>
                      <w:lang w:val="en-US" w:eastAsia="zh-CN"/>
                    </w:rPr>
                  </w:pPr>
                  <w:r>
                    <w:rPr>
                      <w:rFonts w:hint="eastAsia"/>
                      <w:color w:val="auto"/>
                      <w:sz w:val="18"/>
                      <w:szCs w:val="18"/>
                      <w:lang w:val="en-US" w:eastAsia="zh-CN"/>
                    </w:rPr>
                    <w:t>11</w:t>
                  </w:r>
                </w:p>
              </w:tc>
              <w:tc>
                <w:tcPr>
                  <w:tcW w:w="599" w:type="dxa"/>
                  <w:shd w:val="clear" w:color="auto" w:fill="auto"/>
                  <w:vAlign w:val="center"/>
                </w:tcPr>
                <w:p w14:paraId="7C575087">
                  <w:pPr>
                    <w:pStyle w:val="60"/>
                    <w:rPr>
                      <w:rFonts w:hint="default" w:eastAsia="宋体"/>
                      <w:color w:val="auto"/>
                      <w:sz w:val="18"/>
                      <w:szCs w:val="18"/>
                      <w:lang w:val="en-US" w:eastAsia="zh-CN"/>
                    </w:rPr>
                  </w:pPr>
                  <w:r>
                    <w:rPr>
                      <w:rFonts w:hint="eastAsia"/>
                      <w:color w:val="auto"/>
                      <w:sz w:val="18"/>
                      <w:szCs w:val="18"/>
                      <w:lang w:val="en-US" w:eastAsia="zh-CN"/>
                    </w:rPr>
                    <w:t>机械密封+边缘刮板</w:t>
                  </w:r>
                </w:p>
              </w:tc>
              <w:tc>
                <w:tcPr>
                  <w:tcW w:w="570" w:type="dxa"/>
                  <w:shd w:val="clear" w:color="auto" w:fill="auto"/>
                  <w:vAlign w:val="center"/>
                </w:tcPr>
                <w:p w14:paraId="099B8F10">
                  <w:pPr>
                    <w:pStyle w:val="60"/>
                    <w:rPr>
                      <w:rFonts w:hint="default" w:eastAsia="宋体"/>
                      <w:color w:val="auto"/>
                      <w:sz w:val="18"/>
                      <w:szCs w:val="18"/>
                      <w:lang w:val="en-US" w:eastAsia="zh-CN"/>
                    </w:rPr>
                  </w:pPr>
                  <w:r>
                    <w:rPr>
                      <w:rFonts w:hint="eastAsia"/>
                      <w:color w:val="auto"/>
                      <w:sz w:val="18"/>
                      <w:szCs w:val="18"/>
                      <w:lang w:val="en-US" w:eastAsia="zh-CN"/>
                    </w:rPr>
                    <w:t>0.011</w:t>
                  </w:r>
                </w:p>
              </w:tc>
              <w:tc>
                <w:tcPr>
                  <w:tcW w:w="542" w:type="dxa"/>
                  <w:vMerge w:val="restart"/>
                  <w:shd w:val="clear" w:color="auto" w:fill="auto"/>
                  <w:vAlign w:val="center"/>
                </w:tcPr>
                <w:p w14:paraId="4BC4AB86">
                  <w:pPr>
                    <w:pStyle w:val="60"/>
                    <w:rPr>
                      <w:color w:val="auto"/>
                      <w:sz w:val="18"/>
                      <w:szCs w:val="18"/>
                    </w:rPr>
                  </w:pPr>
                  <w:r>
                    <w:rPr>
                      <w:rFonts w:hint="eastAsia"/>
                      <w:color w:val="auto"/>
                      <w:sz w:val="18"/>
                      <w:szCs w:val="18"/>
                      <w:lang w:val="en-US" w:eastAsia="zh-CN"/>
                    </w:rPr>
                    <w:t>3.2</w:t>
                  </w:r>
                </w:p>
              </w:tc>
              <w:tc>
                <w:tcPr>
                  <w:tcW w:w="602" w:type="dxa"/>
                  <w:vMerge w:val="restart"/>
                  <w:shd w:val="clear" w:color="auto" w:fill="auto"/>
                  <w:vAlign w:val="center"/>
                </w:tcPr>
                <w:p w14:paraId="4598F254">
                  <w:pPr>
                    <w:pStyle w:val="60"/>
                    <w:rPr>
                      <w:rFonts w:hint="default" w:eastAsia="宋体"/>
                      <w:color w:val="auto"/>
                      <w:sz w:val="18"/>
                      <w:szCs w:val="18"/>
                      <w:lang w:val="en-US" w:eastAsia="zh-CN"/>
                    </w:rPr>
                  </w:pPr>
                  <w:r>
                    <w:rPr>
                      <w:rFonts w:hint="eastAsia"/>
                      <w:color w:val="auto"/>
                      <w:sz w:val="18"/>
                      <w:szCs w:val="18"/>
                      <w:lang w:val="en-US" w:eastAsia="zh-CN"/>
                    </w:rPr>
                    <w:t>2.987</w:t>
                  </w:r>
                </w:p>
              </w:tc>
              <w:tc>
                <w:tcPr>
                  <w:tcW w:w="242" w:type="dxa"/>
                  <w:shd w:val="clear" w:color="auto" w:fill="auto"/>
                  <w:vAlign w:val="center"/>
                </w:tcPr>
                <w:p w14:paraId="28F64634">
                  <w:pPr>
                    <w:pStyle w:val="60"/>
                    <w:rPr>
                      <w:rFonts w:hint="eastAsia" w:eastAsia="宋体"/>
                      <w:color w:val="auto"/>
                      <w:sz w:val="18"/>
                      <w:szCs w:val="18"/>
                      <w:lang w:val="en-US" w:eastAsia="zh-CN"/>
                    </w:rPr>
                  </w:pPr>
                  <w:r>
                    <w:rPr>
                      <w:rFonts w:hint="eastAsia"/>
                      <w:color w:val="auto"/>
                      <w:sz w:val="18"/>
                      <w:szCs w:val="18"/>
                      <w:lang w:val="en-US" w:eastAsia="zh-CN"/>
                    </w:rPr>
                    <w:t>2</w:t>
                  </w:r>
                </w:p>
              </w:tc>
              <w:tc>
                <w:tcPr>
                  <w:tcW w:w="332" w:type="dxa"/>
                  <w:shd w:val="clear" w:color="auto" w:fill="auto"/>
                  <w:vAlign w:val="center"/>
                </w:tcPr>
                <w:p w14:paraId="27B38196">
                  <w:pPr>
                    <w:pStyle w:val="60"/>
                    <w:rPr>
                      <w:rFonts w:hint="eastAsia" w:eastAsia="宋体"/>
                      <w:color w:val="auto"/>
                      <w:sz w:val="18"/>
                      <w:szCs w:val="18"/>
                      <w:lang w:val="en-US" w:eastAsia="zh-CN"/>
                    </w:rPr>
                  </w:pPr>
                  <w:r>
                    <w:rPr>
                      <w:rFonts w:hint="eastAsia"/>
                      <w:color w:val="auto"/>
                      <w:sz w:val="18"/>
                      <w:szCs w:val="18"/>
                      <w:lang w:val="en-US" w:eastAsia="zh-CN"/>
                    </w:rPr>
                    <w:t>1</w:t>
                  </w:r>
                </w:p>
              </w:tc>
              <w:tc>
                <w:tcPr>
                  <w:tcW w:w="278" w:type="dxa"/>
                  <w:shd w:val="clear" w:color="auto" w:fill="auto"/>
                  <w:vAlign w:val="center"/>
                </w:tcPr>
                <w:p w14:paraId="3138C8E5">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278" w:type="dxa"/>
                  <w:shd w:val="clear" w:color="auto" w:fill="auto"/>
                  <w:vAlign w:val="center"/>
                </w:tcPr>
                <w:p w14:paraId="40725CA0">
                  <w:pPr>
                    <w:pStyle w:val="60"/>
                    <w:rPr>
                      <w:rFonts w:hint="eastAsia" w:eastAsia="宋体"/>
                      <w:color w:val="auto"/>
                      <w:sz w:val="18"/>
                      <w:szCs w:val="18"/>
                      <w:lang w:val="en-US" w:eastAsia="zh-CN"/>
                    </w:rPr>
                  </w:pPr>
                  <w:r>
                    <w:rPr>
                      <w:rFonts w:hint="eastAsia"/>
                      <w:color w:val="auto"/>
                      <w:sz w:val="18"/>
                      <w:szCs w:val="18"/>
                      <w:lang w:val="en-US" w:eastAsia="zh-CN"/>
                    </w:rPr>
                    <w:t>2</w:t>
                  </w:r>
                </w:p>
              </w:tc>
              <w:tc>
                <w:tcPr>
                  <w:tcW w:w="312" w:type="dxa"/>
                  <w:shd w:val="clear" w:color="auto" w:fill="auto"/>
                  <w:vAlign w:val="center"/>
                </w:tcPr>
                <w:p w14:paraId="45F67361">
                  <w:pPr>
                    <w:pStyle w:val="60"/>
                    <w:rPr>
                      <w:rFonts w:hint="eastAsia" w:eastAsia="宋体"/>
                      <w:color w:val="auto"/>
                      <w:sz w:val="18"/>
                      <w:szCs w:val="18"/>
                      <w:lang w:val="en-US" w:eastAsia="zh-CN"/>
                    </w:rPr>
                  </w:pPr>
                  <w:r>
                    <w:rPr>
                      <w:rFonts w:hint="eastAsia"/>
                      <w:color w:val="auto"/>
                      <w:sz w:val="18"/>
                      <w:szCs w:val="18"/>
                      <w:lang w:val="en-US" w:eastAsia="zh-CN"/>
                    </w:rPr>
                    <w:t>4</w:t>
                  </w:r>
                </w:p>
              </w:tc>
              <w:tc>
                <w:tcPr>
                  <w:tcW w:w="242" w:type="dxa"/>
                  <w:shd w:val="clear" w:color="auto" w:fill="auto"/>
                  <w:vAlign w:val="center"/>
                </w:tcPr>
                <w:p w14:paraId="73531FB4">
                  <w:pPr>
                    <w:pStyle w:val="60"/>
                    <w:rPr>
                      <w:rFonts w:hint="eastAsia" w:eastAsia="宋体"/>
                      <w:color w:val="auto"/>
                      <w:sz w:val="18"/>
                      <w:szCs w:val="18"/>
                      <w:lang w:val="en-US" w:eastAsia="zh-CN"/>
                    </w:rPr>
                  </w:pPr>
                  <w:r>
                    <w:rPr>
                      <w:rFonts w:hint="eastAsia"/>
                      <w:color w:val="auto"/>
                      <w:sz w:val="18"/>
                      <w:szCs w:val="18"/>
                      <w:lang w:val="en-US" w:eastAsia="zh-CN"/>
                    </w:rPr>
                    <w:t>2</w:t>
                  </w:r>
                </w:p>
              </w:tc>
              <w:tc>
                <w:tcPr>
                  <w:tcW w:w="278" w:type="dxa"/>
                  <w:shd w:val="clear" w:color="auto" w:fill="auto"/>
                  <w:vAlign w:val="center"/>
                </w:tcPr>
                <w:p w14:paraId="76C11B17">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242" w:type="dxa"/>
                  <w:shd w:val="clear" w:color="auto" w:fill="auto"/>
                  <w:vAlign w:val="center"/>
                </w:tcPr>
                <w:p w14:paraId="26F9E7FA">
                  <w:pPr>
                    <w:pStyle w:val="60"/>
                    <w:rPr>
                      <w:rFonts w:hint="eastAsia" w:eastAsia="宋体"/>
                      <w:color w:val="auto"/>
                      <w:sz w:val="18"/>
                      <w:szCs w:val="18"/>
                      <w:lang w:val="en-US" w:eastAsia="zh-CN"/>
                    </w:rPr>
                  </w:pPr>
                  <w:r>
                    <w:rPr>
                      <w:rFonts w:hint="eastAsia"/>
                      <w:color w:val="auto"/>
                      <w:sz w:val="18"/>
                      <w:szCs w:val="18"/>
                      <w:lang w:val="en-US" w:eastAsia="zh-CN"/>
                    </w:rPr>
                    <w:t>1</w:t>
                  </w:r>
                </w:p>
              </w:tc>
              <w:tc>
                <w:tcPr>
                  <w:tcW w:w="563" w:type="dxa"/>
                  <w:shd w:val="clear" w:color="auto" w:fill="auto"/>
                  <w:vAlign w:val="center"/>
                </w:tcPr>
                <w:p w14:paraId="3E49B12D">
                  <w:pPr>
                    <w:pStyle w:val="60"/>
                    <w:rPr>
                      <w:rFonts w:hint="default" w:eastAsia="宋体"/>
                      <w:color w:val="auto"/>
                      <w:sz w:val="18"/>
                      <w:szCs w:val="18"/>
                      <w:lang w:val="en-US" w:eastAsia="zh-CN"/>
                    </w:rPr>
                  </w:pPr>
                  <w:r>
                    <w:rPr>
                      <w:rFonts w:hint="eastAsia"/>
                      <w:color w:val="auto"/>
                      <w:sz w:val="18"/>
                      <w:szCs w:val="18"/>
                      <w:lang w:val="en-US" w:eastAsia="zh-CN"/>
                    </w:rPr>
                    <w:t>0.175</w:t>
                  </w:r>
                </w:p>
              </w:tc>
              <w:tc>
                <w:tcPr>
                  <w:tcW w:w="350" w:type="dxa"/>
                  <w:shd w:val="clear" w:color="auto" w:fill="auto"/>
                  <w:vAlign w:val="center"/>
                </w:tcPr>
                <w:p w14:paraId="05962AB7">
                  <w:pPr>
                    <w:pStyle w:val="60"/>
                    <w:rPr>
                      <w:rFonts w:hint="eastAsia" w:eastAsia="宋体"/>
                      <w:color w:val="auto"/>
                      <w:sz w:val="18"/>
                      <w:szCs w:val="18"/>
                      <w:lang w:val="en-US" w:eastAsia="zh-CN"/>
                    </w:rPr>
                  </w:pPr>
                  <w:r>
                    <w:rPr>
                      <w:rFonts w:hint="eastAsia"/>
                      <w:color w:val="auto"/>
                      <w:sz w:val="18"/>
                      <w:szCs w:val="18"/>
                      <w:lang w:val="en-US" w:eastAsia="zh-CN"/>
                    </w:rPr>
                    <w:t>浮筒式</w:t>
                  </w:r>
                </w:p>
              </w:tc>
              <w:tc>
                <w:tcPr>
                  <w:tcW w:w="538" w:type="dxa"/>
                  <w:gridSpan w:val="2"/>
                  <w:shd w:val="clear" w:color="auto" w:fill="auto"/>
                  <w:vAlign w:val="center"/>
                </w:tcPr>
                <w:p w14:paraId="2DE7E515">
                  <w:pPr>
                    <w:pStyle w:val="60"/>
                    <w:rPr>
                      <w:rFonts w:hint="default" w:eastAsia="宋体"/>
                      <w:color w:val="auto"/>
                      <w:sz w:val="18"/>
                      <w:szCs w:val="18"/>
                      <w:lang w:val="en-US" w:eastAsia="zh-CN"/>
                    </w:rPr>
                  </w:pPr>
                  <w:r>
                    <w:rPr>
                      <w:rFonts w:hint="eastAsia"/>
                      <w:color w:val="auto"/>
                      <w:sz w:val="18"/>
                      <w:szCs w:val="18"/>
                      <w:lang w:val="en-US" w:eastAsia="zh-CN"/>
                    </w:rPr>
                    <w:t>0.438</w:t>
                  </w:r>
                </w:p>
              </w:tc>
              <w:tc>
                <w:tcPr>
                  <w:tcW w:w="536" w:type="dxa"/>
                  <w:vMerge w:val="restart"/>
                  <w:shd w:val="clear" w:color="auto" w:fill="auto"/>
                  <w:vAlign w:val="center"/>
                </w:tcPr>
                <w:p w14:paraId="328E0589">
                  <w:pPr>
                    <w:pStyle w:val="60"/>
                    <w:rPr>
                      <w:rFonts w:hint="default" w:eastAsia="宋体"/>
                      <w:color w:val="auto"/>
                      <w:sz w:val="18"/>
                      <w:szCs w:val="18"/>
                      <w:lang w:val="en-US" w:eastAsia="zh-CN"/>
                    </w:rPr>
                  </w:pPr>
                  <w:r>
                    <w:rPr>
                      <w:rFonts w:hint="eastAsia"/>
                      <w:color w:val="auto"/>
                      <w:sz w:val="18"/>
                      <w:szCs w:val="18"/>
                      <w:lang w:val="en-US" w:eastAsia="zh-CN"/>
                    </w:rPr>
                    <w:t>4.235</w:t>
                  </w:r>
                </w:p>
              </w:tc>
            </w:tr>
            <w:tr w14:paraId="4AA7F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1" w:type="dxa"/>
                  <w:vMerge w:val="continue"/>
                  <w:shd w:val="clear" w:color="auto" w:fill="auto"/>
                  <w:vAlign w:val="center"/>
                </w:tcPr>
                <w:p w14:paraId="0B2F2D84">
                  <w:pPr>
                    <w:pStyle w:val="60"/>
                    <w:rPr>
                      <w:color w:val="auto"/>
                      <w:sz w:val="18"/>
                      <w:szCs w:val="18"/>
                    </w:rPr>
                  </w:pPr>
                </w:p>
              </w:tc>
              <w:tc>
                <w:tcPr>
                  <w:tcW w:w="241" w:type="dxa"/>
                  <w:shd w:val="clear" w:color="auto" w:fill="auto"/>
                  <w:vAlign w:val="center"/>
                </w:tcPr>
                <w:p w14:paraId="10E06E1F">
                  <w:pPr>
                    <w:pStyle w:val="60"/>
                    <w:rPr>
                      <w:color w:val="auto"/>
                      <w:sz w:val="18"/>
                      <w:szCs w:val="18"/>
                    </w:rPr>
                  </w:pPr>
                  <w:r>
                    <w:rPr>
                      <w:rFonts w:hint="eastAsia"/>
                      <w:color w:val="auto"/>
                      <w:sz w:val="18"/>
                      <w:szCs w:val="18"/>
                    </w:rPr>
                    <w:t>1</w:t>
                  </w:r>
                </w:p>
              </w:tc>
              <w:tc>
                <w:tcPr>
                  <w:tcW w:w="438" w:type="dxa"/>
                  <w:shd w:val="clear" w:color="auto" w:fill="auto"/>
                  <w:vAlign w:val="center"/>
                </w:tcPr>
                <w:p w14:paraId="08A2EEFE">
                  <w:pPr>
                    <w:pStyle w:val="60"/>
                    <w:rPr>
                      <w:color w:val="auto"/>
                      <w:sz w:val="18"/>
                      <w:szCs w:val="18"/>
                    </w:rPr>
                  </w:pPr>
                  <w:r>
                    <w:rPr>
                      <w:rFonts w:hint="eastAsia"/>
                      <w:color w:val="auto"/>
                      <w:sz w:val="18"/>
                      <w:szCs w:val="18"/>
                    </w:rPr>
                    <w:t>101.3</w:t>
                  </w:r>
                </w:p>
              </w:tc>
              <w:tc>
                <w:tcPr>
                  <w:tcW w:w="407" w:type="dxa"/>
                  <w:shd w:val="clear" w:color="auto" w:fill="auto"/>
                  <w:vAlign w:val="center"/>
                </w:tcPr>
                <w:p w14:paraId="388CC189">
                  <w:pPr>
                    <w:pStyle w:val="60"/>
                    <w:rPr>
                      <w:rFonts w:hint="default" w:eastAsia="宋体"/>
                      <w:color w:val="auto"/>
                      <w:sz w:val="18"/>
                      <w:szCs w:val="18"/>
                      <w:lang w:val="en-US" w:eastAsia="zh-CN"/>
                    </w:rPr>
                  </w:pPr>
                  <w:r>
                    <w:rPr>
                      <w:rFonts w:hint="eastAsia"/>
                      <w:color w:val="auto"/>
                      <w:sz w:val="18"/>
                      <w:szCs w:val="18"/>
                      <w:lang w:val="en-US" w:eastAsia="zh-CN"/>
                    </w:rPr>
                    <w:t>1000</w:t>
                  </w:r>
                </w:p>
              </w:tc>
              <w:tc>
                <w:tcPr>
                  <w:tcW w:w="253" w:type="dxa"/>
                  <w:shd w:val="clear" w:color="auto" w:fill="auto"/>
                  <w:vAlign w:val="center"/>
                </w:tcPr>
                <w:p w14:paraId="6EAB0733">
                  <w:pPr>
                    <w:pStyle w:val="60"/>
                    <w:rPr>
                      <w:rFonts w:hint="default" w:eastAsia="宋体"/>
                      <w:color w:val="auto"/>
                      <w:sz w:val="18"/>
                      <w:szCs w:val="18"/>
                      <w:lang w:val="en-US" w:eastAsia="zh-CN"/>
                    </w:rPr>
                  </w:pPr>
                  <w:r>
                    <w:rPr>
                      <w:rFonts w:hint="eastAsia"/>
                      <w:color w:val="auto"/>
                      <w:sz w:val="18"/>
                      <w:szCs w:val="18"/>
                      <w:lang w:val="en-US" w:eastAsia="zh-CN"/>
                    </w:rPr>
                    <w:t>11</w:t>
                  </w:r>
                </w:p>
              </w:tc>
              <w:tc>
                <w:tcPr>
                  <w:tcW w:w="599" w:type="dxa"/>
                  <w:shd w:val="clear" w:color="auto" w:fill="auto"/>
                  <w:vAlign w:val="center"/>
                </w:tcPr>
                <w:p w14:paraId="2CC5C1C9">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机械密封+边缘刮板</w:t>
                  </w:r>
                </w:p>
              </w:tc>
              <w:tc>
                <w:tcPr>
                  <w:tcW w:w="570" w:type="dxa"/>
                  <w:shd w:val="clear" w:color="auto" w:fill="auto"/>
                  <w:vAlign w:val="center"/>
                </w:tcPr>
                <w:p w14:paraId="7D1773ED">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0.011</w:t>
                  </w:r>
                </w:p>
              </w:tc>
              <w:tc>
                <w:tcPr>
                  <w:tcW w:w="542" w:type="dxa"/>
                  <w:vMerge w:val="continue"/>
                  <w:shd w:val="clear" w:color="auto" w:fill="auto"/>
                  <w:vAlign w:val="center"/>
                </w:tcPr>
                <w:p w14:paraId="24C533E0">
                  <w:pPr>
                    <w:pStyle w:val="60"/>
                    <w:rPr>
                      <w:color w:val="auto"/>
                      <w:sz w:val="18"/>
                      <w:szCs w:val="18"/>
                    </w:rPr>
                  </w:pPr>
                </w:p>
              </w:tc>
              <w:tc>
                <w:tcPr>
                  <w:tcW w:w="602" w:type="dxa"/>
                  <w:vMerge w:val="continue"/>
                  <w:shd w:val="clear" w:color="auto" w:fill="auto"/>
                  <w:vAlign w:val="center"/>
                </w:tcPr>
                <w:p w14:paraId="4A3D2E80">
                  <w:pPr>
                    <w:pStyle w:val="60"/>
                    <w:rPr>
                      <w:color w:val="auto"/>
                      <w:sz w:val="18"/>
                      <w:szCs w:val="18"/>
                    </w:rPr>
                  </w:pPr>
                </w:p>
              </w:tc>
              <w:tc>
                <w:tcPr>
                  <w:tcW w:w="242" w:type="dxa"/>
                  <w:shd w:val="clear" w:color="auto" w:fill="auto"/>
                  <w:vAlign w:val="center"/>
                </w:tcPr>
                <w:p w14:paraId="427E7AB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332" w:type="dxa"/>
                  <w:shd w:val="clear" w:color="auto" w:fill="auto"/>
                  <w:vAlign w:val="center"/>
                </w:tcPr>
                <w:p w14:paraId="35030A1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278" w:type="dxa"/>
                  <w:shd w:val="clear" w:color="auto" w:fill="auto"/>
                  <w:vAlign w:val="center"/>
                </w:tcPr>
                <w:p w14:paraId="3F86B691">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16</w:t>
                  </w:r>
                </w:p>
              </w:tc>
              <w:tc>
                <w:tcPr>
                  <w:tcW w:w="278" w:type="dxa"/>
                  <w:shd w:val="clear" w:color="auto" w:fill="auto"/>
                  <w:vAlign w:val="center"/>
                </w:tcPr>
                <w:p w14:paraId="4A9B4B0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312" w:type="dxa"/>
                  <w:shd w:val="clear" w:color="auto" w:fill="auto"/>
                  <w:vAlign w:val="center"/>
                </w:tcPr>
                <w:p w14:paraId="1EA0949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242" w:type="dxa"/>
                  <w:shd w:val="clear" w:color="auto" w:fill="auto"/>
                  <w:vAlign w:val="center"/>
                </w:tcPr>
                <w:p w14:paraId="04B962C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278" w:type="dxa"/>
                  <w:shd w:val="clear" w:color="auto" w:fill="auto"/>
                  <w:vAlign w:val="center"/>
                </w:tcPr>
                <w:p w14:paraId="1A0E011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242" w:type="dxa"/>
                  <w:shd w:val="clear" w:color="auto" w:fill="auto"/>
                  <w:vAlign w:val="center"/>
                </w:tcPr>
                <w:p w14:paraId="6F40BF9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63" w:type="dxa"/>
                  <w:shd w:val="clear" w:color="auto" w:fill="auto"/>
                  <w:vAlign w:val="center"/>
                </w:tcPr>
                <w:p w14:paraId="0660F3F3">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0.175</w:t>
                  </w:r>
                </w:p>
              </w:tc>
              <w:tc>
                <w:tcPr>
                  <w:tcW w:w="350" w:type="dxa"/>
                  <w:shd w:val="clear" w:color="auto" w:fill="auto"/>
                  <w:vAlign w:val="center"/>
                </w:tcPr>
                <w:p w14:paraId="5B86719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浮筒式</w:t>
                  </w:r>
                </w:p>
              </w:tc>
              <w:tc>
                <w:tcPr>
                  <w:tcW w:w="538" w:type="dxa"/>
                  <w:gridSpan w:val="2"/>
                  <w:shd w:val="clear" w:color="auto" w:fill="auto"/>
                  <w:vAlign w:val="center"/>
                </w:tcPr>
                <w:p w14:paraId="6327BA17">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0.438</w:t>
                  </w:r>
                </w:p>
              </w:tc>
              <w:tc>
                <w:tcPr>
                  <w:tcW w:w="536" w:type="dxa"/>
                  <w:vMerge w:val="continue"/>
                  <w:shd w:val="clear" w:color="auto" w:fill="auto"/>
                  <w:vAlign w:val="center"/>
                </w:tcPr>
                <w:p w14:paraId="3CFC8141">
                  <w:pPr>
                    <w:pStyle w:val="60"/>
                    <w:rPr>
                      <w:color w:val="auto"/>
                      <w:sz w:val="18"/>
                      <w:szCs w:val="18"/>
                    </w:rPr>
                  </w:pPr>
                </w:p>
              </w:tc>
            </w:tr>
            <w:tr w14:paraId="748F8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1" w:type="dxa"/>
                  <w:shd w:val="clear" w:color="auto" w:fill="auto"/>
                  <w:vAlign w:val="center"/>
                </w:tcPr>
                <w:p w14:paraId="57583569">
                  <w:pPr>
                    <w:pStyle w:val="60"/>
                    <w:rPr>
                      <w:rFonts w:hint="eastAsia" w:eastAsia="宋体"/>
                      <w:color w:val="auto"/>
                      <w:sz w:val="18"/>
                      <w:szCs w:val="18"/>
                      <w:lang w:eastAsia="zh-CN"/>
                    </w:rPr>
                  </w:pPr>
                  <w:r>
                    <w:rPr>
                      <w:rFonts w:hint="eastAsia"/>
                      <w:color w:val="auto"/>
                      <w:sz w:val="18"/>
                      <w:szCs w:val="18"/>
                      <w:lang w:val="en-US" w:eastAsia="zh-CN"/>
                    </w:rPr>
                    <w:t>叔丁醇</w:t>
                  </w:r>
                </w:p>
              </w:tc>
              <w:tc>
                <w:tcPr>
                  <w:tcW w:w="241" w:type="dxa"/>
                  <w:shd w:val="clear" w:color="auto" w:fill="auto"/>
                  <w:vAlign w:val="center"/>
                </w:tcPr>
                <w:p w14:paraId="2241DFC7">
                  <w:pPr>
                    <w:pStyle w:val="60"/>
                    <w:rPr>
                      <w:color w:val="auto"/>
                      <w:sz w:val="18"/>
                      <w:szCs w:val="18"/>
                    </w:rPr>
                  </w:pPr>
                  <w:r>
                    <w:rPr>
                      <w:rFonts w:hint="eastAsia"/>
                      <w:color w:val="auto"/>
                      <w:sz w:val="18"/>
                      <w:szCs w:val="18"/>
                    </w:rPr>
                    <w:t>1</w:t>
                  </w:r>
                </w:p>
              </w:tc>
              <w:tc>
                <w:tcPr>
                  <w:tcW w:w="438" w:type="dxa"/>
                  <w:shd w:val="clear" w:color="auto" w:fill="auto"/>
                  <w:vAlign w:val="center"/>
                </w:tcPr>
                <w:p w14:paraId="0DB8E79B">
                  <w:pPr>
                    <w:pStyle w:val="60"/>
                    <w:rPr>
                      <w:color w:val="auto"/>
                      <w:sz w:val="18"/>
                      <w:szCs w:val="18"/>
                    </w:rPr>
                  </w:pPr>
                  <w:r>
                    <w:rPr>
                      <w:rFonts w:hint="eastAsia"/>
                      <w:color w:val="auto"/>
                      <w:sz w:val="18"/>
                      <w:szCs w:val="18"/>
                    </w:rPr>
                    <w:t>101.3</w:t>
                  </w:r>
                </w:p>
              </w:tc>
              <w:tc>
                <w:tcPr>
                  <w:tcW w:w="407" w:type="dxa"/>
                  <w:shd w:val="clear" w:color="auto" w:fill="auto"/>
                  <w:vAlign w:val="center"/>
                </w:tcPr>
                <w:p w14:paraId="51338AC4">
                  <w:pPr>
                    <w:pStyle w:val="60"/>
                    <w:rPr>
                      <w:rFonts w:hint="default" w:eastAsia="宋体"/>
                      <w:color w:val="auto"/>
                      <w:sz w:val="18"/>
                      <w:szCs w:val="18"/>
                      <w:lang w:val="en-US" w:eastAsia="zh-CN"/>
                    </w:rPr>
                  </w:pPr>
                  <w:r>
                    <w:rPr>
                      <w:rFonts w:hint="eastAsia"/>
                      <w:color w:val="auto"/>
                      <w:sz w:val="18"/>
                      <w:szCs w:val="18"/>
                      <w:lang w:val="en-US" w:eastAsia="zh-CN"/>
                    </w:rPr>
                    <w:t>1000</w:t>
                  </w:r>
                </w:p>
              </w:tc>
              <w:tc>
                <w:tcPr>
                  <w:tcW w:w="253" w:type="dxa"/>
                  <w:shd w:val="clear" w:color="auto" w:fill="auto"/>
                  <w:vAlign w:val="center"/>
                </w:tcPr>
                <w:p w14:paraId="3E5FA3B1">
                  <w:pPr>
                    <w:pStyle w:val="60"/>
                    <w:rPr>
                      <w:rFonts w:hint="default" w:eastAsia="宋体"/>
                      <w:color w:val="auto"/>
                      <w:sz w:val="18"/>
                      <w:szCs w:val="18"/>
                      <w:lang w:val="en-US" w:eastAsia="zh-CN"/>
                    </w:rPr>
                  </w:pPr>
                  <w:r>
                    <w:rPr>
                      <w:rFonts w:hint="eastAsia"/>
                      <w:color w:val="auto"/>
                      <w:sz w:val="18"/>
                      <w:szCs w:val="18"/>
                      <w:lang w:val="en-US" w:eastAsia="zh-CN"/>
                    </w:rPr>
                    <w:t>11</w:t>
                  </w:r>
                </w:p>
              </w:tc>
              <w:tc>
                <w:tcPr>
                  <w:tcW w:w="599" w:type="dxa"/>
                  <w:shd w:val="clear" w:color="auto" w:fill="auto"/>
                  <w:vAlign w:val="center"/>
                </w:tcPr>
                <w:p w14:paraId="131FF6EB">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机械密封+边缘刮板</w:t>
                  </w:r>
                </w:p>
              </w:tc>
              <w:tc>
                <w:tcPr>
                  <w:tcW w:w="570" w:type="dxa"/>
                  <w:shd w:val="clear" w:color="auto" w:fill="auto"/>
                  <w:vAlign w:val="center"/>
                </w:tcPr>
                <w:p w14:paraId="3D53A40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0.008</w:t>
                  </w:r>
                </w:p>
              </w:tc>
              <w:tc>
                <w:tcPr>
                  <w:tcW w:w="542" w:type="dxa"/>
                  <w:shd w:val="clear" w:color="auto" w:fill="auto"/>
                  <w:vAlign w:val="center"/>
                </w:tcPr>
                <w:p w14:paraId="71E07C6E">
                  <w:pPr>
                    <w:pStyle w:val="60"/>
                    <w:rPr>
                      <w:rFonts w:hint="default" w:eastAsia="宋体"/>
                      <w:color w:val="auto"/>
                      <w:sz w:val="18"/>
                      <w:szCs w:val="18"/>
                      <w:lang w:val="en-US" w:eastAsia="zh-CN"/>
                    </w:rPr>
                  </w:pPr>
                  <w:r>
                    <w:rPr>
                      <w:rFonts w:hint="eastAsia"/>
                      <w:color w:val="auto"/>
                      <w:sz w:val="18"/>
                      <w:szCs w:val="18"/>
                      <w:lang w:val="en-US" w:eastAsia="zh-CN"/>
                    </w:rPr>
                    <w:t>5000</w:t>
                  </w:r>
                </w:p>
              </w:tc>
              <w:tc>
                <w:tcPr>
                  <w:tcW w:w="602" w:type="dxa"/>
                  <w:shd w:val="clear" w:color="auto" w:fill="auto"/>
                  <w:vAlign w:val="center"/>
                </w:tcPr>
                <w:p w14:paraId="66AAC0FC">
                  <w:pPr>
                    <w:pStyle w:val="60"/>
                    <w:rPr>
                      <w:rFonts w:hint="default" w:eastAsia="宋体"/>
                      <w:color w:val="auto"/>
                      <w:sz w:val="18"/>
                      <w:szCs w:val="18"/>
                      <w:lang w:val="en-US" w:eastAsia="zh-CN"/>
                    </w:rPr>
                  </w:pPr>
                  <w:r>
                    <w:rPr>
                      <w:rFonts w:hint="eastAsia"/>
                      <w:color w:val="auto"/>
                      <w:sz w:val="18"/>
                      <w:szCs w:val="18"/>
                      <w:lang w:val="en-US" w:eastAsia="zh-CN"/>
                    </w:rPr>
                    <w:t>0.467</w:t>
                  </w:r>
                </w:p>
              </w:tc>
              <w:tc>
                <w:tcPr>
                  <w:tcW w:w="242" w:type="dxa"/>
                  <w:shd w:val="clear" w:color="auto" w:fill="auto"/>
                  <w:vAlign w:val="center"/>
                </w:tcPr>
                <w:p w14:paraId="00950BD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332" w:type="dxa"/>
                  <w:shd w:val="clear" w:color="auto" w:fill="auto"/>
                  <w:vAlign w:val="center"/>
                </w:tcPr>
                <w:p w14:paraId="5146B1D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278" w:type="dxa"/>
                  <w:shd w:val="clear" w:color="auto" w:fill="auto"/>
                  <w:vAlign w:val="center"/>
                </w:tcPr>
                <w:p w14:paraId="0E5D96E2">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16</w:t>
                  </w:r>
                </w:p>
              </w:tc>
              <w:tc>
                <w:tcPr>
                  <w:tcW w:w="278" w:type="dxa"/>
                  <w:shd w:val="clear" w:color="auto" w:fill="auto"/>
                  <w:vAlign w:val="center"/>
                </w:tcPr>
                <w:p w14:paraId="50F39CC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312" w:type="dxa"/>
                  <w:shd w:val="clear" w:color="auto" w:fill="auto"/>
                  <w:vAlign w:val="center"/>
                </w:tcPr>
                <w:p w14:paraId="3A9DFC9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242" w:type="dxa"/>
                  <w:shd w:val="clear" w:color="auto" w:fill="auto"/>
                  <w:vAlign w:val="center"/>
                </w:tcPr>
                <w:p w14:paraId="68FDA41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278" w:type="dxa"/>
                  <w:shd w:val="clear" w:color="auto" w:fill="auto"/>
                  <w:vAlign w:val="center"/>
                </w:tcPr>
                <w:p w14:paraId="7810546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242" w:type="dxa"/>
                  <w:shd w:val="clear" w:color="auto" w:fill="auto"/>
                  <w:vAlign w:val="center"/>
                </w:tcPr>
                <w:p w14:paraId="265AFDE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63" w:type="dxa"/>
                  <w:shd w:val="clear" w:color="auto" w:fill="auto"/>
                  <w:vAlign w:val="center"/>
                </w:tcPr>
                <w:p w14:paraId="62F48FA6">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0.125</w:t>
                  </w:r>
                </w:p>
              </w:tc>
              <w:tc>
                <w:tcPr>
                  <w:tcW w:w="350" w:type="dxa"/>
                  <w:shd w:val="clear" w:color="auto" w:fill="auto"/>
                  <w:vAlign w:val="center"/>
                </w:tcPr>
                <w:p w14:paraId="22E12AE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浮筒式</w:t>
                  </w:r>
                </w:p>
              </w:tc>
              <w:tc>
                <w:tcPr>
                  <w:tcW w:w="538" w:type="dxa"/>
                  <w:gridSpan w:val="2"/>
                  <w:shd w:val="clear" w:color="auto" w:fill="auto"/>
                  <w:vAlign w:val="center"/>
                </w:tcPr>
                <w:p w14:paraId="1D44169E">
                  <w:pPr>
                    <w:pStyle w:val="60"/>
                    <w:rPr>
                      <w:rFonts w:hint="default" w:eastAsia="宋体"/>
                      <w:color w:val="auto"/>
                      <w:sz w:val="18"/>
                      <w:szCs w:val="18"/>
                      <w:lang w:val="en-US" w:eastAsia="zh-CN"/>
                    </w:rPr>
                  </w:pPr>
                  <w:r>
                    <w:rPr>
                      <w:rFonts w:hint="eastAsia"/>
                      <w:color w:val="auto"/>
                      <w:sz w:val="18"/>
                      <w:szCs w:val="18"/>
                      <w:lang w:val="en-US" w:eastAsia="zh-CN"/>
                    </w:rPr>
                    <w:t>0.304</w:t>
                  </w:r>
                </w:p>
              </w:tc>
              <w:tc>
                <w:tcPr>
                  <w:tcW w:w="536" w:type="dxa"/>
                  <w:shd w:val="clear" w:color="auto" w:fill="auto"/>
                  <w:vAlign w:val="center"/>
                </w:tcPr>
                <w:p w14:paraId="5478328D">
                  <w:pPr>
                    <w:pStyle w:val="60"/>
                    <w:rPr>
                      <w:rFonts w:hint="default" w:eastAsia="宋体"/>
                      <w:color w:val="auto"/>
                      <w:sz w:val="18"/>
                      <w:szCs w:val="18"/>
                      <w:lang w:val="en-US" w:eastAsia="zh-CN"/>
                    </w:rPr>
                  </w:pPr>
                  <w:r>
                    <w:rPr>
                      <w:rFonts w:hint="eastAsia"/>
                      <w:color w:val="auto"/>
                      <w:sz w:val="18"/>
                      <w:szCs w:val="18"/>
                      <w:lang w:val="en-US" w:eastAsia="zh-CN"/>
                    </w:rPr>
                    <w:t>0.904</w:t>
                  </w:r>
                </w:p>
              </w:tc>
            </w:tr>
            <w:tr w14:paraId="51F5E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770" w:type="dxa"/>
                  <w:gridSpan w:val="18"/>
                  <w:vMerge w:val="restart"/>
                  <w:shd w:val="clear" w:color="auto" w:fill="auto"/>
                  <w:vAlign w:val="center"/>
                </w:tcPr>
                <w:p w14:paraId="077A12AD">
                  <w:pPr>
                    <w:pStyle w:val="60"/>
                    <w:rPr>
                      <w:b/>
                      <w:bCs/>
                      <w:color w:val="auto"/>
                      <w:sz w:val="18"/>
                      <w:szCs w:val="18"/>
                    </w:rPr>
                  </w:pPr>
                  <w:r>
                    <w:rPr>
                      <w:rFonts w:hint="eastAsia"/>
                      <w:b/>
                      <w:bCs/>
                      <w:color w:val="auto"/>
                      <w:sz w:val="18"/>
                      <w:szCs w:val="18"/>
                    </w:rPr>
                    <w:t>合计</w:t>
                  </w:r>
                </w:p>
              </w:tc>
              <w:tc>
                <w:tcPr>
                  <w:tcW w:w="888" w:type="dxa"/>
                  <w:gridSpan w:val="3"/>
                  <w:shd w:val="clear" w:color="auto" w:fill="auto"/>
                  <w:vAlign w:val="center"/>
                </w:tcPr>
                <w:p w14:paraId="39D78EF8">
                  <w:pPr>
                    <w:pStyle w:val="60"/>
                    <w:rPr>
                      <w:b/>
                      <w:bCs/>
                      <w:color w:val="auto"/>
                      <w:sz w:val="18"/>
                      <w:szCs w:val="18"/>
                    </w:rPr>
                  </w:pPr>
                  <w:r>
                    <w:rPr>
                      <w:rFonts w:hint="eastAsia"/>
                      <w:b/>
                      <w:bCs/>
                      <w:color w:val="auto"/>
                      <w:sz w:val="18"/>
                      <w:szCs w:val="18"/>
                    </w:rPr>
                    <w:t>VOCs合计</w:t>
                  </w:r>
                </w:p>
              </w:tc>
              <w:tc>
                <w:tcPr>
                  <w:tcW w:w="536" w:type="dxa"/>
                  <w:shd w:val="clear" w:color="auto" w:fill="auto"/>
                  <w:vAlign w:val="center"/>
                </w:tcPr>
                <w:p w14:paraId="0A42E6FF">
                  <w:pPr>
                    <w:pStyle w:val="60"/>
                    <w:rPr>
                      <w:rFonts w:hint="default" w:eastAsia="宋体"/>
                      <w:b/>
                      <w:bCs/>
                      <w:color w:val="auto"/>
                      <w:sz w:val="18"/>
                      <w:szCs w:val="18"/>
                      <w:lang w:val="en-US" w:eastAsia="zh-CN"/>
                    </w:rPr>
                  </w:pPr>
                  <w:r>
                    <w:rPr>
                      <w:rFonts w:hint="eastAsia"/>
                      <w:b/>
                      <w:bCs/>
                      <w:color w:val="auto"/>
                      <w:sz w:val="18"/>
                      <w:szCs w:val="18"/>
                      <w:lang w:val="en-US" w:eastAsia="zh-CN"/>
                    </w:rPr>
                    <w:t>5.139</w:t>
                  </w:r>
                </w:p>
              </w:tc>
            </w:tr>
            <w:tr w14:paraId="55A1C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770" w:type="dxa"/>
                  <w:gridSpan w:val="18"/>
                  <w:vMerge w:val="continue"/>
                  <w:shd w:val="clear" w:color="auto" w:fill="auto"/>
                  <w:vAlign w:val="center"/>
                </w:tcPr>
                <w:p w14:paraId="505BCA2C">
                  <w:pPr>
                    <w:pStyle w:val="60"/>
                    <w:rPr>
                      <w:rFonts w:hint="eastAsia"/>
                      <w:b/>
                      <w:bCs/>
                      <w:color w:val="auto"/>
                      <w:sz w:val="18"/>
                      <w:szCs w:val="18"/>
                    </w:rPr>
                  </w:pPr>
                </w:p>
              </w:tc>
              <w:tc>
                <w:tcPr>
                  <w:tcW w:w="444" w:type="dxa"/>
                  <w:gridSpan w:val="2"/>
                  <w:shd w:val="clear" w:color="auto" w:fill="auto"/>
                  <w:vAlign w:val="center"/>
                </w:tcPr>
                <w:p w14:paraId="483DD35A">
                  <w:pPr>
                    <w:pStyle w:val="60"/>
                    <w:rPr>
                      <w:rFonts w:hint="eastAsia" w:eastAsia="宋体"/>
                      <w:b/>
                      <w:bCs/>
                      <w:color w:val="auto"/>
                      <w:sz w:val="18"/>
                      <w:szCs w:val="18"/>
                      <w:lang w:val="en-US" w:eastAsia="zh-CN"/>
                    </w:rPr>
                  </w:pPr>
                  <w:r>
                    <w:rPr>
                      <w:rFonts w:hint="eastAsia"/>
                      <w:b/>
                      <w:bCs/>
                      <w:color w:val="auto"/>
                      <w:sz w:val="18"/>
                      <w:szCs w:val="18"/>
                      <w:lang w:val="en-US" w:eastAsia="zh-CN"/>
                    </w:rPr>
                    <w:t>其中</w:t>
                  </w:r>
                </w:p>
              </w:tc>
              <w:tc>
                <w:tcPr>
                  <w:tcW w:w="444" w:type="dxa"/>
                  <w:shd w:val="clear" w:color="auto" w:fill="auto"/>
                  <w:vAlign w:val="center"/>
                </w:tcPr>
                <w:p w14:paraId="54E19450">
                  <w:pPr>
                    <w:pStyle w:val="60"/>
                    <w:rPr>
                      <w:rFonts w:hint="default"/>
                      <w:b/>
                      <w:bCs/>
                      <w:color w:val="auto"/>
                      <w:sz w:val="18"/>
                      <w:szCs w:val="18"/>
                      <w:lang w:val="en-US" w:eastAsia="zh-CN"/>
                    </w:rPr>
                  </w:pPr>
                  <w:r>
                    <w:rPr>
                      <w:rFonts w:hint="eastAsia"/>
                      <w:b/>
                      <w:bCs/>
                      <w:color w:val="auto"/>
                      <w:sz w:val="18"/>
                      <w:szCs w:val="18"/>
                      <w:lang w:val="en-US" w:eastAsia="zh-CN"/>
                    </w:rPr>
                    <w:t>甲醇</w:t>
                  </w:r>
                </w:p>
              </w:tc>
              <w:tc>
                <w:tcPr>
                  <w:tcW w:w="536" w:type="dxa"/>
                  <w:shd w:val="clear" w:color="auto" w:fill="auto"/>
                  <w:vAlign w:val="center"/>
                </w:tcPr>
                <w:p w14:paraId="033EE56F">
                  <w:pPr>
                    <w:pStyle w:val="60"/>
                    <w:rPr>
                      <w:rFonts w:hint="default" w:eastAsia="宋体"/>
                      <w:b/>
                      <w:bCs/>
                      <w:color w:val="auto"/>
                      <w:sz w:val="18"/>
                      <w:szCs w:val="18"/>
                      <w:lang w:val="en-US" w:eastAsia="zh-CN"/>
                    </w:rPr>
                  </w:pPr>
                  <w:r>
                    <w:rPr>
                      <w:rFonts w:hint="eastAsia"/>
                      <w:b/>
                      <w:bCs/>
                      <w:color w:val="auto"/>
                      <w:sz w:val="18"/>
                      <w:szCs w:val="18"/>
                      <w:lang w:val="en-US" w:eastAsia="zh-CN"/>
                    </w:rPr>
                    <w:t>4.235</w:t>
                  </w:r>
                </w:p>
              </w:tc>
            </w:tr>
          </w:tbl>
          <w:p w14:paraId="5A9C6E0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②固定顶储罐</w:t>
            </w:r>
          </w:p>
          <w:p w14:paraId="085C95CF">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本项目固定顶储罐“呼吸”废气的核算采用《石化行业</w:t>
            </w:r>
            <w:r>
              <w:rPr>
                <w:color w:val="auto"/>
                <w:sz w:val="21"/>
                <w:szCs w:val="21"/>
              </w:rPr>
              <w:t>VOC</w:t>
            </w:r>
            <w:r>
              <w:rPr>
                <w:color w:val="auto"/>
                <w:sz w:val="21"/>
                <w:szCs w:val="21"/>
                <w:vertAlign w:val="subscript"/>
              </w:rPr>
              <w:t>S</w:t>
            </w:r>
            <w:r>
              <w:rPr>
                <w:rFonts w:hint="eastAsia"/>
                <w:color w:val="auto"/>
                <w:sz w:val="21"/>
                <w:szCs w:val="21"/>
              </w:rPr>
              <w:t>污染源排查工作指南》中“固定顶罐总损耗”计算方法进行计算：</w:t>
            </w:r>
          </w:p>
          <w:p w14:paraId="62EBDF11">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固定顶罐的总损耗（</w:t>
            </w:r>
            <w:r>
              <w:rPr>
                <w:i/>
                <w:color w:val="auto"/>
                <w:sz w:val="21"/>
                <w:szCs w:val="21"/>
              </w:rPr>
              <w:t>L</w:t>
            </w:r>
            <w:r>
              <w:rPr>
                <w:i/>
                <w:color w:val="auto"/>
                <w:sz w:val="21"/>
                <w:szCs w:val="21"/>
                <w:vertAlign w:val="subscript"/>
              </w:rPr>
              <w:t>T</w:t>
            </w:r>
            <w:r>
              <w:rPr>
                <w:rFonts w:hint="eastAsia"/>
                <w:color w:val="auto"/>
                <w:sz w:val="21"/>
                <w:szCs w:val="21"/>
              </w:rPr>
              <w:t>）是静置损耗（</w:t>
            </w:r>
            <w:r>
              <w:rPr>
                <w:i/>
                <w:color w:val="auto"/>
                <w:sz w:val="21"/>
                <w:szCs w:val="21"/>
              </w:rPr>
              <w:t>L</w:t>
            </w:r>
            <w:r>
              <w:rPr>
                <w:i/>
                <w:color w:val="auto"/>
                <w:sz w:val="21"/>
                <w:szCs w:val="21"/>
                <w:vertAlign w:val="subscript"/>
              </w:rPr>
              <w:t>S</w:t>
            </w:r>
            <w:r>
              <w:rPr>
                <w:rFonts w:hint="eastAsia"/>
                <w:color w:val="auto"/>
                <w:sz w:val="21"/>
                <w:szCs w:val="21"/>
              </w:rPr>
              <w:t>）与工作损耗（</w:t>
            </w:r>
            <w:r>
              <w:rPr>
                <w:i/>
                <w:color w:val="auto"/>
                <w:sz w:val="21"/>
                <w:szCs w:val="21"/>
              </w:rPr>
              <w:t>L</w:t>
            </w:r>
            <w:r>
              <w:rPr>
                <w:i/>
                <w:color w:val="auto"/>
                <w:sz w:val="21"/>
                <w:szCs w:val="21"/>
                <w:vertAlign w:val="subscript"/>
              </w:rPr>
              <w:t>W</w:t>
            </w:r>
            <w:r>
              <w:rPr>
                <w:rFonts w:hint="eastAsia"/>
                <w:color w:val="auto"/>
                <w:sz w:val="21"/>
                <w:szCs w:val="21"/>
              </w:rPr>
              <w:t>）的总和：</w:t>
            </w:r>
          </w:p>
          <w:p w14:paraId="0DD98A36">
            <w:pPr>
              <w:pStyle w:val="79"/>
              <w:snapToGrid/>
              <w:spacing w:line="240" w:lineRule="auto"/>
              <w:ind w:firstLine="0" w:firstLineChars="0"/>
              <w:jc w:val="center"/>
              <w:rPr>
                <w:color w:val="auto"/>
                <w:sz w:val="21"/>
                <w:szCs w:val="21"/>
              </w:rPr>
            </w:pPr>
            <w:r>
              <w:rPr>
                <w:color w:val="auto"/>
                <w:sz w:val="21"/>
                <w:szCs w:val="21"/>
              </w:rPr>
              <w:drawing>
                <wp:inline distT="0" distB="0" distL="0" distR="0">
                  <wp:extent cx="923925" cy="276225"/>
                  <wp:effectExtent l="0" t="0" r="9525" b="9525"/>
                  <wp:docPr id="9404641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4183"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3925" cy="276225"/>
                          </a:xfrm>
                          <a:prstGeom prst="rect">
                            <a:avLst/>
                          </a:prstGeom>
                          <a:noFill/>
                          <a:ln>
                            <a:noFill/>
                          </a:ln>
                        </pic:spPr>
                      </pic:pic>
                    </a:graphicData>
                  </a:graphic>
                </wp:inline>
              </w:drawing>
            </w:r>
          </w:p>
          <w:p w14:paraId="6D97F6D5">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a.静置储藏损耗（俗称“小呼吸”）</w:t>
            </w:r>
          </w:p>
          <w:p w14:paraId="79E53293">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静置储藏损耗</w:t>
            </w:r>
            <w:r>
              <w:rPr>
                <w:i/>
                <w:color w:val="auto"/>
                <w:sz w:val="21"/>
                <w:szCs w:val="21"/>
              </w:rPr>
              <w:t>L</w:t>
            </w:r>
            <w:r>
              <w:rPr>
                <w:i/>
                <w:color w:val="auto"/>
                <w:sz w:val="21"/>
                <w:szCs w:val="21"/>
                <w:vertAlign w:val="subscript"/>
              </w:rPr>
              <w:t>S</w:t>
            </w:r>
            <w:r>
              <w:rPr>
                <w:rFonts w:hint="eastAsia"/>
                <w:color w:val="auto"/>
                <w:sz w:val="21"/>
                <w:szCs w:val="21"/>
              </w:rPr>
              <w:t>，是指由于罐体气相空间呼吸导致的储存气相损耗。计算公式如下：</w:t>
            </w:r>
          </w:p>
          <w:p w14:paraId="68D23280">
            <w:pPr>
              <w:pStyle w:val="79"/>
              <w:spacing w:line="240" w:lineRule="auto"/>
              <w:ind w:firstLine="0" w:firstLineChars="0"/>
              <w:jc w:val="center"/>
              <w:rPr>
                <w:color w:val="auto"/>
                <w:sz w:val="21"/>
                <w:szCs w:val="21"/>
              </w:rPr>
            </w:pPr>
            <w:r>
              <w:rPr>
                <w:color w:val="auto"/>
                <w:sz w:val="21"/>
                <w:szCs w:val="21"/>
              </w:rPr>
              <w:drawing>
                <wp:inline distT="0" distB="0" distL="0" distR="0">
                  <wp:extent cx="2028825" cy="476250"/>
                  <wp:effectExtent l="0" t="0" r="9525" b="0"/>
                  <wp:docPr id="694348306" name="图片 1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306" name="图片 11" descr="文本&#10;&#10;AI 生成的内容可能不正确。"/>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28825" cy="476250"/>
                          </a:xfrm>
                          <a:prstGeom prst="rect">
                            <a:avLst/>
                          </a:prstGeom>
                          <a:noFill/>
                          <a:ln>
                            <a:noFill/>
                          </a:ln>
                        </pic:spPr>
                      </pic:pic>
                    </a:graphicData>
                  </a:graphic>
                </wp:inline>
              </w:drawing>
            </w:r>
          </w:p>
          <w:p w14:paraId="62E85780">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cs="Times New Roman"/>
                <w:color w:val="auto"/>
                <w:sz w:val="21"/>
                <w:szCs w:val="21"/>
              </w:rPr>
            </w:pPr>
            <w:r>
              <w:rPr>
                <w:rFonts w:cs="Times New Roman"/>
                <w:color w:val="auto"/>
                <w:sz w:val="21"/>
                <w:szCs w:val="21"/>
              </w:rPr>
              <w:t>式中：L</w:t>
            </w:r>
            <w:r>
              <w:rPr>
                <w:rFonts w:cs="Times New Roman"/>
                <w:color w:val="auto"/>
                <w:sz w:val="21"/>
                <w:szCs w:val="21"/>
                <w:vertAlign w:val="subscript"/>
              </w:rPr>
              <w:t>S</w:t>
            </w:r>
            <w:r>
              <w:rPr>
                <w:rFonts w:cs="Times New Roman"/>
                <w:color w:val="auto"/>
                <w:sz w:val="21"/>
                <w:szCs w:val="21"/>
              </w:rPr>
              <w:t>——静置储藏损耗，磅/年；</w:t>
            </w:r>
          </w:p>
          <w:p w14:paraId="0671C523">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rFonts w:cs="Times New Roman"/>
                <w:color w:val="auto"/>
                <w:sz w:val="21"/>
                <w:szCs w:val="21"/>
              </w:rPr>
            </w:pPr>
            <w:r>
              <w:rPr>
                <w:rFonts w:cs="Times New Roman"/>
                <w:color w:val="auto"/>
                <w:sz w:val="21"/>
                <w:szCs w:val="21"/>
              </w:rPr>
              <w:t>K</w:t>
            </w:r>
            <w:r>
              <w:rPr>
                <w:rFonts w:cs="Times New Roman"/>
                <w:color w:val="auto"/>
                <w:sz w:val="21"/>
                <w:szCs w:val="21"/>
                <w:vertAlign w:val="subscript"/>
              </w:rPr>
              <w:t>E</w:t>
            </w:r>
            <w:r>
              <w:rPr>
                <w:rFonts w:cs="Times New Roman"/>
                <w:color w:val="auto"/>
                <w:sz w:val="21"/>
                <w:szCs w:val="21"/>
              </w:rPr>
              <w:t>——气相空间膨胀因子，无量纲量；</w:t>
            </w:r>
          </w:p>
          <w:p w14:paraId="55A477F3">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rFonts w:cs="Times New Roman"/>
                <w:color w:val="auto"/>
                <w:sz w:val="21"/>
                <w:szCs w:val="21"/>
              </w:rPr>
            </w:pPr>
            <w:r>
              <w:rPr>
                <w:rFonts w:cs="Times New Roman"/>
                <w:color w:val="auto"/>
                <w:sz w:val="21"/>
                <w:szCs w:val="21"/>
              </w:rPr>
              <w:t>K</w:t>
            </w:r>
            <w:r>
              <w:rPr>
                <w:rFonts w:cs="Times New Roman"/>
                <w:color w:val="auto"/>
                <w:sz w:val="21"/>
                <w:szCs w:val="21"/>
                <w:vertAlign w:val="subscript"/>
              </w:rPr>
              <w:t>S</w:t>
            </w:r>
            <w:r>
              <w:rPr>
                <w:rFonts w:cs="Times New Roman"/>
                <w:color w:val="auto"/>
                <w:sz w:val="21"/>
                <w:szCs w:val="21"/>
              </w:rPr>
              <w:t>——排放蒸气饱和因子，无量纲量；</w:t>
            </w:r>
          </w:p>
          <w:p w14:paraId="219A93E0">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rFonts w:cs="Times New Roman"/>
                <w:color w:val="auto"/>
                <w:sz w:val="21"/>
                <w:szCs w:val="21"/>
              </w:rPr>
            </w:pPr>
            <w:r>
              <w:rPr>
                <w:rFonts w:cs="Times New Roman"/>
                <w:color w:val="auto"/>
                <w:sz w:val="21"/>
                <w:szCs w:val="21"/>
              </w:rPr>
              <w:t>D——罐径，英尺；</w:t>
            </w:r>
          </w:p>
          <w:p w14:paraId="4227AFBF">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rFonts w:cs="Times New Roman"/>
                <w:color w:val="auto"/>
                <w:sz w:val="21"/>
                <w:szCs w:val="21"/>
              </w:rPr>
            </w:pPr>
            <w:r>
              <w:rPr>
                <w:rFonts w:cs="Times New Roman"/>
                <w:color w:val="auto"/>
                <w:sz w:val="21"/>
                <w:szCs w:val="21"/>
              </w:rPr>
              <w:t>H</w:t>
            </w:r>
            <w:r>
              <w:rPr>
                <w:rFonts w:cs="Times New Roman"/>
                <w:color w:val="auto"/>
                <w:sz w:val="21"/>
                <w:szCs w:val="21"/>
                <w:vertAlign w:val="subscript"/>
              </w:rPr>
              <w:t>VO</w:t>
            </w:r>
            <w:r>
              <w:rPr>
                <w:rFonts w:cs="Times New Roman"/>
                <w:color w:val="auto"/>
                <w:sz w:val="21"/>
                <w:szCs w:val="21"/>
              </w:rPr>
              <w:t>——气相空间高度，英尺；</w:t>
            </w:r>
          </w:p>
          <w:p w14:paraId="078E1525">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rFonts w:cs="Times New Roman"/>
                <w:color w:val="auto"/>
                <w:sz w:val="21"/>
                <w:szCs w:val="21"/>
              </w:rPr>
            </w:pPr>
            <w:r>
              <w:rPr>
                <w:rFonts w:cs="Times New Roman"/>
                <w:color w:val="auto"/>
                <w:kern w:val="0"/>
                <w:sz w:val="21"/>
                <w:szCs w:val="21"/>
              </w:rPr>
              <w:t>W</w:t>
            </w:r>
            <w:r>
              <w:rPr>
                <w:rFonts w:cs="Times New Roman"/>
                <w:color w:val="auto"/>
                <w:kern w:val="0"/>
                <w:sz w:val="21"/>
                <w:szCs w:val="21"/>
                <w:vertAlign w:val="subscript"/>
              </w:rPr>
              <w:t>V</w:t>
            </w:r>
            <w:r>
              <w:rPr>
                <w:rFonts w:cs="Times New Roman"/>
                <w:color w:val="auto"/>
                <w:kern w:val="0"/>
                <w:sz w:val="21"/>
                <w:szCs w:val="21"/>
              </w:rPr>
              <w:t>——储藏气相密度，磅/立方英尺。</w:t>
            </w:r>
          </w:p>
          <w:p w14:paraId="70CDEF5A">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b.工作损耗（俗称“大呼吸”）</w:t>
            </w:r>
          </w:p>
          <w:p w14:paraId="27643167">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工作损耗</w:t>
            </w:r>
            <w:r>
              <w:rPr>
                <w:i/>
                <w:color w:val="auto"/>
                <w:sz w:val="21"/>
                <w:szCs w:val="21"/>
              </w:rPr>
              <w:t>L</w:t>
            </w:r>
            <w:r>
              <w:rPr>
                <w:i/>
                <w:color w:val="auto"/>
                <w:sz w:val="21"/>
                <w:szCs w:val="21"/>
                <w:vertAlign w:val="subscript"/>
              </w:rPr>
              <w:t>W</w:t>
            </w:r>
            <w:r>
              <w:rPr>
                <w:rFonts w:hint="eastAsia"/>
                <w:color w:val="auto"/>
                <w:sz w:val="21"/>
                <w:szCs w:val="21"/>
              </w:rPr>
              <w:t>与装料或卸料是所储蒸汽的排放有关。固定顶罐的工作排放计算如下：</w:t>
            </w:r>
          </w:p>
          <w:p w14:paraId="49C810DD">
            <w:pPr>
              <w:pStyle w:val="79"/>
              <w:spacing w:line="240" w:lineRule="auto"/>
              <w:ind w:firstLine="0" w:firstLineChars="0"/>
              <w:jc w:val="center"/>
              <w:rPr>
                <w:color w:val="auto"/>
                <w:sz w:val="21"/>
                <w:szCs w:val="21"/>
              </w:rPr>
            </w:pPr>
            <w:r>
              <w:rPr>
                <w:color w:val="auto"/>
                <w:sz w:val="21"/>
                <w:szCs w:val="21"/>
              </w:rPr>
              <w:drawing>
                <wp:inline distT="0" distB="0" distL="0" distR="0">
                  <wp:extent cx="1895475" cy="466725"/>
                  <wp:effectExtent l="0" t="0" r="9525" b="9525"/>
                  <wp:docPr id="529905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05116"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5475" cy="466725"/>
                          </a:xfrm>
                          <a:prstGeom prst="rect">
                            <a:avLst/>
                          </a:prstGeom>
                          <a:noFill/>
                          <a:ln>
                            <a:noFill/>
                          </a:ln>
                        </pic:spPr>
                      </pic:pic>
                    </a:graphicData>
                  </a:graphic>
                </wp:inline>
              </w:drawing>
            </w:r>
          </w:p>
          <w:p w14:paraId="1B3BBCF6">
            <w:pPr>
              <w:pStyle w:val="79"/>
              <w:keepNext w:val="0"/>
              <w:keepLines w:val="0"/>
              <w:pageBreakBefore w:val="0"/>
              <w:widowControl w:val="0"/>
              <w:kinsoku/>
              <w:wordWrap/>
              <w:overflowPunct/>
              <w:topLinePunct w:val="0"/>
              <w:autoSpaceDE/>
              <w:autoSpaceDN/>
              <w:bidi w:val="0"/>
              <w:snapToGrid w:val="0"/>
              <w:spacing w:line="440" w:lineRule="exact"/>
              <w:ind w:firstLine="480"/>
              <w:textAlignment w:val="auto"/>
              <w:rPr>
                <w:rFonts w:cs="Times New Roman"/>
                <w:color w:val="auto"/>
                <w:sz w:val="21"/>
                <w:szCs w:val="21"/>
              </w:rPr>
            </w:pPr>
            <w:r>
              <w:rPr>
                <w:rFonts w:cs="Times New Roman"/>
                <w:color w:val="auto"/>
                <w:sz w:val="21"/>
                <w:szCs w:val="21"/>
              </w:rPr>
              <w:t>式中：L</w:t>
            </w:r>
            <w:r>
              <w:rPr>
                <w:rFonts w:cs="Times New Roman"/>
                <w:color w:val="auto"/>
                <w:sz w:val="21"/>
                <w:szCs w:val="21"/>
                <w:vertAlign w:val="subscript"/>
              </w:rPr>
              <w:t>W</w:t>
            </w:r>
            <w:r>
              <w:rPr>
                <w:rFonts w:cs="Times New Roman"/>
                <w:color w:val="auto"/>
                <w:sz w:val="21"/>
                <w:szCs w:val="21"/>
              </w:rPr>
              <w:t>——工作损耗，磅/年；</w:t>
            </w:r>
          </w:p>
          <w:p w14:paraId="5DCCF891">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rFonts w:cs="Times New Roman"/>
                <w:color w:val="auto"/>
                <w:sz w:val="21"/>
                <w:szCs w:val="21"/>
              </w:rPr>
            </w:pPr>
            <w:r>
              <w:rPr>
                <w:rFonts w:cs="Times New Roman"/>
                <w:color w:val="auto"/>
                <w:sz w:val="21"/>
                <w:szCs w:val="21"/>
              </w:rPr>
              <w:t>M</w:t>
            </w:r>
            <w:r>
              <w:rPr>
                <w:rFonts w:cs="Times New Roman"/>
                <w:color w:val="auto"/>
                <w:sz w:val="21"/>
                <w:szCs w:val="21"/>
                <w:vertAlign w:val="subscript"/>
              </w:rPr>
              <w:t>V</w:t>
            </w:r>
            <w:r>
              <w:rPr>
                <w:rFonts w:cs="Times New Roman"/>
                <w:color w:val="auto"/>
                <w:sz w:val="21"/>
                <w:szCs w:val="21"/>
              </w:rPr>
              <w:t>——气相分子量，磅/磅-摩尔；</w:t>
            </w:r>
          </w:p>
          <w:p w14:paraId="1B68AC4B">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rFonts w:cs="Times New Roman"/>
                <w:color w:val="auto"/>
                <w:sz w:val="21"/>
                <w:szCs w:val="21"/>
              </w:rPr>
            </w:pPr>
            <w:r>
              <w:rPr>
                <w:rFonts w:cs="Times New Roman"/>
                <w:color w:val="auto"/>
                <w:sz w:val="21"/>
                <w:szCs w:val="21"/>
              </w:rPr>
              <w:t>P</w:t>
            </w:r>
            <w:r>
              <w:rPr>
                <w:rFonts w:cs="Times New Roman"/>
                <w:color w:val="auto"/>
                <w:sz w:val="21"/>
                <w:szCs w:val="21"/>
                <w:vertAlign w:val="subscript"/>
              </w:rPr>
              <w:t>VA</w:t>
            </w:r>
            <w:r>
              <w:rPr>
                <w:rFonts w:cs="Times New Roman"/>
                <w:color w:val="auto"/>
                <w:sz w:val="21"/>
                <w:szCs w:val="21"/>
              </w:rPr>
              <w:t>——真实蒸汽压，磅/平方英寸(绝对值)；</w:t>
            </w:r>
          </w:p>
          <w:p w14:paraId="19A67604">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rFonts w:cs="Times New Roman"/>
                <w:color w:val="auto"/>
                <w:sz w:val="21"/>
                <w:szCs w:val="21"/>
              </w:rPr>
            </w:pPr>
            <w:r>
              <w:rPr>
                <w:rFonts w:cs="Times New Roman"/>
                <w:color w:val="auto"/>
                <w:sz w:val="21"/>
                <w:szCs w:val="21"/>
              </w:rPr>
              <w:t>Q——年周转量，bbl/a（桶/年）；</w:t>
            </w:r>
          </w:p>
          <w:p w14:paraId="220A36D8">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rFonts w:cs="Times New Roman"/>
                <w:color w:val="auto"/>
                <w:sz w:val="21"/>
                <w:szCs w:val="21"/>
              </w:rPr>
            </w:pPr>
            <w:r>
              <w:rPr>
                <w:rFonts w:cs="Times New Roman"/>
                <w:color w:val="auto"/>
                <w:sz w:val="21"/>
                <w:szCs w:val="21"/>
              </w:rPr>
              <w:t>K</w:t>
            </w:r>
            <w:r>
              <w:rPr>
                <w:rFonts w:cs="Times New Roman"/>
                <w:color w:val="auto"/>
                <w:sz w:val="21"/>
                <w:szCs w:val="21"/>
                <w:vertAlign w:val="subscript"/>
              </w:rPr>
              <w:t>P</w:t>
            </w:r>
            <w:r>
              <w:rPr>
                <w:rFonts w:cs="Times New Roman"/>
                <w:color w:val="auto"/>
                <w:sz w:val="21"/>
                <w:szCs w:val="21"/>
              </w:rPr>
              <w:t>——工作损耗产品因子，无量纲量（对于其他有机液体K</w:t>
            </w:r>
            <w:r>
              <w:rPr>
                <w:rFonts w:cs="Times New Roman"/>
                <w:color w:val="auto"/>
                <w:sz w:val="21"/>
                <w:szCs w:val="21"/>
                <w:vertAlign w:val="subscript"/>
              </w:rPr>
              <w:t>P</w:t>
            </w:r>
            <w:r>
              <w:rPr>
                <w:rFonts w:cs="Times New Roman"/>
                <w:color w:val="auto"/>
                <w:sz w:val="21"/>
                <w:szCs w:val="21"/>
              </w:rPr>
              <w:t>=1）；</w:t>
            </w:r>
          </w:p>
          <w:p w14:paraId="7CE6C991">
            <w:pPr>
              <w:pStyle w:val="79"/>
              <w:keepNext w:val="0"/>
              <w:keepLines w:val="0"/>
              <w:pageBreakBefore w:val="0"/>
              <w:widowControl w:val="0"/>
              <w:kinsoku/>
              <w:wordWrap/>
              <w:overflowPunct/>
              <w:topLinePunct w:val="0"/>
              <w:autoSpaceDE/>
              <w:autoSpaceDN/>
              <w:bidi w:val="0"/>
              <w:snapToGrid w:val="0"/>
              <w:spacing w:line="440" w:lineRule="exact"/>
              <w:ind w:firstLine="1050" w:firstLineChars="500"/>
              <w:textAlignment w:val="auto"/>
              <w:rPr>
                <w:rFonts w:cs="Times New Roman"/>
                <w:color w:val="auto"/>
                <w:sz w:val="21"/>
                <w:szCs w:val="21"/>
              </w:rPr>
            </w:pPr>
            <w:r>
              <w:rPr>
                <w:rFonts w:cs="Times New Roman"/>
                <w:color w:val="auto"/>
                <w:sz w:val="21"/>
                <w:szCs w:val="21"/>
              </w:rPr>
              <w:t>K</w:t>
            </w:r>
            <w:r>
              <w:rPr>
                <w:rFonts w:cs="Times New Roman"/>
                <w:color w:val="auto"/>
                <w:sz w:val="21"/>
                <w:szCs w:val="21"/>
                <w:vertAlign w:val="subscript"/>
              </w:rPr>
              <w:t>N</w:t>
            </w:r>
            <w:r>
              <w:rPr>
                <w:rFonts w:cs="Times New Roman"/>
                <w:color w:val="auto"/>
                <w:sz w:val="21"/>
                <w:szCs w:val="21"/>
              </w:rPr>
              <w:t>——工作排放周转（饱和）因子，无量纲量；</w:t>
            </w:r>
          </w:p>
          <w:p w14:paraId="763685B4">
            <w:pPr>
              <w:keepNext w:val="0"/>
              <w:keepLines w:val="0"/>
              <w:pageBreakBefore w:val="0"/>
              <w:widowControl w:val="0"/>
              <w:kinsoku/>
              <w:wordWrap/>
              <w:overflowPunct/>
              <w:topLinePunct w:val="0"/>
              <w:autoSpaceDE/>
              <w:autoSpaceDN/>
              <w:bidi w:val="0"/>
              <w:adjustRightInd w:val="0"/>
              <w:snapToGrid w:val="0"/>
              <w:spacing w:line="440" w:lineRule="exact"/>
              <w:ind w:firstLine="1050" w:firstLineChars="500"/>
              <w:textAlignment w:val="auto"/>
              <w:rPr>
                <w:rFonts w:hint="eastAsia"/>
                <w:b w:val="0"/>
                <w:bCs w:val="0"/>
                <w:color w:val="auto"/>
                <w:sz w:val="21"/>
                <w:szCs w:val="21"/>
                <w:lang w:val="en-US" w:eastAsia="zh-CN"/>
              </w:rPr>
            </w:pPr>
            <w:r>
              <w:rPr>
                <w:rFonts w:cs="Times New Roman"/>
                <w:color w:val="auto"/>
                <w:sz w:val="21"/>
                <w:szCs w:val="21"/>
              </w:rPr>
              <w:t>K</w:t>
            </w:r>
            <w:r>
              <w:rPr>
                <w:rFonts w:cs="Times New Roman"/>
                <w:color w:val="auto"/>
                <w:sz w:val="21"/>
                <w:szCs w:val="21"/>
                <w:vertAlign w:val="subscript"/>
              </w:rPr>
              <w:t>B</w:t>
            </w:r>
            <w:r>
              <w:rPr>
                <w:rFonts w:cs="Times New Roman"/>
                <w:color w:val="auto"/>
                <w:sz w:val="21"/>
                <w:szCs w:val="21"/>
              </w:rPr>
              <w:t>——呼吸阀工作校正因子，无量纲量</w:t>
            </w:r>
            <w:r>
              <w:rPr>
                <w:rFonts w:cs="Times New Roman"/>
                <w:color w:val="auto"/>
                <w:kern w:val="0"/>
                <w:sz w:val="21"/>
                <w:szCs w:val="21"/>
              </w:rPr>
              <w:t>。</w:t>
            </w:r>
          </w:p>
          <w:p w14:paraId="3C4D406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color w:val="auto"/>
                <w:sz w:val="21"/>
                <w:szCs w:val="21"/>
              </w:rPr>
              <w:t>本项目</w:t>
            </w:r>
            <w:r>
              <w:rPr>
                <w:rFonts w:hint="eastAsia"/>
                <w:color w:val="auto"/>
                <w:sz w:val="21"/>
                <w:szCs w:val="21"/>
                <w:lang w:val="en-US" w:eastAsia="zh-CN"/>
              </w:rPr>
              <w:t>固定顶储罐呼吸废气</w:t>
            </w:r>
            <w:r>
              <w:rPr>
                <w:rFonts w:hint="eastAsia"/>
                <w:color w:val="auto"/>
                <w:sz w:val="21"/>
                <w:szCs w:val="21"/>
              </w:rPr>
              <w:t>总损耗计算结果详见下表</w:t>
            </w:r>
            <w:r>
              <w:rPr>
                <w:rFonts w:hint="eastAsia"/>
                <w:color w:val="auto"/>
                <w:sz w:val="21"/>
                <w:szCs w:val="21"/>
                <w:lang w:eastAsia="zh-CN"/>
              </w:rPr>
              <w:t>：</w:t>
            </w:r>
          </w:p>
          <w:p w14:paraId="051725AE">
            <w:pPr>
              <w:spacing w:before="120" w:beforeLines="50"/>
              <w:jc w:val="center"/>
              <w:rPr>
                <w:b/>
                <w:bCs/>
                <w:color w:val="auto"/>
              </w:rPr>
            </w:pPr>
            <w:r>
              <w:rPr>
                <w:b/>
                <w:bCs/>
                <w:color w:val="auto"/>
              </w:rPr>
              <w:t>表</w:t>
            </w:r>
            <w:r>
              <w:rPr>
                <w:rFonts w:hint="eastAsia"/>
                <w:b/>
                <w:bCs/>
                <w:color w:val="auto"/>
                <w:lang w:val="en-US" w:eastAsia="zh-CN"/>
              </w:rPr>
              <w:t>4-3a</w:t>
            </w:r>
            <w:r>
              <w:rPr>
                <w:b/>
                <w:bCs/>
                <w:color w:val="auto"/>
              </w:rPr>
              <w:t xml:space="preserve">  </w:t>
            </w:r>
            <w:r>
              <w:rPr>
                <w:rFonts w:hint="eastAsia"/>
                <w:b/>
                <w:bCs/>
                <w:color w:val="auto"/>
                <w:lang w:val="en-US" w:eastAsia="zh-CN"/>
              </w:rPr>
              <w:t>本项目立式固定顶储罐</w:t>
            </w:r>
            <w:r>
              <w:rPr>
                <w:rFonts w:hint="eastAsia"/>
                <w:b/>
                <w:bCs/>
                <w:color w:val="auto"/>
              </w:rPr>
              <w:t>呼吸</w:t>
            </w:r>
            <w:r>
              <w:rPr>
                <w:b/>
                <w:bCs/>
                <w:color w:val="auto"/>
              </w:rPr>
              <w:t>废气产生情况计算表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30"/>
              <w:gridCol w:w="322"/>
              <w:gridCol w:w="403"/>
              <w:gridCol w:w="446"/>
              <w:gridCol w:w="417"/>
              <w:gridCol w:w="432"/>
              <w:gridCol w:w="446"/>
              <w:gridCol w:w="432"/>
              <w:gridCol w:w="576"/>
              <w:gridCol w:w="430"/>
              <w:gridCol w:w="303"/>
              <w:gridCol w:w="317"/>
              <w:gridCol w:w="395"/>
              <w:gridCol w:w="396"/>
              <w:gridCol w:w="275"/>
              <w:gridCol w:w="374"/>
              <w:gridCol w:w="532"/>
              <w:gridCol w:w="406"/>
              <w:gridCol w:w="530"/>
              <w:gridCol w:w="532"/>
            </w:tblGrid>
            <w:tr w14:paraId="5D5D37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0" w:type="dxa"/>
                  <w:vMerge w:val="restart"/>
                  <w:vAlign w:val="center"/>
                </w:tcPr>
                <w:p w14:paraId="0F5E6EEB">
                  <w:pPr>
                    <w:pStyle w:val="60"/>
                    <w:rPr>
                      <w:color w:val="auto"/>
                      <w:sz w:val="18"/>
                      <w:szCs w:val="18"/>
                    </w:rPr>
                  </w:pPr>
                  <w:r>
                    <w:rPr>
                      <w:color w:val="auto"/>
                      <w:sz w:val="18"/>
                      <w:szCs w:val="18"/>
                    </w:rPr>
                    <w:t>物料</w:t>
                  </w:r>
                </w:p>
                <w:p w14:paraId="278B75B6">
                  <w:pPr>
                    <w:pStyle w:val="60"/>
                    <w:rPr>
                      <w:color w:val="auto"/>
                      <w:sz w:val="18"/>
                      <w:szCs w:val="18"/>
                    </w:rPr>
                  </w:pPr>
                  <w:r>
                    <w:rPr>
                      <w:color w:val="auto"/>
                      <w:sz w:val="18"/>
                      <w:szCs w:val="18"/>
                    </w:rPr>
                    <w:t>名称</w:t>
                  </w:r>
                </w:p>
              </w:tc>
              <w:tc>
                <w:tcPr>
                  <w:tcW w:w="322" w:type="dxa"/>
                  <w:vMerge w:val="restart"/>
                  <w:vAlign w:val="center"/>
                </w:tcPr>
                <w:p w14:paraId="7081DDD7">
                  <w:pPr>
                    <w:pStyle w:val="60"/>
                    <w:rPr>
                      <w:color w:val="auto"/>
                      <w:sz w:val="18"/>
                      <w:szCs w:val="18"/>
                    </w:rPr>
                  </w:pPr>
                  <w:r>
                    <w:rPr>
                      <w:rFonts w:hint="eastAsia"/>
                      <w:color w:val="auto"/>
                      <w:sz w:val="18"/>
                      <w:szCs w:val="18"/>
                    </w:rPr>
                    <w:t>储罐数量/座</w:t>
                  </w:r>
                </w:p>
              </w:tc>
              <w:tc>
                <w:tcPr>
                  <w:tcW w:w="1266" w:type="dxa"/>
                  <w:gridSpan w:val="3"/>
                  <w:vAlign w:val="center"/>
                </w:tcPr>
                <w:p w14:paraId="05D51A01">
                  <w:pPr>
                    <w:pStyle w:val="60"/>
                    <w:rPr>
                      <w:color w:val="auto"/>
                      <w:sz w:val="18"/>
                      <w:szCs w:val="18"/>
                    </w:rPr>
                  </w:pPr>
                  <w:r>
                    <w:rPr>
                      <w:color w:val="auto"/>
                      <w:sz w:val="18"/>
                      <w:szCs w:val="18"/>
                    </w:rPr>
                    <w:t>理化参数</w:t>
                  </w:r>
                </w:p>
              </w:tc>
              <w:tc>
                <w:tcPr>
                  <w:tcW w:w="1886" w:type="dxa"/>
                  <w:gridSpan w:val="4"/>
                  <w:vAlign w:val="center"/>
                </w:tcPr>
                <w:p w14:paraId="3672BB94">
                  <w:pPr>
                    <w:pStyle w:val="60"/>
                    <w:rPr>
                      <w:color w:val="auto"/>
                      <w:sz w:val="18"/>
                      <w:szCs w:val="18"/>
                    </w:rPr>
                  </w:pPr>
                  <w:r>
                    <w:rPr>
                      <w:color w:val="auto"/>
                      <w:sz w:val="18"/>
                      <w:szCs w:val="18"/>
                    </w:rPr>
                    <w:t>气象参数</w:t>
                  </w:r>
                </w:p>
              </w:tc>
              <w:tc>
                <w:tcPr>
                  <w:tcW w:w="2490" w:type="dxa"/>
                  <w:gridSpan w:val="7"/>
                  <w:vAlign w:val="center"/>
                </w:tcPr>
                <w:p w14:paraId="11BDB1FC">
                  <w:pPr>
                    <w:pStyle w:val="60"/>
                    <w:rPr>
                      <w:color w:val="auto"/>
                      <w:sz w:val="18"/>
                      <w:szCs w:val="18"/>
                    </w:rPr>
                  </w:pPr>
                  <w:r>
                    <w:rPr>
                      <w:color w:val="auto"/>
                      <w:sz w:val="18"/>
                      <w:szCs w:val="18"/>
                    </w:rPr>
                    <w:t>储罐构造参数</w:t>
                  </w:r>
                </w:p>
              </w:tc>
              <w:tc>
                <w:tcPr>
                  <w:tcW w:w="532" w:type="dxa"/>
                  <w:vMerge w:val="restart"/>
                  <w:vAlign w:val="center"/>
                </w:tcPr>
                <w:p w14:paraId="65D145BB">
                  <w:pPr>
                    <w:pStyle w:val="60"/>
                    <w:rPr>
                      <w:b/>
                      <w:bCs/>
                      <w:color w:val="auto"/>
                      <w:sz w:val="18"/>
                      <w:szCs w:val="18"/>
                    </w:rPr>
                  </w:pPr>
                  <w:r>
                    <w:rPr>
                      <w:b/>
                      <w:bCs/>
                      <w:color w:val="auto"/>
                      <w:sz w:val="18"/>
                      <w:szCs w:val="18"/>
                    </w:rPr>
                    <w:t>静置</w:t>
                  </w:r>
                </w:p>
                <w:p w14:paraId="7025F0D3">
                  <w:pPr>
                    <w:pStyle w:val="60"/>
                    <w:rPr>
                      <w:b/>
                      <w:bCs/>
                      <w:color w:val="auto"/>
                      <w:sz w:val="18"/>
                      <w:szCs w:val="18"/>
                    </w:rPr>
                  </w:pPr>
                  <w:r>
                    <w:rPr>
                      <w:b/>
                      <w:bCs/>
                      <w:color w:val="auto"/>
                      <w:sz w:val="18"/>
                      <w:szCs w:val="18"/>
                    </w:rPr>
                    <w:t>损失</w:t>
                  </w:r>
                </w:p>
                <w:p w14:paraId="5531268A">
                  <w:pPr>
                    <w:pStyle w:val="60"/>
                    <w:rPr>
                      <w:b/>
                      <w:bCs/>
                      <w:color w:val="auto"/>
                      <w:sz w:val="18"/>
                      <w:szCs w:val="18"/>
                    </w:rPr>
                  </w:pPr>
                  <w:r>
                    <w:rPr>
                      <w:b/>
                      <w:bCs/>
                      <w:color w:val="auto"/>
                      <w:sz w:val="18"/>
                      <w:szCs w:val="18"/>
                    </w:rPr>
                    <w:t>(t/a)</w:t>
                  </w:r>
                </w:p>
              </w:tc>
              <w:tc>
                <w:tcPr>
                  <w:tcW w:w="406" w:type="dxa"/>
                  <w:vMerge w:val="restart"/>
                  <w:vAlign w:val="center"/>
                </w:tcPr>
                <w:p w14:paraId="71E60593">
                  <w:pPr>
                    <w:pStyle w:val="60"/>
                    <w:rPr>
                      <w:color w:val="auto"/>
                      <w:sz w:val="18"/>
                      <w:szCs w:val="18"/>
                    </w:rPr>
                  </w:pPr>
                  <w:r>
                    <w:rPr>
                      <w:color w:val="auto"/>
                      <w:sz w:val="18"/>
                      <w:szCs w:val="18"/>
                    </w:rPr>
                    <w:t>年周转量</w:t>
                  </w:r>
                  <w:r>
                    <w:rPr>
                      <w:rFonts w:hint="eastAsia"/>
                      <w:color w:val="auto"/>
                      <w:sz w:val="18"/>
                      <w:szCs w:val="18"/>
                    </w:rPr>
                    <w:t>/万t</w:t>
                  </w:r>
                </w:p>
              </w:tc>
              <w:tc>
                <w:tcPr>
                  <w:tcW w:w="530" w:type="dxa"/>
                  <w:vMerge w:val="restart"/>
                  <w:vAlign w:val="center"/>
                </w:tcPr>
                <w:p w14:paraId="2CFA272B">
                  <w:pPr>
                    <w:pStyle w:val="60"/>
                    <w:rPr>
                      <w:b/>
                      <w:bCs/>
                      <w:color w:val="auto"/>
                      <w:sz w:val="18"/>
                      <w:szCs w:val="18"/>
                    </w:rPr>
                  </w:pPr>
                  <w:r>
                    <w:rPr>
                      <w:b/>
                      <w:bCs/>
                      <w:color w:val="auto"/>
                      <w:sz w:val="18"/>
                      <w:szCs w:val="18"/>
                    </w:rPr>
                    <w:t>工作</w:t>
                  </w:r>
                </w:p>
                <w:p w14:paraId="2FCFBC5C">
                  <w:pPr>
                    <w:pStyle w:val="60"/>
                    <w:rPr>
                      <w:b/>
                      <w:bCs/>
                      <w:color w:val="auto"/>
                      <w:sz w:val="18"/>
                      <w:szCs w:val="18"/>
                    </w:rPr>
                  </w:pPr>
                  <w:r>
                    <w:rPr>
                      <w:b/>
                      <w:bCs/>
                      <w:color w:val="auto"/>
                      <w:sz w:val="18"/>
                      <w:szCs w:val="18"/>
                    </w:rPr>
                    <w:t>损失</w:t>
                  </w:r>
                </w:p>
                <w:p w14:paraId="704C9C20">
                  <w:pPr>
                    <w:pStyle w:val="60"/>
                    <w:rPr>
                      <w:b/>
                      <w:bCs/>
                      <w:color w:val="auto"/>
                      <w:sz w:val="18"/>
                      <w:szCs w:val="18"/>
                    </w:rPr>
                  </w:pPr>
                  <w:r>
                    <w:rPr>
                      <w:b/>
                      <w:bCs/>
                      <w:color w:val="auto"/>
                      <w:sz w:val="18"/>
                      <w:szCs w:val="18"/>
                    </w:rPr>
                    <w:t>(t/a)</w:t>
                  </w:r>
                </w:p>
              </w:tc>
              <w:tc>
                <w:tcPr>
                  <w:tcW w:w="532" w:type="dxa"/>
                  <w:vMerge w:val="restart"/>
                  <w:vAlign w:val="center"/>
                </w:tcPr>
                <w:p w14:paraId="19EF27E2">
                  <w:pPr>
                    <w:pStyle w:val="60"/>
                    <w:rPr>
                      <w:b/>
                      <w:bCs/>
                      <w:color w:val="auto"/>
                      <w:sz w:val="18"/>
                      <w:szCs w:val="18"/>
                    </w:rPr>
                  </w:pPr>
                  <w:r>
                    <w:rPr>
                      <w:b/>
                      <w:bCs/>
                      <w:color w:val="auto"/>
                      <w:sz w:val="18"/>
                      <w:szCs w:val="18"/>
                    </w:rPr>
                    <w:t>合计(t/a)</w:t>
                  </w:r>
                </w:p>
              </w:tc>
            </w:tr>
            <w:tr w14:paraId="2BF3D1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0" w:type="dxa"/>
                  <w:vMerge w:val="continue"/>
                  <w:vAlign w:val="center"/>
                </w:tcPr>
                <w:p w14:paraId="0C8D2519">
                  <w:pPr>
                    <w:pStyle w:val="60"/>
                    <w:rPr>
                      <w:color w:val="auto"/>
                      <w:sz w:val="18"/>
                      <w:szCs w:val="18"/>
                    </w:rPr>
                  </w:pPr>
                </w:p>
              </w:tc>
              <w:tc>
                <w:tcPr>
                  <w:tcW w:w="322" w:type="dxa"/>
                  <w:vMerge w:val="continue"/>
                  <w:vAlign w:val="center"/>
                </w:tcPr>
                <w:p w14:paraId="43613180">
                  <w:pPr>
                    <w:pStyle w:val="60"/>
                    <w:rPr>
                      <w:color w:val="auto"/>
                      <w:sz w:val="18"/>
                      <w:szCs w:val="18"/>
                    </w:rPr>
                  </w:pPr>
                </w:p>
              </w:tc>
              <w:tc>
                <w:tcPr>
                  <w:tcW w:w="403" w:type="dxa"/>
                  <w:vAlign w:val="center"/>
                </w:tcPr>
                <w:p w14:paraId="7EB9D6B3">
                  <w:pPr>
                    <w:pStyle w:val="60"/>
                    <w:rPr>
                      <w:color w:val="auto"/>
                      <w:sz w:val="18"/>
                      <w:szCs w:val="18"/>
                    </w:rPr>
                  </w:pPr>
                  <w:r>
                    <w:rPr>
                      <w:color w:val="auto"/>
                      <w:sz w:val="18"/>
                      <w:szCs w:val="18"/>
                    </w:rPr>
                    <w:t>密度t/m</w:t>
                  </w:r>
                  <w:r>
                    <w:rPr>
                      <w:color w:val="auto"/>
                      <w:sz w:val="18"/>
                      <w:szCs w:val="18"/>
                      <w:vertAlign w:val="superscript"/>
                    </w:rPr>
                    <w:t>3</w:t>
                  </w:r>
                </w:p>
              </w:tc>
              <w:tc>
                <w:tcPr>
                  <w:tcW w:w="446" w:type="dxa"/>
                  <w:vAlign w:val="center"/>
                </w:tcPr>
                <w:p w14:paraId="0DD04F76">
                  <w:pPr>
                    <w:pStyle w:val="60"/>
                    <w:rPr>
                      <w:color w:val="auto"/>
                      <w:sz w:val="18"/>
                      <w:szCs w:val="18"/>
                    </w:rPr>
                  </w:pPr>
                  <w:r>
                    <w:rPr>
                      <w:color w:val="auto"/>
                      <w:sz w:val="18"/>
                      <w:szCs w:val="18"/>
                    </w:rPr>
                    <w:t>摩尔质量(g/g-mol)</w:t>
                  </w:r>
                </w:p>
              </w:tc>
              <w:tc>
                <w:tcPr>
                  <w:tcW w:w="417" w:type="dxa"/>
                  <w:vAlign w:val="center"/>
                </w:tcPr>
                <w:p w14:paraId="7CCBD4C4">
                  <w:pPr>
                    <w:pStyle w:val="60"/>
                    <w:rPr>
                      <w:color w:val="auto"/>
                      <w:sz w:val="18"/>
                      <w:szCs w:val="18"/>
                    </w:rPr>
                  </w:pPr>
                  <w:r>
                    <w:rPr>
                      <w:color w:val="auto"/>
                      <w:sz w:val="18"/>
                      <w:szCs w:val="18"/>
                    </w:rPr>
                    <w:t>真实蒸汽压(kpa)</w:t>
                  </w:r>
                </w:p>
              </w:tc>
              <w:tc>
                <w:tcPr>
                  <w:tcW w:w="432" w:type="dxa"/>
                  <w:vAlign w:val="center"/>
                </w:tcPr>
                <w:p w14:paraId="35579C35">
                  <w:pPr>
                    <w:pStyle w:val="60"/>
                    <w:rPr>
                      <w:color w:val="auto"/>
                      <w:sz w:val="18"/>
                      <w:szCs w:val="18"/>
                    </w:rPr>
                  </w:pPr>
                  <w:r>
                    <w:rPr>
                      <w:color w:val="auto"/>
                      <w:sz w:val="18"/>
                      <w:szCs w:val="18"/>
                    </w:rPr>
                    <w:t>大气压(kPa)</w:t>
                  </w:r>
                </w:p>
              </w:tc>
              <w:tc>
                <w:tcPr>
                  <w:tcW w:w="446" w:type="dxa"/>
                  <w:vAlign w:val="center"/>
                </w:tcPr>
                <w:p w14:paraId="00F2738B">
                  <w:pPr>
                    <w:pStyle w:val="60"/>
                    <w:rPr>
                      <w:color w:val="auto"/>
                      <w:sz w:val="18"/>
                      <w:szCs w:val="18"/>
                    </w:rPr>
                  </w:pPr>
                  <w:r>
                    <w:rPr>
                      <w:color w:val="auto"/>
                      <w:sz w:val="18"/>
                      <w:szCs w:val="18"/>
                    </w:rPr>
                    <w:t>日平均最高环境温度(℃)</w:t>
                  </w:r>
                </w:p>
              </w:tc>
              <w:tc>
                <w:tcPr>
                  <w:tcW w:w="432" w:type="dxa"/>
                  <w:vAlign w:val="center"/>
                </w:tcPr>
                <w:p w14:paraId="5B49ADF3">
                  <w:pPr>
                    <w:pStyle w:val="60"/>
                    <w:rPr>
                      <w:color w:val="auto"/>
                      <w:sz w:val="18"/>
                      <w:szCs w:val="18"/>
                    </w:rPr>
                  </w:pPr>
                  <w:r>
                    <w:rPr>
                      <w:color w:val="auto"/>
                      <w:sz w:val="18"/>
                      <w:szCs w:val="18"/>
                    </w:rPr>
                    <w:t>日平均最低环境温度(℃)</w:t>
                  </w:r>
                </w:p>
              </w:tc>
              <w:tc>
                <w:tcPr>
                  <w:tcW w:w="576" w:type="dxa"/>
                  <w:vAlign w:val="center"/>
                </w:tcPr>
                <w:p w14:paraId="7A8156BF">
                  <w:pPr>
                    <w:pStyle w:val="60"/>
                    <w:rPr>
                      <w:color w:val="auto"/>
                      <w:sz w:val="18"/>
                      <w:szCs w:val="18"/>
                    </w:rPr>
                  </w:pPr>
                  <w:r>
                    <w:rPr>
                      <w:color w:val="auto"/>
                      <w:sz w:val="18"/>
                      <w:szCs w:val="18"/>
                    </w:rPr>
                    <w:t>水平面太阳能总辐射(Btu/ft</w:t>
                  </w:r>
                  <w:r>
                    <w:rPr>
                      <w:color w:val="auto"/>
                      <w:sz w:val="18"/>
                      <w:szCs w:val="18"/>
                      <w:vertAlign w:val="superscript"/>
                    </w:rPr>
                    <w:t>2</w:t>
                  </w:r>
                  <w:r>
                    <w:rPr>
                      <w:color w:val="auto"/>
                      <w:sz w:val="18"/>
                      <w:szCs w:val="18"/>
                    </w:rPr>
                    <w:t>.day)</w:t>
                  </w:r>
                </w:p>
              </w:tc>
              <w:tc>
                <w:tcPr>
                  <w:tcW w:w="430" w:type="dxa"/>
                  <w:vAlign w:val="center"/>
                </w:tcPr>
                <w:p w14:paraId="25836F9D">
                  <w:pPr>
                    <w:pStyle w:val="60"/>
                    <w:rPr>
                      <w:color w:val="auto"/>
                      <w:sz w:val="18"/>
                      <w:szCs w:val="18"/>
                    </w:rPr>
                  </w:pPr>
                  <w:r>
                    <w:rPr>
                      <w:color w:val="auto"/>
                      <w:sz w:val="18"/>
                      <w:szCs w:val="18"/>
                    </w:rPr>
                    <w:t>容积(m</w:t>
                  </w:r>
                  <w:r>
                    <w:rPr>
                      <w:color w:val="auto"/>
                      <w:sz w:val="18"/>
                      <w:szCs w:val="18"/>
                      <w:vertAlign w:val="superscript"/>
                    </w:rPr>
                    <w:t>3</w:t>
                  </w:r>
                  <w:r>
                    <w:rPr>
                      <w:color w:val="auto"/>
                      <w:sz w:val="18"/>
                      <w:szCs w:val="18"/>
                    </w:rPr>
                    <w:t>)</w:t>
                  </w:r>
                </w:p>
              </w:tc>
              <w:tc>
                <w:tcPr>
                  <w:tcW w:w="303" w:type="dxa"/>
                  <w:vAlign w:val="center"/>
                </w:tcPr>
                <w:p w14:paraId="75483147">
                  <w:pPr>
                    <w:pStyle w:val="60"/>
                    <w:rPr>
                      <w:color w:val="auto"/>
                      <w:sz w:val="18"/>
                      <w:szCs w:val="18"/>
                    </w:rPr>
                  </w:pPr>
                  <w:r>
                    <w:rPr>
                      <w:color w:val="auto"/>
                      <w:sz w:val="18"/>
                      <w:szCs w:val="18"/>
                    </w:rPr>
                    <w:t>直径(m)</w:t>
                  </w:r>
                </w:p>
              </w:tc>
              <w:tc>
                <w:tcPr>
                  <w:tcW w:w="317" w:type="dxa"/>
                  <w:vAlign w:val="center"/>
                </w:tcPr>
                <w:p w14:paraId="4A0B0F8B">
                  <w:pPr>
                    <w:pStyle w:val="60"/>
                    <w:rPr>
                      <w:color w:val="auto"/>
                      <w:sz w:val="18"/>
                      <w:szCs w:val="18"/>
                    </w:rPr>
                  </w:pPr>
                  <w:r>
                    <w:rPr>
                      <w:color w:val="auto"/>
                      <w:sz w:val="18"/>
                      <w:szCs w:val="18"/>
                    </w:rPr>
                    <w:t>罐壁/顶颜色</w:t>
                  </w:r>
                </w:p>
              </w:tc>
              <w:tc>
                <w:tcPr>
                  <w:tcW w:w="395" w:type="dxa"/>
                  <w:vAlign w:val="center"/>
                </w:tcPr>
                <w:p w14:paraId="4CA1D8BB">
                  <w:pPr>
                    <w:pStyle w:val="60"/>
                    <w:rPr>
                      <w:color w:val="auto"/>
                      <w:sz w:val="18"/>
                      <w:szCs w:val="18"/>
                    </w:rPr>
                  </w:pPr>
                  <w:r>
                    <w:rPr>
                      <w:color w:val="auto"/>
                      <w:sz w:val="18"/>
                      <w:szCs w:val="18"/>
                    </w:rPr>
                    <w:t>呼吸阀压力设定</w:t>
                  </w:r>
                  <w:r>
                    <w:rPr>
                      <w:color w:val="auto"/>
                      <w:sz w:val="18"/>
                      <w:szCs w:val="18"/>
                      <w:vertAlign w:val="subscript"/>
                    </w:rPr>
                    <w:t xml:space="preserve"> </w:t>
                  </w:r>
                  <w:r>
                    <w:rPr>
                      <w:color w:val="auto"/>
                      <w:sz w:val="18"/>
                      <w:szCs w:val="18"/>
                    </w:rPr>
                    <w:t>(pa)</w:t>
                  </w:r>
                </w:p>
              </w:tc>
              <w:tc>
                <w:tcPr>
                  <w:tcW w:w="396" w:type="dxa"/>
                  <w:vAlign w:val="center"/>
                </w:tcPr>
                <w:p w14:paraId="24D65AF7">
                  <w:pPr>
                    <w:pStyle w:val="60"/>
                    <w:rPr>
                      <w:color w:val="auto"/>
                      <w:sz w:val="18"/>
                      <w:szCs w:val="18"/>
                    </w:rPr>
                  </w:pPr>
                  <w:r>
                    <w:rPr>
                      <w:color w:val="auto"/>
                      <w:sz w:val="18"/>
                      <w:szCs w:val="18"/>
                    </w:rPr>
                    <w:t>呼吸阀真空设定(pa)</w:t>
                  </w:r>
                </w:p>
              </w:tc>
              <w:tc>
                <w:tcPr>
                  <w:tcW w:w="275" w:type="dxa"/>
                  <w:vAlign w:val="center"/>
                </w:tcPr>
                <w:p w14:paraId="6E906E93">
                  <w:pPr>
                    <w:pStyle w:val="60"/>
                    <w:rPr>
                      <w:color w:val="auto"/>
                      <w:sz w:val="18"/>
                      <w:szCs w:val="18"/>
                    </w:rPr>
                  </w:pPr>
                  <w:r>
                    <w:rPr>
                      <w:color w:val="auto"/>
                      <w:sz w:val="18"/>
                      <w:szCs w:val="18"/>
                    </w:rPr>
                    <w:t>罐体高度(m)</w:t>
                  </w:r>
                </w:p>
              </w:tc>
              <w:tc>
                <w:tcPr>
                  <w:tcW w:w="374" w:type="dxa"/>
                  <w:vAlign w:val="center"/>
                </w:tcPr>
                <w:p w14:paraId="3CB62034">
                  <w:pPr>
                    <w:pStyle w:val="60"/>
                    <w:rPr>
                      <w:color w:val="auto"/>
                      <w:sz w:val="18"/>
                      <w:szCs w:val="18"/>
                    </w:rPr>
                  </w:pPr>
                  <w:r>
                    <w:rPr>
                      <w:color w:val="auto"/>
                      <w:sz w:val="18"/>
                      <w:szCs w:val="18"/>
                    </w:rPr>
                    <w:t>年平均储存高度</w:t>
                  </w:r>
                  <w:r>
                    <w:rPr>
                      <w:rFonts w:hint="eastAsia"/>
                      <w:color w:val="auto"/>
                      <w:sz w:val="18"/>
                      <w:szCs w:val="18"/>
                    </w:rPr>
                    <w:t>(</w:t>
                  </w:r>
                  <w:r>
                    <w:rPr>
                      <w:color w:val="auto"/>
                      <w:sz w:val="18"/>
                      <w:szCs w:val="18"/>
                    </w:rPr>
                    <w:t>m</w:t>
                  </w:r>
                  <w:r>
                    <w:rPr>
                      <w:rFonts w:hint="eastAsia"/>
                      <w:color w:val="auto"/>
                      <w:sz w:val="18"/>
                      <w:szCs w:val="18"/>
                    </w:rPr>
                    <w:t>)</w:t>
                  </w:r>
                </w:p>
              </w:tc>
              <w:tc>
                <w:tcPr>
                  <w:tcW w:w="532" w:type="dxa"/>
                  <w:vMerge w:val="continue"/>
                  <w:vAlign w:val="center"/>
                </w:tcPr>
                <w:p w14:paraId="1BEEC7CF">
                  <w:pPr>
                    <w:pStyle w:val="60"/>
                    <w:rPr>
                      <w:b/>
                      <w:bCs/>
                      <w:color w:val="auto"/>
                      <w:sz w:val="18"/>
                      <w:szCs w:val="18"/>
                    </w:rPr>
                  </w:pPr>
                </w:p>
              </w:tc>
              <w:tc>
                <w:tcPr>
                  <w:tcW w:w="406" w:type="dxa"/>
                  <w:vMerge w:val="continue"/>
                  <w:vAlign w:val="center"/>
                </w:tcPr>
                <w:p w14:paraId="2FBA8772">
                  <w:pPr>
                    <w:pStyle w:val="60"/>
                    <w:rPr>
                      <w:color w:val="auto"/>
                      <w:sz w:val="18"/>
                      <w:szCs w:val="18"/>
                    </w:rPr>
                  </w:pPr>
                </w:p>
              </w:tc>
              <w:tc>
                <w:tcPr>
                  <w:tcW w:w="530" w:type="dxa"/>
                  <w:vMerge w:val="continue"/>
                  <w:vAlign w:val="center"/>
                </w:tcPr>
                <w:p w14:paraId="7D9D10D2">
                  <w:pPr>
                    <w:pStyle w:val="60"/>
                    <w:rPr>
                      <w:b/>
                      <w:bCs/>
                      <w:color w:val="auto"/>
                      <w:sz w:val="18"/>
                      <w:szCs w:val="18"/>
                    </w:rPr>
                  </w:pPr>
                </w:p>
              </w:tc>
              <w:tc>
                <w:tcPr>
                  <w:tcW w:w="532" w:type="dxa"/>
                  <w:vMerge w:val="continue"/>
                  <w:vAlign w:val="center"/>
                </w:tcPr>
                <w:p w14:paraId="5D978900">
                  <w:pPr>
                    <w:pStyle w:val="60"/>
                    <w:rPr>
                      <w:b/>
                      <w:bCs/>
                      <w:color w:val="auto"/>
                      <w:sz w:val="18"/>
                      <w:szCs w:val="18"/>
                    </w:rPr>
                  </w:pPr>
                </w:p>
              </w:tc>
            </w:tr>
            <w:tr w14:paraId="7C64A0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0" w:type="dxa"/>
                  <w:vAlign w:val="center"/>
                </w:tcPr>
                <w:p w14:paraId="456CB5EB">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322" w:type="dxa"/>
                  <w:vAlign w:val="center"/>
                </w:tcPr>
                <w:p w14:paraId="2A2B745E">
                  <w:pPr>
                    <w:pStyle w:val="60"/>
                    <w:rPr>
                      <w:color w:val="auto"/>
                      <w:sz w:val="18"/>
                      <w:szCs w:val="18"/>
                    </w:rPr>
                  </w:pPr>
                  <w:r>
                    <w:rPr>
                      <w:rFonts w:hint="eastAsia"/>
                      <w:color w:val="auto"/>
                      <w:sz w:val="18"/>
                      <w:szCs w:val="18"/>
                    </w:rPr>
                    <w:t>1</w:t>
                  </w:r>
                </w:p>
              </w:tc>
              <w:tc>
                <w:tcPr>
                  <w:tcW w:w="403" w:type="dxa"/>
                  <w:vAlign w:val="center"/>
                </w:tcPr>
                <w:p w14:paraId="5E9904A5">
                  <w:pPr>
                    <w:pStyle w:val="60"/>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79</w:t>
                  </w:r>
                </w:p>
              </w:tc>
              <w:tc>
                <w:tcPr>
                  <w:tcW w:w="446" w:type="dxa"/>
                  <w:vAlign w:val="center"/>
                </w:tcPr>
                <w:p w14:paraId="5ADE421E">
                  <w:pPr>
                    <w:pStyle w:val="60"/>
                    <w:rPr>
                      <w:rFonts w:hint="default" w:eastAsia="宋体"/>
                      <w:color w:val="auto"/>
                      <w:sz w:val="18"/>
                      <w:szCs w:val="18"/>
                      <w:lang w:val="en-US" w:eastAsia="zh-CN"/>
                    </w:rPr>
                  </w:pPr>
                  <w:r>
                    <w:rPr>
                      <w:rFonts w:hint="eastAsia"/>
                      <w:color w:val="auto"/>
                      <w:sz w:val="18"/>
                      <w:szCs w:val="18"/>
                      <w:lang w:val="en-US" w:eastAsia="zh-CN"/>
                    </w:rPr>
                    <w:t>32</w:t>
                  </w:r>
                </w:p>
              </w:tc>
              <w:tc>
                <w:tcPr>
                  <w:tcW w:w="417" w:type="dxa"/>
                  <w:vAlign w:val="center"/>
                </w:tcPr>
                <w:p w14:paraId="579EDA7F">
                  <w:pPr>
                    <w:pStyle w:val="60"/>
                    <w:rPr>
                      <w:rFonts w:hint="default" w:eastAsia="宋体"/>
                      <w:color w:val="auto"/>
                      <w:sz w:val="18"/>
                      <w:szCs w:val="18"/>
                      <w:lang w:val="en-US" w:eastAsia="zh-CN"/>
                    </w:rPr>
                  </w:pPr>
                  <w:r>
                    <w:rPr>
                      <w:rFonts w:hint="eastAsia"/>
                      <w:color w:val="auto"/>
                      <w:sz w:val="18"/>
                      <w:szCs w:val="18"/>
                      <w:lang w:val="en-US" w:eastAsia="zh-CN"/>
                    </w:rPr>
                    <w:t>12.91</w:t>
                  </w:r>
                </w:p>
              </w:tc>
              <w:tc>
                <w:tcPr>
                  <w:tcW w:w="432" w:type="dxa"/>
                  <w:vAlign w:val="center"/>
                </w:tcPr>
                <w:p w14:paraId="6558A99B">
                  <w:pPr>
                    <w:pStyle w:val="60"/>
                    <w:rPr>
                      <w:color w:val="auto"/>
                      <w:sz w:val="18"/>
                      <w:szCs w:val="18"/>
                    </w:rPr>
                  </w:pPr>
                  <w:r>
                    <w:rPr>
                      <w:rFonts w:hint="eastAsia"/>
                      <w:color w:val="auto"/>
                      <w:sz w:val="18"/>
                      <w:szCs w:val="18"/>
                    </w:rPr>
                    <w:t>101.3</w:t>
                  </w:r>
                </w:p>
              </w:tc>
              <w:tc>
                <w:tcPr>
                  <w:tcW w:w="446" w:type="dxa"/>
                  <w:vAlign w:val="center"/>
                </w:tcPr>
                <w:p w14:paraId="7231CA9E">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26.7</w:t>
                  </w:r>
                </w:p>
              </w:tc>
              <w:tc>
                <w:tcPr>
                  <w:tcW w:w="432" w:type="dxa"/>
                  <w:vAlign w:val="center"/>
                </w:tcPr>
                <w:p w14:paraId="4A12E52B">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-2.2</w:t>
                  </w:r>
                </w:p>
              </w:tc>
              <w:tc>
                <w:tcPr>
                  <w:tcW w:w="576" w:type="dxa"/>
                  <w:vAlign w:val="center"/>
                </w:tcPr>
                <w:p w14:paraId="520F17DF">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1305</w:t>
                  </w:r>
                </w:p>
              </w:tc>
              <w:tc>
                <w:tcPr>
                  <w:tcW w:w="430" w:type="dxa"/>
                  <w:vAlign w:val="center"/>
                </w:tcPr>
                <w:p w14:paraId="271616F2">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1000</w:t>
                  </w:r>
                </w:p>
              </w:tc>
              <w:tc>
                <w:tcPr>
                  <w:tcW w:w="303" w:type="dxa"/>
                  <w:vAlign w:val="center"/>
                </w:tcPr>
                <w:p w14:paraId="6813412E">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317" w:type="dxa"/>
                  <w:vAlign w:val="center"/>
                </w:tcPr>
                <w:p w14:paraId="4CFCCBC9">
                  <w:pPr>
                    <w:pStyle w:val="60"/>
                    <w:rPr>
                      <w:color w:val="auto"/>
                      <w:sz w:val="18"/>
                      <w:szCs w:val="18"/>
                      <w:highlight w:val="none"/>
                    </w:rPr>
                  </w:pPr>
                  <w:r>
                    <w:rPr>
                      <w:rFonts w:hint="eastAsia"/>
                      <w:color w:val="auto"/>
                      <w:sz w:val="18"/>
                      <w:szCs w:val="18"/>
                      <w:highlight w:val="none"/>
                    </w:rPr>
                    <w:t>白色</w:t>
                  </w:r>
                </w:p>
              </w:tc>
              <w:tc>
                <w:tcPr>
                  <w:tcW w:w="395" w:type="dxa"/>
                  <w:vAlign w:val="center"/>
                </w:tcPr>
                <w:p w14:paraId="1A09EF32">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355</w:t>
                  </w:r>
                </w:p>
              </w:tc>
              <w:tc>
                <w:tcPr>
                  <w:tcW w:w="396" w:type="dxa"/>
                  <w:vAlign w:val="center"/>
                </w:tcPr>
                <w:p w14:paraId="40371A5A">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-295</w:t>
                  </w:r>
                </w:p>
              </w:tc>
              <w:tc>
                <w:tcPr>
                  <w:tcW w:w="275" w:type="dxa"/>
                  <w:vAlign w:val="center"/>
                </w:tcPr>
                <w:p w14:paraId="289E3671">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374" w:type="dxa"/>
                  <w:vAlign w:val="center"/>
                </w:tcPr>
                <w:p w14:paraId="2B2EC1CC">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8.8</w:t>
                  </w:r>
                </w:p>
              </w:tc>
              <w:tc>
                <w:tcPr>
                  <w:tcW w:w="532" w:type="dxa"/>
                  <w:vAlign w:val="center"/>
                </w:tcPr>
                <w:p w14:paraId="4F444453">
                  <w:pPr>
                    <w:pStyle w:val="60"/>
                    <w:rPr>
                      <w:rFonts w:hint="default" w:eastAsia="宋体"/>
                      <w:bCs/>
                      <w:color w:val="auto"/>
                      <w:sz w:val="18"/>
                      <w:szCs w:val="18"/>
                      <w:lang w:val="en-US" w:eastAsia="zh-CN"/>
                    </w:rPr>
                  </w:pPr>
                  <w:r>
                    <w:rPr>
                      <w:rFonts w:hint="eastAsia"/>
                      <w:bCs/>
                      <w:color w:val="auto"/>
                      <w:sz w:val="18"/>
                      <w:szCs w:val="18"/>
                      <w:lang w:val="en-US" w:eastAsia="zh-CN"/>
                    </w:rPr>
                    <w:t>0.795</w:t>
                  </w:r>
                </w:p>
              </w:tc>
              <w:tc>
                <w:tcPr>
                  <w:tcW w:w="406" w:type="dxa"/>
                  <w:vAlign w:val="center"/>
                </w:tcPr>
                <w:p w14:paraId="5394C8AD">
                  <w:pPr>
                    <w:pStyle w:val="60"/>
                    <w:rPr>
                      <w:rFonts w:hint="default" w:eastAsia="宋体"/>
                      <w:color w:val="auto"/>
                      <w:sz w:val="18"/>
                      <w:szCs w:val="18"/>
                      <w:lang w:val="en-US" w:eastAsia="zh-CN"/>
                    </w:rPr>
                  </w:pPr>
                  <w:r>
                    <w:rPr>
                      <w:rFonts w:hint="eastAsia"/>
                      <w:color w:val="auto"/>
                      <w:sz w:val="18"/>
                      <w:szCs w:val="18"/>
                      <w:lang w:val="en-US" w:eastAsia="zh-CN"/>
                    </w:rPr>
                    <w:t>1.6</w:t>
                  </w:r>
                </w:p>
              </w:tc>
              <w:tc>
                <w:tcPr>
                  <w:tcW w:w="530" w:type="dxa"/>
                  <w:vAlign w:val="center"/>
                </w:tcPr>
                <w:p w14:paraId="240BFB37">
                  <w:pPr>
                    <w:pStyle w:val="60"/>
                    <w:rPr>
                      <w:rFonts w:hint="default" w:eastAsia="宋体"/>
                      <w:bCs/>
                      <w:color w:val="auto"/>
                      <w:sz w:val="18"/>
                      <w:szCs w:val="18"/>
                      <w:lang w:val="en-US" w:eastAsia="zh-CN"/>
                    </w:rPr>
                  </w:pPr>
                  <w:r>
                    <w:rPr>
                      <w:rFonts w:hint="eastAsia"/>
                      <w:bCs/>
                      <w:color w:val="auto"/>
                      <w:sz w:val="18"/>
                      <w:szCs w:val="18"/>
                      <w:lang w:val="en-US" w:eastAsia="zh-CN"/>
                    </w:rPr>
                    <w:t>3.424</w:t>
                  </w:r>
                </w:p>
              </w:tc>
              <w:tc>
                <w:tcPr>
                  <w:tcW w:w="532" w:type="dxa"/>
                  <w:vAlign w:val="center"/>
                </w:tcPr>
                <w:p w14:paraId="73C73BE1">
                  <w:pPr>
                    <w:pStyle w:val="60"/>
                    <w:rPr>
                      <w:rFonts w:hint="default" w:eastAsia="宋体"/>
                      <w:bCs/>
                      <w:color w:val="auto"/>
                      <w:sz w:val="18"/>
                      <w:szCs w:val="18"/>
                      <w:lang w:val="en-US" w:eastAsia="zh-CN"/>
                    </w:rPr>
                  </w:pPr>
                  <w:r>
                    <w:rPr>
                      <w:rFonts w:hint="eastAsia"/>
                      <w:bCs/>
                      <w:color w:val="auto"/>
                      <w:sz w:val="18"/>
                      <w:szCs w:val="18"/>
                      <w:lang w:val="en-US" w:eastAsia="zh-CN"/>
                    </w:rPr>
                    <w:t>4.219</w:t>
                  </w:r>
                </w:p>
              </w:tc>
            </w:tr>
          </w:tbl>
          <w:p w14:paraId="2D00C201">
            <w:pPr>
              <w:spacing w:before="120" w:beforeLines="50"/>
              <w:jc w:val="center"/>
              <w:rPr>
                <w:b/>
                <w:bCs/>
                <w:color w:val="auto"/>
              </w:rPr>
            </w:pPr>
            <w:r>
              <w:rPr>
                <w:b/>
                <w:bCs/>
                <w:color w:val="auto"/>
              </w:rPr>
              <w:t>表</w:t>
            </w:r>
            <w:r>
              <w:rPr>
                <w:rFonts w:hint="eastAsia"/>
                <w:b/>
                <w:bCs/>
                <w:color w:val="auto"/>
                <w:lang w:val="en-US" w:eastAsia="zh-CN"/>
              </w:rPr>
              <w:t>4-3b</w:t>
            </w:r>
            <w:r>
              <w:rPr>
                <w:b/>
                <w:bCs/>
                <w:color w:val="auto"/>
              </w:rPr>
              <w:t xml:space="preserve">  </w:t>
            </w:r>
            <w:r>
              <w:rPr>
                <w:rFonts w:hint="eastAsia"/>
                <w:b/>
                <w:bCs/>
                <w:color w:val="auto"/>
                <w:lang w:val="en-US" w:eastAsia="zh-CN"/>
              </w:rPr>
              <w:t>本项目卧式固定顶储罐</w:t>
            </w:r>
            <w:r>
              <w:rPr>
                <w:rFonts w:hint="eastAsia"/>
                <w:b/>
                <w:bCs/>
                <w:color w:val="auto"/>
              </w:rPr>
              <w:t>呼吸</w:t>
            </w:r>
            <w:r>
              <w:rPr>
                <w:b/>
                <w:bCs/>
                <w:color w:val="auto"/>
              </w:rPr>
              <w:t>废气产生情况计算表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30"/>
              <w:gridCol w:w="322"/>
              <w:gridCol w:w="403"/>
              <w:gridCol w:w="446"/>
              <w:gridCol w:w="417"/>
              <w:gridCol w:w="432"/>
              <w:gridCol w:w="446"/>
              <w:gridCol w:w="432"/>
              <w:gridCol w:w="576"/>
              <w:gridCol w:w="360"/>
              <w:gridCol w:w="373"/>
              <w:gridCol w:w="394"/>
              <w:gridCol w:w="518"/>
              <w:gridCol w:w="461"/>
              <w:gridCol w:w="384"/>
              <w:gridCol w:w="532"/>
              <w:gridCol w:w="406"/>
              <w:gridCol w:w="530"/>
              <w:gridCol w:w="532"/>
            </w:tblGrid>
            <w:tr w14:paraId="133A9A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restart"/>
                  <w:vAlign w:val="center"/>
                </w:tcPr>
                <w:p w14:paraId="0FE5E4B4">
                  <w:pPr>
                    <w:pStyle w:val="60"/>
                    <w:rPr>
                      <w:color w:val="auto"/>
                      <w:sz w:val="18"/>
                      <w:szCs w:val="18"/>
                    </w:rPr>
                  </w:pPr>
                  <w:r>
                    <w:rPr>
                      <w:color w:val="auto"/>
                      <w:sz w:val="18"/>
                      <w:szCs w:val="18"/>
                    </w:rPr>
                    <w:t>物料</w:t>
                  </w:r>
                </w:p>
                <w:p w14:paraId="56B55031">
                  <w:pPr>
                    <w:pStyle w:val="60"/>
                    <w:rPr>
                      <w:color w:val="auto"/>
                      <w:sz w:val="18"/>
                      <w:szCs w:val="18"/>
                    </w:rPr>
                  </w:pPr>
                  <w:r>
                    <w:rPr>
                      <w:color w:val="auto"/>
                      <w:sz w:val="18"/>
                      <w:szCs w:val="18"/>
                    </w:rPr>
                    <w:t>名称</w:t>
                  </w:r>
                </w:p>
              </w:tc>
              <w:tc>
                <w:tcPr>
                  <w:tcW w:w="335" w:type="dxa"/>
                  <w:vMerge w:val="restart"/>
                  <w:vAlign w:val="center"/>
                </w:tcPr>
                <w:p w14:paraId="13D08DB1">
                  <w:pPr>
                    <w:pStyle w:val="60"/>
                    <w:rPr>
                      <w:color w:val="auto"/>
                      <w:sz w:val="18"/>
                      <w:szCs w:val="18"/>
                    </w:rPr>
                  </w:pPr>
                  <w:r>
                    <w:rPr>
                      <w:rFonts w:hint="eastAsia"/>
                      <w:color w:val="auto"/>
                      <w:sz w:val="18"/>
                      <w:szCs w:val="18"/>
                    </w:rPr>
                    <w:t>储罐数量/座</w:t>
                  </w:r>
                </w:p>
              </w:tc>
              <w:tc>
                <w:tcPr>
                  <w:tcW w:w="1320" w:type="dxa"/>
                  <w:gridSpan w:val="3"/>
                  <w:vAlign w:val="center"/>
                </w:tcPr>
                <w:p w14:paraId="79981685">
                  <w:pPr>
                    <w:pStyle w:val="60"/>
                    <w:rPr>
                      <w:color w:val="auto"/>
                      <w:sz w:val="18"/>
                      <w:szCs w:val="18"/>
                    </w:rPr>
                  </w:pPr>
                  <w:r>
                    <w:rPr>
                      <w:color w:val="auto"/>
                      <w:sz w:val="18"/>
                      <w:szCs w:val="18"/>
                    </w:rPr>
                    <w:t>理化参数</w:t>
                  </w:r>
                </w:p>
              </w:tc>
              <w:tc>
                <w:tcPr>
                  <w:tcW w:w="1965" w:type="dxa"/>
                  <w:gridSpan w:val="4"/>
                  <w:vAlign w:val="center"/>
                </w:tcPr>
                <w:p w14:paraId="6C2BD930">
                  <w:pPr>
                    <w:pStyle w:val="60"/>
                    <w:rPr>
                      <w:color w:val="auto"/>
                      <w:sz w:val="18"/>
                      <w:szCs w:val="18"/>
                    </w:rPr>
                  </w:pPr>
                  <w:r>
                    <w:rPr>
                      <w:color w:val="auto"/>
                      <w:sz w:val="18"/>
                      <w:szCs w:val="18"/>
                    </w:rPr>
                    <w:t>气象参数</w:t>
                  </w:r>
                </w:p>
              </w:tc>
              <w:tc>
                <w:tcPr>
                  <w:tcW w:w="2595" w:type="dxa"/>
                  <w:gridSpan w:val="6"/>
                  <w:vAlign w:val="center"/>
                </w:tcPr>
                <w:p w14:paraId="2BAE2FAD">
                  <w:pPr>
                    <w:pStyle w:val="60"/>
                    <w:rPr>
                      <w:color w:val="auto"/>
                      <w:sz w:val="18"/>
                      <w:szCs w:val="18"/>
                    </w:rPr>
                  </w:pPr>
                  <w:r>
                    <w:rPr>
                      <w:color w:val="auto"/>
                      <w:sz w:val="18"/>
                      <w:szCs w:val="18"/>
                    </w:rPr>
                    <w:t>储罐构造参数</w:t>
                  </w:r>
                </w:p>
              </w:tc>
              <w:tc>
                <w:tcPr>
                  <w:tcW w:w="555" w:type="dxa"/>
                  <w:vMerge w:val="restart"/>
                  <w:vAlign w:val="center"/>
                </w:tcPr>
                <w:p w14:paraId="20B06112">
                  <w:pPr>
                    <w:pStyle w:val="60"/>
                    <w:rPr>
                      <w:b/>
                      <w:bCs/>
                      <w:color w:val="auto"/>
                      <w:sz w:val="18"/>
                      <w:szCs w:val="18"/>
                    </w:rPr>
                  </w:pPr>
                  <w:r>
                    <w:rPr>
                      <w:b/>
                      <w:bCs/>
                      <w:color w:val="auto"/>
                      <w:sz w:val="18"/>
                      <w:szCs w:val="18"/>
                    </w:rPr>
                    <w:t>静置</w:t>
                  </w:r>
                </w:p>
                <w:p w14:paraId="4112C0F7">
                  <w:pPr>
                    <w:pStyle w:val="60"/>
                    <w:rPr>
                      <w:b/>
                      <w:bCs/>
                      <w:color w:val="auto"/>
                      <w:sz w:val="18"/>
                      <w:szCs w:val="18"/>
                    </w:rPr>
                  </w:pPr>
                  <w:r>
                    <w:rPr>
                      <w:b/>
                      <w:bCs/>
                      <w:color w:val="auto"/>
                      <w:sz w:val="18"/>
                      <w:szCs w:val="18"/>
                    </w:rPr>
                    <w:t>损失</w:t>
                  </w:r>
                </w:p>
                <w:p w14:paraId="3744F039">
                  <w:pPr>
                    <w:pStyle w:val="60"/>
                    <w:rPr>
                      <w:b/>
                      <w:bCs/>
                      <w:color w:val="auto"/>
                      <w:sz w:val="18"/>
                      <w:szCs w:val="18"/>
                    </w:rPr>
                  </w:pPr>
                  <w:r>
                    <w:rPr>
                      <w:b/>
                      <w:bCs/>
                      <w:color w:val="auto"/>
                      <w:sz w:val="18"/>
                      <w:szCs w:val="18"/>
                    </w:rPr>
                    <w:t>(t/a)</w:t>
                  </w:r>
                </w:p>
              </w:tc>
              <w:tc>
                <w:tcPr>
                  <w:tcW w:w="423" w:type="dxa"/>
                  <w:vMerge w:val="restart"/>
                  <w:vAlign w:val="center"/>
                </w:tcPr>
                <w:p w14:paraId="7CE9C881">
                  <w:pPr>
                    <w:pStyle w:val="60"/>
                    <w:rPr>
                      <w:color w:val="auto"/>
                      <w:sz w:val="18"/>
                      <w:szCs w:val="18"/>
                    </w:rPr>
                  </w:pPr>
                  <w:r>
                    <w:rPr>
                      <w:color w:val="auto"/>
                      <w:sz w:val="18"/>
                      <w:szCs w:val="18"/>
                    </w:rPr>
                    <w:t>年周转量</w:t>
                  </w:r>
                  <w:r>
                    <w:rPr>
                      <w:rFonts w:hint="eastAsia"/>
                      <w:color w:val="auto"/>
                      <w:sz w:val="18"/>
                      <w:szCs w:val="18"/>
                    </w:rPr>
                    <w:t>/万t</w:t>
                  </w:r>
                </w:p>
              </w:tc>
              <w:tc>
                <w:tcPr>
                  <w:tcW w:w="552" w:type="dxa"/>
                  <w:vMerge w:val="restart"/>
                  <w:vAlign w:val="center"/>
                </w:tcPr>
                <w:p w14:paraId="7B2CE4AE">
                  <w:pPr>
                    <w:pStyle w:val="60"/>
                    <w:rPr>
                      <w:b/>
                      <w:bCs/>
                      <w:color w:val="auto"/>
                      <w:sz w:val="18"/>
                      <w:szCs w:val="18"/>
                    </w:rPr>
                  </w:pPr>
                  <w:r>
                    <w:rPr>
                      <w:b/>
                      <w:bCs/>
                      <w:color w:val="auto"/>
                      <w:sz w:val="18"/>
                      <w:szCs w:val="18"/>
                    </w:rPr>
                    <w:t>工作</w:t>
                  </w:r>
                </w:p>
                <w:p w14:paraId="370608DB">
                  <w:pPr>
                    <w:pStyle w:val="60"/>
                    <w:rPr>
                      <w:b/>
                      <w:bCs/>
                      <w:color w:val="auto"/>
                      <w:sz w:val="18"/>
                      <w:szCs w:val="18"/>
                    </w:rPr>
                  </w:pPr>
                  <w:r>
                    <w:rPr>
                      <w:b/>
                      <w:bCs/>
                      <w:color w:val="auto"/>
                      <w:sz w:val="18"/>
                      <w:szCs w:val="18"/>
                    </w:rPr>
                    <w:t>损失</w:t>
                  </w:r>
                </w:p>
                <w:p w14:paraId="192EE25D">
                  <w:pPr>
                    <w:pStyle w:val="60"/>
                    <w:rPr>
                      <w:b/>
                      <w:bCs/>
                      <w:color w:val="auto"/>
                      <w:sz w:val="18"/>
                      <w:szCs w:val="18"/>
                    </w:rPr>
                  </w:pPr>
                  <w:r>
                    <w:rPr>
                      <w:b/>
                      <w:bCs/>
                      <w:color w:val="auto"/>
                      <w:sz w:val="18"/>
                      <w:szCs w:val="18"/>
                    </w:rPr>
                    <w:t>(t/a)</w:t>
                  </w:r>
                </w:p>
              </w:tc>
              <w:tc>
                <w:tcPr>
                  <w:tcW w:w="555" w:type="dxa"/>
                  <w:vMerge w:val="restart"/>
                  <w:vAlign w:val="center"/>
                </w:tcPr>
                <w:p w14:paraId="6429BA58">
                  <w:pPr>
                    <w:pStyle w:val="60"/>
                    <w:rPr>
                      <w:b/>
                      <w:bCs/>
                      <w:color w:val="auto"/>
                      <w:sz w:val="18"/>
                      <w:szCs w:val="18"/>
                    </w:rPr>
                  </w:pPr>
                  <w:r>
                    <w:rPr>
                      <w:b/>
                      <w:bCs/>
                      <w:color w:val="auto"/>
                      <w:sz w:val="18"/>
                      <w:szCs w:val="18"/>
                    </w:rPr>
                    <w:t>合计(t/a)</w:t>
                  </w:r>
                </w:p>
              </w:tc>
            </w:tr>
            <w:tr w14:paraId="755BAA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Merge w:val="continue"/>
                  <w:vAlign w:val="center"/>
                </w:tcPr>
                <w:p w14:paraId="49249AB4">
                  <w:pPr>
                    <w:pStyle w:val="60"/>
                    <w:rPr>
                      <w:color w:val="auto"/>
                      <w:sz w:val="18"/>
                      <w:szCs w:val="18"/>
                    </w:rPr>
                  </w:pPr>
                </w:p>
              </w:tc>
              <w:tc>
                <w:tcPr>
                  <w:tcW w:w="335" w:type="dxa"/>
                  <w:vMerge w:val="continue"/>
                  <w:vAlign w:val="center"/>
                </w:tcPr>
                <w:p w14:paraId="0A031695">
                  <w:pPr>
                    <w:pStyle w:val="60"/>
                    <w:rPr>
                      <w:color w:val="auto"/>
                      <w:sz w:val="18"/>
                      <w:szCs w:val="18"/>
                    </w:rPr>
                  </w:pPr>
                </w:p>
              </w:tc>
              <w:tc>
                <w:tcPr>
                  <w:tcW w:w="420" w:type="dxa"/>
                  <w:vAlign w:val="center"/>
                </w:tcPr>
                <w:p w14:paraId="25D19A83">
                  <w:pPr>
                    <w:pStyle w:val="60"/>
                    <w:rPr>
                      <w:color w:val="auto"/>
                      <w:sz w:val="18"/>
                      <w:szCs w:val="18"/>
                    </w:rPr>
                  </w:pPr>
                  <w:r>
                    <w:rPr>
                      <w:color w:val="auto"/>
                      <w:sz w:val="18"/>
                      <w:szCs w:val="18"/>
                    </w:rPr>
                    <w:t>密度t/m</w:t>
                  </w:r>
                  <w:r>
                    <w:rPr>
                      <w:color w:val="auto"/>
                      <w:sz w:val="18"/>
                      <w:szCs w:val="18"/>
                      <w:vertAlign w:val="superscript"/>
                    </w:rPr>
                    <w:t>3</w:t>
                  </w:r>
                </w:p>
              </w:tc>
              <w:tc>
                <w:tcPr>
                  <w:tcW w:w="465" w:type="dxa"/>
                  <w:vAlign w:val="center"/>
                </w:tcPr>
                <w:p w14:paraId="7A15498B">
                  <w:pPr>
                    <w:pStyle w:val="60"/>
                    <w:rPr>
                      <w:color w:val="auto"/>
                      <w:sz w:val="18"/>
                      <w:szCs w:val="18"/>
                    </w:rPr>
                  </w:pPr>
                  <w:r>
                    <w:rPr>
                      <w:color w:val="auto"/>
                      <w:sz w:val="18"/>
                      <w:szCs w:val="18"/>
                    </w:rPr>
                    <w:t>摩尔质量(g/g-mol)</w:t>
                  </w:r>
                </w:p>
              </w:tc>
              <w:tc>
                <w:tcPr>
                  <w:tcW w:w="435" w:type="dxa"/>
                  <w:vAlign w:val="center"/>
                </w:tcPr>
                <w:p w14:paraId="73443711">
                  <w:pPr>
                    <w:pStyle w:val="60"/>
                    <w:rPr>
                      <w:color w:val="auto"/>
                      <w:sz w:val="18"/>
                      <w:szCs w:val="18"/>
                    </w:rPr>
                  </w:pPr>
                  <w:r>
                    <w:rPr>
                      <w:color w:val="auto"/>
                      <w:sz w:val="18"/>
                      <w:szCs w:val="18"/>
                    </w:rPr>
                    <w:t>真实蒸汽压(kpa)</w:t>
                  </w:r>
                </w:p>
              </w:tc>
              <w:tc>
                <w:tcPr>
                  <w:tcW w:w="450" w:type="dxa"/>
                  <w:vAlign w:val="center"/>
                </w:tcPr>
                <w:p w14:paraId="7F90F709">
                  <w:pPr>
                    <w:pStyle w:val="60"/>
                    <w:rPr>
                      <w:color w:val="auto"/>
                      <w:sz w:val="18"/>
                      <w:szCs w:val="18"/>
                    </w:rPr>
                  </w:pPr>
                  <w:r>
                    <w:rPr>
                      <w:color w:val="auto"/>
                      <w:sz w:val="18"/>
                      <w:szCs w:val="18"/>
                    </w:rPr>
                    <w:t>大气压(kPa)</w:t>
                  </w:r>
                </w:p>
              </w:tc>
              <w:tc>
                <w:tcPr>
                  <w:tcW w:w="465" w:type="dxa"/>
                  <w:vAlign w:val="center"/>
                </w:tcPr>
                <w:p w14:paraId="74D89723">
                  <w:pPr>
                    <w:pStyle w:val="60"/>
                    <w:rPr>
                      <w:color w:val="auto"/>
                      <w:sz w:val="18"/>
                      <w:szCs w:val="18"/>
                    </w:rPr>
                  </w:pPr>
                  <w:r>
                    <w:rPr>
                      <w:color w:val="auto"/>
                      <w:sz w:val="18"/>
                      <w:szCs w:val="18"/>
                    </w:rPr>
                    <w:t>日平均最高环境温度(℃)</w:t>
                  </w:r>
                </w:p>
              </w:tc>
              <w:tc>
                <w:tcPr>
                  <w:tcW w:w="450" w:type="dxa"/>
                  <w:vAlign w:val="center"/>
                </w:tcPr>
                <w:p w14:paraId="7A8C25B3">
                  <w:pPr>
                    <w:pStyle w:val="60"/>
                    <w:rPr>
                      <w:color w:val="auto"/>
                      <w:sz w:val="18"/>
                      <w:szCs w:val="18"/>
                    </w:rPr>
                  </w:pPr>
                  <w:r>
                    <w:rPr>
                      <w:color w:val="auto"/>
                      <w:sz w:val="18"/>
                      <w:szCs w:val="18"/>
                    </w:rPr>
                    <w:t>日平均最低环境温度(℃)</w:t>
                  </w:r>
                </w:p>
              </w:tc>
              <w:tc>
                <w:tcPr>
                  <w:tcW w:w="600" w:type="dxa"/>
                  <w:vAlign w:val="center"/>
                </w:tcPr>
                <w:p w14:paraId="6F616949">
                  <w:pPr>
                    <w:pStyle w:val="60"/>
                    <w:rPr>
                      <w:color w:val="auto"/>
                      <w:sz w:val="18"/>
                      <w:szCs w:val="18"/>
                    </w:rPr>
                  </w:pPr>
                  <w:r>
                    <w:rPr>
                      <w:color w:val="auto"/>
                      <w:sz w:val="18"/>
                      <w:szCs w:val="18"/>
                    </w:rPr>
                    <w:t>水平面太阳能总辐射(Btu/ft</w:t>
                  </w:r>
                  <w:r>
                    <w:rPr>
                      <w:color w:val="auto"/>
                      <w:sz w:val="18"/>
                      <w:szCs w:val="18"/>
                      <w:vertAlign w:val="superscript"/>
                    </w:rPr>
                    <w:t>2</w:t>
                  </w:r>
                  <w:r>
                    <w:rPr>
                      <w:color w:val="auto"/>
                      <w:sz w:val="18"/>
                      <w:szCs w:val="18"/>
                    </w:rPr>
                    <w:t>.day)</w:t>
                  </w:r>
                </w:p>
              </w:tc>
              <w:tc>
                <w:tcPr>
                  <w:tcW w:w="375" w:type="dxa"/>
                  <w:vAlign w:val="center"/>
                </w:tcPr>
                <w:p w14:paraId="7E26A5E2">
                  <w:pPr>
                    <w:pStyle w:val="60"/>
                    <w:rPr>
                      <w:color w:val="auto"/>
                      <w:sz w:val="18"/>
                      <w:szCs w:val="18"/>
                    </w:rPr>
                  </w:pPr>
                  <w:r>
                    <w:rPr>
                      <w:color w:val="auto"/>
                      <w:sz w:val="18"/>
                      <w:szCs w:val="18"/>
                    </w:rPr>
                    <w:t>容积(m</w:t>
                  </w:r>
                  <w:r>
                    <w:rPr>
                      <w:color w:val="auto"/>
                      <w:sz w:val="18"/>
                      <w:szCs w:val="18"/>
                      <w:vertAlign w:val="superscript"/>
                    </w:rPr>
                    <w:t>3</w:t>
                  </w:r>
                  <w:r>
                    <w:rPr>
                      <w:color w:val="auto"/>
                      <w:sz w:val="18"/>
                      <w:szCs w:val="18"/>
                    </w:rPr>
                    <w:t>)</w:t>
                  </w:r>
                </w:p>
              </w:tc>
              <w:tc>
                <w:tcPr>
                  <w:tcW w:w="389" w:type="dxa"/>
                  <w:vAlign w:val="center"/>
                </w:tcPr>
                <w:p w14:paraId="5F6B8F8D">
                  <w:pPr>
                    <w:pStyle w:val="60"/>
                    <w:rPr>
                      <w:color w:val="auto"/>
                      <w:sz w:val="18"/>
                      <w:szCs w:val="18"/>
                    </w:rPr>
                  </w:pPr>
                  <w:r>
                    <w:rPr>
                      <w:color w:val="auto"/>
                      <w:sz w:val="18"/>
                      <w:szCs w:val="18"/>
                    </w:rPr>
                    <w:t>直径(m)</w:t>
                  </w:r>
                </w:p>
              </w:tc>
              <w:tc>
                <w:tcPr>
                  <w:tcW w:w="411" w:type="dxa"/>
                  <w:vAlign w:val="center"/>
                </w:tcPr>
                <w:p w14:paraId="11E8058A">
                  <w:pPr>
                    <w:pStyle w:val="60"/>
                    <w:rPr>
                      <w:color w:val="auto"/>
                      <w:sz w:val="18"/>
                      <w:szCs w:val="18"/>
                    </w:rPr>
                  </w:pPr>
                  <w:r>
                    <w:rPr>
                      <w:color w:val="auto"/>
                      <w:sz w:val="18"/>
                      <w:szCs w:val="18"/>
                    </w:rPr>
                    <w:t>罐壁/顶颜色</w:t>
                  </w:r>
                </w:p>
              </w:tc>
              <w:tc>
                <w:tcPr>
                  <w:tcW w:w="540" w:type="dxa"/>
                  <w:vAlign w:val="center"/>
                </w:tcPr>
                <w:p w14:paraId="6D4B8A40">
                  <w:pPr>
                    <w:pStyle w:val="60"/>
                    <w:rPr>
                      <w:color w:val="auto"/>
                      <w:sz w:val="18"/>
                      <w:szCs w:val="18"/>
                    </w:rPr>
                  </w:pPr>
                  <w:r>
                    <w:rPr>
                      <w:color w:val="auto"/>
                      <w:sz w:val="18"/>
                      <w:szCs w:val="18"/>
                    </w:rPr>
                    <w:t>呼吸阀压力设定(pa)</w:t>
                  </w:r>
                </w:p>
              </w:tc>
              <w:tc>
                <w:tcPr>
                  <w:tcW w:w="480" w:type="dxa"/>
                  <w:vAlign w:val="center"/>
                </w:tcPr>
                <w:p w14:paraId="56343F2F">
                  <w:pPr>
                    <w:pStyle w:val="60"/>
                    <w:rPr>
                      <w:color w:val="auto"/>
                      <w:sz w:val="18"/>
                      <w:szCs w:val="18"/>
                    </w:rPr>
                  </w:pPr>
                  <w:r>
                    <w:rPr>
                      <w:color w:val="auto"/>
                      <w:sz w:val="18"/>
                      <w:szCs w:val="18"/>
                    </w:rPr>
                    <w:t>呼吸阀真空设定(pa)</w:t>
                  </w:r>
                </w:p>
              </w:tc>
              <w:tc>
                <w:tcPr>
                  <w:tcW w:w="400" w:type="dxa"/>
                  <w:vAlign w:val="center"/>
                </w:tcPr>
                <w:p w14:paraId="77A3E4DE">
                  <w:pPr>
                    <w:pStyle w:val="60"/>
                    <w:rPr>
                      <w:color w:val="auto"/>
                      <w:sz w:val="18"/>
                      <w:szCs w:val="18"/>
                    </w:rPr>
                  </w:pPr>
                  <w:r>
                    <w:rPr>
                      <w:color w:val="auto"/>
                      <w:sz w:val="18"/>
                      <w:szCs w:val="18"/>
                    </w:rPr>
                    <w:t>罐体</w:t>
                  </w:r>
                  <w:r>
                    <w:rPr>
                      <w:rFonts w:hint="eastAsia"/>
                      <w:color w:val="auto"/>
                      <w:sz w:val="18"/>
                      <w:szCs w:val="18"/>
                      <w:lang w:val="en-US" w:eastAsia="zh-CN"/>
                    </w:rPr>
                    <w:t>长</w:t>
                  </w:r>
                  <w:r>
                    <w:rPr>
                      <w:color w:val="auto"/>
                      <w:sz w:val="18"/>
                      <w:szCs w:val="18"/>
                    </w:rPr>
                    <w:t>度(m)</w:t>
                  </w:r>
                </w:p>
              </w:tc>
              <w:tc>
                <w:tcPr>
                  <w:tcW w:w="555" w:type="dxa"/>
                  <w:vMerge w:val="continue"/>
                  <w:vAlign w:val="center"/>
                </w:tcPr>
                <w:p w14:paraId="32BBF14A">
                  <w:pPr>
                    <w:pStyle w:val="60"/>
                    <w:rPr>
                      <w:b/>
                      <w:bCs/>
                      <w:color w:val="auto"/>
                      <w:sz w:val="18"/>
                      <w:szCs w:val="18"/>
                    </w:rPr>
                  </w:pPr>
                </w:p>
              </w:tc>
              <w:tc>
                <w:tcPr>
                  <w:tcW w:w="423" w:type="dxa"/>
                  <w:vMerge w:val="continue"/>
                  <w:vAlign w:val="center"/>
                </w:tcPr>
                <w:p w14:paraId="0C8B9660">
                  <w:pPr>
                    <w:pStyle w:val="60"/>
                    <w:rPr>
                      <w:color w:val="auto"/>
                      <w:sz w:val="18"/>
                      <w:szCs w:val="18"/>
                    </w:rPr>
                  </w:pPr>
                </w:p>
              </w:tc>
              <w:tc>
                <w:tcPr>
                  <w:tcW w:w="552" w:type="dxa"/>
                  <w:vMerge w:val="continue"/>
                  <w:vAlign w:val="center"/>
                </w:tcPr>
                <w:p w14:paraId="791A3D02">
                  <w:pPr>
                    <w:pStyle w:val="60"/>
                    <w:rPr>
                      <w:b/>
                      <w:bCs/>
                      <w:color w:val="auto"/>
                      <w:sz w:val="18"/>
                      <w:szCs w:val="18"/>
                    </w:rPr>
                  </w:pPr>
                </w:p>
              </w:tc>
              <w:tc>
                <w:tcPr>
                  <w:tcW w:w="555" w:type="dxa"/>
                  <w:vMerge w:val="continue"/>
                  <w:vAlign w:val="center"/>
                </w:tcPr>
                <w:p w14:paraId="24B0064A">
                  <w:pPr>
                    <w:pStyle w:val="60"/>
                    <w:rPr>
                      <w:b/>
                      <w:bCs/>
                      <w:color w:val="auto"/>
                      <w:sz w:val="18"/>
                      <w:szCs w:val="18"/>
                    </w:rPr>
                  </w:pPr>
                </w:p>
              </w:tc>
            </w:tr>
            <w:tr w14:paraId="2D2959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40" w:type="dxa"/>
                  <w:vAlign w:val="center"/>
                </w:tcPr>
                <w:p w14:paraId="6A073A41">
                  <w:pPr>
                    <w:pStyle w:val="60"/>
                    <w:rPr>
                      <w:rFonts w:hint="default" w:eastAsia="宋体"/>
                      <w:color w:val="auto"/>
                      <w:sz w:val="18"/>
                      <w:szCs w:val="18"/>
                      <w:lang w:val="en-US" w:eastAsia="zh-CN"/>
                    </w:rPr>
                  </w:pPr>
                  <w:r>
                    <w:rPr>
                      <w:rFonts w:hint="eastAsia"/>
                      <w:color w:val="auto"/>
                      <w:sz w:val="18"/>
                      <w:szCs w:val="18"/>
                      <w:lang w:val="en-US" w:eastAsia="zh-CN"/>
                    </w:rPr>
                    <w:t>叔丁醇</w:t>
                  </w:r>
                </w:p>
              </w:tc>
              <w:tc>
                <w:tcPr>
                  <w:tcW w:w="335" w:type="dxa"/>
                  <w:vAlign w:val="center"/>
                </w:tcPr>
                <w:p w14:paraId="143BFAE3">
                  <w:pPr>
                    <w:pStyle w:val="60"/>
                    <w:rPr>
                      <w:color w:val="auto"/>
                      <w:sz w:val="18"/>
                      <w:szCs w:val="18"/>
                    </w:rPr>
                  </w:pPr>
                  <w:r>
                    <w:rPr>
                      <w:rFonts w:hint="eastAsia"/>
                      <w:color w:val="auto"/>
                      <w:sz w:val="18"/>
                      <w:szCs w:val="18"/>
                    </w:rPr>
                    <w:t>1</w:t>
                  </w:r>
                </w:p>
              </w:tc>
              <w:tc>
                <w:tcPr>
                  <w:tcW w:w="420" w:type="dxa"/>
                  <w:vAlign w:val="center"/>
                </w:tcPr>
                <w:p w14:paraId="1EDDC580">
                  <w:pPr>
                    <w:pStyle w:val="60"/>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78</w:t>
                  </w:r>
                </w:p>
              </w:tc>
              <w:tc>
                <w:tcPr>
                  <w:tcW w:w="465" w:type="dxa"/>
                  <w:vAlign w:val="center"/>
                </w:tcPr>
                <w:p w14:paraId="73958523">
                  <w:pPr>
                    <w:pStyle w:val="60"/>
                    <w:rPr>
                      <w:rFonts w:hint="default" w:eastAsia="宋体"/>
                      <w:color w:val="auto"/>
                      <w:sz w:val="18"/>
                      <w:szCs w:val="18"/>
                      <w:lang w:val="en-US" w:eastAsia="zh-CN"/>
                    </w:rPr>
                  </w:pPr>
                  <w:r>
                    <w:rPr>
                      <w:rFonts w:hint="eastAsia"/>
                      <w:color w:val="auto"/>
                      <w:sz w:val="18"/>
                      <w:szCs w:val="18"/>
                      <w:lang w:val="en-US" w:eastAsia="zh-CN"/>
                    </w:rPr>
                    <w:t>74</w:t>
                  </w:r>
                </w:p>
              </w:tc>
              <w:tc>
                <w:tcPr>
                  <w:tcW w:w="435" w:type="dxa"/>
                  <w:vAlign w:val="center"/>
                </w:tcPr>
                <w:p w14:paraId="69551135">
                  <w:pPr>
                    <w:pStyle w:val="60"/>
                    <w:rPr>
                      <w:rFonts w:hint="default" w:eastAsia="宋体"/>
                      <w:color w:val="auto"/>
                      <w:sz w:val="18"/>
                      <w:szCs w:val="18"/>
                      <w:lang w:val="en-US" w:eastAsia="zh-CN"/>
                    </w:rPr>
                  </w:pPr>
                  <w:r>
                    <w:rPr>
                      <w:rFonts w:hint="eastAsia"/>
                      <w:color w:val="auto"/>
                      <w:sz w:val="18"/>
                      <w:szCs w:val="18"/>
                      <w:lang w:val="en-US" w:eastAsia="zh-CN"/>
                    </w:rPr>
                    <w:t>4.05</w:t>
                  </w:r>
                </w:p>
              </w:tc>
              <w:tc>
                <w:tcPr>
                  <w:tcW w:w="450" w:type="dxa"/>
                  <w:vAlign w:val="center"/>
                </w:tcPr>
                <w:p w14:paraId="091B1594">
                  <w:pPr>
                    <w:pStyle w:val="60"/>
                    <w:rPr>
                      <w:color w:val="auto"/>
                      <w:sz w:val="18"/>
                      <w:szCs w:val="18"/>
                    </w:rPr>
                  </w:pPr>
                  <w:r>
                    <w:rPr>
                      <w:rFonts w:hint="eastAsia"/>
                      <w:color w:val="auto"/>
                      <w:sz w:val="18"/>
                      <w:szCs w:val="18"/>
                    </w:rPr>
                    <w:t>101.3</w:t>
                  </w:r>
                </w:p>
              </w:tc>
              <w:tc>
                <w:tcPr>
                  <w:tcW w:w="465" w:type="dxa"/>
                  <w:shd w:val="clear" w:color="auto" w:fill="auto"/>
                  <w:vAlign w:val="center"/>
                </w:tcPr>
                <w:p w14:paraId="57A71AA1">
                  <w:pPr>
                    <w:pStyle w:val="60"/>
                    <w:rPr>
                      <w:rFonts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26.7</w:t>
                  </w:r>
                </w:p>
              </w:tc>
              <w:tc>
                <w:tcPr>
                  <w:tcW w:w="450" w:type="dxa"/>
                  <w:shd w:val="clear" w:color="auto" w:fill="auto"/>
                  <w:vAlign w:val="center"/>
                </w:tcPr>
                <w:p w14:paraId="3C183D11">
                  <w:pPr>
                    <w:pStyle w:val="60"/>
                    <w:rPr>
                      <w:rFonts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-2.2</w:t>
                  </w:r>
                </w:p>
              </w:tc>
              <w:tc>
                <w:tcPr>
                  <w:tcW w:w="600" w:type="dxa"/>
                  <w:shd w:val="clear" w:color="auto" w:fill="auto"/>
                  <w:vAlign w:val="center"/>
                </w:tcPr>
                <w:p w14:paraId="37AD4A6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1305</w:t>
                  </w:r>
                </w:p>
              </w:tc>
              <w:tc>
                <w:tcPr>
                  <w:tcW w:w="375" w:type="dxa"/>
                  <w:shd w:val="clear" w:color="auto" w:fill="auto"/>
                  <w:vAlign w:val="center"/>
                </w:tcPr>
                <w:p w14:paraId="2968BDA7">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389" w:type="dxa"/>
                  <w:shd w:val="clear" w:color="auto" w:fill="auto"/>
                  <w:vAlign w:val="center"/>
                </w:tcPr>
                <w:p w14:paraId="53F22F01">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2.8</w:t>
                  </w:r>
                </w:p>
              </w:tc>
              <w:tc>
                <w:tcPr>
                  <w:tcW w:w="411" w:type="dxa"/>
                  <w:shd w:val="clear" w:color="auto" w:fill="auto"/>
                  <w:vAlign w:val="center"/>
                </w:tcPr>
                <w:p w14:paraId="606FD3D7">
                  <w:pPr>
                    <w:pStyle w:val="60"/>
                    <w:rPr>
                      <w:rFonts w:ascii="Times New Roman" w:hAnsi="Times New Roman" w:eastAsia="宋体" w:cs="Times New Roman"/>
                      <w:color w:val="auto"/>
                      <w:kern w:val="2"/>
                      <w:sz w:val="18"/>
                      <w:szCs w:val="18"/>
                      <w:lang w:val="zh-CN" w:eastAsia="zh-CN" w:bidi="ar-SA"/>
                    </w:rPr>
                  </w:pPr>
                  <w:r>
                    <w:rPr>
                      <w:rFonts w:hint="eastAsia"/>
                      <w:color w:val="auto"/>
                      <w:sz w:val="18"/>
                      <w:szCs w:val="18"/>
                    </w:rPr>
                    <w:t>白色</w:t>
                  </w:r>
                </w:p>
              </w:tc>
              <w:tc>
                <w:tcPr>
                  <w:tcW w:w="540" w:type="dxa"/>
                  <w:shd w:val="clear" w:color="auto" w:fill="auto"/>
                  <w:vAlign w:val="center"/>
                </w:tcPr>
                <w:p w14:paraId="5C4CEEC4">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355</w:t>
                  </w:r>
                </w:p>
              </w:tc>
              <w:tc>
                <w:tcPr>
                  <w:tcW w:w="480" w:type="dxa"/>
                  <w:shd w:val="clear" w:color="auto" w:fill="auto"/>
                  <w:vAlign w:val="center"/>
                </w:tcPr>
                <w:p w14:paraId="505E4D66">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-295</w:t>
                  </w:r>
                </w:p>
              </w:tc>
              <w:tc>
                <w:tcPr>
                  <w:tcW w:w="400" w:type="dxa"/>
                  <w:shd w:val="clear" w:color="auto" w:fill="auto"/>
                  <w:vAlign w:val="center"/>
                </w:tcPr>
                <w:p w14:paraId="1E9C6B0E">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8.9</w:t>
                  </w:r>
                </w:p>
              </w:tc>
              <w:tc>
                <w:tcPr>
                  <w:tcW w:w="555" w:type="dxa"/>
                  <w:shd w:val="clear" w:color="auto" w:fill="auto"/>
                  <w:vAlign w:val="center"/>
                </w:tcPr>
                <w:p w14:paraId="62C8ADF0">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0.165</w:t>
                  </w:r>
                </w:p>
              </w:tc>
              <w:tc>
                <w:tcPr>
                  <w:tcW w:w="423" w:type="dxa"/>
                  <w:shd w:val="clear" w:color="auto" w:fill="auto"/>
                  <w:vAlign w:val="center"/>
                </w:tcPr>
                <w:p w14:paraId="7AC0678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552" w:type="dxa"/>
                  <w:shd w:val="clear" w:color="auto" w:fill="auto"/>
                  <w:vAlign w:val="center"/>
                </w:tcPr>
                <w:p w14:paraId="1ED1ECB1">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0.262</w:t>
                  </w:r>
                </w:p>
              </w:tc>
              <w:tc>
                <w:tcPr>
                  <w:tcW w:w="555" w:type="dxa"/>
                  <w:shd w:val="clear" w:color="auto" w:fill="auto"/>
                  <w:vAlign w:val="center"/>
                </w:tcPr>
                <w:p w14:paraId="4C480224">
                  <w:pPr>
                    <w:pStyle w:val="60"/>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0.427</w:t>
                  </w:r>
                </w:p>
              </w:tc>
            </w:tr>
          </w:tbl>
          <w:p w14:paraId="33570EC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2</w:t>
            </w:r>
            <w:r>
              <w:rPr>
                <w:rFonts w:hint="eastAsia"/>
                <w:b w:val="0"/>
                <w:bCs w:val="0"/>
                <w:color w:val="auto"/>
                <w:lang w:eastAsia="zh-CN"/>
              </w:rPr>
              <w:t>）</w:t>
            </w:r>
            <w:r>
              <w:rPr>
                <w:rFonts w:hint="eastAsia"/>
                <w:b w:val="0"/>
                <w:bCs w:val="0"/>
                <w:color w:val="auto"/>
                <w:lang w:val="en-US" w:eastAsia="zh-CN"/>
              </w:rPr>
              <w:t>装车废气</w:t>
            </w:r>
          </w:p>
          <w:p w14:paraId="1AF3B515">
            <w:pPr>
              <w:pStyle w:val="79"/>
              <w:keepNext w:val="0"/>
              <w:keepLines w:val="0"/>
              <w:pageBreakBefore w:val="0"/>
              <w:widowControl w:val="0"/>
              <w:kinsoku/>
              <w:wordWrap/>
              <w:overflowPunct/>
              <w:topLinePunct w:val="0"/>
              <w:autoSpaceDE/>
              <w:autoSpaceDN/>
              <w:bidi w:val="0"/>
              <w:snapToGrid w:val="0"/>
              <w:spacing w:line="440" w:lineRule="exact"/>
              <w:ind w:firstLine="480"/>
              <w:textAlignment w:val="auto"/>
              <w:rPr>
                <w:color w:val="auto"/>
                <w:sz w:val="21"/>
                <w:szCs w:val="21"/>
              </w:rPr>
            </w:pPr>
            <w:r>
              <w:rPr>
                <w:rFonts w:cs="Times New Roman"/>
                <w:color w:val="auto"/>
                <w:sz w:val="21"/>
                <w:szCs w:val="21"/>
              </w:rPr>
              <w:t>卸车过程中产生的VOCs已在罐区大呼吸损失中考虑，本次考虑装车过程产生的VOCs。根据《污染源源强核算技术指南 石油炼制工业》（HJ982-2018），挥发性有机液体装载过程VOCs的产生量采用下式计算：</w:t>
            </w:r>
          </w:p>
          <w:p w14:paraId="487EA389">
            <w:pPr>
              <w:pStyle w:val="62"/>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rPr>
                <w:rFonts w:hint="eastAsia"/>
                <w:color w:val="auto"/>
                <w:sz w:val="21"/>
                <w:szCs w:val="21"/>
              </w:rPr>
            </w:pPr>
            <w:r>
              <w:rPr>
                <w:color w:val="auto"/>
                <w:sz w:val="21"/>
                <w:szCs w:val="21"/>
              </w:rPr>
              <w:drawing>
                <wp:inline distT="0" distB="0" distL="0" distR="0">
                  <wp:extent cx="723900" cy="374650"/>
                  <wp:effectExtent l="0" t="0" r="0" b="5715"/>
                  <wp:docPr id="6503242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4271"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26810" cy="376541"/>
                          </a:xfrm>
                          <a:prstGeom prst="rect">
                            <a:avLst/>
                          </a:prstGeom>
                          <a:noFill/>
                          <a:ln>
                            <a:noFill/>
                          </a:ln>
                        </pic:spPr>
                      </pic:pic>
                    </a:graphicData>
                  </a:graphic>
                </wp:inline>
              </w:drawing>
            </w:r>
          </w:p>
          <w:p w14:paraId="7703E02B">
            <w:pPr>
              <w:pStyle w:val="62"/>
              <w:keepNext w:val="0"/>
              <w:keepLines w:val="0"/>
              <w:pageBreakBefore w:val="0"/>
              <w:widowControl/>
              <w:kinsoku/>
              <w:wordWrap/>
              <w:overflowPunct/>
              <w:topLinePunct w:val="0"/>
              <w:autoSpaceDE/>
              <w:autoSpaceDN/>
              <w:bidi w:val="0"/>
              <w:adjustRightInd w:val="0"/>
              <w:snapToGrid w:val="0"/>
              <w:jc w:val="center"/>
              <w:textAlignment w:val="baseline"/>
              <w:rPr>
                <w:rFonts w:hint="eastAsia"/>
                <w:color w:val="auto"/>
                <w:sz w:val="21"/>
                <w:szCs w:val="21"/>
              </w:rPr>
            </w:pPr>
            <w:r>
              <w:rPr>
                <w:color w:val="auto"/>
                <w:sz w:val="21"/>
                <w:szCs w:val="21"/>
              </w:rPr>
              <w:drawing>
                <wp:inline distT="0" distB="0" distL="0" distR="0">
                  <wp:extent cx="1981200" cy="424180"/>
                  <wp:effectExtent l="0" t="0" r="0" b="13970"/>
                  <wp:docPr id="103765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285"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91616" cy="426775"/>
                          </a:xfrm>
                          <a:prstGeom prst="rect">
                            <a:avLst/>
                          </a:prstGeom>
                          <a:noFill/>
                          <a:ln>
                            <a:noFill/>
                          </a:ln>
                        </pic:spPr>
                      </pic:pic>
                    </a:graphicData>
                  </a:graphic>
                </wp:inline>
              </w:drawing>
            </w:r>
          </w:p>
          <w:p w14:paraId="2ADE8CC9">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式中：D—核算时段内挥发性有机液体装载过程VOCs的产生量，t/a；</w:t>
            </w:r>
          </w:p>
          <w:p w14:paraId="644B2919">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L</w:t>
            </w:r>
            <w:r>
              <w:rPr>
                <w:rFonts w:hint="eastAsia"/>
                <w:color w:val="auto"/>
                <w:sz w:val="21"/>
                <w:szCs w:val="21"/>
                <w:vertAlign w:val="subscript"/>
              </w:rPr>
              <w:t>L</w:t>
            </w:r>
            <w:r>
              <w:rPr>
                <w:rFonts w:hint="eastAsia"/>
                <w:color w:val="auto"/>
                <w:sz w:val="21"/>
                <w:szCs w:val="21"/>
              </w:rPr>
              <w:t>—挥发性有机液体装载过程的排放系数，kg/m</w:t>
            </w:r>
            <w:r>
              <w:rPr>
                <w:rFonts w:hint="eastAsia"/>
                <w:color w:val="auto"/>
                <w:sz w:val="21"/>
                <w:szCs w:val="21"/>
                <w:vertAlign w:val="superscript"/>
              </w:rPr>
              <w:t>3</w:t>
            </w:r>
            <w:r>
              <w:rPr>
                <w:rFonts w:hint="eastAsia"/>
                <w:color w:val="auto"/>
                <w:sz w:val="21"/>
                <w:szCs w:val="21"/>
              </w:rPr>
              <w:t>；</w:t>
            </w:r>
          </w:p>
          <w:p w14:paraId="0A516ADA">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Q—核算时段内物料装载量，m</w:t>
            </w:r>
            <w:r>
              <w:rPr>
                <w:rFonts w:hint="eastAsia"/>
                <w:color w:val="auto"/>
                <w:sz w:val="21"/>
                <w:szCs w:val="21"/>
                <w:vertAlign w:val="superscript"/>
              </w:rPr>
              <w:t>3</w:t>
            </w:r>
            <w:r>
              <w:rPr>
                <w:rFonts w:hint="eastAsia"/>
                <w:color w:val="auto"/>
                <w:sz w:val="21"/>
                <w:szCs w:val="21"/>
              </w:rPr>
              <w:t>/a。</w:t>
            </w:r>
          </w:p>
          <w:p w14:paraId="4AEC65F4">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S—饱和系数，无量纲，一般取0.6；</w:t>
            </w:r>
          </w:p>
          <w:p w14:paraId="51ED48FF">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P</w:t>
            </w:r>
            <w:r>
              <w:rPr>
                <w:rFonts w:hint="eastAsia"/>
                <w:color w:val="auto"/>
                <w:sz w:val="21"/>
                <w:szCs w:val="21"/>
                <w:vertAlign w:val="subscript"/>
              </w:rPr>
              <w:t>T</w:t>
            </w:r>
            <w:r>
              <w:rPr>
                <w:rFonts w:hint="eastAsia"/>
                <w:color w:val="auto"/>
                <w:sz w:val="21"/>
                <w:szCs w:val="21"/>
              </w:rPr>
              <w:t>—温度T时装载物料的真实蒸汽压，Pa；</w:t>
            </w:r>
          </w:p>
          <w:p w14:paraId="546EBDA3">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Mvap—油气分子量，g/mol；</w:t>
            </w:r>
          </w:p>
          <w:p w14:paraId="53E946F7">
            <w:pPr>
              <w:pStyle w:val="79"/>
              <w:keepNext w:val="0"/>
              <w:keepLines w:val="0"/>
              <w:pageBreakBefore w:val="0"/>
              <w:widowControl w:val="0"/>
              <w:kinsoku/>
              <w:wordWrap/>
              <w:overflowPunct/>
              <w:topLinePunct w:val="0"/>
              <w:autoSpaceDE/>
              <w:autoSpaceDN/>
              <w:bidi w:val="0"/>
              <w:adjustRightInd/>
              <w:snapToGrid w:val="0"/>
              <w:spacing w:line="440" w:lineRule="exact"/>
              <w:ind w:firstLine="1050" w:firstLineChars="500"/>
              <w:textAlignment w:val="auto"/>
              <w:rPr>
                <w:color w:val="auto"/>
                <w:sz w:val="21"/>
                <w:szCs w:val="21"/>
              </w:rPr>
            </w:pPr>
            <w:r>
              <w:rPr>
                <w:rFonts w:hint="eastAsia"/>
                <w:color w:val="auto"/>
                <w:sz w:val="21"/>
                <w:szCs w:val="21"/>
              </w:rPr>
              <w:t>T—物料装载温</w:t>
            </w:r>
            <w:r>
              <w:rPr>
                <w:rFonts w:cs="Times New Roman"/>
                <w:color w:val="auto"/>
                <w:sz w:val="21"/>
                <w:szCs w:val="21"/>
              </w:rPr>
              <w:t>度，℃。</w:t>
            </w:r>
          </w:p>
          <w:p w14:paraId="40230DDA">
            <w:pPr>
              <w:pStyle w:val="79"/>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color w:val="auto"/>
                <w:sz w:val="21"/>
                <w:szCs w:val="21"/>
              </w:rPr>
            </w:pPr>
            <w:r>
              <w:rPr>
                <w:rFonts w:hint="eastAsia"/>
                <w:color w:val="auto"/>
                <w:sz w:val="21"/>
                <w:szCs w:val="21"/>
              </w:rPr>
              <w:t>本项目装车废气产生量核算如下：</w:t>
            </w:r>
          </w:p>
          <w:p w14:paraId="7CA92F93">
            <w:pPr>
              <w:adjustRightInd w:val="0"/>
              <w:snapToGrid w:val="0"/>
              <w:spacing w:before="120" w:beforeLines="50"/>
              <w:jc w:val="center"/>
              <w:rPr>
                <w:b/>
                <w:bCs/>
                <w:color w:val="auto"/>
                <w:szCs w:val="21"/>
              </w:rPr>
            </w:pPr>
            <w:r>
              <w:rPr>
                <w:b/>
                <w:bCs/>
                <w:color w:val="auto"/>
                <w:szCs w:val="21"/>
              </w:rPr>
              <w:t>表</w:t>
            </w:r>
            <w:r>
              <w:rPr>
                <w:rFonts w:hint="eastAsia"/>
                <w:b/>
                <w:bCs/>
                <w:color w:val="auto"/>
                <w:szCs w:val="21"/>
                <w:lang w:val="en-US" w:eastAsia="zh-CN"/>
              </w:rPr>
              <w:t>4-4</w:t>
            </w:r>
            <w:r>
              <w:rPr>
                <w:b/>
                <w:bCs/>
                <w:color w:val="auto"/>
                <w:szCs w:val="21"/>
              </w:rPr>
              <w:t xml:space="preserve">  </w:t>
            </w:r>
            <w:r>
              <w:rPr>
                <w:rFonts w:hint="eastAsia"/>
                <w:b/>
                <w:bCs/>
                <w:color w:val="auto"/>
                <w:szCs w:val="21"/>
              </w:rPr>
              <w:t>本</w:t>
            </w:r>
            <w:r>
              <w:rPr>
                <w:b/>
                <w:bCs/>
                <w:color w:val="auto"/>
                <w:szCs w:val="21"/>
              </w:rPr>
              <w:t>项目</w:t>
            </w:r>
            <w:r>
              <w:rPr>
                <w:rFonts w:hint="eastAsia"/>
                <w:b/>
                <w:bCs/>
                <w:color w:val="auto"/>
                <w:szCs w:val="21"/>
              </w:rPr>
              <w:t>装车</w:t>
            </w:r>
            <w:r>
              <w:rPr>
                <w:b/>
                <w:bCs/>
                <w:color w:val="auto"/>
                <w:szCs w:val="21"/>
              </w:rPr>
              <w:t>废气产生情况计算表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868"/>
              <w:gridCol w:w="994"/>
              <w:gridCol w:w="941"/>
              <w:gridCol w:w="799"/>
              <w:gridCol w:w="751"/>
              <w:gridCol w:w="1097"/>
              <w:gridCol w:w="1001"/>
            </w:tblGrid>
            <w:tr w14:paraId="548B2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3" w:type="pct"/>
                  <w:vAlign w:val="center"/>
                </w:tcPr>
                <w:p w14:paraId="4F0147B1">
                  <w:pPr>
                    <w:pStyle w:val="60"/>
                    <w:rPr>
                      <w:color w:val="auto"/>
                      <w:sz w:val="18"/>
                      <w:szCs w:val="18"/>
                    </w:rPr>
                  </w:pPr>
                  <w:r>
                    <w:rPr>
                      <w:color w:val="auto"/>
                      <w:sz w:val="18"/>
                      <w:szCs w:val="18"/>
                    </w:rPr>
                    <w:t>物料名称</w:t>
                  </w:r>
                </w:p>
              </w:tc>
              <w:tc>
                <w:tcPr>
                  <w:tcW w:w="529" w:type="pct"/>
                  <w:vAlign w:val="center"/>
                </w:tcPr>
                <w:p w14:paraId="482A42A9">
                  <w:pPr>
                    <w:pStyle w:val="60"/>
                    <w:rPr>
                      <w:color w:val="auto"/>
                      <w:sz w:val="18"/>
                      <w:szCs w:val="18"/>
                    </w:rPr>
                  </w:pPr>
                  <w:r>
                    <w:rPr>
                      <w:color w:val="auto"/>
                      <w:sz w:val="18"/>
                      <w:szCs w:val="18"/>
                    </w:rPr>
                    <w:t>真实蒸汽压Pa</w:t>
                  </w:r>
                </w:p>
              </w:tc>
              <w:tc>
                <w:tcPr>
                  <w:tcW w:w="606" w:type="pct"/>
                  <w:vAlign w:val="center"/>
                </w:tcPr>
                <w:p w14:paraId="3B888DB2">
                  <w:pPr>
                    <w:pStyle w:val="60"/>
                    <w:rPr>
                      <w:color w:val="auto"/>
                      <w:sz w:val="18"/>
                      <w:szCs w:val="18"/>
                    </w:rPr>
                  </w:pPr>
                  <w:r>
                    <w:rPr>
                      <w:color w:val="auto"/>
                      <w:sz w:val="18"/>
                      <w:szCs w:val="18"/>
                    </w:rPr>
                    <w:t>油气分子量g/mol</w:t>
                  </w:r>
                </w:p>
              </w:tc>
              <w:tc>
                <w:tcPr>
                  <w:tcW w:w="574" w:type="pct"/>
                  <w:vAlign w:val="center"/>
                </w:tcPr>
                <w:p w14:paraId="2099F341">
                  <w:pPr>
                    <w:pStyle w:val="60"/>
                    <w:rPr>
                      <w:color w:val="auto"/>
                      <w:sz w:val="18"/>
                      <w:szCs w:val="18"/>
                    </w:rPr>
                  </w:pPr>
                  <w:r>
                    <w:rPr>
                      <w:color w:val="auto"/>
                      <w:sz w:val="18"/>
                      <w:szCs w:val="18"/>
                    </w:rPr>
                    <w:t>装载温度℃</w:t>
                  </w:r>
                </w:p>
              </w:tc>
              <w:tc>
                <w:tcPr>
                  <w:tcW w:w="487" w:type="pct"/>
                  <w:vAlign w:val="center"/>
                </w:tcPr>
                <w:p w14:paraId="75CB5358">
                  <w:pPr>
                    <w:pStyle w:val="60"/>
                    <w:rPr>
                      <w:color w:val="auto"/>
                      <w:kern w:val="0"/>
                      <w:sz w:val="18"/>
                      <w:szCs w:val="18"/>
                    </w:rPr>
                  </w:pPr>
                  <w:r>
                    <w:rPr>
                      <w:color w:val="auto"/>
                      <w:kern w:val="0"/>
                      <w:sz w:val="18"/>
                      <w:szCs w:val="18"/>
                    </w:rPr>
                    <w:t>装载量万t/a</w:t>
                  </w:r>
                </w:p>
              </w:tc>
              <w:tc>
                <w:tcPr>
                  <w:tcW w:w="458" w:type="pct"/>
                  <w:vAlign w:val="center"/>
                </w:tcPr>
                <w:p w14:paraId="0C3E049C">
                  <w:pPr>
                    <w:pStyle w:val="60"/>
                    <w:rPr>
                      <w:color w:val="auto"/>
                      <w:kern w:val="0"/>
                      <w:sz w:val="18"/>
                      <w:szCs w:val="18"/>
                    </w:rPr>
                  </w:pPr>
                  <w:r>
                    <w:rPr>
                      <w:color w:val="auto"/>
                      <w:kern w:val="0"/>
                      <w:sz w:val="18"/>
                      <w:szCs w:val="18"/>
                    </w:rPr>
                    <w:t>密度t/m</w:t>
                  </w:r>
                  <w:r>
                    <w:rPr>
                      <w:color w:val="auto"/>
                      <w:kern w:val="0"/>
                      <w:sz w:val="18"/>
                      <w:szCs w:val="18"/>
                      <w:vertAlign w:val="superscript"/>
                    </w:rPr>
                    <w:t>3</w:t>
                  </w:r>
                </w:p>
              </w:tc>
              <w:tc>
                <w:tcPr>
                  <w:tcW w:w="669" w:type="pct"/>
                  <w:vAlign w:val="center"/>
                </w:tcPr>
                <w:p w14:paraId="3A3F0E0E">
                  <w:pPr>
                    <w:pStyle w:val="60"/>
                    <w:rPr>
                      <w:color w:val="auto"/>
                      <w:kern w:val="0"/>
                      <w:sz w:val="18"/>
                      <w:szCs w:val="18"/>
                    </w:rPr>
                  </w:pPr>
                  <w:r>
                    <w:rPr>
                      <w:color w:val="auto"/>
                      <w:kern w:val="0"/>
                      <w:sz w:val="18"/>
                      <w:szCs w:val="18"/>
                    </w:rPr>
                    <w:t>装载量Qm</w:t>
                  </w:r>
                  <w:r>
                    <w:rPr>
                      <w:color w:val="auto"/>
                      <w:kern w:val="0"/>
                      <w:sz w:val="18"/>
                      <w:szCs w:val="18"/>
                      <w:vertAlign w:val="superscript"/>
                    </w:rPr>
                    <w:t>3</w:t>
                  </w:r>
                  <w:r>
                    <w:rPr>
                      <w:color w:val="auto"/>
                      <w:kern w:val="0"/>
                      <w:sz w:val="18"/>
                      <w:szCs w:val="18"/>
                    </w:rPr>
                    <w:t>/a</w:t>
                  </w:r>
                </w:p>
              </w:tc>
              <w:tc>
                <w:tcPr>
                  <w:tcW w:w="610" w:type="pct"/>
                  <w:vAlign w:val="center"/>
                </w:tcPr>
                <w:p w14:paraId="4109B94E">
                  <w:pPr>
                    <w:pStyle w:val="60"/>
                    <w:rPr>
                      <w:color w:val="auto"/>
                      <w:kern w:val="0"/>
                      <w:sz w:val="18"/>
                      <w:szCs w:val="18"/>
                    </w:rPr>
                  </w:pPr>
                  <w:r>
                    <w:rPr>
                      <w:color w:val="auto"/>
                      <w:sz w:val="18"/>
                      <w:szCs w:val="18"/>
                    </w:rPr>
                    <w:t>VOCs产生量t/a</w:t>
                  </w:r>
                </w:p>
              </w:tc>
            </w:tr>
            <w:tr w14:paraId="287C3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63" w:type="pct"/>
                  <w:vAlign w:val="center"/>
                </w:tcPr>
                <w:p w14:paraId="59947D75">
                  <w:pPr>
                    <w:pStyle w:val="60"/>
                    <w:rPr>
                      <w:rFonts w:hint="default" w:eastAsia="宋体"/>
                      <w:color w:val="auto"/>
                      <w:sz w:val="18"/>
                      <w:szCs w:val="18"/>
                      <w:lang w:val="en-US" w:eastAsia="zh-CN"/>
                    </w:rPr>
                  </w:pPr>
                  <w:r>
                    <w:rPr>
                      <w:rFonts w:hint="eastAsia"/>
                      <w:color w:val="auto"/>
                      <w:sz w:val="18"/>
                      <w:szCs w:val="18"/>
                      <w:lang w:val="en-US" w:eastAsia="zh-CN"/>
                    </w:rPr>
                    <w:t>叔丁醇</w:t>
                  </w:r>
                </w:p>
              </w:tc>
              <w:tc>
                <w:tcPr>
                  <w:tcW w:w="529" w:type="pct"/>
                  <w:vAlign w:val="center"/>
                </w:tcPr>
                <w:p w14:paraId="15E2F5A3">
                  <w:pPr>
                    <w:keepNext w:val="0"/>
                    <w:keepLines w:val="0"/>
                    <w:widowControl/>
                    <w:suppressLineNumbers w:val="0"/>
                    <w:jc w:val="center"/>
                    <w:textAlignment w:val="center"/>
                    <w:rPr>
                      <w:rFonts w:hint="default"/>
                      <w:color w:val="auto"/>
                      <w:sz w:val="18"/>
                      <w:szCs w:val="18"/>
                      <w:lang w:val="en-US"/>
                    </w:rPr>
                  </w:pPr>
                  <w:r>
                    <w:rPr>
                      <w:rFonts w:hint="eastAsia" w:eastAsia="等线" w:cs="Times New Roman"/>
                      <w:i w:val="0"/>
                      <w:iCs w:val="0"/>
                      <w:color w:val="auto"/>
                      <w:kern w:val="0"/>
                      <w:sz w:val="18"/>
                      <w:szCs w:val="18"/>
                      <w:u w:val="none"/>
                      <w:lang w:val="en-US" w:eastAsia="zh-CN" w:bidi="ar"/>
                    </w:rPr>
                    <w:t>4050</w:t>
                  </w:r>
                </w:p>
              </w:tc>
              <w:tc>
                <w:tcPr>
                  <w:tcW w:w="606" w:type="pct"/>
                  <w:vAlign w:val="center"/>
                </w:tcPr>
                <w:p w14:paraId="6AEFE0A0">
                  <w:pPr>
                    <w:keepNext w:val="0"/>
                    <w:keepLines w:val="0"/>
                    <w:widowControl/>
                    <w:suppressLineNumbers w:val="0"/>
                    <w:jc w:val="center"/>
                    <w:textAlignment w:val="center"/>
                    <w:rPr>
                      <w:rFonts w:hint="default"/>
                      <w:color w:val="auto"/>
                      <w:sz w:val="18"/>
                      <w:szCs w:val="18"/>
                      <w:lang w:val="en-US"/>
                    </w:rPr>
                  </w:pPr>
                  <w:r>
                    <w:rPr>
                      <w:rFonts w:hint="eastAsia" w:eastAsia="等线" w:cs="Times New Roman"/>
                      <w:i w:val="0"/>
                      <w:iCs w:val="0"/>
                      <w:color w:val="auto"/>
                      <w:kern w:val="0"/>
                      <w:sz w:val="18"/>
                      <w:szCs w:val="18"/>
                      <w:u w:val="none"/>
                      <w:lang w:val="en-US" w:eastAsia="zh-CN" w:bidi="ar"/>
                    </w:rPr>
                    <w:t>74</w:t>
                  </w:r>
                </w:p>
              </w:tc>
              <w:tc>
                <w:tcPr>
                  <w:tcW w:w="574" w:type="pct"/>
                  <w:vAlign w:val="center"/>
                </w:tcPr>
                <w:p w14:paraId="0B4AD706">
                  <w:pPr>
                    <w:keepNext w:val="0"/>
                    <w:keepLines w:val="0"/>
                    <w:widowControl/>
                    <w:suppressLineNumbers w:val="0"/>
                    <w:jc w:val="center"/>
                    <w:textAlignment w:val="center"/>
                    <w:rPr>
                      <w:rFonts w:hint="default"/>
                      <w:color w:val="auto"/>
                      <w:sz w:val="18"/>
                      <w:szCs w:val="18"/>
                      <w:lang w:val="en-US"/>
                    </w:rPr>
                  </w:pPr>
                  <w:r>
                    <w:rPr>
                      <w:rFonts w:hint="eastAsia" w:eastAsia="等线" w:cs="Times New Roman"/>
                      <w:i w:val="0"/>
                      <w:iCs w:val="0"/>
                      <w:color w:val="auto"/>
                      <w:kern w:val="0"/>
                      <w:sz w:val="18"/>
                      <w:szCs w:val="18"/>
                      <w:u w:val="none"/>
                      <w:lang w:val="en-US" w:eastAsia="zh-CN" w:bidi="ar"/>
                    </w:rPr>
                    <w:t>20</w:t>
                  </w:r>
                </w:p>
              </w:tc>
              <w:tc>
                <w:tcPr>
                  <w:tcW w:w="487" w:type="pct"/>
                  <w:vAlign w:val="center"/>
                </w:tcPr>
                <w:p w14:paraId="58651D9A">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0.5</w:t>
                  </w:r>
                </w:p>
              </w:tc>
              <w:tc>
                <w:tcPr>
                  <w:tcW w:w="458" w:type="pct"/>
                  <w:vAlign w:val="center"/>
                </w:tcPr>
                <w:p w14:paraId="44E59A84">
                  <w:pPr>
                    <w:keepNext w:val="0"/>
                    <w:keepLines w:val="0"/>
                    <w:widowControl/>
                    <w:suppressLineNumbers w:val="0"/>
                    <w:jc w:val="center"/>
                    <w:textAlignment w:val="center"/>
                    <w:rPr>
                      <w:rFonts w:hint="default"/>
                      <w:color w:val="auto"/>
                      <w:sz w:val="18"/>
                      <w:szCs w:val="18"/>
                      <w:lang w:val="en-US"/>
                    </w:rPr>
                  </w:pPr>
                  <w:r>
                    <w:rPr>
                      <w:rFonts w:hint="eastAsia" w:eastAsia="等线" w:cs="Times New Roman"/>
                      <w:i w:val="0"/>
                      <w:iCs w:val="0"/>
                      <w:color w:val="auto"/>
                      <w:kern w:val="0"/>
                      <w:sz w:val="18"/>
                      <w:szCs w:val="18"/>
                      <w:u w:val="none"/>
                      <w:lang w:val="en-US" w:eastAsia="zh-CN" w:bidi="ar"/>
                    </w:rPr>
                    <w:t>0.78</w:t>
                  </w:r>
                </w:p>
              </w:tc>
              <w:tc>
                <w:tcPr>
                  <w:tcW w:w="669" w:type="pct"/>
                  <w:vAlign w:val="center"/>
                </w:tcPr>
                <w:p w14:paraId="006B6FC5">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6410</w:t>
                  </w:r>
                </w:p>
              </w:tc>
              <w:tc>
                <w:tcPr>
                  <w:tcW w:w="610" w:type="pct"/>
                  <w:vAlign w:val="center"/>
                </w:tcPr>
                <w:p w14:paraId="602615F1">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0.472</w:t>
                  </w:r>
                </w:p>
              </w:tc>
            </w:tr>
            <w:tr w14:paraId="13996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3" w:type="pct"/>
                  <w:vAlign w:val="center"/>
                </w:tcPr>
                <w:p w14:paraId="7A9BF70E">
                  <w:pPr>
                    <w:pStyle w:val="60"/>
                    <w:rPr>
                      <w:b/>
                      <w:bCs/>
                      <w:color w:val="auto"/>
                      <w:sz w:val="18"/>
                      <w:szCs w:val="18"/>
                    </w:rPr>
                  </w:pPr>
                  <w:r>
                    <w:rPr>
                      <w:rFonts w:hint="eastAsia"/>
                      <w:b/>
                      <w:bCs/>
                      <w:color w:val="auto"/>
                      <w:sz w:val="18"/>
                      <w:szCs w:val="18"/>
                    </w:rPr>
                    <w:t>合计VOCs</w:t>
                  </w:r>
                </w:p>
              </w:tc>
              <w:tc>
                <w:tcPr>
                  <w:tcW w:w="529" w:type="pct"/>
                  <w:vAlign w:val="center"/>
                </w:tcPr>
                <w:p w14:paraId="256D93F7">
                  <w:pPr>
                    <w:pStyle w:val="60"/>
                    <w:rPr>
                      <w:b/>
                      <w:bCs/>
                      <w:color w:val="auto"/>
                      <w:sz w:val="18"/>
                      <w:szCs w:val="18"/>
                    </w:rPr>
                  </w:pPr>
                  <w:r>
                    <w:rPr>
                      <w:rFonts w:hint="eastAsia"/>
                      <w:b/>
                      <w:bCs/>
                      <w:color w:val="auto"/>
                      <w:sz w:val="18"/>
                      <w:szCs w:val="18"/>
                    </w:rPr>
                    <w:t>--</w:t>
                  </w:r>
                </w:p>
              </w:tc>
              <w:tc>
                <w:tcPr>
                  <w:tcW w:w="606" w:type="pct"/>
                  <w:vAlign w:val="center"/>
                </w:tcPr>
                <w:p w14:paraId="63909B77">
                  <w:pPr>
                    <w:pStyle w:val="60"/>
                    <w:rPr>
                      <w:b/>
                      <w:bCs/>
                      <w:color w:val="auto"/>
                      <w:sz w:val="18"/>
                      <w:szCs w:val="18"/>
                    </w:rPr>
                  </w:pPr>
                  <w:r>
                    <w:rPr>
                      <w:rFonts w:hint="eastAsia"/>
                      <w:b/>
                      <w:bCs/>
                      <w:color w:val="auto"/>
                      <w:sz w:val="18"/>
                      <w:szCs w:val="18"/>
                    </w:rPr>
                    <w:t>--</w:t>
                  </w:r>
                </w:p>
              </w:tc>
              <w:tc>
                <w:tcPr>
                  <w:tcW w:w="574" w:type="pct"/>
                  <w:vAlign w:val="center"/>
                </w:tcPr>
                <w:p w14:paraId="56724428">
                  <w:pPr>
                    <w:pStyle w:val="60"/>
                    <w:rPr>
                      <w:b/>
                      <w:bCs/>
                      <w:color w:val="auto"/>
                      <w:sz w:val="18"/>
                      <w:szCs w:val="18"/>
                    </w:rPr>
                  </w:pPr>
                  <w:r>
                    <w:rPr>
                      <w:rFonts w:hint="eastAsia"/>
                      <w:b/>
                      <w:bCs/>
                      <w:color w:val="auto"/>
                      <w:sz w:val="18"/>
                      <w:szCs w:val="18"/>
                    </w:rPr>
                    <w:t>--</w:t>
                  </w:r>
                </w:p>
              </w:tc>
              <w:tc>
                <w:tcPr>
                  <w:tcW w:w="487" w:type="pct"/>
                  <w:vAlign w:val="center"/>
                </w:tcPr>
                <w:p w14:paraId="5FCBD0D6">
                  <w:pPr>
                    <w:pStyle w:val="60"/>
                    <w:rPr>
                      <w:b/>
                      <w:bCs/>
                      <w:color w:val="auto"/>
                      <w:sz w:val="18"/>
                      <w:szCs w:val="18"/>
                    </w:rPr>
                  </w:pPr>
                  <w:r>
                    <w:rPr>
                      <w:rFonts w:hint="eastAsia"/>
                      <w:b/>
                      <w:bCs/>
                      <w:color w:val="auto"/>
                      <w:sz w:val="18"/>
                      <w:szCs w:val="18"/>
                    </w:rPr>
                    <w:t>--</w:t>
                  </w:r>
                </w:p>
              </w:tc>
              <w:tc>
                <w:tcPr>
                  <w:tcW w:w="458" w:type="pct"/>
                  <w:vAlign w:val="center"/>
                </w:tcPr>
                <w:p w14:paraId="6D49A454">
                  <w:pPr>
                    <w:pStyle w:val="60"/>
                    <w:rPr>
                      <w:b/>
                      <w:bCs/>
                      <w:color w:val="auto"/>
                      <w:sz w:val="18"/>
                      <w:szCs w:val="18"/>
                    </w:rPr>
                  </w:pPr>
                  <w:r>
                    <w:rPr>
                      <w:rFonts w:hint="eastAsia"/>
                      <w:b/>
                      <w:bCs/>
                      <w:color w:val="auto"/>
                      <w:sz w:val="18"/>
                      <w:szCs w:val="18"/>
                    </w:rPr>
                    <w:t>--</w:t>
                  </w:r>
                </w:p>
              </w:tc>
              <w:tc>
                <w:tcPr>
                  <w:tcW w:w="669" w:type="pct"/>
                  <w:vAlign w:val="center"/>
                </w:tcPr>
                <w:p w14:paraId="33E1BE42">
                  <w:pPr>
                    <w:pStyle w:val="60"/>
                    <w:rPr>
                      <w:b/>
                      <w:bCs/>
                      <w:color w:val="auto"/>
                      <w:sz w:val="18"/>
                      <w:szCs w:val="18"/>
                    </w:rPr>
                  </w:pPr>
                  <w:r>
                    <w:rPr>
                      <w:rFonts w:hint="eastAsia"/>
                      <w:b/>
                      <w:bCs/>
                      <w:color w:val="auto"/>
                      <w:sz w:val="18"/>
                      <w:szCs w:val="18"/>
                    </w:rPr>
                    <w:t>--</w:t>
                  </w:r>
                </w:p>
              </w:tc>
              <w:tc>
                <w:tcPr>
                  <w:tcW w:w="610" w:type="pct"/>
                  <w:vAlign w:val="center"/>
                </w:tcPr>
                <w:p w14:paraId="2E2A6D0F">
                  <w:pPr>
                    <w:pStyle w:val="60"/>
                    <w:rPr>
                      <w:rFonts w:hint="default" w:eastAsia="宋体"/>
                      <w:b/>
                      <w:bCs/>
                      <w:color w:val="auto"/>
                      <w:sz w:val="18"/>
                      <w:szCs w:val="18"/>
                      <w:lang w:val="en-US" w:eastAsia="zh-CN"/>
                    </w:rPr>
                  </w:pPr>
                  <w:r>
                    <w:rPr>
                      <w:rFonts w:hint="eastAsia"/>
                      <w:b/>
                      <w:bCs/>
                      <w:color w:val="auto"/>
                      <w:sz w:val="18"/>
                      <w:szCs w:val="18"/>
                      <w:lang w:val="en-US" w:eastAsia="zh-CN"/>
                    </w:rPr>
                    <w:t>0.472</w:t>
                  </w:r>
                </w:p>
              </w:tc>
            </w:tr>
          </w:tbl>
          <w:p w14:paraId="389A004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3）灌装废气</w:t>
            </w:r>
          </w:p>
          <w:p w14:paraId="659D808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根据项目实际运行经验并类比同类建设项目，叔丁醇产品灌装过程中产污系数为0.5</w:t>
            </w:r>
            <w:r>
              <w:rPr>
                <w:rFonts w:hint="default" w:ascii="Times New Roman" w:hAnsi="Times New Roman" w:cs="Times New Roman"/>
                <w:b w:val="0"/>
                <w:bCs w:val="0"/>
                <w:color w:val="auto"/>
                <w:lang w:val="en-US" w:eastAsia="zh-CN"/>
              </w:rPr>
              <w:t>‰</w:t>
            </w:r>
            <w:r>
              <w:rPr>
                <w:rFonts w:hint="eastAsia"/>
                <w:b w:val="0"/>
                <w:bCs w:val="0"/>
                <w:color w:val="auto"/>
                <w:lang w:val="en-US" w:eastAsia="zh-CN"/>
              </w:rPr>
              <w:t>-吨产品。根据前述，本次技改完成后需灌装的叔丁醇产品量</w:t>
            </w:r>
            <w:r>
              <w:rPr>
                <w:rFonts w:hint="eastAsia"/>
                <w:b w:val="0"/>
                <w:bCs w:val="0"/>
                <w:color w:val="auto"/>
                <w:highlight w:val="none"/>
                <w:lang w:val="en-US" w:eastAsia="zh-CN"/>
              </w:rPr>
              <w:t>为5000吨</w:t>
            </w:r>
            <w:r>
              <w:rPr>
                <w:rFonts w:hint="eastAsia"/>
                <w:b w:val="0"/>
                <w:bCs w:val="0"/>
                <w:color w:val="auto"/>
                <w:lang w:val="en-US" w:eastAsia="zh-CN"/>
              </w:rPr>
              <w:t>，则本项目灌装过程中VOCs产生量为2.5t/a。</w:t>
            </w:r>
          </w:p>
          <w:p w14:paraId="66C0004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4）有组织废气量核算</w:t>
            </w:r>
          </w:p>
          <w:p w14:paraId="1EE26E1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①储罐呼吸废气量核算</w:t>
            </w:r>
          </w:p>
          <w:p w14:paraId="06A9065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A.液体进罐时罐内呼出的气体量</w:t>
            </w:r>
          </w:p>
          <w:p w14:paraId="7B24BCC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根据建设单位提供资料，本项目涉及甲醇及叔丁醇储罐的最大进液量均为50t/h，则分别折39.5m</w:t>
            </w:r>
            <w:r>
              <w:rPr>
                <w:rFonts w:hint="eastAsia"/>
                <w:b w:val="0"/>
                <w:bCs w:val="0"/>
                <w:color w:val="auto"/>
                <w:vertAlign w:val="superscript"/>
                <w:lang w:val="en-US" w:eastAsia="zh-CN"/>
              </w:rPr>
              <w:t>3</w:t>
            </w:r>
            <w:r>
              <w:rPr>
                <w:rFonts w:hint="eastAsia"/>
                <w:b w:val="0"/>
                <w:bCs w:val="0"/>
                <w:color w:val="auto"/>
                <w:lang w:val="en-US" w:eastAsia="zh-CN"/>
              </w:rPr>
              <w:t>/h、39m</w:t>
            </w:r>
            <w:r>
              <w:rPr>
                <w:rFonts w:hint="eastAsia"/>
                <w:b w:val="0"/>
                <w:bCs w:val="0"/>
                <w:color w:val="auto"/>
                <w:vertAlign w:val="superscript"/>
                <w:lang w:val="en-US" w:eastAsia="zh-CN"/>
              </w:rPr>
              <w:t>3</w:t>
            </w:r>
            <w:r>
              <w:rPr>
                <w:rFonts w:hint="eastAsia"/>
                <w:b w:val="0"/>
                <w:bCs w:val="0"/>
                <w:color w:val="auto"/>
                <w:lang w:val="en-US" w:eastAsia="zh-CN"/>
              </w:rPr>
              <w:t>/h，根据《石油化工储运系统罐区设计规范》(SH/T3007—2014)关于储罐附件选用的有关规定，液体进入采用氮气或其他惰性气体密封保护系统的内浮顶储罐所造成的罐内气体呼出量，应按最大进液量考虑。</w:t>
            </w:r>
          </w:p>
          <w:p w14:paraId="60D8DC8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液体进入固定顶储罐时所造成的罐内液体气体呼出量，当液体闪点(闭口)高于45°C时，应按最大进液量的1.07倍考虑，当液体闪点(闭口)低于或等于45°C时，应按最大进液量的2.14倍考虑。由于本项目甲醇及叔丁醇物料闪点均</w:t>
            </w:r>
            <w:r>
              <w:rPr>
                <w:rFonts w:hint="default" w:ascii="Times New Roman" w:hAnsi="Times New Roman" w:cs="Times New Roman"/>
                <w:b w:val="0"/>
                <w:bCs w:val="0"/>
                <w:color w:val="auto"/>
                <w:lang w:val="en-US" w:eastAsia="zh-CN"/>
              </w:rPr>
              <w:t>低于45℃，</w:t>
            </w:r>
            <w:r>
              <w:rPr>
                <w:rFonts w:hint="eastAsia"/>
                <w:b w:val="0"/>
                <w:bCs w:val="0"/>
                <w:color w:val="auto"/>
                <w:lang w:val="en-US" w:eastAsia="zh-CN"/>
              </w:rPr>
              <w:t>故气体呼出量按最大进液量的2.14倍计。即现有甲醇储罐气体呼出量为84.53m</w:t>
            </w:r>
            <w:r>
              <w:rPr>
                <w:rFonts w:hint="eastAsia"/>
                <w:b w:val="0"/>
                <w:bCs w:val="0"/>
                <w:color w:val="auto"/>
                <w:vertAlign w:val="superscript"/>
                <w:lang w:val="en-US" w:eastAsia="zh-CN"/>
              </w:rPr>
              <w:t>3</w:t>
            </w:r>
            <w:r>
              <w:rPr>
                <w:rFonts w:hint="eastAsia"/>
                <w:b w:val="0"/>
                <w:bCs w:val="0"/>
                <w:color w:val="auto"/>
                <w:lang w:val="en-US" w:eastAsia="zh-CN"/>
              </w:rPr>
              <w:t>/h、叔丁醇储罐气体呼出量为83.46m</w:t>
            </w:r>
            <w:r>
              <w:rPr>
                <w:rFonts w:hint="eastAsia"/>
                <w:b w:val="0"/>
                <w:bCs w:val="0"/>
                <w:color w:val="auto"/>
                <w:vertAlign w:val="superscript"/>
                <w:lang w:val="en-US" w:eastAsia="zh-CN"/>
              </w:rPr>
              <w:t>3</w:t>
            </w:r>
            <w:r>
              <w:rPr>
                <w:rFonts w:hint="eastAsia"/>
                <w:b w:val="0"/>
                <w:bCs w:val="0"/>
                <w:color w:val="auto"/>
                <w:lang w:val="en-US" w:eastAsia="zh-CN"/>
              </w:rPr>
              <w:t>/h。</w:t>
            </w:r>
          </w:p>
          <w:p w14:paraId="70995B1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根据上述计算，本项目液体进罐时罐内呼出气体量合计为285.99m</w:t>
            </w:r>
            <w:r>
              <w:rPr>
                <w:rFonts w:hint="eastAsia"/>
                <w:b w:val="0"/>
                <w:bCs w:val="0"/>
                <w:color w:val="auto"/>
                <w:vertAlign w:val="superscript"/>
                <w:lang w:val="en-US" w:eastAsia="zh-CN"/>
              </w:rPr>
              <w:t>3</w:t>
            </w:r>
            <w:r>
              <w:rPr>
                <w:rFonts w:hint="eastAsia"/>
                <w:b w:val="0"/>
                <w:bCs w:val="0"/>
                <w:color w:val="auto"/>
                <w:lang w:val="en-US" w:eastAsia="zh-CN"/>
              </w:rPr>
              <w:t>/h。</w:t>
            </w:r>
          </w:p>
          <w:p w14:paraId="64F0E87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B.因环境温升罐内气体膨胀呼出的气体量</w:t>
            </w:r>
          </w:p>
          <w:p w14:paraId="72566F6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因环境温升罐内气体膨胀呼出的气体量根据《石油化工储运系统罐区设计规范》(SH/T3007—2014)关于储罐附件选用的有关规定确定，具体参数如下：</w:t>
            </w:r>
          </w:p>
          <w:p w14:paraId="419F16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auto"/>
                <w:szCs w:val="21"/>
              </w:rPr>
            </w:pPr>
          </w:p>
          <w:p w14:paraId="538A1B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auto"/>
                <w:szCs w:val="21"/>
              </w:rPr>
            </w:pPr>
          </w:p>
          <w:p w14:paraId="2DBD46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eastAsia="宋体"/>
                <w:b w:val="0"/>
                <w:bCs w:val="0"/>
                <w:color w:val="auto"/>
                <w:lang w:val="en-US" w:eastAsia="zh-CN"/>
              </w:rPr>
            </w:pPr>
            <w:r>
              <w:rPr>
                <w:b/>
                <w:bCs/>
                <w:color w:val="auto"/>
                <w:szCs w:val="21"/>
              </w:rPr>
              <w:t>表</w:t>
            </w:r>
            <w:r>
              <w:rPr>
                <w:rFonts w:hint="eastAsia"/>
                <w:b/>
                <w:bCs/>
                <w:color w:val="auto"/>
                <w:szCs w:val="21"/>
                <w:lang w:val="en-US" w:eastAsia="zh-CN"/>
              </w:rPr>
              <w:t>4-5</w:t>
            </w:r>
            <w:r>
              <w:rPr>
                <w:b/>
                <w:bCs/>
                <w:color w:val="auto"/>
                <w:szCs w:val="21"/>
              </w:rPr>
              <w:t xml:space="preserve">  </w:t>
            </w:r>
            <w:r>
              <w:rPr>
                <w:rFonts w:hint="eastAsia"/>
                <w:b/>
                <w:bCs/>
                <w:color w:val="auto"/>
                <w:szCs w:val="21"/>
                <w:lang w:val="en-US" w:eastAsia="zh-CN"/>
              </w:rPr>
              <w:t>不同容量下储罐因温度变化呼出（呼入）气体量</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1935"/>
              <w:gridCol w:w="1831"/>
              <w:gridCol w:w="1817"/>
            </w:tblGrid>
            <w:tr w14:paraId="7C177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Merge w:val="restart"/>
                  <w:vAlign w:val="center"/>
                </w:tcPr>
                <w:p w14:paraId="2A235BAD">
                  <w:pPr>
                    <w:pStyle w:val="60"/>
                    <w:rPr>
                      <w:rFonts w:hint="default" w:eastAsia="宋体"/>
                      <w:color w:val="auto"/>
                      <w:sz w:val="18"/>
                      <w:szCs w:val="18"/>
                      <w:lang w:val="en-US" w:eastAsia="zh-CN"/>
                    </w:rPr>
                  </w:pPr>
                  <w:r>
                    <w:rPr>
                      <w:rFonts w:hint="eastAsia"/>
                      <w:color w:val="auto"/>
                      <w:sz w:val="18"/>
                      <w:szCs w:val="18"/>
                      <w:lang w:val="en-US" w:eastAsia="zh-CN"/>
                    </w:rPr>
                    <w:t>储罐容量/m</w:t>
                  </w:r>
                  <w:r>
                    <w:rPr>
                      <w:rFonts w:hint="eastAsia"/>
                      <w:color w:val="auto"/>
                      <w:sz w:val="18"/>
                      <w:szCs w:val="18"/>
                      <w:vertAlign w:val="superscript"/>
                      <w:lang w:val="en-US" w:eastAsia="zh-CN"/>
                    </w:rPr>
                    <w:t>3</w:t>
                  </w:r>
                </w:p>
              </w:tc>
              <w:tc>
                <w:tcPr>
                  <w:tcW w:w="1180" w:type="pct"/>
                  <w:vMerge w:val="restart"/>
                  <w:vAlign w:val="center"/>
                </w:tcPr>
                <w:p w14:paraId="774169F7">
                  <w:pPr>
                    <w:pStyle w:val="60"/>
                    <w:rPr>
                      <w:rFonts w:hint="default" w:eastAsia="宋体"/>
                      <w:color w:val="auto"/>
                      <w:sz w:val="18"/>
                      <w:szCs w:val="18"/>
                      <w:lang w:val="en-US" w:eastAsia="zh-CN"/>
                    </w:rPr>
                  </w:pPr>
                  <w:r>
                    <w:rPr>
                      <w:rFonts w:hint="eastAsia"/>
                      <w:color w:val="auto"/>
                      <w:sz w:val="18"/>
                      <w:szCs w:val="18"/>
                      <w:lang w:val="en-US" w:eastAsia="zh-CN"/>
                    </w:rPr>
                    <w:t>吸入量（负压）/m</w:t>
                  </w:r>
                  <w:r>
                    <w:rPr>
                      <w:rFonts w:hint="eastAsia"/>
                      <w:color w:val="auto"/>
                      <w:sz w:val="18"/>
                      <w:szCs w:val="18"/>
                      <w:vertAlign w:val="superscript"/>
                      <w:lang w:val="en-US" w:eastAsia="zh-CN"/>
                    </w:rPr>
                    <w:t>3</w:t>
                  </w:r>
                  <w:r>
                    <w:rPr>
                      <w:rFonts w:hint="eastAsia"/>
                      <w:color w:val="auto"/>
                      <w:sz w:val="18"/>
                      <w:szCs w:val="18"/>
                      <w:lang w:val="en-US" w:eastAsia="zh-CN"/>
                    </w:rPr>
                    <w:t>.h</w:t>
                  </w:r>
                  <w:r>
                    <w:rPr>
                      <w:rFonts w:hint="eastAsia"/>
                      <w:color w:val="auto"/>
                      <w:sz w:val="18"/>
                      <w:szCs w:val="18"/>
                      <w:vertAlign w:val="superscript"/>
                      <w:lang w:val="en-US" w:eastAsia="zh-CN"/>
                    </w:rPr>
                    <w:t>-1</w:t>
                  </w:r>
                </w:p>
              </w:tc>
              <w:tc>
                <w:tcPr>
                  <w:tcW w:w="2226" w:type="pct"/>
                  <w:gridSpan w:val="2"/>
                  <w:vAlign w:val="center"/>
                </w:tcPr>
                <w:p w14:paraId="5EC3F023">
                  <w:pPr>
                    <w:pStyle w:val="60"/>
                    <w:rPr>
                      <w:rFonts w:hint="default" w:eastAsia="宋体"/>
                      <w:color w:val="auto"/>
                      <w:kern w:val="0"/>
                      <w:sz w:val="18"/>
                      <w:szCs w:val="18"/>
                      <w:lang w:val="en-US" w:eastAsia="zh-CN"/>
                    </w:rPr>
                  </w:pPr>
                  <w:r>
                    <w:rPr>
                      <w:rFonts w:hint="eastAsia"/>
                      <w:color w:val="auto"/>
                      <w:kern w:val="0"/>
                      <w:sz w:val="18"/>
                      <w:szCs w:val="18"/>
                      <w:lang w:val="en-US" w:eastAsia="zh-CN"/>
                    </w:rPr>
                    <w:t>呼出量</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.h</w:t>
                  </w:r>
                  <w:r>
                    <w:rPr>
                      <w:rFonts w:hint="eastAsia"/>
                      <w:color w:val="auto"/>
                      <w:sz w:val="18"/>
                      <w:szCs w:val="18"/>
                      <w:vertAlign w:val="superscript"/>
                      <w:lang w:val="en-US" w:eastAsia="zh-CN"/>
                    </w:rPr>
                    <w:t>-1</w:t>
                  </w:r>
                </w:p>
              </w:tc>
            </w:tr>
            <w:tr w14:paraId="38DC8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Merge w:val="continue"/>
                  <w:vAlign w:val="center"/>
                </w:tcPr>
                <w:p w14:paraId="77AB044F">
                  <w:pPr>
                    <w:pStyle w:val="60"/>
                    <w:rPr>
                      <w:color w:val="auto"/>
                      <w:sz w:val="18"/>
                      <w:szCs w:val="18"/>
                    </w:rPr>
                  </w:pPr>
                </w:p>
              </w:tc>
              <w:tc>
                <w:tcPr>
                  <w:tcW w:w="1180" w:type="pct"/>
                  <w:vMerge w:val="continue"/>
                  <w:vAlign w:val="center"/>
                </w:tcPr>
                <w:p w14:paraId="3460779B">
                  <w:pPr>
                    <w:pStyle w:val="60"/>
                    <w:rPr>
                      <w:color w:val="auto"/>
                      <w:sz w:val="18"/>
                      <w:szCs w:val="18"/>
                    </w:rPr>
                  </w:pPr>
                </w:p>
              </w:tc>
              <w:tc>
                <w:tcPr>
                  <w:tcW w:w="1117" w:type="pct"/>
                  <w:vAlign w:val="center"/>
                </w:tcPr>
                <w:p w14:paraId="596E9397">
                  <w:pPr>
                    <w:pStyle w:val="60"/>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闪点≥37.8℃</w:t>
                  </w:r>
                </w:p>
              </w:tc>
              <w:tc>
                <w:tcPr>
                  <w:tcW w:w="1108" w:type="pct"/>
                  <w:vAlign w:val="center"/>
                </w:tcPr>
                <w:p w14:paraId="64EE06F5">
                  <w:pPr>
                    <w:pStyle w:val="6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闪点＜37.8℃</w:t>
                  </w:r>
                </w:p>
              </w:tc>
            </w:tr>
            <w:tr w14:paraId="6FE7E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Align w:val="center"/>
                </w:tcPr>
                <w:p w14:paraId="3E99E5DA">
                  <w:pPr>
                    <w:pStyle w:val="60"/>
                    <w:rPr>
                      <w:rFonts w:hint="default" w:eastAsia="宋体"/>
                      <w:color w:val="auto"/>
                      <w:sz w:val="18"/>
                      <w:szCs w:val="18"/>
                      <w:lang w:val="en-US" w:eastAsia="zh-CN"/>
                    </w:rPr>
                  </w:pPr>
                  <w:r>
                    <w:rPr>
                      <w:rFonts w:hint="eastAsia"/>
                      <w:color w:val="auto"/>
                      <w:sz w:val="18"/>
                      <w:szCs w:val="18"/>
                      <w:lang w:val="en-US" w:eastAsia="zh-CN"/>
                    </w:rPr>
                    <w:t>100</w:t>
                  </w:r>
                </w:p>
              </w:tc>
              <w:tc>
                <w:tcPr>
                  <w:tcW w:w="1180" w:type="pct"/>
                  <w:vAlign w:val="center"/>
                </w:tcPr>
                <w:p w14:paraId="18835507">
                  <w:pPr>
                    <w:pStyle w:val="60"/>
                    <w:rPr>
                      <w:rFonts w:hint="default" w:eastAsia="宋体"/>
                      <w:color w:val="auto"/>
                      <w:sz w:val="18"/>
                      <w:szCs w:val="18"/>
                      <w:lang w:val="en-US" w:eastAsia="zh-CN"/>
                    </w:rPr>
                  </w:pPr>
                  <w:r>
                    <w:rPr>
                      <w:rFonts w:hint="eastAsia"/>
                      <w:color w:val="auto"/>
                      <w:sz w:val="18"/>
                      <w:szCs w:val="18"/>
                      <w:lang w:val="en-US" w:eastAsia="zh-CN"/>
                    </w:rPr>
                    <w:t>16.9</w:t>
                  </w:r>
                </w:p>
              </w:tc>
              <w:tc>
                <w:tcPr>
                  <w:tcW w:w="1117" w:type="pct"/>
                  <w:vAlign w:val="center"/>
                </w:tcPr>
                <w:p w14:paraId="795AA22B">
                  <w:pPr>
                    <w:pStyle w:val="60"/>
                    <w:rPr>
                      <w:rFonts w:hint="default" w:eastAsia="宋体"/>
                      <w:color w:val="auto"/>
                      <w:kern w:val="0"/>
                      <w:sz w:val="18"/>
                      <w:szCs w:val="18"/>
                      <w:lang w:val="en-US" w:eastAsia="zh-CN"/>
                    </w:rPr>
                  </w:pPr>
                  <w:r>
                    <w:rPr>
                      <w:rFonts w:hint="eastAsia"/>
                      <w:color w:val="auto"/>
                      <w:kern w:val="0"/>
                      <w:sz w:val="18"/>
                      <w:szCs w:val="18"/>
                      <w:lang w:val="en-US" w:eastAsia="zh-CN"/>
                    </w:rPr>
                    <w:t>10.1</w:t>
                  </w:r>
                </w:p>
              </w:tc>
              <w:tc>
                <w:tcPr>
                  <w:tcW w:w="1108" w:type="pct"/>
                  <w:vAlign w:val="center"/>
                </w:tcPr>
                <w:p w14:paraId="6CA999CC">
                  <w:pPr>
                    <w:pStyle w:val="60"/>
                    <w:rPr>
                      <w:rFonts w:hint="default" w:eastAsia="宋体"/>
                      <w:color w:val="auto"/>
                      <w:kern w:val="0"/>
                      <w:sz w:val="18"/>
                      <w:szCs w:val="18"/>
                      <w:lang w:val="en-US" w:eastAsia="zh-CN"/>
                    </w:rPr>
                  </w:pPr>
                  <w:r>
                    <w:rPr>
                      <w:rFonts w:hint="eastAsia"/>
                      <w:color w:val="auto"/>
                      <w:kern w:val="0"/>
                      <w:sz w:val="18"/>
                      <w:szCs w:val="18"/>
                      <w:lang w:val="en-US" w:eastAsia="zh-CN"/>
                    </w:rPr>
                    <w:t>16.9</w:t>
                  </w:r>
                </w:p>
              </w:tc>
            </w:tr>
            <w:tr w14:paraId="6B9E1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Align w:val="center"/>
                </w:tcPr>
                <w:p w14:paraId="6D1F5FFC">
                  <w:pPr>
                    <w:pStyle w:val="60"/>
                    <w:rPr>
                      <w:rFonts w:hint="default" w:eastAsia="宋体"/>
                      <w:color w:val="auto"/>
                      <w:sz w:val="18"/>
                      <w:szCs w:val="18"/>
                      <w:lang w:val="en-US" w:eastAsia="zh-CN"/>
                    </w:rPr>
                  </w:pPr>
                  <w:r>
                    <w:rPr>
                      <w:rFonts w:hint="eastAsia"/>
                      <w:color w:val="auto"/>
                      <w:sz w:val="18"/>
                      <w:szCs w:val="18"/>
                      <w:lang w:val="en-US" w:eastAsia="zh-CN"/>
                    </w:rPr>
                    <w:t>200</w:t>
                  </w:r>
                </w:p>
              </w:tc>
              <w:tc>
                <w:tcPr>
                  <w:tcW w:w="1180" w:type="pct"/>
                  <w:vAlign w:val="center"/>
                </w:tcPr>
                <w:p w14:paraId="53276A72">
                  <w:pPr>
                    <w:pStyle w:val="60"/>
                    <w:rPr>
                      <w:rFonts w:hint="default" w:eastAsia="宋体"/>
                      <w:color w:val="auto"/>
                      <w:sz w:val="18"/>
                      <w:szCs w:val="18"/>
                      <w:lang w:val="en-US" w:eastAsia="zh-CN"/>
                    </w:rPr>
                  </w:pPr>
                  <w:r>
                    <w:rPr>
                      <w:rFonts w:hint="eastAsia"/>
                      <w:color w:val="auto"/>
                      <w:sz w:val="18"/>
                      <w:szCs w:val="18"/>
                      <w:lang w:val="en-US" w:eastAsia="zh-CN"/>
                    </w:rPr>
                    <w:t>33.8</w:t>
                  </w:r>
                </w:p>
              </w:tc>
              <w:tc>
                <w:tcPr>
                  <w:tcW w:w="1117" w:type="pct"/>
                  <w:vAlign w:val="center"/>
                </w:tcPr>
                <w:p w14:paraId="4420AB07">
                  <w:pPr>
                    <w:pStyle w:val="60"/>
                    <w:rPr>
                      <w:rFonts w:hint="default" w:eastAsia="宋体"/>
                      <w:color w:val="auto"/>
                      <w:kern w:val="0"/>
                      <w:sz w:val="18"/>
                      <w:szCs w:val="18"/>
                      <w:lang w:val="en-US" w:eastAsia="zh-CN"/>
                    </w:rPr>
                  </w:pPr>
                  <w:r>
                    <w:rPr>
                      <w:rFonts w:hint="eastAsia"/>
                      <w:color w:val="auto"/>
                      <w:kern w:val="0"/>
                      <w:sz w:val="18"/>
                      <w:szCs w:val="18"/>
                      <w:lang w:val="en-US" w:eastAsia="zh-CN"/>
                    </w:rPr>
                    <w:t>20.3</w:t>
                  </w:r>
                </w:p>
              </w:tc>
              <w:tc>
                <w:tcPr>
                  <w:tcW w:w="1108" w:type="pct"/>
                  <w:vAlign w:val="center"/>
                </w:tcPr>
                <w:p w14:paraId="4A18F951">
                  <w:pPr>
                    <w:pStyle w:val="60"/>
                    <w:rPr>
                      <w:rFonts w:hint="default" w:eastAsia="宋体"/>
                      <w:color w:val="auto"/>
                      <w:kern w:val="0"/>
                      <w:sz w:val="18"/>
                      <w:szCs w:val="18"/>
                      <w:lang w:val="en-US" w:eastAsia="zh-CN"/>
                    </w:rPr>
                  </w:pPr>
                  <w:r>
                    <w:rPr>
                      <w:rFonts w:hint="eastAsia"/>
                      <w:color w:val="auto"/>
                      <w:kern w:val="0"/>
                      <w:sz w:val="18"/>
                      <w:szCs w:val="18"/>
                      <w:lang w:val="en-US" w:eastAsia="zh-CN"/>
                    </w:rPr>
                    <w:t>33.8</w:t>
                  </w:r>
                </w:p>
              </w:tc>
            </w:tr>
            <w:tr w14:paraId="03D69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Align w:val="center"/>
                </w:tcPr>
                <w:p w14:paraId="283C313D">
                  <w:pPr>
                    <w:pStyle w:val="60"/>
                    <w:rPr>
                      <w:rFonts w:hint="default" w:eastAsia="宋体"/>
                      <w:color w:val="auto"/>
                      <w:sz w:val="18"/>
                      <w:szCs w:val="18"/>
                      <w:lang w:val="en-US" w:eastAsia="zh-CN"/>
                    </w:rPr>
                  </w:pPr>
                  <w:r>
                    <w:rPr>
                      <w:rFonts w:hint="eastAsia"/>
                      <w:color w:val="auto"/>
                      <w:sz w:val="18"/>
                      <w:szCs w:val="18"/>
                      <w:lang w:val="en-US" w:eastAsia="zh-CN"/>
                    </w:rPr>
                    <w:t>1000</w:t>
                  </w:r>
                </w:p>
              </w:tc>
              <w:tc>
                <w:tcPr>
                  <w:tcW w:w="1180" w:type="pct"/>
                  <w:vAlign w:val="center"/>
                </w:tcPr>
                <w:p w14:paraId="4A4C3FE9">
                  <w:pPr>
                    <w:pStyle w:val="60"/>
                    <w:rPr>
                      <w:rFonts w:hint="default" w:eastAsia="宋体"/>
                      <w:color w:val="auto"/>
                      <w:sz w:val="18"/>
                      <w:szCs w:val="18"/>
                      <w:lang w:val="en-US" w:eastAsia="zh-CN"/>
                    </w:rPr>
                  </w:pPr>
                  <w:r>
                    <w:rPr>
                      <w:rFonts w:hint="eastAsia"/>
                      <w:color w:val="auto"/>
                      <w:sz w:val="18"/>
                      <w:szCs w:val="18"/>
                      <w:lang w:val="en-US" w:eastAsia="zh-CN"/>
                    </w:rPr>
                    <w:t>169.0</w:t>
                  </w:r>
                </w:p>
              </w:tc>
              <w:tc>
                <w:tcPr>
                  <w:tcW w:w="1117" w:type="pct"/>
                  <w:vAlign w:val="center"/>
                </w:tcPr>
                <w:p w14:paraId="56283A5B">
                  <w:pPr>
                    <w:pStyle w:val="60"/>
                    <w:rPr>
                      <w:rFonts w:hint="default" w:eastAsia="宋体"/>
                      <w:color w:val="auto"/>
                      <w:kern w:val="0"/>
                      <w:sz w:val="18"/>
                      <w:szCs w:val="18"/>
                      <w:lang w:val="en-US" w:eastAsia="zh-CN"/>
                    </w:rPr>
                  </w:pPr>
                  <w:r>
                    <w:rPr>
                      <w:rFonts w:hint="eastAsia"/>
                      <w:color w:val="auto"/>
                      <w:kern w:val="0"/>
                      <w:sz w:val="18"/>
                      <w:szCs w:val="18"/>
                      <w:lang w:val="en-US" w:eastAsia="zh-CN"/>
                    </w:rPr>
                    <w:t>101.0</w:t>
                  </w:r>
                </w:p>
              </w:tc>
              <w:tc>
                <w:tcPr>
                  <w:tcW w:w="1108" w:type="pct"/>
                  <w:vAlign w:val="center"/>
                </w:tcPr>
                <w:p w14:paraId="6BBF2F53">
                  <w:pPr>
                    <w:pStyle w:val="60"/>
                    <w:rPr>
                      <w:rFonts w:hint="default" w:eastAsia="宋体"/>
                      <w:color w:val="auto"/>
                      <w:kern w:val="0"/>
                      <w:sz w:val="18"/>
                      <w:szCs w:val="18"/>
                      <w:lang w:val="en-US" w:eastAsia="zh-CN"/>
                    </w:rPr>
                  </w:pPr>
                  <w:r>
                    <w:rPr>
                      <w:rFonts w:hint="eastAsia"/>
                      <w:color w:val="auto"/>
                      <w:kern w:val="0"/>
                      <w:sz w:val="18"/>
                      <w:szCs w:val="18"/>
                      <w:lang w:val="en-US" w:eastAsia="zh-CN"/>
                    </w:rPr>
                    <w:t>169.0</w:t>
                  </w:r>
                </w:p>
              </w:tc>
            </w:tr>
            <w:tr w14:paraId="76801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3" w:type="pct"/>
                  <w:vAlign w:val="center"/>
                </w:tcPr>
                <w:p w14:paraId="5E10AB8A">
                  <w:pPr>
                    <w:pStyle w:val="60"/>
                    <w:rPr>
                      <w:rFonts w:hint="default" w:eastAsia="宋体"/>
                      <w:color w:val="auto"/>
                      <w:sz w:val="18"/>
                      <w:szCs w:val="18"/>
                      <w:lang w:val="en-US" w:eastAsia="zh-CN"/>
                    </w:rPr>
                  </w:pPr>
                  <w:r>
                    <w:rPr>
                      <w:rFonts w:hint="eastAsia"/>
                      <w:color w:val="auto"/>
                      <w:sz w:val="18"/>
                      <w:szCs w:val="18"/>
                      <w:lang w:val="en-US" w:eastAsia="zh-CN"/>
                    </w:rPr>
                    <w:t>5000</w:t>
                  </w:r>
                </w:p>
              </w:tc>
              <w:tc>
                <w:tcPr>
                  <w:tcW w:w="1180" w:type="pct"/>
                  <w:vAlign w:val="center"/>
                </w:tcPr>
                <w:p w14:paraId="5E4CB781">
                  <w:pPr>
                    <w:pStyle w:val="60"/>
                    <w:rPr>
                      <w:rFonts w:hint="default" w:eastAsia="宋体"/>
                      <w:color w:val="auto"/>
                      <w:sz w:val="18"/>
                      <w:szCs w:val="18"/>
                      <w:lang w:val="en-US" w:eastAsia="zh-CN"/>
                    </w:rPr>
                  </w:pPr>
                  <w:r>
                    <w:rPr>
                      <w:rFonts w:hint="eastAsia"/>
                      <w:color w:val="auto"/>
                      <w:sz w:val="18"/>
                      <w:szCs w:val="18"/>
                      <w:lang w:val="en-US" w:eastAsia="zh-CN"/>
                    </w:rPr>
                    <w:t>787.0</w:t>
                  </w:r>
                </w:p>
              </w:tc>
              <w:tc>
                <w:tcPr>
                  <w:tcW w:w="1117" w:type="pct"/>
                  <w:vAlign w:val="center"/>
                </w:tcPr>
                <w:p w14:paraId="42294408">
                  <w:pPr>
                    <w:pStyle w:val="60"/>
                    <w:rPr>
                      <w:rFonts w:hint="default" w:eastAsia="宋体"/>
                      <w:color w:val="auto"/>
                      <w:kern w:val="0"/>
                      <w:sz w:val="18"/>
                      <w:szCs w:val="18"/>
                      <w:lang w:val="en-US" w:eastAsia="zh-CN"/>
                    </w:rPr>
                  </w:pPr>
                  <w:r>
                    <w:rPr>
                      <w:rFonts w:hint="eastAsia"/>
                      <w:color w:val="auto"/>
                      <w:kern w:val="0"/>
                      <w:sz w:val="18"/>
                      <w:szCs w:val="18"/>
                      <w:lang w:val="en-US" w:eastAsia="zh-CN"/>
                    </w:rPr>
                    <w:t>538.0</w:t>
                  </w:r>
                </w:p>
              </w:tc>
              <w:tc>
                <w:tcPr>
                  <w:tcW w:w="1108" w:type="pct"/>
                  <w:vAlign w:val="center"/>
                </w:tcPr>
                <w:p w14:paraId="20FE8758">
                  <w:pPr>
                    <w:pStyle w:val="60"/>
                    <w:rPr>
                      <w:rFonts w:hint="default" w:eastAsia="宋体"/>
                      <w:color w:val="auto"/>
                      <w:kern w:val="0"/>
                      <w:sz w:val="18"/>
                      <w:szCs w:val="18"/>
                      <w:lang w:val="en-US" w:eastAsia="zh-CN"/>
                    </w:rPr>
                  </w:pPr>
                  <w:r>
                    <w:rPr>
                      <w:rFonts w:hint="eastAsia"/>
                      <w:color w:val="auto"/>
                      <w:kern w:val="0"/>
                      <w:sz w:val="18"/>
                      <w:szCs w:val="18"/>
                      <w:lang w:val="en-US" w:eastAsia="zh-CN"/>
                    </w:rPr>
                    <w:t>787.0</w:t>
                  </w:r>
                </w:p>
              </w:tc>
            </w:tr>
          </w:tbl>
          <w:p w14:paraId="3ADAB6D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本项目涉及物料甲醇、叔丁醇闪点均低于</w:t>
            </w:r>
            <w:r>
              <w:rPr>
                <w:rFonts w:hint="default" w:ascii="Times New Roman" w:hAnsi="Times New Roman" w:cs="Times New Roman"/>
                <w:b w:val="0"/>
                <w:bCs w:val="0"/>
                <w:color w:val="auto"/>
                <w:lang w:val="en-US" w:eastAsia="zh-CN"/>
              </w:rPr>
              <w:t>37.8℃</w:t>
            </w:r>
            <w:r>
              <w:rPr>
                <w:rFonts w:hint="eastAsia" w:ascii="Times New Roman" w:hAnsi="Times New Roman" w:cs="Times New Roman"/>
                <w:b w:val="0"/>
                <w:bCs w:val="0"/>
                <w:color w:val="auto"/>
                <w:lang w:val="en-US" w:eastAsia="zh-CN"/>
              </w:rPr>
              <w:t>，则依据上表确定本项目</w:t>
            </w:r>
            <w:r>
              <w:rPr>
                <w:rFonts w:hint="eastAsia"/>
                <w:b w:val="0"/>
                <w:bCs w:val="0"/>
                <w:color w:val="auto"/>
                <w:lang w:val="en-US" w:eastAsia="zh-CN"/>
              </w:rPr>
              <w:t>169m</w:t>
            </w:r>
            <w:r>
              <w:rPr>
                <w:rFonts w:hint="eastAsia"/>
                <w:b w:val="0"/>
                <w:bCs w:val="0"/>
                <w:color w:val="auto"/>
                <w:vertAlign w:val="superscript"/>
                <w:lang w:val="en-US" w:eastAsia="zh-CN"/>
              </w:rPr>
              <w:t>3</w:t>
            </w:r>
            <w:r>
              <w:rPr>
                <w:rFonts w:hint="eastAsia"/>
                <w:b w:val="0"/>
                <w:bCs w:val="0"/>
                <w:color w:val="auto"/>
                <w:lang w:val="en-US" w:eastAsia="zh-CN"/>
              </w:rPr>
              <w:t>/h（储罐容积为1000m</w:t>
            </w:r>
            <w:r>
              <w:rPr>
                <w:rFonts w:hint="eastAsia"/>
                <w:b w:val="0"/>
                <w:bCs w:val="0"/>
                <w:color w:val="auto"/>
                <w:vertAlign w:val="superscript"/>
                <w:lang w:val="en-US" w:eastAsia="zh-CN"/>
              </w:rPr>
              <w:t>3</w:t>
            </w:r>
            <w:r>
              <w:rPr>
                <w:rFonts w:hint="eastAsia"/>
                <w:b w:val="0"/>
                <w:bCs w:val="0"/>
                <w:color w:val="auto"/>
                <w:lang w:val="en-US" w:eastAsia="zh-CN"/>
              </w:rPr>
              <w:t>）、8.45m</w:t>
            </w:r>
            <w:r>
              <w:rPr>
                <w:rFonts w:hint="eastAsia"/>
                <w:b w:val="0"/>
                <w:bCs w:val="0"/>
                <w:color w:val="auto"/>
                <w:vertAlign w:val="superscript"/>
                <w:lang w:val="en-US" w:eastAsia="zh-CN"/>
              </w:rPr>
              <w:t>3</w:t>
            </w:r>
            <w:r>
              <w:rPr>
                <w:rFonts w:hint="eastAsia"/>
                <w:b w:val="0"/>
                <w:bCs w:val="0"/>
                <w:color w:val="auto"/>
                <w:lang w:val="en-US" w:eastAsia="zh-CN"/>
              </w:rPr>
              <w:t>/h（储罐容积为50m</w:t>
            </w:r>
            <w:r>
              <w:rPr>
                <w:rFonts w:hint="eastAsia"/>
                <w:b w:val="0"/>
                <w:bCs w:val="0"/>
                <w:color w:val="auto"/>
                <w:vertAlign w:val="superscript"/>
                <w:lang w:val="en-US" w:eastAsia="zh-CN"/>
              </w:rPr>
              <w:t>3</w:t>
            </w:r>
            <w:r>
              <w:rPr>
                <w:rFonts w:hint="eastAsia"/>
                <w:b w:val="0"/>
                <w:bCs w:val="0"/>
                <w:color w:val="auto"/>
                <w:lang w:val="en-US" w:eastAsia="zh-CN"/>
              </w:rPr>
              <w:t>）。</w:t>
            </w:r>
          </w:p>
          <w:p w14:paraId="1820DF6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根据上述计算，本项目因环境温升罐内气体膨胀呼出的气体量合计为684.45m</w:t>
            </w:r>
            <w:r>
              <w:rPr>
                <w:rFonts w:hint="eastAsia"/>
                <w:b w:val="0"/>
                <w:bCs w:val="0"/>
                <w:color w:val="auto"/>
                <w:vertAlign w:val="superscript"/>
                <w:lang w:val="en-US" w:eastAsia="zh-CN"/>
              </w:rPr>
              <w:t>3</w:t>
            </w:r>
            <w:r>
              <w:rPr>
                <w:rFonts w:hint="eastAsia"/>
                <w:b w:val="0"/>
                <w:bCs w:val="0"/>
                <w:color w:val="auto"/>
                <w:lang w:val="en-US" w:eastAsia="zh-CN"/>
              </w:rPr>
              <w:t>/h。</w:t>
            </w:r>
          </w:p>
          <w:p w14:paraId="7BE1F3C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综上所述，本项目储罐区呼吸废气量最大为285.99+684.45=970.44m</w:t>
            </w:r>
            <w:r>
              <w:rPr>
                <w:rFonts w:hint="eastAsia"/>
                <w:b w:val="0"/>
                <w:bCs w:val="0"/>
                <w:color w:val="auto"/>
                <w:vertAlign w:val="superscript"/>
                <w:lang w:val="en-US" w:eastAsia="zh-CN"/>
              </w:rPr>
              <w:t>3</w:t>
            </w:r>
            <w:r>
              <w:rPr>
                <w:rFonts w:hint="eastAsia"/>
                <w:b w:val="0"/>
                <w:bCs w:val="0"/>
                <w:color w:val="auto"/>
                <w:lang w:val="en-US" w:eastAsia="zh-CN"/>
              </w:rPr>
              <w:t>/h。</w:t>
            </w:r>
          </w:p>
          <w:p w14:paraId="21118E0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②叔丁醇装车废气量核算</w:t>
            </w:r>
          </w:p>
          <w:p w14:paraId="10C619A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根据建设单位提供资料，本项目叔丁醇装车泵设计流量为70m</w:t>
            </w:r>
            <w:r>
              <w:rPr>
                <w:rFonts w:hint="eastAsia"/>
                <w:b w:val="0"/>
                <w:bCs w:val="0"/>
                <w:color w:val="auto"/>
                <w:vertAlign w:val="superscript"/>
                <w:lang w:val="en-US" w:eastAsia="zh-CN"/>
              </w:rPr>
              <w:t>3</w:t>
            </w:r>
            <w:r>
              <w:rPr>
                <w:rFonts w:hint="eastAsia"/>
                <w:b w:val="0"/>
                <w:bCs w:val="0"/>
                <w:color w:val="auto"/>
                <w:lang w:val="en-US" w:eastAsia="zh-CN"/>
              </w:rPr>
              <w:t>/h，即叔丁醇装车废气量为70m</w:t>
            </w:r>
            <w:r>
              <w:rPr>
                <w:rFonts w:hint="eastAsia"/>
                <w:b w:val="0"/>
                <w:bCs w:val="0"/>
                <w:color w:val="auto"/>
                <w:vertAlign w:val="superscript"/>
                <w:lang w:val="en-US" w:eastAsia="zh-CN"/>
              </w:rPr>
              <w:t>3</w:t>
            </w:r>
            <w:r>
              <w:rPr>
                <w:rFonts w:hint="eastAsia"/>
                <w:b w:val="0"/>
                <w:bCs w:val="0"/>
                <w:color w:val="auto"/>
                <w:lang w:val="en-US" w:eastAsia="zh-CN"/>
              </w:rPr>
              <w:t>/h。</w:t>
            </w:r>
          </w:p>
          <w:p w14:paraId="3E9FAE1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③叔丁醇灌装废气量核算</w:t>
            </w:r>
          </w:p>
          <w:p w14:paraId="68F639A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根据建设单位提供资料，本项目灌装机设计流量为20m</w:t>
            </w:r>
            <w:r>
              <w:rPr>
                <w:rFonts w:hint="eastAsia"/>
                <w:b w:val="0"/>
                <w:bCs w:val="0"/>
                <w:color w:val="auto"/>
                <w:vertAlign w:val="superscript"/>
                <w:lang w:val="en-US" w:eastAsia="zh-CN"/>
              </w:rPr>
              <w:t>3</w:t>
            </w:r>
            <w:r>
              <w:rPr>
                <w:rFonts w:hint="eastAsia"/>
                <w:b w:val="0"/>
                <w:bCs w:val="0"/>
                <w:color w:val="auto"/>
                <w:lang w:val="en-US" w:eastAsia="zh-CN"/>
              </w:rPr>
              <w:t>/h，即叔丁醇灌装废气量为20m</w:t>
            </w:r>
            <w:r>
              <w:rPr>
                <w:rFonts w:hint="eastAsia"/>
                <w:b w:val="0"/>
                <w:bCs w:val="0"/>
                <w:color w:val="auto"/>
                <w:vertAlign w:val="superscript"/>
                <w:lang w:val="en-US" w:eastAsia="zh-CN"/>
              </w:rPr>
              <w:t>3</w:t>
            </w:r>
            <w:r>
              <w:rPr>
                <w:rFonts w:hint="eastAsia"/>
                <w:b w:val="0"/>
                <w:bCs w:val="0"/>
                <w:color w:val="auto"/>
                <w:lang w:val="en-US" w:eastAsia="zh-CN"/>
              </w:rPr>
              <w:t>/h。</w:t>
            </w:r>
          </w:p>
          <w:p w14:paraId="0C87637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综上所述，本项目有组织废气量合计为970.44+70+20=1060.44m</w:t>
            </w:r>
            <w:r>
              <w:rPr>
                <w:rFonts w:hint="eastAsia"/>
                <w:b w:val="0"/>
                <w:bCs w:val="0"/>
                <w:color w:val="auto"/>
                <w:vertAlign w:val="superscript"/>
                <w:lang w:val="en-US" w:eastAsia="zh-CN"/>
              </w:rPr>
              <w:t>3</w:t>
            </w:r>
            <w:r>
              <w:rPr>
                <w:rFonts w:hint="eastAsia"/>
                <w:b w:val="0"/>
                <w:bCs w:val="0"/>
                <w:color w:val="auto"/>
                <w:lang w:val="en-US" w:eastAsia="zh-CN"/>
              </w:rPr>
              <w:t>/h。</w:t>
            </w:r>
          </w:p>
          <w:p w14:paraId="601F943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4）有组织废气产生及排放情况汇总</w:t>
            </w:r>
          </w:p>
          <w:p w14:paraId="5D4227B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根据前述，本项目有组织废气产排情况汇总如下：</w:t>
            </w:r>
          </w:p>
          <w:p w14:paraId="73961555">
            <w:pPr>
              <w:adjustRightInd w:val="0"/>
              <w:snapToGrid w:val="0"/>
              <w:spacing w:before="120" w:beforeLines="50"/>
              <w:jc w:val="center"/>
              <w:rPr>
                <w:b/>
                <w:bCs/>
                <w:color w:val="auto"/>
                <w:szCs w:val="21"/>
              </w:rPr>
            </w:pPr>
            <w:r>
              <w:rPr>
                <w:b/>
                <w:bCs/>
                <w:color w:val="auto"/>
                <w:szCs w:val="21"/>
              </w:rPr>
              <w:t>表</w:t>
            </w:r>
            <w:r>
              <w:rPr>
                <w:rFonts w:hint="eastAsia"/>
                <w:b/>
                <w:bCs/>
                <w:color w:val="auto"/>
                <w:szCs w:val="21"/>
                <w:lang w:val="en-US" w:eastAsia="zh-CN"/>
              </w:rPr>
              <w:t>4-6</w:t>
            </w:r>
            <w:r>
              <w:rPr>
                <w:b/>
                <w:bCs/>
                <w:color w:val="auto"/>
                <w:szCs w:val="21"/>
              </w:rPr>
              <w:t xml:space="preserve">  </w:t>
            </w:r>
            <w:r>
              <w:rPr>
                <w:rFonts w:hint="eastAsia"/>
                <w:b/>
                <w:bCs/>
                <w:color w:val="auto"/>
                <w:szCs w:val="21"/>
              </w:rPr>
              <w:t>本</w:t>
            </w:r>
            <w:r>
              <w:rPr>
                <w:b/>
                <w:bCs/>
                <w:color w:val="auto"/>
                <w:szCs w:val="21"/>
              </w:rPr>
              <w:t>项目</w:t>
            </w:r>
            <w:r>
              <w:rPr>
                <w:rFonts w:hint="eastAsia"/>
                <w:b/>
                <w:bCs/>
                <w:color w:val="auto"/>
                <w:szCs w:val="21"/>
              </w:rPr>
              <w:t>有组织</w:t>
            </w:r>
            <w:r>
              <w:rPr>
                <w:b/>
                <w:bCs/>
                <w:color w:val="auto"/>
                <w:szCs w:val="21"/>
              </w:rPr>
              <w:t>废气产生</w:t>
            </w:r>
            <w:r>
              <w:rPr>
                <w:rFonts w:hint="eastAsia"/>
                <w:b/>
                <w:bCs/>
                <w:color w:val="auto"/>
                <w:szCs w:val="21"/>
              </w:rPr>
              <w:t>及排放</w:t>
            </w:r>
            <w:r>
              <w:rPr>
                <w:b/>
                <w:bCs/>
                <w:color w:val="auto"/>
                <w:szCs w:val="21"/>
              </w:rPr>
              <w:t>情况计算表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441"/>
              <w:gridCol w:w="996"/>
              <w:gridCol w:w="605"/>
              <w:gridCol w:w="275"/>
              <w:gridCol w:w="302"/>
              <w:gridCol w:w="578"/>
              <w:gridCol w:w="720"/>
              <w:gridCol w:w="720"/>
              <w:gridCol w:w="616"/>
              <w:gridCol w:w="544"/>
              <w:gridCol w:w="682"/>
              <w:gridCol w:w="769"/>
              <w:gridCol w:w="946"/>
            </w:tblGrid>
            <w:tr w14:paraId="110B5C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vMerge w:val="restart"/>
                  <w:vAlign w:val="center"/>
                </w:tcPr>
                <w:p w14:paraId="57065B69">
                  <w:pPr>
                    <w:pStyle w:val="60"/>
                    <w:rPr>
                      <w:b/>
                      <w:bCs/>
                      <w:color w:val="auto"/>
                      <w:sz w:val="18"/>
                      <w:szCs w:val="18"/>
                    </w:rPr>
                  </w:pPr>
                  <w:r>
                    <w:rPr>
                      <w:rFonts w:hint="eastAsia"/>
                      <w:b/>
                      <w:bCs/>
                      <w:color w:val="auto"/>
                      <w:sz w:val="18"/>
                      <w:szCs w:val="18"/>
                    </w:rPr>
                    <w:t>编号</w:t>
                  </w:r>
                </w:p>
              </w:tc>
              <w:tc>
                <w:tcPr>
                  <w:tcW w:w="607" w:type="pct"/>
                  <w:vMerge w:val="restart"/>
                  <w:vAlign w:val="center"/>
                </w:tcPr>
                <w:p w14:paraId="63C03FD7">
                  <w:pPr>
                    <w:pStyle w:val="60"/>
                    <w:rPr>
                      <w:b/>
                      <w:bCs/>
                      <w:color w:val="auto"/>
                      <w:sz w:val="18"/>
                      <w:szCs w:val="18"/>
                    </w:rPr>
                  </w:pPr>
                  <w:r>
                    <w:rPr>
                      <w:b/>
                      <w:bCs/>
                      <w:color w:val="auto"/>
                      <w:sz w:val="18"/>
                      <w:szCs w:val="18"/>
                    </w:rPr>
                    <w:t>产污工序名称</w:t>
                  </w:r>
                </w:p>
              </w:tc>
              <w:tc>
                <w:tcPr>
                  <w:tcW w:w="369" w:type="pct"/>
                  <w:vMerge w:val="restart"/>
                  <w:vAlign w:val="center"/>
                </w:tcPr>
                <w:p w14:paraId="61D272A9">
                  <w:pPr>
                    <w:pStyle w:val="60"/>
                    <w:rPr>
                      <w:rFonts w:hint="default" w:eastAsia="宋体"/>
                      <w:b/>
                      <w:bCs/>
                      <w:color w:val="auto"/>
                      <w:sz w:val="18"/>
                      <w:szCs w:val="18"/>
                      <w:lang w:val="en-US" w:eastAsia="zh-CN"/>
                    </w:rPr>
                  </w:pPr>
                  <w:r>
                    <w:rPr>
                      <w:rFonts w:hint="eastAsia"/>
                      <w:b/>
                      <w:bCs/>
                      <w:color w:val="auto"/>
                      <w:sz w:val="18"/>
                      <w:szCs w:val="18"/>
                      <w:lang w:val="en-US" w:eastAsia="zh-CN"/>
                    </w:rPr>
                    <w:t>运行时间/h</w:t>
                  </w:r>
                </w:p>
              </w:tc>
              <w:tc>
                <w:tcPr>
                  <w:tcW w:w="704" w:type="pct"/>
                  <w:gridSpan w:val="3"/>
                  <w:vMerge w:val="restart"/>
                  <w:shd w:val="clear" w:color="auto" w:fill="auto"/>
                  <w:vAlign w:val="center"/>
                </w:tcPr>
                <w:p w14:paraId="48D45BA7">
                  <w:pPr>
                    <w:pStyle w:val="60"/>
                    <w:rPr>
                      <w:b/>
                      <w:bCs/>
                      <w:color w:val="auto"/>
                      <w:sz w:val="18"/>
                      <w:szCs w:val="18"/>
                    </w:rPr>
                  </w:pPr>
                  <w:r>
                    <w:rPr>
                      <w:b/>
                      <w:bCs/>
                      <w:color w:val="auto"/>
                      <w:sz w:val="18"/>
                      <w:szCs w:val="18"/>
                    </w:rPr>
                    <w:t>污染物</w:t>
                  </w:r>
                  <w:r>
                    <w:rPr>
                      <w:rFonts w:hint="eastAsia"/>
                      <w:b/>
                      <w:bCs/>
                      <w:color w:val="auto"/>
                      <w:sz w:val="18"/>
                      <w:szCs w:val="18"/>
                    </w:rPr>
                    <w:t>名称</w:t>
                  </w:r>
                </w:p>
              </w:tc>
              <w:tc>
                <w:tcPr>
                  <w:tcW w:w="878" w:type="pct"/>
                  <w:gridSpan w:val="2"/>
                  <w:vAlign w:val="center"/>
                </w:tcPr>
                <w:p w14:paraId="4E376F4A">
                  <w:pPr>
                    <w:pStyle w:val="60"/>
                    <w:rPr>
                      <w:b/>
                      <w:bCs/>
                      <w:color w:val="auto"/>
                      <w:sz w:val="18"/>
                      <w:szCs w:val="18"/>
                    </w:rPr>
                  </w:pPr>
                  <w:r>
                    <w:rPr>
                      <w:b/>
                      <w:bCs/>
                      <w:color w:val="auto"/>
                      <w:sz w:val="18"/>
                      <w:szCs w:val="18"/>
                    </w:rPr>
                    <w:t>产生情况</w:t>
                  </w:r>
                </w:p>
              </w:tc>
              <w:tc>
                <w:tcPr>
                  <w:tcW w:w="375" w:type="pct"/>
                  <w:vMerge w:val="restart"/>
                  <w:vAlign w:val="center"/>
                </w:tcPr>
                <w:p w14:paraId="2726C10A">
                  <w:pPr>
                    <w:pStyle w:val="60"/>
                    <w:rPr>
                      <w:b/>
                      <w:bCs/>
                      <w:color w:val="auto"/>
                      <w:sz w:val="18"/>
                      <w:szCs w:val="18"/>
                    </w:rPr>
                  </w:pPr>
                  <w:r>
                    <w:rPr>
                      <w:rFonts w:hint="eastAsia"/>
                      <w:b/>
                      <w:bCs/>
                      <w:color w:val="auto"/>
                      <w:sz w:val="18"/>
                      <w:szCs w:val="18"/>
                      <w:lang w:val="en-US" w:eastAsia="zh-CN"/>
                    </w:rPr>
                    <w:t>预</w:t>
                  </w:r>
                  <w:r>
                    <w:rPr>
                      <w:b/>
                      <w:bCs/>
                      <w:color w:val="auto"/>
                      <w:sz w:val="18"/>
                      <w:szCs w:val="18"/>
                    </w:rPr>
                    <w:t>处理措施</w:t>
                  </w:r>
                </w:p>
              </w:tc>
              <w:tc>
                <w:tcPr>
                  <w:tcW w:w="331" w:type="pct"/>
                  <w:vMerge w:val="restart"/>
                  <w:vAlign w:val="center"/>
                </w:tcPr>
                <w:p w14:paraId="4854FF65">
                  <w:pPr>
                    <w:pStyle w:val="60"/>
                    <w:rPr>
                      <w:b/>
                      <w:bCs/>
                      <w:color w:val="auto"/>
                      <w:sz w:val="18"/>
                      <w:szCs w:val="18"/>
                    </w:rPr>
                  </w:pPr>
                  <w:r>
                    <w:rPr>
                      <w:rFonts w:hint="eastAsia"/>
                      <w:b/>
                      <w:bCs/>
                      <w:color w:val="auto"/>
                      <w:sz w:val="18"/>
                      <w:szCs w:val="18"/>
                    </w:rPr>
                    <w:t>处理</w:t>
                  </w:r>
                  <w:r>
                    <w:rPr>
                      <w:b/>
                      <w:bCs/>
                      <w:color w:val="auto"/>
                      <w:sz w:val="18"/>
                      <w:szCs w:val="18"/>
                    </w:rPr>
                    <w:t>效率/%</w:t>
                  </w:r>
                </w:p>
              </w:tc>
              <w:tc>
                <w:tcPr>
                  <w:tcW w:w="885" w:type="pct"/>
                  <w:gridSpan w:val="2"/>
                  <w:vAlign w:val="center"/>
                </w:tcPr>
                <w:p w14:paraId="37F1F2D3">
                  <w:pPr>
                    <w:pStyle w:val="60"/>
                    <w:rPr>
                      <w:b/>
                      <w:bCs/>
                      <w:color w:val="auto"/>
                      <w:sz w:val="18"/>
                      <w:szCs w:val="18"/>
                    </w:rPr>
                  </w:pPr>
                  <w:r>
                    <w:rPr>
                      <w:b/>
                      <w:bCs/>
                      <w:color w:val="auto"/>
                      <w:sz w:val="18"/>
                      <w:szCs w:val="18"/>
                    </w:rPr>
                    <w:t>处理后排放情况</w:t>
                  </w:r>
                </w:p>
              </w:tc>
              <w:tc>
                <w:tcPr>
                  <w:tcW w:w="577" w:type="pct"/>
                  <w:vMerge w:val="restart"/>
                  <w:vAlign w:val="center"/>
                </w:tcPr>
                <w:p w14:paraId="22A897D2">
                  <w:pPr>
                    <w:pStyle w:val="60"/>
                    <w:rPr>
                      <w:b/>
                      <w:bCs/>
                      <w:color w:val="auto"/>
                      <w:sz w:val="18"/>
                      <w:szCs w:val="18"/>
                    </w:rPr>
                  </w:pPr>
                  <w:r>
                    <w:rPr>
                      <w:rFonts w:hint="eastAsia"/>
                      <w:b/>
                      <w:bCs/>
                      <w:color w:val="auto"/>
                      <w:sz w:val="18"/>
                      <w:szCs w:val="18"/>
                    </w:rPr>
                    <w:t>排放去向</w:t>
                  </w:r>
                </w:p>
              </w:tc>
            </w:tr>
            <w:tr w14:paraId="14D61B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vMerge w:val="continue"/>
                  <w:vAlign w:val="center"/>
                </w:tcPr>
                <w:p w14:paraId="58024F76">
                  <w:pPr>
                    <w:pStyle w:val="60"/>
                    <w:rPr>
                      <w:b/>
                      <w:bCs/>
                      <w:color w:val="auto"/>
                      <w:sz w:val="18"/>
                      <w:szCs w:val="18"/>
                    </w:rPr>
                  </w:pPr>
                </w:p>
              </w:tc>
              <w:tc>
                <w:tcPr>
                  <w:tcW w:w="607" w:type="pct"/>
                  <w:vMerge w:val="continue"/>
                  <w:vAlign w:val="center"/>
                </w:tcPr>
                <w:p w14:paraId="790C8053">
                  <w:pPr>
                    <w:pStyle w:val="60"/>
                    <w:rPr>
                      <w:b/>
                      <w:bCs/>
                      <w:color w:val="auto"/>
                      <w:sz w:val="18"/>
                      <w:szCs w:val="18"/>
                    </w:rPr>
                  </w:pPr>
                </w:p>
              </w:tc>
              <w:tc>
                <w:tcPr>
                  <w:tcW w:w="369" w:type="pct"/>
                  <w:vMerge w:val="continue"/>
                  <w:vAlign w:val="center"/>
                </w:tcPr>
                <w:p w14:paraId="02F27543">
                  <w:pPr>
                    <w:pStyle w:val="60"/>
                    <w:rPr>
                      <w:b/>
                      <w:bCs/>
                      <w:color w:val="auto"/>
                      <w:sz w:val="18"/>
                      <w:szCs w:val="18"/>
                    </w:rPr>
                  </w:pPr>
                </w:p>
              </w:tc>
              <w:tc>
                <w:tcPr>
                  <w:tcW w:w="704" w:type="pct"/>
                  <w:gridSpan w:val="3"/>
                  <w:vMerge w:val="continue"/>
                  <w:vAlign w:val="center"/>
                </w:tcPr>
                <w:p w14:paraId="1E8B6BFD">
                  <w:pPr>
                    <w:pStyle w:val="60"/>
                    <w:rPr>
                      <w:b/>
                      <w:bCs/>
                      <w:color w:val="auto"/>
                      <w:sz w:val="18"/>
                      <w:szCs w:val="18"/>
                    </w:rPr>
                  </w:pPr>
                </w:p>
              </w:tc>
              <w:tc>
                <w:tcPr>
                  <w:tcW w:w="439" w:type="pct"/>
                  <w:vAlign w:val="center"/>
                </w:tcPr>
                <w:p w14:paraId="687E23A4">
                  <w:pPr>
                    <w:pStyle w:val="60"/>
                    <w:rPr>
                      <w:b/>
                      <w:bCs/>
                      <w:color w:val="auto"/>
                      <w:sz w:val="18"/>
                      <w:szCs w:val="18"/>
                    </w:rPr>
                  </w:pPr>
                  <w:r>
                    <w:rPr>
                      <w:b/>
                      <w:bCs/>
                      <w:color w:val="auto"/>
                      <w:sz w:val="18"/>
                      <w:szCs w:val="18"/>
                    </w:rPr>
                    <w:t>速率/(kg/h)</w:t>
                  </w:r>
                </w:p>
              </w:tc>
              <w:tc>
                <w:tcPr>
                  <w:tcW w:w="439" w:type="pct"/>
                  <w:vAlign w:val="center"/>
                </w:tcPr>
                <w:p w14:paraId="34238FAB">
                  <w:pPr>
                    <w:pStyle w:val="60"/>
                    <w:rPr>
                      <w:b/>
                      <w:bCs/>
                      <w:color w:val="auto"/>
                      <w:sz w:val="18"/>
                      <w:szCs w:val="18"/>
                    </w:rPr>
                  </w:pPr>
                  <w:r>
                    <w:rPr>
                      <w:b/>
                      <w:bCs/>
                      <w:color w:val="auto"/>
                      <w:sz w:val="18"/>
                      <w:szCs w:val="18"/>
                    </w:rPr>
                    <w:t>产生量/(t/a)</w:t>
                  </w:r>
                </w:p>
              </w:tc>
              <w:tc>
                <w:tcPr>
                  <w:tcW w:w="375" w:type="pct"/>
                  <w:vMerge w:val="continue"/>
                  <w:vAlign w:val="center"/>
                </w:tcPr>
                <w:p w14:paraId="1139A677">
                  <w:pPr>
                    <w:pStyle w:val="60"/>
                    <w:rPr>
                      <w:b/>
                      <w:bCs/>
                      <w:color w:val="auto"/>
                      <w:sz w:val="18"/>
                      <w:szCs w:val="18"/>
                    </w:rPr>
                  </w:pPr>
                </w:p>
              </w:tc>
              <w:tc>
                <w:tcPr>
                  <w:tcW w:w="331" w:type="pct"/>
                  <w:vMerge w:val="continue"/>
                  <w:vAlign w:val="center"/>
                </w:tcPr>
                <w:p w14:paraId="0F5F2F51">
                  <w:pPr>
                    <w:pStyle w:val="60"/>
                    <w:rPr>
                      <w:b/>
                      <w:bCs/>
                      <w:color w:val="auto"/>
                      <w:sz w:val="18"/>
                      <w:szCs w:val="18"/>
                    </w:rPr>
                  </w:pPr>
                </w:p>
              </w:tc>
              <w:tc>
                <w:tcPr>
                  <w:tcW w:w="416" w:type="pct"/>
                  <w:vAlign w:val="center"/>
                </w:tcPr>
                <w:p w14:paraId="37AD7491">
                  <w:pPr>
                    <w:pStyle w:val="60"/>
                    <w:rPr>
                      <w:b/>
                      <w:bCs/>
                      <w:color w:val="auto"/>
                      <w:sz w:val="18"/>
                      <w:szCs w:val="18"/>
                    </w:rPr>
                  </w:pPr>
                  <w:r>
                    <w:rPr>
                      <w:b/>
                      <w:bCs/>
                      <w:color w:val="auto"/>
                      <w:sz w:val="18"/>
                      <w:szCs w:val="18"/>
                    </w:rPr>
                    <w:t>速率/(kg/h)</w:t>
                  </w:r>
                </w:p>
              </w:tc>
              <w:tc>
                <w:tcPr>
                  <w:tcW w:w="469" w:type="pct"/>
                  <w:vAlign w:val="center"/>
                </w:tcPr>
                <w:p w14:paraId="1D3F7514">
                  <w:pPr>
                    <w:pStyle w:val="60"/>
                    <w:rPr>
                      <w:b/>
                      <w:bCs/>
                      <w:color w:val="auto"/>
                      <w:sz w:val="18"/>
                      <w:szCs w:val="18"/>
                    </w:rPr>
                  </w:pPr>
                  <w:r>
                    <w:rPr>
                      <w:b/>
                      <w:bCs/>
                      <w:color w:val="auto"/>
                      <w:sz w:val="18"/>
                      <w:szCs w:val="18"/>
                    </w:rPr>
                    <w:t>排放量/(t/a)</w:t>
                  </w:r>
                </w:p>
              </w:tc>
              <w:tc>
                <w:tcPr>
                  <w:tcW w:w="577" w:type="pct"/>
                  <w:vMerge w:val="continue"/>
                  <w:vAlign w:val="center"/>
                </w:tcPr>
                <w:p w14:paraId="6E71E524">
                  <w:pPr>
                    <w:pStyle w:val="60"/>
                    <w:rPr>
                      <w:b/>
                      <w:bCs/>
                      <w:color w:val="auto"/>
                      <w:sz w:val="18"/>
                      <w:szCs w:val="18"/>
                    </w:rPr>
                  </w:pPr>
                </w:p>
              </w:tc>
            </w:tr>
            <w:tr w14:paraId="3F9029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vMerge w:val="restart"/>
                  <w:shd w:val="clear" w:color="auto" w:fill="auto"/>
                  <w:vAlign w:val="center"/>
                </w:tcPr>
                <w:p w14:paraId="620234C5">
                  <w:pPr>
                    <w:pStyle w:val="60"/>
                    <w:rPr>
                      <w:color w:val="auto"/>
                      <w:sz w:val="18"/>
                      <w:szCs w:val="18"/>
                    </w:rPr>
                  </w:pPr>
                  <w:r>
                    <w:rPr>
                      <w:rFonts w:hint="eastAsia"/>
                      <w:color w:val="auto"/>
                      <w:sz w:val="18"/>
                      <w:szCs w:val="18"/>
                    </w:rPr>
                    <w:t>G1</w:t>
                  </w:r>
                </w:p>
              </w:tc>
              <w:tc>
                <w:tcPr>
                  <w:tcW w:w="607" w:type="pct"/>
                  <w:vMerge w:val="restart"/>
                  <w:shd w:val="clear" w:color="auto" w:fill="auto"/>
                  <w:vAlign w:val="center"/>
                </w:tcPr>
                <w:p w14:paraId="6356BE42">
                  <w:pPr>
                    <w:pStyle w:val="60"/>
                    <w:rPr>
                      <w:rFonts w:hint="eastAsia" w:eastAsia="宋体"/>
                      <w:color w:val="auto"/>
                      <w:sz w:val="18"/>
                      <w:szCs w:val="18"/>
                      <w:lang w:eastAsia="zh-CN"/>
                    </w:rPr>
                  </w:pPr>
                  <w:r>
                    <w:rPr>
                      <w:rFonts w:hint="eastAsia"/>
                      <w:color w:val="auto"/>
                      <w:sz w:val="18"/>
                      <w:szCs w:val="18"/>
                      <w:lang w:val="en-US" w:eastAsia="zh-CN"/>
                    </w:rPr>
                    <w:t>储罐呼吸</w:t>
                  </w:r>
                </w:p>
              </w:tc>
              <w:tc>
                <w:tcPr>
                  <w:tcW w:w="369" w:type="pct"/>
                  <w:vMerge w:val="restart"/>
                  <w:vAlign w:val="center"/>
                </w:tcPr>
                <w:p w14:paraId="5D0616FF">
                  <w:pPr>
                    <w:pStyle w:val="60"/>
                    <w:rPr>
                      <w:rFonts w:hint="default" w:eastAsia="宋体"/>
                      <w:color w:val="auto"/>
                      <w:sz w:val="18"/>
                      <w:szCs w:val="18"/>
                      <w:lang w:val="en-US" w:eastAsia="zh-CN"/>
                    </w:rPr>
                  </w:pPr>
                  <w:r>
                    <w:rPr>
                      <w:rFonts w:hint="eastAsia"/>
                      <w:color w:val="auto"/>
                      <w:sz w:val="18"/>
                      <w:szCs w:val="18"/>
                      <w:lang w:val="en-US" w:eastAsia="zh-CN"/>
                    </w:rPr>
                    <w:t>8760</w:t>
                  </w:r>
                </w:p>
              </w:tc>
              <w:tc>
                <w:tcPr>
                  <w:tcW w:w="704" w:type="pct"/>
                  <w:gridSpan w:val="3"/>
                  <w:shd w:val="clear" w:color="auto" w:fill="auto"/>
                  <w:vAlign w:val="center"/>
                </w:tcPr>
                <w:p w14:paraId="17BF9BC9">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VOCs</w:t>
                  </w:r>
                </w:p>
              </w:tc>
              <w:tc>
                <w:tcPr>
                  <w:tcW w:w="439" w:type="pct"/>
                  <w:vAlign w:val="center"/>
                </w:tcPr>
                <w:p w14:paraId="0DEB30DB">
                  <w:pPr>
                    <w:pStyle w:val="60"/>
                    <w:rPr>
                      <w:rFonts w:hint="default" w:eastAsia="宋体"/>
                      <w:color w:val="auto"/>
                      <w:sz w:val="18"/>
                      <w:szCs w:val="18"/>
                      <w:lang w:val="en-US" w:eastAsia="zh-CN"/>
                    </w:rPr>
                  </w:pPr>
                  <w:r>
                    <w:rPr>
                      <w:rFonts w:hint="eastAsia"/>
                      <w:color w:val="auto"/>
                      <w:sz w:val="18"/>
                      <w:szCs w:val="18"/>
                      <w:lang w:val="en-US" w:eastAsia="zh-CN"/>
                    </w:rPr>
                    <w:t>1.117</w:t>
                  </w:r>
                </w:p>
              </w:tc>
              <w:tc>
                <w:tcPr>
                  <w:tcW w:w="439" w:type="pct"/>
                  <w:vAlign w:val="center"/>
                </w:tcPr>
                <w:p w14:paraId="540AA059">
                  <w:pPr>
                    <w:pStyle w:val="60"/>
                    <w:rPr>
                      <w:rFonts w:hint="default" w:eastAsia="宋体"/>
                      <w:color w:val="auto"/>
                      <w:sz w:val="18"/>
                      <w:szCs w:val="18"/>
                      <w:lang w:val="en-US" w:eastAsia="zh-CN"/>
                    </w:rPr>
                  </w:pPr>
                  <w:r>
                    <w:rPr>
                      <w:rFonts w:hint="eastAsia"/>
                      <w:color w:val="auto"/>
                      <w:sz w:val="18"/>
                      <w:szCs w:val="18"/>
                      <w:lang w:val="en-US" w:eastAsia="zh-CN"/>
                    </w:rPr>
                    <w:t>9.785</w:t>
                  </w:r>
                </w:p>
              </w:tc>
              <w:tc>
                <w:tcPr>
                  <w:tcW w:w="375" w:type="pct"/>
                  <w:vMerge w:val="restart"/>
                  <w:vAlign w:val="center"/>
                </w:tcPr>
                <w:p w14:paraId="6209D3B0">
                  <w:pPr>
                    <w:pStyle w:val="60"/>
                    <w:rPr>
                      <w:rFonts w:hint="default" w:eastAsia="宋体"/>
                      <w:color w:val="auto"/>
                      <w:sz w:val="18"/>
                      <w:szCs w:val="18"/>
                      <w:lang w:val="en-US" w:eastAsia="zh-CN"/>
                    </w:rPr>
                  </w:pPr>
                  <w:r>
                    <w:rPr>
                      <w:rFonts w:hint="eastAsia"/>
                      <w:color w:val="auto"/>
                      <w:sz w:val="18"/>
                      <w:szCs w:val="18"/>
                      <w:lang w:val="en-US" w:eastAsia="zh-CN"/>
                    </w:rPr>
                    <w:t>水洗</w:t>
                  </w:r>
                </w:p>
              </w:tc>
              <w:tc>
                <w:tcPr>
                  <w:tcW w:w="331" w:type="pct"/>
                  <w:vMerge w:val="restart"/>
                  <w:vAlign w:val="center"/>
                </w:tcPr>
                <w:p w14:paraId="21CF68F2">
                  <w:pPr>
                    <w:pStyle w:val="60"/>
                    <w:rPr>
                      <w:rFonts w:hint="default" w:eastAsia="宋体"/>
                      <w:color w:val="auto"/>
                      <w:sz w:val="18"/>
                      <w:szCs w:val="18"/>
                      <w:lang w:val="en-US" w:eastAsia="zh-CN"/>
                    </w:rPr>
                  </w:pPr>
                  <w:r>
                    <w:rPr>
                      <w:rFonts w:hint="eastAsia"/>
                      <w:color w:val="auto"/>
                      <w:sz w:val="18"/>
                      <w:szCs w:val="18"/>
                      <w:lang w:val="en-US" w:eastAsia="zh-CN"/>
                    </w:rPr>
                    <w:t>50</w:t>
                  </w:r>
                </w:p>
              </w:tc>
              <w:tc>
                <w:tcPr>
                  <w:tcW w:w="416" w:type="pct"/>
                  <w:shd w:val="clear" w:color="auto" w:fill="auto"/>
                  <w:vAlign w:val="center"/>
                </w:tcPr>
                <w:p w14:paraId="4D3A508D">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0.559</w:t>
                  </w:r>
                </w:p>
              </w:tc>
              <w:tc>
                <w:tcPr>
                  <w:tcW w:w="469" w:type="pct"/>
                  <w:shd w:val="clear" w:color="auto" w:fill="auto"/>
                  <w:vAlign w:val="center"/>
                </w:tcPr>
                <w:p w14:paraId="3F08E88D">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4.893</w:t>
                  </w:r>
                </w:p>
              </w:tc>
              <w:tc>
                <w:tcPr>
                  <w:tcW w:w="577" w:type="pct"/>
                  <w:vMerge w:val="restart"/>
                  <w:vAlign w:val="center"/>
                </w:tcPr>
                <w:p w14:paraId="67356A6E">
                  <w:pPr>
                    <w:pStyle w:val="60"/>
                    <w:rPr>
                      <w:rFonts w:hint="default" w:eastAsia="宋体"/>
                      <w:color w:val="auto"/>
                      <w:sz w:val="18"/>
                      <w:szCs w:val="18"/>
                      <w:lang w:val="en-US" w:eastAsia="zh-CN"/>
                    </w:rPr>
                  </w:pPr>
                  <w:r>
                    <w:rPr>
                      <w:rFonts w:hint="eastAsia"/>
                      <w:color w:val="auto"/>
                      <w:sz w:val="18"/>
                      <w:szCs w:val="18"/>
                      <w:lang w:val="en-US" w:eastAsia="zh-CN"/>
                    </w:rPr>
                    <w:t>送西厂区2台尾气炉焚烧处理</w:t>
                  </w:r>
                </w:p>
              </w:tc>
            </w:tr>
            <w:tr w14:paraId="572F64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vMerge w:val="continue"/>
                  <w:shd w:val="clear" w:color="auto" w:fill="auto"/>
                  <w:vAlign w:val="center"/>
                </w:tcPr>
                <w:p w14:paraId="139260D1">
                  <w:pPr>
                    <w:pStyle w:val="60"/>
                    <w:rPr>
                      <w:rFonts w:hint="eastAsia"/>
                      <w:color w:val="auto"/>
                      <w:sz w:val="18"/>
                      <w:szCs w:val="18"/>
                    </w:rPr>
                  </w:pPr>
                </w:p>
              </w:tc>
              <w:tc>
                <w:tcPr>
                  <w:tcW w:w="607" w:type="pct"/>
                  <w:vMerge w:val="continue"/>
                  <w:shd w:val="clear" w:color="auto" w:fill="auto"/>
                  <w:vAlign w:val="center"/>
                </w:tcPr>
                <w:p w14:paraId="2C4180D3">
                  <w:pPr>
                    <w:pStyle w:val="60"/>
                    <w:rPr>
                      <w:rFonts w:hint="eastAsia"/>
                      <w:color w:val="auto"/>
                      <w:sz w:val="18"/>
                      <w:szCs w:val="18"/>
                      <w:lang w:val="en-US" w:eastAsia="zh-CN"/>
                    </w:rPr>
                  </w:pPr>
                </w:p>
              </w:tc>
              <w:tc>
                <w:tcPr>
                  <w:tcW w:w="369" w:type="pct"/>
                  <w:vMerge w:val="continue"/>
                  <w:vAlign w:val="center"/>
                </w:tcPr>
                <w:p w14:paraId="2B764ED6">
                  <w:pPr>
                    <w:pStyle w:val="60"/>
                    <w:rPr>
                      <w:rFonts w:hint="eastAsia" w:eastAsia="宋体"/>
                      <w:color w:val="auto"/>
                      <w:sz w:val="18"/>
                      <w:szCs w:val="18"/>
                      <w:lang w:val="en-US" w:eastAsia="zh-CN"/>
                    </w:rPr>
                  </w:pPr>
                </w:p>
              </w:tc>
              <w:tc>
                <w:tcPr>
                  <w:tcW w:w="352" w:type="pct"/>
                  <w:gridSpan w:val="2"/>
                  <w:shd w:val="clear" w:color="auto" w:fill="auto"/>
                  <w:vAlign w:val="center"/>
                </w:tcPr>
                <w:p w14:paraId="2FB62FF3">
                  <w:pPr>
                    <w:pStyle w:val="6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其中</w:t>
                  </w:r>
                </w:p>
              </w:tc>
              <w:tc>
                <w:tcPr>
                  <w:tcW w:w="352" w:type="pct"/>
                  <w:shd w:val="clear" w:color="auto" w:fill="auto"/>
                  <w:vAlign w:val="center"/>
                </w:tcPr>
                <w:p w14:paraId="62033F38">
                  <w:pPr>
                    <w:pStyle w:val="60"/>
                    <w:rPr>
                      <w:rFonts w:hint="eastAsia"/>
                      <w:color w:val="auto"/>
                      <w:sz w:val="18"/>
                      <w:szCs w:val="18"/>
                      <w:lang w:val="en-US" w:eastAsia="zh-CN"/>
                    </w:rPr>
                  </w:pPr>
                  <w:r>
                    <w:rPr>
                      <w:rFonts w:hint="eastAsia"/>
                      <w:color w:val="auto"/>
                      <w:sz w:val="18"/>
                      <w:szCs w:val="18"/>
                      <w:lang w:val="en-US" w:eastAsia="zh-CN"/>
                    </w:rPr>
                    <w:t>甲醇</w:t>
                  </w:r>
                </w:p>
              </w:tc>
              <w:tc>
                <w:tcPr>
                  <w:tcW w:w="439" w:type="pct"/>
                  <w:vAlign w:val="center"/>
                </w:tcPr>
                <w:p w14:paraId="083F4D69">
                  <w:pPr>
                    <w:pStyle w:val="60"/>
                    <w:rPr>
                      <w:rFonts w:hint="default" w:eastAsia="宋体"/>
                      <w:color w:val="auto"/>
                      <w:sz w:val="18"/>
                      <w:szCs w:val="18"/>
                      <w:lang w:val="en-US" w:eastAsia="zh-CN"/>
                    </w:rPr>
                  </w:pPr>
                  <w:r>
                    <w:rPr>
                      <w:rFonts w:hint="eastAsia"/>
                      <w:color w:val="auto"/>
                      <w:sz w:val="18"/>
                      <w:szCs w:val="18"/>
                      <w:lang w:val="en-US" w:eastAsia="zh-CN"/>
                    </w:rPr>
                    <w:t>0.965</w:t>
                  </w:r>
                </w:p>
              </w:tc>
              <w:tc>
                <w:tcPr>
                  <w:tcW w:w="439" w:type="pct"/>
                  <w:vAlign w:val="center"/>
                </w:tcPr>
                <w:p w14:paraId="52C129CC">
                  <w:pPr>
                    <w:pStyle w:val="60"/>
                    <w:rPr>
                      <w:rFonts w:hint="default" w:eastAsia="宋体"/>
                      <w:color w:val="auto"/>
                      <w:sz w:val="18"/>
                      <w:szCs w:val="18"/>
                      <w:lang w:val="en-US" w:eastAsia="zh-CN"/>
                    </w:rPr>
                  </w:pPr>
                  <w:r>
                    <w:rPr>
                      <w:rFonts w:hint="eastAsia"/>
                      <w:color w:val="auto"/>
                      <w:sz w:val="18"/>
                      <w:szCs w:val="18"/>
                      <w:lang w:val="en-US" w:eastAsia="zh-CN"/>
                    </w:rPr>
                    <w:t>8.454</w:t>
                  </w:r>
                </w:p>
              </w:tc>
              <w:tc>
                <w:tcPr>
                  <w:tcW w:w="375" w:type="pct"/>
                  <w:vMerge w:val="continue"/>
                  <w:vAlign w:val="center"/>
                </w:tcPr>
                <w:p w14:paraId="02B8BAF4">
                  <w:pPr>
                    <w:pStyle w:val="60"/>
                    <w:rPr>
                      <w:rFonts w:hint="eastAsia"/>
                      <w:color w:val="auto"/>
                      <w:sz w:val="18"/>
                      <w:szCs w:val="18"/>
                      <w:lang w:val="en-US" w:eastAsia="zh-CN"/>
                    </w:rPr>
                  </w:pPr>
                </w:p>
              </w:tc>
              <w:tc>
                <w:tcPr>
                  <w:tcW w:w="331" w:type="pct"/>
                  <w:vMerge w:val="continue"/>
                  <w:vAlign w:val="center"/>
                </w:tcPr>
                <w:p w14:paraId="4404CE33">
                  <w:pPr>
                    <w:pStyle w:val="60"/>
                    <w:rPr>
                      <w:rFonts w:hint="eastAsia"/>
                      <w:color w:val="auto"/>
                      <w:sz w:val="18"/>
                      <w:szCs w:val="18"/>
                      <w:lang w:val="en-US" w:eastAsia="zh-CN"/>
                    </w:rPr>
                  </w:pPr>
                </w:p>
              </w:tc>
              <w:tc>
                <w:tcPr>
                  <w:tcW w:w="416" w:type="pct"/>
                  <w:shd w:val="clear" w:color="auto" w:fill="auto"/>
                  <w:vAlign w:val="center"/>
                </w:tcPr>
                <w:p w14:paraId="0CBD0A3A">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0.483</w:t>
                  </w:r>
                </w:p>
              </w:tc>
              <w:tc>
                <w:tcPr>
                  <w:tcW w:w="469" w:type="pct"/>
                  <w:shd w:val="clear" w:color="auto" w:fill="auto"/>
                  <w:vAlign w:val="center"/>
                </w:tcPr>
                <w:p w14:paraId="4B0EB5EE">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4.227</w:t>
                  </w:r>
                </w:p>
              </w:tc>
              <w:tc>
                <w:tcPr>
                  <w:tcW w:w="577" w:type="pct"/>
                  <w:vMerge w:val="continue"/>
                  <w:vAlign w:val="center"/>
                </w:tcPr>
                <w:p w14:paraId="752F14EC">
                  <w:pPr>
                    <w:pStyle w:val="60"/>
                    <w:rPr>
                      <w:rFonts w:hint="eastAsia"/>
                      <w:color w:val="auto"/>
                      <w:sz w:val="18"/>
                      <w:szCs w:val="18"/>
                      <w:lang w:val="en-US" w:eastAsia="zh-CN"/>
                    </w:rPr>
                  </w:pPr>
                </w:p>
              </w:tc>
            </w:tr>
            <w:tr w14:paraId="618F19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shd w:val="clear" w:color="auto" w:fill="auto"/>
                  <w:vAlign w:val="center"/>
                </w:tcPr>
                <w:p w14:paraId="3A51FEEE">
                  <w:pPr>
                    <w:pStyle w:val="60"/>
                    <w:rPr>
                      <w:color w:val="auto"/>
                      <w:sz w:val="18"/>
                      <w:szCs w:val="18"/>
                    </w:rPr>
                  </w:pPr>
                  <w:r>
                    <w:rPr>
                      <w:rFonts w:hint="eastAsia"/>
                      <w:color w:val="auto"/>
                      <w:sz w:val="18"/>
                      <w:szCs w:val="18"/>
                    </w:rPr>
                    <w:t>G2</w:t>
                  </w:r>
                </w:p>
              </w:tc>
              <w:tc>
                <w:tcPr>
                  <w:tcW w:w="607" w:type="pct"/>
                  <w:shd w:val="clear" w:color="auto" w:fill="auto"/>
                  <w:vAlign w:val="center"/>
                </w:tcPr>
                <w:p w14:paraId="36C50437">
                  <w:pPr>
                    <w:pStyle w:val="60"/>
                    <w:rPr>
                      <w:color w:val="auto"/>
                      <w:sz w:val="18"/>
                      <w:szCs w:val="18"/>
                    </w:rPr>
                  </w:pPr>
                  <w:r>
                    <w:rPr>
                      <w:rFonts w:hint="eastAsia"/>
                      <w:color w:val="auto"/>
                      <w:sz w:val="18"/>
                      <w:szCs w:val="18"/>
                    </w:rPr>
                    <w:t>装车</w:t>
                  </w:r>
                </w:p>
              </w:tc>
              <w:tc>
                <w:tcPr>
                  <w:tcW w:w="369" w:type="pct"/>
                  <w:vAlign w:val="center"/>
                </w:tcPr>
                <w:p w14:paraId="0671AA2B">
                  <w:pPr>
                    <w:pStyle w:val="60"/>
                    <w:rPr>
                      <w:rFonts w:hint="default" w:eastAsia="宋体"/>
                      <w:color w:val="auto"/>
                      <w:sz w:val="18"/>
                      <w:szCs w:val="18"/>
                      <w:lang w:val="en-US" w:eastAsia="zh-CN"/>
                    </w:rPr>
                  </w:pPr>
                  <w:r>
                    <w:rPr>
                      <w:rFonts w:hint="eastAsia"/>
                      <w:color w:val="auto"/>
                      <w:sz w:val="18"/>
                      <w:szCs w:val="18"/>
                      <w:lang w:val="en-US" w:eastAsia="zh-CN"/>
                    </w:rPr>
                    <w:t>2920</w:t>
                  </w:r>
                </w:p>
              </w:tc>
              <w:tc>
                <w:tcPr>
                  <w:tcW w:w="704" w:type="pct"/>
                  <w:gridSpan w:val="3"/>
                  <w:shd w:val="clear" w:color="auto" w:fill="auto"/>
                  <w:vAlign w:val="center"/>
                </w:tcPr>
                <w:p w14:paraId="1A5B638A">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VOCs</w:t>
                  </w:r>
                </w:p>
              </w:tc>
              <w:tc>
                <w:tcPr>
                  <w:tcW w:w="439" w:type="pct"/>
                  <w:vAlign w:val="center"/>
                </w:tcPr>
                <w:p w14:paraId="558EA7E3">
                  <w:pPr>
                    <w:pStyle w:val="60"/>
                    <w:rPr>
                      <w:rFonts w:hint="default" w:eastAsia="宋体"/>
                      <w:color w:val="auto"/>
                      <w:sz w:val="18"/>
                      <w:szCs w:val="18"/>
                      <w:lang w:val="en-US" w:eastAsia="zh-CN"/>
                    </w:rPr>
                  </w:pPr>
                  <w:r>
                    <w:rPr>
                      <w:rFonts w:hint="eastAsia"/>
                      <w:color w:val="auto"/>
                      <w:sz w:val="18"/>
                      <w:szCs w:val="18"/>
                      <w:lang w:val="en-US" w:eastAsia="zh-CN"/>
                    </w:rPr>
                    <w:t>0.162</w:t>
                  </w:r>
                </w:p>
              </w:tc>
              <w:tc>
                <w:tcPr>
                  <w:tcW w:w="439" w:type="pct"/>
                  <w:vAlign w:val="center"/>
                </w:tcPr>
                <w:p w14:paraId="409069F7">
                  <w:pPr>
                    <w:pStyle w:val="60"/>
                    <w:rPr>
                      <w:rFonts w:hint="default" w:eastAsia="宋体"/>
                      <w:color w:val="auto"/>
                      <w:sz w:val="18"/>
                      <w:szCs w:val="18"/>
                      <w:lang w:val="en-US" w:eastAsia="zh-CN"/>
                    </w:rPr>
                  </w:pPr>
                  <w:r>
                    <w:rPr>
                      <w:rFonts w:hint="eastAsia"/>
                      <w:color w:val="auto"/>
                      <w:sz w:val="18"/>
                      <w:szCs w:val="18"/>
                      <w:lang w:val="en-US" w:eastAsia="zh-CN"/>
                    </w:rPr>
                    <w:t>0.472</w:t>
                  </w:r>
                </w:p>
              </w:tc>
              <w:tc>
                <w:tcPr>
                  <w:tcW w:w="375" w:type="pct"/>
                  <w:vMerge w:val="continue"/>
                  <w:vAlign w:val="center"/>
                </w:tcPr>
                <w:p w14:paraId="554CE13A">
                  <w:pPr>
                    <w:pStyle w:val="60"/>
                    <w:rPr>
                      <w:rFonts w:hint="default" w:eastAsia="宋体"/>
                      <w:color w:val="auto"/>
                      <w:sz w:val="18"/>
                      <w:szCs w:val="18"/>
                      <w:lang w:val="en-US" w:eastAsia="zh-CN"/>
                    </w:rPr>
                  </w:pPr>
                </w:p>
              </w:tc>
              <w:tc>
                <w:tcPr>
                  <w:tcW w:w="331" w:type="pct"/>
                  <w:vMerge w:val="continue"/>
                  <w:vAlign w:val="center"/>
                </w:tcPr>
                <w:p w14:paraId="70E5FCE5">
                  <w:pPr>
                    <w:pStyle w:val="60"/>
                    <w:rPr>
                      <w:rFonts w:hint="default" w:eastAsia="宋体"/>
                      <w:color w:val="auto"/>
                      <w:sz w:val="18"/>
                      <w:szCs w:val="18"/>
                      <w:lang w:val="en-US" w:eastAsia="zh-CN"/>
                    </w:rPr>
                  </w:pPr>
                </w:p>
              </w:tc>
              <w:tc>
                <w:tcPr>
                  <w:tcW w:w="416" w:type="pct"/>
                  <w:vAlign w:val="center"/>
                </w:tcPr>
                <w:p w14:paraId="3819222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0.081</w:t>
                  </w:r>
                </w:p>
              </w:tc>
              <w:tc>
                <w:tcPr>
                  <w:tcW w:w="469" w:type="pct"/>
                  <w:vAlign w:val="center"/>
                </w:tcPr>
                <w:p w14:paraId="481EA72B">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0.236</w:t>
                  </w:r>
                </w:p>
              </w:tc>
              <w:tc>
                <w:tcPr>
                  <w:tcW w:w="577" w:type="pct"/>
                  <w:vMerge w:val="continue"/>
                  <w:vAlign w:val="center"/>
                </w:tcPr>
                <w:p w14:paraId="4667D157">
                  <w:pPr>
                    <w:pStyle w:val="60"/>
                    <w:rPr>
                      <w:rFonts w:hint="eastAsia" w:eastAsia="宋体"/>
                      <w:color w:val="auto"/>
                      <w:sz w:val="18"/>
                      <w:szCs w:val="18"/>
                      <w:lang w:val="en-US" w:eastAsia="zh-CN"/>
                    </w:rPr>
                  </w:pPr>
                </w:p>
              </w:tc>
            </w:tr>
            <w:tr w14:paraId="325E34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69" w:type="pct"/>
                  <w:shd w:val="clear" w:color="auto" w:fill="auto"/>
                  <w:vAlign w:val="center"/>
                </w:tcPr>
                <w:p w14:paraId="7F0652DF">
                  <w:pPr>
                    <w:pStyle w:val="60"/>
                    <w:rPr>
                      <w:rFonts w:hint="default" w:eastAsia="宋体"/>
                      <w:color w:val="auto"/>
                      <w:sz w:val="18"/>
                      <w:szCs w:val="18"/>
                      <w:lang w:val="en-US" w:eastAsia="zh-CN"/>
                    </w:rPr>
                  </w:pPr>
                  <w:r>
                    <w:rPr>
                      <w:rFonts w:hint="eastAsia"/>
                      <w:color w:val="auto"/>
                      <w:sz w:val="18"/>
                      <w:szCs w:val="18"/>
                      <w:lang w:val="en-US" w:eastAsia="zh-CN"/>
                    </w:rPr>
                    <w:t>G3</w:t>
                  </w:r>
                </w:p>
              </w:tc>
              <w:tc>
                <w:tcPr>
                  <w:tcW w:w="607" w:type="pct"/>
                  <w:shd w:val="clear" w:color="auto" w:fill="auto"/>
                  <w:vAlign w:val="center"/>
                </w:tcPr>
                <w:p w14:paraId="2797F59B">
                  <w:pPr>
                    <w:pStyle w:val="60"/>
                    <w:rPr>
                      <w:rFonts w:hint="eastAsia" w:eastAsia="宋体"/>
                      <w:color w:val="auto"/>
                      <w:sz w:val="18"/>
                      <w:szCs w:val="18"/>
                      <w:lang w:val="en-US" w:eastAsia="zh-CN"/>
                    </w:rPr>
                  </w:pPr>
                  <w:r>
                    <w:rPr>
                      <w:rFonts w:hint="eastAsia"/>
                      <w:color w:val="auto"/>
                      <w:sz w:val="18"/>
                      <w:szCs w:val="18"/>
                      <w:lang w:val="en-US" w:eastAsia="zh-CN"/>
                    </w:rPr>
                    <w:t>灌装</w:t>
                  </w:r>
                </w:p>
              </w:tc>
              <w:tc>
                <w:tcPr>
                  <w:tcW w:w="369" w:type="pct"/>
                  <w:vAlign w:val="center"/>
                </w:tcPr>
                <w:p w14:paraId="79DD367F">
                  <w:pPr>
                    <w:pStyle w:val="60"/>
                    <w:rPr>
                      <w:rFonts w:hint="default" w:eastAsia="宋体"/>
                      <w:color w:val="auto"/>
                      <w:sz w:val="18"/>
                      <w:szCs w:val="18"/>
                      <w:lang w:val="en-US" w:eastAsia="zh-CN"/>
                    </w:rPr>
                  </w:pPr>
                  <w:r>
                    <w:rPr>
                      <w:rFonts w:hint="eastAsia"/>
                      <w:color w:val="auto"/>
                      <w:sz w:val="18"/>
                      <w:szCs w:val="18"/>
                      <w:lang w:val="en-US" w:eastAsia="zh-CN"/>
                    </w:rPr>
                    <w:t>2920</w:t>
                  </w:r>
                </w:p>
              </w:tc>
              <w:tc>
                <w:tcPr>
                  <w:tcW w:w="704" w:type="pct"/>
                  <w:gridSpan w:val="3"/>
                  <w:shd w:val="clear" w:color="auto" w:fill="auto"/>
                  <w:vAlign w:val="center"/>
                </w:tcPr>
                <w:p w14:paraId="1F1E7D0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VOCs</w:t>
                  </w:r>
                </w:p>
              </w:tc>
              <w:tc>
                <w:tcPr>
                  <w:tcW w:w="439" w:type="pct"/>
                  <w:vAlign w:val="center"/>
                </w:tcPr>
                <w:p w14:paraId="673F5B75">
                  <w:pPr>
                    <w:pStyle w:val="60"/>
                    <w:rPr>
                      <w:rFonts w:hint="default" w:eastAsia="宋体"/>
                      <w:color w:val="auto"/>
                      <w:sz w:val="18"/>
                      <w:szCs w:val="18"/>
                      <w:lang w:val="en-US" w:eastAsia="zh-CN"/>
                    </w:rPr>
                  </w:pPr>
                  <w:r>
                    <w:rPr>
                      <w:rFonts w:hint="eastAsia"/>
                      <w:color w:val="auto"/>
                      <w:sz w:val="18"/>
                      <w:szCs w:val="18"/>
                      <w:lang w:val="en-US" w:eastAsia="zh-CN"/>
                    </w:rPr>
                    <w:t>0.856</w:t>
                  </w:r>
                </w:p>
              </w:tc>
              <w:tc>
                <w:tcPr>
                  <w:tcW w:w="439" w:type="pct"/>
                  <w:vAlign w:val="center"/>
                </w:tcPr>
                <w:p w14:paraId="2FCD2E23">
                  <w:pPr>
                    <w:pStyle w:val="60"/>
                    <w:rPr>
                      <w:rFonts w:hint="default" w:eastAsia="宋体"/>
                      <w:color w:val="auto"/>
                      <w:sz w:val="18"/>
                      <w:szCs w:val="18"/>
                      <w:lang w:val="en-US" w:eastAsia="zh-CN"/>
                    </w:rPr>
                  </w:pPr>
                  <w:r>
                    <w:rPr>
                      <w:rFonts w:hint="eastAsia"/>
                      <w:color w:val="auto"/>
                      <w:sz w:val="18"/>
                      <w:szCs w:val="18"/>
                      <w:lang w:val="en-US" w:eastAsia="zh-CN"/>
                    </w:rPr>
                    <w:t>2.5</w:t>
                  </w:r>
                </w:p>
              </w:tc>
              <w:tc>
                <w:tcPr>
                  <w:tcW w:w="375" w:type="pct"/>
                  <w:vMerge w:val="continue"/>
                  <w:vAlign w:val="center"/>
                </w:tcPr>
                <w:p w14:paraId="3D54353D">
                  <w:pPr>
                    <w:pStyle w:val="60"/>
                    <w:rPr>
                      <w:rFonts w:hint="default" w:eastAsia="宋体"/>
                      <w:color w:val="auto"/>
                      <w:sz w:val="18"/>
                      <w:szCs w:val="18"/>
                      <w:lang w:val="en-US" w:eastAsia="zh-CN"/>
                    </w:rPr>
                  </w:pPr>
                </w:p>
              </w:tc>
              <w:tc>
                <w:tcPr>
                  <w:tcW w:w="331" w:type="pct"/>
                  <w:vMerge w:val="continue"/>
                  <w:vAlign w:val="center"/>
                </w:tcPr>
                <w:p w14:paraId="5E9D69EB">
                  <w:pPr>
                    <w:pStyle w:val="60"/>
                    <w:rPr>
                      <w:rFonts w:hint="default" w:eastAsia="宋体"/>
                      <w:color w:val="auto"/>
                      <w:sz w:val="18"/>
                      <w:szCs w:val="18"/>
                      <w:lang w:val="en-US" w:eastAsia="zh-CN"/>
                    </w:rPr>
                  </w:pPr>
                </w:p>
              </w:tc>
              <w:tc>
                <w:tcPr>
                  <w:tcW w:w="416" w:type="pct"/>
                  <w:vAlign w:val="center"/>
                </w:tcPr>
                <w:p w14:paraId="2D2475C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0.428</w:t>
                  </w:r>
                </w:p>
              </w:tc>
              <w:tc>
                <w:tcPr>
                  <w:tcW w:w="469" w:type="pct"/>
                  <w:vAlign w:val="center"/>
                </w:tcPr>
                <w:p w14:paraId="3213925D">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1.250</w:t>
                  </w:r>
                </w:p>
              </w:tc>
              <w:tc>
                <w:tcPr>
                  <w:tcW w:w="577" w:type="pct"/>
                  <w:vMerge w:val="continue"/>
                  <w:vAlign w:val="center"/>
                </w:tcPr>
                <w:p w14:paraId="1503A60D">
                  <w:pPr>
                    <w:pStyle w:val="60"/>
                    <w:rPr>
                      <w:rFonts w:hint="eastAsia" w:eastAsia="宋体"/>
                      <w:color w:val="auto"/>
                      <w:sz w:val="18"/>
                      <w:szCs w:val="18"/>
                      <w:lang w:val="en-US" w:eastAsia="zh-CN"/>
                    </w:rPr>
                  </w:pPr>
                </w:p>
              </w:tc>
            </w:tr>
            <w:tr w14:paraId="16015C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876" w:type="pct"/>
                  <w:gridSpan w:val="2"/>
                  <w:vMerge w:val="restart"/>
                  <w:shd w:val="clear" w:color="auto" w:fill="auto"/>
                  <w:vAlign w:val="center"/>
                </w:tcPr>
                <w:p w14:paraId="562D335C">
                  <w:pPr>
                    <w:pStyle w:val="60"/>
                    <w:rPr>
                      <w:b/>
                      <w:bCs/>
                      <w:color w:val="auto"/>
                      <w:sz w:val="18"/>
                      <w:szCs w:val="18"/>
                    </w:rPr>
                  </w:pPr>
                  <w:r>
                    <w:rPr>
                      <w:rFonts w:hint="eastAsia"/>
                      <w:b/>
                      <w:bCs/>
                      <w:color w:val="auto"/>
                      <w:sz w:val="18"/>
                      <w:szCs w:val="18"/>
                    </w:rPr>
                    <w:t>合计</w:t>
                  </w:r>
                </w:p>
              </w:tc>
              <w:tc>
                <w:tcPr>
                  <w:tcW w:w="1073" w:type="pct"/>
                  <w:gridSpan w:val="4"/>
                  <w:vAlign w:val="center"/>
                </w:tcPr>
                <w:p w14:paraId="4A761144">
                  <w:pPr>
                    <w:pStyle w:val="60"/>
                    <w:rPr>
                      <w:b/>
                      <w:bCs/>
                      <w:color w:val="auto"/>
                      <w:sz w:val="18"/>
                      <w:szCs w:val="18"/>
                    </w:rPr>
                  </w:pPr>
                  <w:r>
                    <w:rPr>
                      <w:rFonts w:hint="eastAsia"/>
                      <w:b/>
                      <w:bCs/>
                      <w:color w:val="auto"/>
                      <w:sz w:val="18"/>
                      <w:szCs w:val="18"/>
                    </w:rPr>
                    <w:t>VOCs</w:t>
                  </w:r>
                </w:p>
              </w:tc>
              <w:tc>
                <w:tcPr>
                  <w:tcW w:w="439" w:type="pct"/>
                  <w:vAlign w:val="center"/>
                </w:tcPr>
                <w:p w14:paraId="2972025B">
                  <w:pPr>
                    <w:pStyle w:val="60"/>
                    <w:rPr>
                      <w:rFonts w:hint="default" w:eastAsia="宋体"/>
                      <w:b/>
                      <w:bCs/>
                      <w:color w:val="auto"/>
                      <w:sz w:val="18"/>
                      <w:szCs w:val="18"/>
                      <w:lang w:val="en-US" w:eastAsia="zh-CN"/>
                    </w:rPr>
                  </w:pPr>
                  <w:r>
                    <w:rPr>
                      <w:rFonts w:hint="eastAsia"/>
                      <w:b/>
                      <w:bCs/>
                      <w:color w:val="auto"/>
                      <w:sz w:val="18"/>
                      <w:szCs w:val="18"/>
                      <w:lang w:val="en-US" w:eastAsia="zh-CN"/>
                    </w:rPr>
                    <w:t>2.135</w:t>
                  </w:r>
                </w:p>
              </w:tc>
              <w:tc>
                <w:tcPr>
                  <w:tcW w:w="439" w:type="pct"/>
                  <w:vAlign w:val="center"/>
                </w:tcPr>
                <w:p w14:paraId="661010B1">
                  <w:pPr>
                    <w:pStyle w:val="60"/>
                    <w:rPr>
                      <w:rFonts w:hint="default" w:eastAsia="宋体"/>
                      <w:b/>
                      <w:bCs/>
                      <w:color w:val="auto"/>
                      <w:sz w:val="18"/>
                      <w:szCs w:val="18"/>
                      <w:lang w:val="en-US" w:eastAsia="zh-CN"/>
                    </w:rPr>
                  </w:pPr>
                  <w:r>
                    <w:rPr>
                      <w:rFonts w:hint="eastAsia"/>
                      <w:b/>
                      <w:bCs/>
                      <w:color w:val="auto"/>
                      <w:sz w:val="18"/>
                      <w:szCs w:val="18"/>
                      <w:lang w:val="en-US" w:eastAsia="zh-CN"/>
                    </w:rPr>
                    <w:t>12.757</w:t>
                  </w:r>
                </w:p>
              </w:tc>
              <w:tc>
                <w:tcPr>
                  <w:tcW w:w="375" w:type="pct"/>
                  <w:vMerge w:val="continue"/>
                  <w:vAlign w:val="center"/>
                </w:tcPr>
                <w:p w14:paraId="7BAF1CEF">
                  <w:pPr>
                    <w:pStyle w:val="60"/>
                    <w:rPr>
                      <w:rFonts w:hint="default" w:eastAsia="宋体"/>
                      <w:b/>
                      <w:bCs/>
                      <w:color w:val="auto"/>
                      <w:sz w:val="18"/>
                      <w:szCs w:val="18"/>
                      <w:lang w:val="en-US" w:eastAsia="zh-CN"/>
                    </w:rPr>
                  </w:pPr>
                </w:p>
              </w:tc>
              <w:tc>
                <w:tcPr>
                  <w:tcW w:w="331" w:type="pct"/>
                  <w:vMerge w:val="continue"/>
                  <w:vAlign w:val="center"/>
                </w:tcPr>
                <w:p w14:paraId="2DDC38BF">
                  <w:pPr>
                    <w:pStyle w:val="60"/>
                    <w:rPr>
                      <w:rFonts w:hint="default" w:eastAsia="宋体"/>
                      <w:b/>
                      <w:bCs/>
                      <w:color w:val="auto"/>
                      <w:sz w:val="18"/>
                      <w:szCs w:val="18"/>
                      <w:lang w:val="en-US" w:eastAsia="zh-CN"/>
                    </w:rPr>
                  </w:pPr>
                </w:p>
              </w:tc>
              <w:tc>
                <w:tcPr>
                  <w:tcW w:w="416" w:type="pct"/>
                  <w:vAlign w:val="center"/>
                </w:tcPr>
                <w:p w14:paraId="148119EC">
                  <w:pPr>
                    <w:keepNext w:val="0"/>
                    <w:keepLines w:val="0"/>
                    <w:widowControl/>
                    <w:suppressLineNumbers w:val="0"/>
                    <w:jc w:val="center"/>
                    <w:textAlignment w:val="center"/>
                    <w:rPr>
                      <w:rFonts w:hint="default"/>
                      <w:b/>
                      <w:bCs/>
                      <w:color w:val="auto"/>
                      <w:sz w:val="18"/>
                      <w:szCs w:val="18"/>
                      <w:lang w:val="en-US" w:eastAsia="zh-CN"/>
                    </w:rPr>
                  </w:pPr>
                  <w:r>
                    <w:rPr>
                      <w:rFonts w:hint="default" w:ascii="Times New Roman" w:hAnsi="Times New Roman" w:eastAsia="宋体" w:cs="Times New Roman"/>
                      <w:b/>
                      <w:bCs/>
                      <w:i w:val="0"/>
                      <w:iCs w:val="0"/>
                      <w:color w:val="auto"/>
                      <w:kern w:val="0"/>
                      <w:sz w:val="18"/>
                      <w:szCs w:val="18"/>
                      <w:u w:val="none"/>
                      <w:lang w:val="en-US" w:eastAsia="zh-CN" w:bidi="ar"/>
                    </w:rPr>
                    <w:t>1.067</w:t>
                  </w:r>
                </w:p>
              </w:tc>
              <w:tc>
                <w:tcPr>
                  <w:tcW w:w="469" w:type="pct"/>
                  <w:vAlign w:val="center"/>
                </w:tcPr>
                <w:p w14:paraId="708472BF">
                  <w:pPr>
                    <w:keepNext w:val="0"/>
                    <w:keepLines w:val="0"/>
                    <w:widowControl/>
                    <w:suppressLineNumbers w:val="0"/>
                    <w:jc w:val="center"/>
                    <w:textAlignment w:val="center"/>
                    <w:rPr>
                      <w:rFonts w:hint="default"/>
                      <w:b/>
                      <w:bCs/>
                      <w:color w:val="auto"/>
                      <w:sz w:val="18"/>
                      <w:szCs w:val="18"/>
                      <w:lang w:val="en-US" w:eastAsia="zh-CN"/>
                    </w:rPr>
                  </w:pPr>
                  <w:r>
                    <w:rPr>
                      <w:rFonts w:hint="default" w:ascii="Times New Roman" w:hAnsi="Times New Roman" w:eastAsia="宋体" w:cs="Times New Roman"/>
                      <w:b/>
                      <w:bCs/>
                      <w:i w:val="0"/>
                      <w:iCs w:val="0"/>
                      <w:color w:val="auto"/>
                      <w:kern w:val="0"/>
                      <w:sz w:val="18"/>
                      <w:szCs w:val="18"/>
                      <w:u w:val="none"/>
                      <w:lang w:val="en-US" w:eastAsia="zh-CN" w:bidi="ar"/>
                    </w:rPr>
                    <w:t>6.379</w:t>
                  </w:r>
                </w:p>
              </w:tc>
              <w:tc>
                <w:tcPr>
                  <w:tcW w:w="577" w:type="pct"/>
                  <w:vMerge w:val="continue"/>
                  <w:vAlign w:val="center"/>
                </w:tcPr>
                <w:p w14:paraId="14AA7F64">
                  <w:pPr>
                    <w:pStyle w:val="60"/>
                    <w:rPr>
                      <w:rFonts w:hint="eastAsia" w:eastAsia="宋体"/>
                      <w:color w:val="auto"/>
                      <w:sz w:val="18"/>
                      <w:szCs w:val="18"/>
                      <w:lang w:val="en-US" w:eastAsia="zh-CN"/>
                    </w:rPr>
                  </w:pPr>
                </w:p>
              </w:tc>
            </w:tr>
            <w:tr w14:paraId="152343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876" w:type="pct"/>
                  <w:gridSpan w:val="2"/>
                  <w:vMerge w:val="continue"/>
                  <w:shd w:val="clear" w:color="auto" w:fill="auto"/>
                  <w:vAlign w:val="center"/>
                </w:tcPr>
                <w:p w14:paraId="0AEC05BB">
                  <w:pPr>
                    <w:pStyle w:val="60"/>
                    <w:rPr>
                      <w:rFonts w:hint="eastAsia"/>
                      <w:b/>
                      <w:bCs/>
                      <w:color w:val="auto"/>
                      <w:sz w:val="18"/>
                      <w:szCs w:val="18"/>
                    </w:rPr>
                  </w:pPr>
                </w:p>
              </w:tc>
              <w:tc>
                <w:tcPr>
                  <w:tcW w:w="536" w:type="pct"/>
                  <w:gridSpan w:val="2"/>
                  <w:vAlign w:val="center"/>
                </w:tcPr>
                <w:p w14:paraId="580B9CE2">
                  <w:pPr>
                    <w:pStyle w:val="60"/>
                    <w:rPr>
                      <w:rFonts w:hint="default" w:eastAsia="宋体"/>
                      <w:b/>
                      <w:bCs/>
                      <w:color w:val="auto"/>
                      <w:sz w:val="18"/>
                      <w:szCs w:val="18"/>
                      <w:lang w:val="en-US" w:eastAsia="zh-CN"/>
                    </w:rPr>
                  </w:pPr>
                  <w:r>
                    <w:rPr>
                      <w:rFonts w:hint="eastAsia"/>
                      <w:b/>
                      <w:bCs/>
                      <w:color w:val="auto"/>
                      <w:sz w:val="18"/>
                      <w:szCs w:val="18"/>
                      <w:lang w:val="en-US" w:eastAsia="zh-CN"/>
                    </w:rPr>
                    <w:t>其中</w:t>
                  </w:r>
                </w:p>
              </w:tc>
              <w:tc>
                <w:tcPr>
                  <w:tcW w:w="536" w:type="pct"/>
                  <w:gridSpan w:val="2"/>
                  <w:vAlign w:val="center"/>
                </w:tcPr>
                <w:p w14:paraId="567E1234">
                  <w:pPr>
                    <w:pStyle w:val="60"/>
                    <w:rPr>
                      <w:rFonts w:hint="eastAsia"/>
                      <w:b/>
                      <w:bCs/>
                      <w:color w:val="auto"/>
                      <w:sz w:val="18"/>
                      <w:szCs w:val="18"/>
                      <w:lang w:val="en-US" w:eastAsia="zh-CN"/>
                    </w:rPr>
                  </w:pPr>
                  <w:r>
                    <w:rPr>
                      <w:rFonts w:hint="eastAsia"/>
                      <w:b/>
                      <w:bCs/>
                      <w:color w:val="auto"/>
                      <w:sz w:val="18"/>
                      <w:szCs w:val="18"/>
                      <w:lang w:val="en-US" w:eastAsia="zh-CN"/>
                    </w:rPr>
                    <w:t>甲醇</w:t>
                  </w:r>
                </w:p>
              </w:tc>
              <w:tc>
                <w:tcPr>
                  <w:tcW w:w="439" w:type="pct"/>
                  <w:vAlign w:val="center"/>
                </w:tcPr>
                <w:p w14:paraId="5EB41B16">
                  <w:pPr>
                    <w:pStyle w:val="60"/>
                    <w:rPr>
                      <w:rFonts w:hint="eastAsia"/>
                      <w:b/>
                      <w:bCs/>
                      <w:color w:val="auto"/>
                      <w:sz w:val="18"/>
                      <w:szCs w:val="18"/>
                      <w:lang w:val="en-US" w:eastAsia="zh-CN"/>
                    </w:rPr>
                  </w:pPr>
                  <w:r>
                    <w:rPr>
                      <w:rFonts w:hint="eastAsia"/>
                      <w:b/>
                      <w:bCs/>
                      <w:color w:val="auto"/>
                      <w:sz w:val="18"/>
                      <w:szCs w:val="18"/>
                      <w:lang w:val="en-US" w:eastAsia="zh-CN"/>
                    </w:rPr>
                    <w:t>0.965</w:t>
                  </w:r>
                </w:p>
              </w:tc>
              <w:tc>
                <w:tcPr>
                  <w:tcW w:w="439" w:type="pct"/>
                  <w:vAlign w:val="center"/>
                </w:tcPr>
                <w:p w14:paraId="6763C3F6">
                  <w:pPr>
                    <w:pStyle w:val="60"/>
                    <w:rPr>
                      <w:rFonts w:hint="eastAsia"/>
                      <w:b/>
                      <w:bCs/>
                      <w:color w:val="auto"/>
                      <w:sz w:val="18"/>
                      <w:szCs w:val="18"/>
                      <w:lang w:val="en-US" w:eastAsia="zh-CN"/>
                    </w:rPr>
                  </w:pPr>
                  <w:r>
                    <w:rPr>
                      <w:rFonts w:hint="eastAsia"/>
                      <w:b/>
                      <w:bCs/>
                      <w:color w:val="auto"/>
                      <w:sz w:val="18"/>
                      <w:szCs w:val="18"/>
                      <w:lang w:val="en-US" w:eastAsia="zh-CN"/>
                    </w:rPr>
                    <w:t>8.454</w:t>
                  </w:r>
                </w:p>
              </w:tc>
              <w:tc>
                <w:tcPr>
                  <w:tcW w:w="375" w:type="pct"/>
                  <w:vMerge w:val="continue"/>
                  <w:vAlign w:val="center"/>
                </w:tcPr>
                <w:p w14:paraId="0A130A26">
                  <w:pPr>
                    <w:pStyle w:val="60"/>
                    <w:rPr>
                      <w:rFonts w:hint="default" w:eastAsia="宋体"/>
                      <w:b/>
                      <w:bCs/>
                      <w:color w:val="auto"/>
                      <w:sz w:val="18"/>
                      <w:szCs w:val="18"/>
                      <w:lang w:val="en-US" w:eastAsia="zh-CN"/>
                    </w:rPr>
                  </w:pPr>
                </w:p>
              </w:tc>
              <w:tc>
                <w:tcPr>
                  <w:tcW w:w="331" w:type="pct"/>
                  <w:vMerge w:val="continue"/>
                  <w:vAlign w:val="center"/>
                </w:tcPr>
                <w:p w14:paraId="3C7449EA">
                  <w:pPr>
                    <w:pStyle w:val="60"/>
                    <w:rPr>
                      <w:rFonts w:hint="default" w:eastAsia="宋体"/>
                      <w:b/>
                      <w:bCs/>
                      <w:color w:val="auto"/>
                      <w:sz w:val="18"/>
                      <w:szCs w:val="18"/>
                      <w:lang w:val="en-US" w:eastAsia="zh-CN"/>
                    </w:rPr>
                  </w:pPr>
                </w:p>
              </w:tc>
              <w:tc>
                <w:tcPr>
                  <w:tcW w:w="416" w:type="pct"/>
                  <w:shd w:val="clear" w:color="auto" w:fill="auto"/>
                  <w:vAlign w:val="center"/>
                </w:tcPr>
                <w:p w14:paraId="5DB440DD">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0.483</w:t>
                  </w:r>
                </w:p>
              </w:tc>
              <w:tc>
                <w:tcPr>
                  <w:tcW w:w="469" w:type="pct"/>
                  <w:shd w:val="clear" w:color="auto" w:fill="auto"/>
                  <w:vAlign w:val="center"/>
                </w:tcPr>
                <w:p w14:paraId="17312D0B">
                  <w:pPr>
                    <w:keepNext w:val="0"/>
                    <w:keepLines w:val="0"/>
                    <w:widowControl/>
                    <w:suppressLineNumbers w:val="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i w:val="0"/>
                      <w:iCs w:val="0"/>
                      <w:color w:val="auto"/>
                      <w:kern w:val="0"/>
                      <w:sz w:val="18"/>
                      <w:szCs w:val="18"/>
                      <w:u w:val="none"/>
                      <w:lang w:val="en-US" w:eastAsia="zh-CN" w:bidi="ar"/>
                    </w:rPr>
                    <w:t>4.227</w:t>
                  </w:r>
                </w:p>
              </w:tc>
              <w:tc>
                <w:tcPr>
                  <w:tcW w:w="577" w:type="pct"/>
                  <w:vMerge w:val="continue"/>
                  <w:vAlign w:val="center"/>
                </w:tcPr>
                <w:p w14:paraId="2337FBBA">
                  <w:pPr>
                    <w:pStyle w:val="60"/>
                    <w:rPr>
                      <w:rFonts w:hint="eastAsia" w:eastAsia="宋体"/>
                      <w:color w:val="auto"/>
                      <w:sz w:val="18"/>
                      <w:szCs w:val="18"/>
                      <w:lang w:val="en-US" w:eastAsia="zh-CN"/>
                    </w:rPr>
                  </w:pPr>
                </w:p>
              </w:tc>
            </w:tr>
          </w:tbl>
          <w:p w14:paraId="0F57CD4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5</w:t>
            </w:r>
            <w:r>
              <w:rPr>
                <w:rFonts w:hint="eastAsia"/>
                <w:b w:val="0"/>
                <w:bCs w:val="0"/>
                <w:color w:val="auto"/>
                <w:lang w:eastAsia="zh-CN"/>
              </w:rPr>
              <w:t>）</w:t>
            </w:r>
            <w:r>
              <w:rPr>
                <w:rFonts w:hint="eastAsia"/>
                <w:b w:val="0"/>
                <w:bCs w:val="0"/>
                <w:color w:val="auto"/>
                <w:lang w:val="en-US" w:eastAsia="zh-CN"/>
              </w:rPr>
              <w:t>有组织废气达标性分析</w:t>
            </w:r>
          </w:p>
          <w:p w14:paraId="64096D8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本项目正常工况下2台尾气炉可同时运行，当单台尾气炉需要检修时，可通过阀门控制将废气全部引入另一台尾气炉焚烧处理，保证检修过程中废气达标排放。根据建设单位提供资料，本项目停炉检修时间约为60h，则正常工况2台尾气炉运行时间为8700h。</w:t>
            </w:r>
          </w:p>
          <w:p w14:paraId="2FCF1AB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①正常工况</w:t>
            </w:r>
          </w:p>
          <w:p w14:paraId="7498B93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根据前述，本项目废气经水洗预处理后通过管道一分为二，分别进入2台尾气炉进行焚烧处理，处理后废气经尾气炉配套DA001/DA002排放筒排放。正常工况下DA001及DA002排气筒外排废气达标情况如下：</w:t>
            </w:r>
          </w:p>
          <w:p w14:paraId="6CD4B61E">
            <w:pPr>
              <w:adjustRightInd w:val="0"/>
              <w:snapToGrid w:val="0"/>
              <w:spacing w:before="120" w:beforeLines="50"/>
              <w:jc w:val="center"/>
              <w:rPr>
                <w:rFonts w:hint="default" w:eastAsia="宋体"/>
                <w:b/>
                <w:bCs/>
                <w:color w:val="auto"/>
                <w:szCs w:val="21"/>
                <w:lang w:val="en-US" w:eastAsia="zh-CN"/>
              </w:rPr>
            </w:pPr>
            <w:r>
              <w:rPr>
                <w:b/>
                <w:bCs/>
                <w:color w:val="auto"/>
                <w:szCs w:val="21"/>
              </w:rPr>
              <w:t>表</w:t>
            </w:r>
            <w:r>
              <w:rPr>
                <w:rFonts w:hint="eastAsia"/>
                <w:b/>
                <w:bCs/>
                <w:color w:val="auto"/>
                <w:szCs w:val="21"/>
                <w:lang w:val="en-US" w:eastAsia="zh-CN"/>
              </w:rPr>
              <w:t>4-7</w:t>
            </w:r>
            <w:r>
              <w:rPr>
                <w:b/>
                <w:bCs/>
                <w:color w:val="auto"/>
                <w:szCs w:val="21"/>
              </w:rPr>
              <w:t xml:space="preserve">  </w:t>
            </w:r>
            <w:r>
              <w:rPr>
                <w:rFonts w:hint="eastAsia"/>
                <w:b/>
                <w:bCs/>
                <w:color w:val="auto"/>
                <w:szCs w:val="21"/>
                <w:lang w:val="en-US" w:eastAsia="zh-CN"/>
              </w:rPr>
              <w:t>正常工况下</w:t>
            </w:r>
            <w:r>
              <w:rPr>
                <w:rFonts w:hint="eastAsia"/>
                <w:b/>
                <w:bCs/>
                <w:color w:val="auto"/>
                <w:szCs w:val="21"/>
              </w:rPr>
              <w:t>本</w:t>
            </w:r>
            <w:r>
              <w:rPr>
                <w:b/>
                <w:bCs/>
                <w:color w:val="auto"/>
                <w:szCs w:val="21"/>
              </w:rPr>
              <w:t>项目</w:t>
            </w:r>
            <w:r>
              <w:rPr>
                <w:rFonts w:hint="eastAsia"/>
                <w:b/>
                <w:bCs/>
                <w:color w:val="auto"/>
                <w:szCs w:val="21"/>
              </w:rPr>
              <w:t>有组织</w:t>
            </w:r>
            <w:r>
              <w:rPr>
                <w:b/>
                <w:bCs/>
                <w:color w:val="auto"/>
                <w:szCs w:val="21"/>
              </w:rPr>
              <w:t>废气</w:t>
            </w:r>
            <w:r>
              <w:rPr>
                <w:rFonts w:hint="eastAsia"/>
                <w:b/>
                <w:bCs/>
                <w:color w:val="auto"/>
                <w:szCs w:val="21"/>
                <w:lang w:val="en-US" w:eastAsia="zh-CN"/>
              </w:rPr>
              <w:t>达标性分析汇总表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64"/>
              <w:gridCol w:w="672"/>
              <w:gridCol w:w="759"/>
              <w:gridCol w:w="582"/>
              <w:gridCol w:w="607"/>
              <w:gridCol w:w="439"/>
              <w:gridCol w:w="564"/>
              <w:gridCol w:w="602"/>
              <w:gridCol w:w="644"/>
              <w:gridCol w:w="599"/>
              <w:gridCol w:w="576"/>
              <w:gridCol w:w="654"/>
              <w:gridCol w:w="932"/>
            </w:tblGrid>
            <w:tr w14:paraId="40A25F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572" w:type="pct"/>
                  <w:gridSpan w:val="4"/>
                  <w:vAlign w:val="center"/>
                </w:tcPr>
                <w:p w14:paraId="1C6C3A67">
                  <w:pPr>
                    <w:pStyle w:val="60"/>
                    <w:rPr>
                      <w:b/>
                      <w:bCs/>
                      <w:color w:val="auto"/>
                      <w:sz w:val="18"/>
                      <w:szCs w:val="18"/>
                    </w:rPr>
                  </w:pPr>
                  <w:r>
                    <w:rPr>
                      <w:rFonts w:hint="eastAsia"/>
                      <w:b/>
                      <w:bCs/>
                      <w:color w:val="auto"/>
                      <w:sz w:val="18"/>
                      <w:szCs w:val="18"/>
                    </w:rPr>
                    <w:t>废气</w:t>
                  </w:r>
                  <w:r>
                    <w:rPr>
                      <w:rFonts w:hint="eastAsia"/>
                      <w:b/>
                      <w:bCs/>
                      <w:color w:val="auto"/>
                      <w:sz w:val="18"/>
                      <w:szCs w:val="18"/>
                      <w:lang w:val="en-US" w:eastAsia="zh-CN"/>
                    </w:rPr>
                    <w:t>进口</w:t>
                  </w:r>
                  <w:r>
                    <w:rPr>
                      <w:rFonts w:hint="eastAsia"/>
                      <w:b/>
                      <w:bCs/>
                      <w:color w:val="auto"/>
                      <w:sz w:val="18"/>
                      <w:szCs w:val="18"/>
                    </w:rPr>
                    <w:t>情况</w:t>
                  </w:r>
                </w:p>
              </w:tc>
              <w:tc>
                <w:tcPr>
                  <w:tcW w:w="370" w:type="pct"/>
                  <w:vMerge w:val="restart"/>
                  <w:vAlign w:val="center"/>
                </w:tcPr>
                <w:p w14:paraId="650E7718">
                  <w:pPr>
                    <w:pStyle w:val="60"/>
                    <w:rPr>
                      <w:b/>
                      <w:bCs/>
                      <w:color w:val="auto"/>
                      <w:sz w:val="18"/>
                      <w:szCs w:val="18"/>
                    </w:rPr>
                  </w:pPr>
                  <w:r>
                    <w:rPr>
                      <w:b/>
                      <w:bCs/>
                      <w:color w:val="auto"/>
                      <w:sz w:val="18"/>
                      <w:szCs w:val="18"/>
                    </w:rPr>
                    <w:t>处理措施</w:t>
                  </w:r>
                </w:p>
              </w:tc>
              <w:tc>
                <w:tcPr>
                  <w:tcW w:w="267" w:type="pct"/>
                  <w:vMerge w:val="restart"/>
                  <w:vAlign w:val="center"/>
                </w:tcPr>
                <w:p w14:paraId="6F2B1B69">
                  <w:pPr>
                    <w:pStyle w:val="60"/>
                    <w:rPr>
                      <w:b/>
                      <w:bCs/>
                      <w:color w:val="auto"/>
                      <w:sz w:val="18"/>
                      <w:szCs w:val="18"/>
                    </w:rPr>
                  </w:pPr>
                  <w:r>
                    <w:rPr>
                      <w:rFonts w:hint="eastAsia"/>
                      <w:b/>
                      <w:bCs/>
                      <w:color w:val="auto"/>
                      <w:sz w:val="18"/>
                      <w:szCs w:val="18"/>
                    </w:rPr>
                    <w:t>处理</w:t>
                  </w:r>
                  <w:r>
                    <w:rPr>
                      <w:b/>
                      <w:bCs/>
                      <w:color w:val="auto"/>
                      <w:sz w:val="18"/>
                      <w:szCs w:val="18"/>
                    </w:rPr>
                    <w:t>效率/%</w:t>
                  </w:r>
                </w:p>
              </w:tc>
              <w:tc>
                <w:tcPr>
                  <w:tcW w:w="344" w:type="pct"/>
                  <w:vMerge w:val="restart"/>
                  <w:vAlign w:val="center"/>
                </w:tcPr>
                <w:p w14:paraId="44E6E87D">
                  <w:pPr>
                    <w:pStyle w:val="60"/>
                    <w:rPr>
                      <w:b/>
                      <w:bCs/>
                      <w:color w:val="auto"/>
                      <w:sz w:val="18"/>
                      <w:szCs w:val="18"/>
                    </w:rPr>
                  </w:pPr>
                  <w:r>
                    <w:rPr>
                      <w:rFonts w:hint="eastAsia"/>
                      <w:b/>
                      <w:bCs/>
                      <w:color w:val="auto"/>
                      <w:sz w:val="18"/>
                      <w:szCs w:val="18"/>
                      <w:lang w:val="en-US" w:eastAsia="zh-CN"/>
                    </w:rPr>
                    <w:t>废气量</w:t>
                  </w:r>
                  <w:r>
                    <w:rPr>
                      <w:rFonts w:hint="eastAsia"/>
                      <w:b/>
                      <w:bCs/>
                      <w:color w:val="auto"/>
                      <w:sz w:val="18"/>
                      <w:szCs w:val="18"/>
                    </w:rPr>
                    <w:t>m</w:t>
                  </w:r>
                  <w:r>
                    <w:rPr>
                      <w:rFonts w:hint="eastAsia"/>
                      <w:b/>
                      <w:bCs/>
                      <w:color w:val="auto"/>
                      <w:sz w:val="18"/>
                      <w:szCs w:val="18"/>
                      <w:vertAlign w:val="superscript"/>
                    </w:rPr>
                    <w:t>3</w:t>
                  </w:r>
                  <w:r>
                    <w:rPr>
                      <w:rFonts w:hint="eastAsia"/>
                      <w:b/>
                      <w:bCs/>
                      <w:color w:val="auto"/>
                      <w:sz w:val="18"/>
                      <w:szCs w:val="18"/>
                    </w:rPr>
                    <w:t>/h</w:t>
                  </w:r>
                </w:p>
              </w:tc>
              <w:tc>
                <w:tcPr>
                  <w:tcW w:w="1125" w:type="pct"/>
                  <w:gridSpan w:val="3"/>
                  <w:vAlign w:val="center"/>
                </w:tcPr>
                <w:p w14:paraId="688DC1E5">
                  <w:pPr>
                    <w:pStyle w:val="60"/>
                    <w:rPr>
                      <w:b/>
                      <w:bCs/>
                      <w:color w:val="auto"/>
                      <w:sz w:val="18"/>
                      <w:szCs w:val="18"/>
                    </w:rPr>
                  </w:pPr>
                  <w:r>
                    <w:rPr>
                      <w:rFonts w:hint="eastAsia"/>
                      <w:b/>
                      <w:bCs/>
                      <w:color w:val="auto"/>
                      <w:sz w:val="18"/>
                      <w:szCs w:val="18"/>
                    </w:rPr>
                    <w:t>废气排放情况</w:t>
                  </w:r>
                </w:p>
              </w:tc>
              <w:tc>
                <w:tcPr>
                  <w:tcW w:w="750" w:type="pct"/>
                  <w:gridSpan w:val="2"/>
                  <w:vAlign w:val="center"/>
                </w:tcPr>
                <w:p w14:paraId="257D7C71">
                  <w:pPr>
                    <w:pStyle w:val="60"/>
                    <w:rPr>
                      <w:b/>
                      <w:bCs/>
                      <w:color w:val="auto"/>
                      <w:sz w:val="18"/>
                      <w:szCs w:val="18"/>
                    </w:rPr>
                  </w:pPr>
                  <w:r>
                    <w:rPr>
                      <w:rFonts w:hint="eastAsia"/>
                      <w:b/>
                      <w:bCs/>
                      <w:color w:val="auto"/>
                      <w:sz w:val="18"/>
                      <w:szCs w:val="18"/>
                    </w:rPr>
                    <w:t>排放标准</w:t>
                  </w:r>
                </w:p>
              </w:tc>
              <w:tc>
                <w:tcPr>
                  <w:tcW w:w="568" w:type="pct"/>
                  <w:vMerge w:val="restart"/>
                  <w:vAlign w:val="center"/>
                </w:tcPr>
                <w:p w14:paraId="4432BE3F">
                  <w:pPr>
                    <w:pStyle w:val="60"/>
                    <w:rPr>
                      <w:b/>
                      <w:bCs/>
                      <w:color w:val="auto"/>
                      <w:sz w:val="18"/>
                      <w:szCs w:val="18"/>
                    </w:rPr>
                  </w:pPr>
                  <w:r>
                    <w:rPr>
                      <w:rFonts w:hint="eastAsia"/>
                      <w:b/>
                      <w:bCs/>
                      <w:color w:val="auto"/>
                      <w:sz w:val="18"/>
                      <w:szCs w:val="18"/>
                    </w:rPr>
                    <w:t>排气筒</w:t>
                  </w:r>
                </w:p>
              </w:tc>
            </w:tr>
            <w:tr w14:paraId="66E3B1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vAlign w:val="center"/>
                </w:tcPr>
                <w:p w14:paraId="1F173024">
                  <w:pPr>
                    <w:pStyle w:val="60"/>
                    <w:rPr>
                      <w:b/>
                      <w:bCs/>
                      <w:color w:val="auto"/>
                      <w:sz w:val="18"/>
                      <w:szCs w:val="18"/>
                    </w:rPr>
                  </w:pPr>
                  <w:r>
                    <w:rPr>
                      <w:b/>
                      <w:bCs/>
                      <w:color w:val="auto"/>
                      <w:sz w:val="18"/>
                      <w:szCs w:val="18"/>
                    </w:rPr>
                    <w:t>污染物</w:t>
                  </w:r>
                  <w:r>
                    <w:rPr>
                      <w:rFonts w:hint="eastAsia"/>
                      <w:b/>
                      <w:bCs/>
                      <w:color w:val="auto"/>
                      <w:sz w:val="18"/>
                      <w:szCs w:val="18"/>
                    </w:rPr>
                    <w:t>名称</w:t>
                  </w:r>
                </w:p>
              </w:tc>
              <w:tc>
                <w:tcPr>
                  <w:tcW w:w="410" w:type="pct"/>
                  <w:vAlign w:val="center"/>
                </w:tcPr>
                <w:p w14:paraId="156829B0">
                  <w:pPr>
                    <w:pStyle w:val="60"/>
                    <w:rPr>
                      <w:rFonts w:hint="eastAsia"/>
                      <w:b/>
                      <w:bCs/>
                      <w:color w:val="auto"/>
                      <w:sz w:val="18"/>
                      <w:szCs w:val="18"/>
                      <w:lang w:val="en-US" w:eastAsia="zh-CN"/>
                    </w:rPr>
                  </w:pPr>
                  <w:r>
                    <w:rPr>
                      <w:rFonts w:hint="eastAsia"/>
                      <w:b/>
                      <w:bCs/>
                      <w:color w:val="auto"/>
                      <w:sz w:val="18"/>
                      <w:szCs w:val="18"/>
                    </w:rPr>
                    <w:t>进</w:t>
                  </w:r>
                  <w:r>
                    <w:rPr>
                      <w:rFonts w:hint="eastAsia"/>
                      <w:b/>
                      <w:bCs/>
                      <w:color w:val="auto"/>
                      <w:sz w:val="18"/>
                      <w:szCs w:val="18"/>
                      <w:lang w:val="en-US" w:eastAsia="zh-CN"/>
                    </w:rPr>
                    <w:t>气</w:t>
                  </w:r>
                </w:p>
                <w:p w14:paraId="55CED071">
                  <w:pPr>
                    <w:pStyle w:val="60"/>
                    <w:rPr>
                      <w:b/>
                      <w:bCs/>
                      <w:color w:val="auto"/>
                      <w:sz w:val="18"/>
                      <w:szCs w:val="18"/>
                    </w:rPr>
                  </w:pPr>
                  <w:r>
                    <w:rPr>
                      <w:b/>
                      <w:bCs/>
                      <w:color w:val="auto"/>
                      <w:sz w:val="18"/>
                      <w:szCs w:val="18"/>
                    </w:rPr>
                    <w:t>速率(kg/h)</w:t>
                  </w:r>
                </w:p>
              </w:tc>
              <w:tc>
                <w:tcPr>
                  <w:tcW w:w="463" w:type="pct"/>
                  <w:vAlign w:val="center"/>
                </w:tcPr>
                <w:p w14:paraId="61026A2A">
                  <w:pPr>
                    <w:pStyle w:val="60"/>
                    <w:rPr>
                      <w:b/>
                      <w:bCs/>
                      <w:color w:val="auto"/>
                      <w:sz w:val="18"/>
                      <w:szCs w:val="18"/>
                    </w:rPr>
                  </w:pPr>
                  <w:r>
                    <w:rPr>
                      <w:rFonts w:hint="eastAsia"/>
                      <w:b/>
                      <w:bCs/>
                      <w:color w:val="auto"/>
                      <w:sz w:val="18"/>
                      <w:szCs w:val="18"/>
                      <w:lang w:val="en-US" w:eastAsia="zh-CN"/>
                    </w:rPr>
                    <w:t>进口废气</w:t>
                  </w:r>
                  <w:r>
                    <w:rPr>
                      <w:b/>
                      <w:bCs/>
                      <w:color w:val="auto"/>
                      <w:sz w:val="18"/>
                      <w:szCs w:val="18"/>
                    </w:rPr>
                    <w:t>量t/a</w:t>
                  </w:r>
                </w:p>
              </w:tc>
              <w:tc>
                <w:tcPr>
                  <w:tcW w:w="355" w:type="pct"/>
                  <w:vAlign w:val="center"/>
                </w:tcPr>
                <w:p w14:paraId="24FF61A8">
                  <w:pPr>
                    <w:pStyle w:val="60"/>
                    <w:rPr>
                      <w:b/>
                      <w:bCs/>
                      <w:color w:val="auto"/>
                      <w:sz w:val="18"/>
                      <w:szCs w:val="18"/>
                    </w:rPr>
                  </w:pPr>
                  <w:r>
                    <w:rPr>
                      <w:rFonts w:hint="eastAsia"/>
                      <w:b/>
                      <w:bCs/>
                      <w:color w:val="auto"/>
                      <w:sz w:val="18"/>
                      <w:szCs w:val="18"/>
                    </w:rPr>
                    <w:t>废气浓度mg/m</w:t>
                  </w:r>
                  <w:r>
                    <w:rPr>
                      <w:rFonts w:hint="eastAsia"/>
                      <w:b/>
                      <w:bCs/>
                      <w:color w:val="auto"/>
                      <w:sz w:val="18"/>
                      <w:szCs w:val="18"/>
                      <w:vertAlign w:val="superscript"/>
                    </w:rPr>
                    <w:t>3</w:t>
                  </w:r>
                </w:p>
              </w:tc>
              <w:tc>
                <w:tcPr>
                  <w:tcW w:w="370" w:type="pct"/>
                  <w:vMerge w:val="continue"/>
                  <w:vAlign w:val="center"/>
                </w:tcPr>
                <w:p w14:paraId="563823DD">
                  <w:pPr>
                    <w:pStyle w:val="60"/>
                    <w:rPr>
                      <w:b/>
                      <w:bCs/>
                      <w:color w:val="auto"/>
                      <w:sz w:val="18"/>
                      <w:szCs w:val="18"/>
                    </w:rPr>
                  </w:pPr>
                </w:p>
              </w:tc>
              <w:tc>
                <w:tcPr>
                  <w:tcW w:w="267" w:type="pct"/>
                  <w:vMerge w:val="continue"/>
                  <w:vAlign w:val="center"/>
                </w:tcPr>
                <w:p w14:paraId="6AE4C038">
                  <w:pPr>
                    <w:pStyle w:val="60"/>
                    <w:rPr>
                      <w:b/>
                      <w:bCs/>
                      <w:color w:val="auto"/>
                      <w:sz w:val="18"/>
                      <w:szCs w:val="18"/>
                    </w:rPr>
                  </w:pPr>
                </w:p>
              </w:tc>
              <w:tc>
                <w:tcPr>
                  <w:tcW w:w="344" w:type="pct"/>
                  <w:vMerge w:val="continue"/>
                  <w:vAlign w:val="center"/>
                </w:tcPr>
                <w:p w14:paraId="70BE6CE7">
                  <w:pPr>
                    <w:pStyle w:val="60"/>
                    <w:rPr>
                      <w:b/>
                      <w:bCs/>
                      <w:color w:val="auto"/>
                      <w:sz w:val="18"/>
                      <w:szCs w:val="18"/>
                    </w:rPr>
                  </w:pPr>
                </w:p>
              </w:tc>
              <w:tc>
                <w:tcPr>
                  <w:tcW w:w="367" w:type="pct"/>
                  <w:vAlign w:val="center"/>
                </w:tcPr>
                <w:p w14:paraId="5F73122E">
                  <w:pPr>
                    <w:pStyle w:val="60"/>
                    <w:rPr>
                      <w:b/>
                      <w:bCs/>
                      <w:color w:val="auto"/>
                      <w:sz w:val="18"/>
                      <w:szCs w:val="18"/>
                    </w:rPr>
                  </w:pPr>
                  <w:r>
                    <w:rPr>
                      <w:rFonts w:hint="eastAsia"/>
                      <w:b/>
                      <w:bCs/>
                      <w:color w:val="auto"/>
                      <w:sz w:val="18"/>
                      <w:szCs w:val="18"/>
                    </w:rPr>
                    <w:t>排放</w:t>
                  </w:r>
                  <w:r>
                    <w:rPr>
                      <w:b/>
                      <w:bCs/>
                      <w:color w:val="auto"/>
                      <w:sz w:val="18"/>
                      <w:szCs w:val="18"/>
                    </w:rPr>
                    <w:t>速率kg/h</w:t>
                  </w:r>
                </w:p>
              </w:tc>
              <w:tc>
                <w:tcPr>
                  <w:tcW w:w="392" w:type="pct"/>
                  <w:vAlign w:val="center"/>
                </w:tcPr>
                <w:p w14:paraId="2F9A89F3">
                  <w:pPr>
                    <w:pStyle w:val="60"/>
                    <w:rPr>
                      <w:b/>
                      <w:bCs/>
                      <w:color w:val="auto"/>
                      <w:sz w:val="18"/>
                      <w:szCs w:val="18"/>
                    </w:rPr>
                  </w:pPr>
                  <w:r>
                    <w:rPr>
                      <w:b/>
                      <w:bCs/>
                      <w:color w:val="auto"/>
                      <w:sz w:val="18"/>
                      <w:szCs w:val="18"/>
                    </w:rPr>
                    <w:t>排放量t/a</w:t>
                  </w:r>
                </w:p>
              </w:tc>
              <w:tc>
                <w:tcPr>
                  <w:tcW w:w="365" w:type="pct"/>
                  <w:vAlign w:val="center"/>
                </w:tcPr>
                <w:p w14:paraId="488AEAF6">
                  <w:pPr>
                    <w:pStyle w:val="60"/>
                    <w:rPr>
                      <w:rFonts w:hint="eastAsia"/>
                      <w:b/>
                      <w:bCs/>
                      <w:color w:val="auto"/>
                      <w:sz w:val="18"/>
                      <w:szCs w:val="18"/>
                    </w:rPr>
                  </w:pPr>
                  <w:r>
                    <w:rPr>
                      <w:rFonts w:hint="eastAsia"/>
                      <w:b/>
                      <w:bCs/>
                      <w:color w:val="auto"/>
                      <w:sz w:val="18"/>
                      <w:szCs w:val="18"/>
                    </w:rPr>
                    <w:t>排放</w:t>
                  </w:r>
                </w:p>
                <w:p w14:paraId="3BC1F9C0">
                  <w:pPr>
                    <w:pStyle w:val="60"/>
                    <w:rPr>
                      <w:b/>
                      <w:bCs/>
                      <w:color w:val="auto"/>
                      <w:sz w:val="18"/>
                      <w:szCs w:val="18"/>
                    </w:rPr>
                  </w:pPr>
                  <w:r>
                    <w:rPr>
                      <w:rFonts w:hint="eastAsia"/>
                      <w:b/>
                      <w:bCs/>
                      <w:color w:val="auto"/>
                      <w:sz w:val="18"/>
                      <w:szCs w:val="18"/>
                    </w:rPr>
                    <w:t>浓度mg/m</w:t>
                  </w:r>
                  <w:r>
                    <w:rPr>
                      <w:rFonts w:hint="eastAsia"/>
                      <w:b/>
                      <w:bCs/>
                      <w:color w:val="auto"/>
                      <w:sz w:val="18"/>
                      <w:szCs w:val="18"/>
                      <w:vertAlign w:val="superscript"/>
                    </w:rPr>
                    <w:t>3</w:t>
                  </w:r>
                </w:p>
              </w:tc>
              <w:tc>
                <w:tcPr>
                  <w:tcW w:w="351" w:type="pct"/>
                  <w:vAlign w:val="center"/>
                </w:tcPr>
                <w:p w14:paraId="123FE80F">
                  <w:pPr>
                    <w:pStyle w:val="60"/>
                    <w:rPr>
                      <w:b/>
                      <w:bCs/>
                      <w:color w:val="auto"/>
                      <w:sz w:val="18"/>
                      <w:szCs w:val="18"/>
                    </w:rPr>
                  </w:pPr>
                  <w:r>
                    <w:rPr>
                      <w:b/>
                      <w:bCs/>
                      <w:color w:val="auto"/>
                      <w:sz w:val="18"/>
                      <w:szCs w:val="18"/>
                    </w:rPr>
                    <w:t>浓度mg/m</w:t>
                  </w:r>
                  <w:r>
                    <w:rPr>
                      <w:b/>
                      <w:bCs/>
                      <w:color w:val="auto"/>
                      <w:sz w:val="18"/>
                      <w:szCs w:val="18"/>
                      <w:vertAlign w:val="superscript"/>
                    </w:rPr>
                    <w:t>3</w:t>
                  </w:r>
                </w:p>
              </w:tc>
              <w:tc>
                <w:tcPr>
                  <w:tcW w:w="399" w:type="pct"/>
                  <w:vAlign w:val="center"/>
                </w:tcPr>
                <w:p w14:paraId="1CDAB88F">
                  <w:pPr>
                    <w:pStyle w:val="60"/>
                    <w:rPr>
                      <w:b/>
                      <w:bCs/>
                      <w:color w:val="auto"/>
                      <w:sz w:val="18"/>
                      <w:szCs w:val="18"/>
                    </w:rPr>
                  </w:pPr>
                  <w:r>
                    <w:rPr>
                      <w:b/>
                      <w:bCs/>
                      <w:color w:val="auto"/>
                      <w:sz w:val="18"/>
                      <w:szCs w:val="18"/>
                    </w:rPr>
                    <w:t>速率kg/h</w:t>
                  </w:r>
                </w:p>
              </w:tc>
              <w:tc>
                <w:tcPr>
                  <w:tcW w:w="568" w:type="pct"/>
                  <w:vMerge w:val="continue"/>
                  <w:vAlign w:val="center"/>
                </w:tcPr>
                <w:p w14:paraId="1A394373">
                  <w:pPr>
                    <w:pStyle w:val="60"/>
                    <w:rPr>
                      <w:b/>
                      <w:bCs/>
                      <w:color w:val="auto"/>
                      <w:sz w:val="18"/>
                      <w:szCs w:val="18"/>
                    </w:rPr>
                  </w:pPr>
                </w:p>
              </w:tc>
            </w:tr>
            <w:tr w14:paraId="59EFFF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3B428F22">
                  <w:pPr>
                    <w:pStyle w:val="60"/>
                    <w:rPr>
                      <w:color w:val="auto"/>
                      <w:sz w:val="18"/>
                      <w:szCs w:val="18"/>
                    </w:rPr>
                  </w:pPr>
                  <w:r>
                    <w:rPr>
                      <w:rFonts w:hint="eastAsia"/>
                      <w:color w:val="auto"/>
                      <w:sz w:val="18"/>
                      <w:szCs w:val="18"/>
                    </w:rPr>
                    <w:t>VOCs</w:t>
                  </w:r>
                </w:p>
              </w:tc>
              <w:tc>
                <w:tcPr>
                  <w:tcW w:w="410" w:type="pct"/>
                  <w:shd w:val="clear" w:color="auto" w:fill="auto"/>
                  <w:vAlign w:val="center"/>
                </w:tcPr>
                <w:p w14:paraId="48AAFBE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0.534</w:t>
                  </w:r>
                </w:p>
              </w:tc>
              <w:tc>
                <w:tcPr>
                  <w:tcW w:w="463" w:type="pct"/>
                  <w:shd w:val="clear" w:color="auto" w:fill="auto"/>
                  <w:vAlign w:val="center"/>
                </w:tcPr>
                <w:p w14:paraId="5C269F9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3.167</w:t>
                  </w:r>
                </w:p>
              </w:tc>
              <w:tc>
                <w:tcPr>
                  <w:tcW w:w="355" w:type="pct"/>
                  <w:vAlign w:val="center"/>
                </w:tcPr>
                <w:p w14:paraId="36468706">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1006.6</w:t>
                  </w:r>
                </w:p>
              </w:tc>
              <w:tc>
                <w:tcPr>
                  <w:tcW w:w="370" w:type="pct"/>
                  <w:vMerge w:val="restart"/>
                  <w:vAlign w:val="center"/>
                </w:tcPr>
                <w:p w14:paraId="75EFB316">
                  <w:pPr>
                    <w:pStyle w:val="60"/>
                    <w:rPr>
                      <w:rFonts w:hint="eastAsia" w:eastAsia="宋体"/>
                      <w:color w:val="auto"/>
                      <w:sz w:val="18"/>
                      <w:szCs w:val="18"/>
                      <w:lang w:eastAsia="zh-CN"/>
                    </w:rPr>
                  </w:pPr>
                  <w:r>
                    <w:rPr>
                      <w:rFonts w:hint="eastAsia"/>
                      <w:color w:val="auto"/>
                      <w:sz w:val="18"/>
                      <w:szCs w:val="18"/>
                      <w:lang w:val="en-US" w:eastAsia="zh-CN"/>
                    </w:rPr>
                    <w:t>焚烧</w:t>
                  </w:r>
                </w:p>
              </w:tc>
              <w:tc>
                <w:tcPr>
                  <w:tcW w:w="267" w:type="pct"/>
                  <w:vMerge w:val="restart"/>
                  <w:vAlign w:val="center"/>
                </w:tcPr>
                <w:p w14:paraId="2917C984">
                  <w:pPr>
                    <w:pStyle w:val="60"/>
                    <w:rPr>
                      <w:rFonts w:hint="default"/>
                      <w:color w:val="auto"/>
                      <w:sz w:val="18"/>
                      <w:szCs w:val="18"/>
                      <w:lang w:val="en-US" w:eastAsia="zh-CN"/>
                    </w:rPr>
                  </w:pPr>
                  <w:r>
                    <w:rPr>
                      <w:rFonts w:hint="eastAsia"/>
                      <w:color w:val="auto"/>
                      <w:sz w:val="18"/>
                      <w:szCs w:val="18"/>
                      <w:lang w:val="en-US" w:eastAsia="zh-CN"/>
                    </w:rPr>
                    <w:t>95</w:t>
                  </w:r>
                </w:p>
              </w:tc>
              <w:tc>
                <w:tcPr>
                  <w:tcW w:w="344" w:type="pct"/>
                  <w:vMerge w:val="restart"/>
                  <w:vAlign w:val="center"/>
                </w:tcPr>
                <w:p w14:paraId="5ED81846">
                  <w:pPr>
                    <w:pStyle w:val="60"/>
                    <w:rPr>
                      <w:rFonts w:hint="default" w:eastAsia="宋体"/>
                      <w:color w:val="auto"/>
                      <w:sz w:val="18"/>
                      <w:szCs w:val="18"/>
                      <w:lang w:val="en-US" w:eastAsia="zh-CN"/>
                    </w:rPr>
                  </w:pPr>
                  <w:r>
                    <w:rPr>
                      <w:rFonts w:hint="eastAsia"/>
                      <w:color w:val="auto"/>
                      <w:sz w:val="18"/>
                      <w:szCs w:val="18"/>
                      <w:lang w:val="en-US" w:eastAsia="zh-CN"/>
                    </w:rPr>
                    <w:t>530.22</w:t>
                  </w:r>
                </w:p>
              </w:tc>
              <w:tc>
                <w:tcPr>
                  <w:tcW w:w="367" w:type="pct"/>
                  <w:vAlign w:val="center"/>
                </w:tcPr>
                <w:p w14:paraId="52E07146">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392" w:type="pct"/>
                  <w:vAlign w:val="center"/>
                </w:tcPr>
                <w:p w14:paraId="3F04110F">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0.158</w:t>
                  </w:r>
                </w:p>
              </w:tc>
              <w:tc>
                <w:tcPr>
                  <w:tcW w:w="365" w:type="pct"/>
                  <w:vAlign w:val="center"/>
                </w:tcPr>
                <w:p w14:paraId="24514A2A">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50.3</w:t>
                  </w:r>
                </w:p>
              </w:tc>
              <w:tc>
                <w:tcPr>
                  <w:tcW w:w="351" w:type="pct"/>
                  <w:vAlign w:val="center"/>
                </w:tcPr>
                <w:p w14:paraId="3048A666">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399" w:type="pct"/>
                  <w:vAlign w:val="center"/>
                </w:tcPr>
                <w:p w14:paraId="67FC31DF">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568" w:type="pct"/>
                  <w:vMerge w:val="restart"/>
                  <w:vAlign w:val="center"/>
                </w:tcPr>
                <w:p w14:paraId="33558D93">
                  <w:pPr>
                    <w:jc w:val="center"/>
                    <w:rPr>
                      <w:color w:val="auto"/>
                      <w:sz w:val="18"/>
                      <w:szCs w:val="18"/>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01</w:t>
                  </w:r>
                  <w:r>
                    <w:rPr>
                      <w:rFonts w:ascii="Times New Roman" w:hAnsi="Times New Roman" w:cs="Times New Roman"/>
                      <w:color w:val="auto"/>
                      <w:sz w:val="18"/>
                      <w:szCs w:val="18"/>
                    </w:rPr>
                    <w:t>（H=</w:t>
                  </w:r>
                  <w:r>
                    <w:rPr>
                      <w:rFonts w:hint="eastAsia" w:cs="Times New Roman"/>
                      <w:color w:val="auto"/>
                      <w:sz w:val="18"/>
                      <w:szCs w:val="18"/>
                      <w:lang w:val="en-US" w:eastAsia="zh-CN"/>
                    </w:rPr>
                    <w:t>24</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3CCDDC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23743F42">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410" w:type="pct"/>
                  <w:shd w:val="clear" w:color="auto" w:fill="auto"/>
                  <w:vAlign w:val="center"/>
                </w:tcPr>
                <w:p w14:paraId="1182EFB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0.241</w:t>
                  </w:r>
                </w:p>
              </w:tc>
              <w:tc>
                <w:tcPr>
                  <w:tcW w:w="463" w:type="pct"/>
                  <w:shd w:val="clear" w:color="auto" w:fill="auto"/>
                  <w:vAlign w:val="center"/>
                </w:tcPr>
                <w:p w14:paraId="522398B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2.099</w:t>
                  </w:r>
                </w:p>
              </w:tc>
              <w:tc>
                <w:tcPr>
                  <w:tcW w:w="355" w:type="pct"/>
                  <w:vAlign w:val="center"/>
                </w:tcPr>
                <w:p w14:paraId="21825D41">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455.0</w:t>
                  </w:r>
                </w:p>
              </w:tc>
              <w:tc>
                <w:tcPr>
                  <w:tcW w:w="370" w:type="pct"/>
                  <w:vMerge w:val="continue"/>
                  <w:vAlign w:val="center"/>
                </w:tcPr>
                <w:p w14:paraId="0CC53E8E">
                  <w:pPr>
                    <w:pStyle w:val="60"/>
                    <w:rPr>
                      <w:rFonts w:hint="eastAsia"/>
                      <w:color w:val="auto"/>
                      <w:sz w:val="18"/>
                      <w:szCs w:val="18"/>
                      <w:lang w:val="en-US" w:eastAsia="zh-CN"/>
                    </w:rPr>
                  </w:pPr>
                </w:p>
              </w:tc>
              <w:tc>
                <w:tcPr>
                  <w:tcW w:w="267" w:type="pct"/>
                  <w:vMerge w:val="continue"/>
                  <w:vAlign w:val="center"/>
                </w:tcPr>
                <w:p w14:paraId="5C3B8BDF">
                  <w:pPr>
                    <w:pStyle w:val="60"/>
                    <w:rPr>
                      <w:rFonts w:hint="default"/>
                      <w:color w:val="auto"/>
                      <w:sz w:val="18"/>
                      <w:szCs w:val="18"/>
                      <w:lang w:val="en-US" w:eastAsia="zh-CN"/>
                    </w:rPr>
                  </w:pPr>
                </w:p>
              </w:tc>
              <w:tc>
                <w:tcPr>
                  <w:tcW w:w="344" w:type="pct"/>
                  <w:vMerge w:val="continue"/>
                  <w:vAlign w:val="center"/>
                </w:tcPr>
                <w:p w14:paraId="79D74A8B">
                  <w:pPr>
                    <w:pStyle w:val="60"/>
                    <w:rPr>
                      <w:rFonts w:hint="eastAsia"/>
                      <w:color w:val="auto"/>
                      <w:sz w:val="18"/>
                      <w:szCs w:val="18"/>
                      <w:lang w:val="en-US" w:eastAsia="zh-CN"/>
                    </w:rPr>
                  </w:pPr>
                </w:p>
              </w:tc>
              <w:tc>
                <w:tcPr>
                  <w:tcW w:w="367" w:type="pct"/>
                  <w:vAlign w:val="center"/>
                </w:tcPr>
                <w:p w14:paraId="7CDA863B">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0.012</w:t>
                  </w:r>
                </w:p>
              </w:tc>
              <w:tc>
                <w:tcPr>
                  <w:tcW w:w="392" w:type="pct"/>
                  <w:vAlign w:val="center"/>
                </w:tcPr>
                <w:p w14:paraId="195B679C">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0.105</w:t>
                  </w:r>
                </w:p>
              </w:tc>
              <w:tc>
                <w:tcPr>
                  <w:tcW w:w="365" w:type="pct"/>
                  <w:vAlign w:val="center"/>
                </w:tcPr>
                <w:p w14:paraId="42173CF8">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22.8</w:t>
                  </w:r>
                </w:p>
              </w:tc>
              <w:tc>
                <w:tcPr>
                  <w:tcW w:w="351" w:type="pct"/>
                  <w:vAlign w:val="center"/>
                </w:tcPr>
                <w:p w14:paraId="6850E891">
                  <w:pPr>
                    <w:pStyle w:val="60"/>
                    <w:rPr>
                      <w:rFonts w:hint="default"/>
                      <w:color w:val="auto"/>
                      <w:sz w:val="18"/>
                      <w:szCs w:val="18"/>
                      <w:lang w:val="en-US" w:eastAsia="zh-CN"/>
                    </w:rPr>
                  </w:pPr>
                  <w:r>
                    <w:rPr>
                      <w:rFonts w:hint="eastAsia"/>
                      <w:color w:val="auto"/>
                      <w:sz w:val="18"/>
                      <w:szCs w:val="18"/>
                      <w:lang w:val="en-US" w:eastAsia="zh-CN"/>
                    </w:rPr>
                    <w:t>50</w:t>
                  </w:r>
                </w:p>
              </w:tc>
              <w:tc>
                <w:tcPr>
                  <w:tcW w:w="399" w:type="pct"/>
                  <w:vAlign w:val="center"/>
                </w:tcPr>
                <w:p w14:paraId="09FA2102">
                  <w:pPr>
                    <w:pStyle w:val="60"/>
                    <w:rPr>
                      <w:rFonts w:hint="default"/>
                      <w:color w:val="auto"/>
                      <w:sz w:val="18"/>
                      <w:szCs w:val="18"/>
                      <w:lang w:val="en-US" w:eastAsia="zh-CN"/>
                    </w:rPr>
                  </w:pPr>
                  <w:r>
                    <w:rPr>
                      <w:rFonts w:hint="eastAsia"/>
                      <w:color w:val="auto"/>
                      <w:sz w:val="18"/>
                      <w:szCs w:val="18"/>
                      <w:lang w:val="en-US" w:eastAsia="zh-CN"/>
                    </w:rPr>
                    <w:t>--</w:t>
                  </w:r>
                </w:p>
              </w:tc>
              <w:tc>
                <w:tcPr>
                  <w:tcW w:w="568" w:type="pct"/>
                  <w:vMerge w:val="continue"/>
                  <w:vAlign w:val="center"/>
                </w:tcPr>
                <w:p w14:paraId="3ECFF9EC">
                  <w:pPr>
                    <w:jc w:val="center"/>
                    <w:rPr>
                      <w:rFonts w:hint="eastAsia" w:ascii="Times New Roman" w:hAnsi="Times New Roman" w:cs="Times New Roman"/>
                      <w:color w:val="auto"/>
                      <w:sz w:val="18"/>
                      <w:szCs w:val="18"/>
                      <w:lang w:val="en-US" w:eastAsia="zh-CN"/>
                    </w:rPr>
                  </w:pPr>
                </w:p>
              </w:tc>
            </w:tr>
            <w:tr w14:paraId="1EF4D5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7586704D">
                  <w:pPr>
                    <w:pStyle w:val="60"/>
                    <w:rPr>
                      <w:rFonts w:hint="default"/>
                      <w:color w:val="auto"/>
                      <w:sz w:val="18"/>
                      <w:szCs w:val="18"/>
                      <w:lang w:val="en-US" w:eastAsia="zh-CN"/>
                    </w:rPr>
                  </w:pPr>
                  <w:r>
                    <w:rPr>
                      <w:rFonts w:hint="eastAsia"/>
                      <w:color w:val="auto"/>
                      <w:sz w:val="18"/>
                      <w:szCs w:val="18"/>
                      <w:lang w:val="en-US" w:eastAsia="zh-CN"/>
                    </w:rPr>
                    <w:t>NOx</w:t>
                  </w:r>
                </w:p>
              </w:tc>
              <w:tc>
                <w:tcPr>
                  <w:tcW w:w="410" w:type="pct"/>
                  <w:shd w:val="clear" w:color="auto" w:fill="auto"/>
                  <w:vAlign w:val="center"/>
                </w:tcPr>
                <w:p w14:paraId="2468A3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0.0025</w:t>
                  </w:r>
                </w:p>
              </w:tc>
              <w:tc>
                <w:tcPr>
                  <w:tcW w:w="463" w:type="pct"/>
                  <w:shd w:val="clear" w:color="auto" w:fill="auto"/>
                  <w:vAlign w:val="center"/>
                </w:tcPr>
                <w:p w14:paraId="350FE5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0.022</w:t>
                  </w:r>
                </w:p>
              </w:tc>
              <w:tc>
                <w:tcPr>
                  <w:tcW w:w="355" w:type="pct"/>
                  <w:vAlign w:val="center"/>
                </w:tcPr>
                <w:p w14:paraId="05DA9E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4.7</w:t>
                  </w:r>
                </w:p>
              </w:tc>
              <w:tc>
                <w:tcPr>
                  <w:tcW w:w="370" w:type="pct"/>
                  <w:vAlign w:val="center"/>
                </w:tcPr>
                <w:p w14:paraId="385C02DA">
                  <w:pPr>
                    <w:pStyle w:val="60"/>
                    <w:rPr>
                      <w:rFonts w:hint="default"/>
                      <w:color w:val="auto"/>
                      <w:sz w:val="18"/>
                      <w:szCs w:val="18"/>
                      <w:lang w:val="en-US" w:eastAsia="zh-CN"/>
                    </w:rPr>
                  </w:pPr>
                  <w:r>
                    <w:rPr>
                      <w:rFonts w:hint="eastAsia"/>
                      <w:color w:val="auto"/>
                      <w:sz w:val="18"/>
                      <w:szCs w:val="18"/>
                      <w:lang w:val="en-US" w:eastAsia="zh-CN"/>
                    </w:rPr>
                    <w:t>--</w:t>
                  </w:r>
                </w:p>
              </w:tc>
              <w:tc>
                <w:tcPr>
                  <w:tcW w:w="267" w:type="pct"/>
                  <w:vAlign w:val="center"/>
                </w:tcPr>
                <w:p w14:paraId="088F1BF2">
                  <w:pPr>
                    <w:pStyle w:val="60"/>
                    <w:rPr>
                      <w:rFonts w:hint="default"/>
                      <w:color w:val="auto"/>
                      <w:sz w:val="18"/>
                      <w:szCs w:val="18"/>
                      <w:lang w:val="en-US" w:eastAsia="zh-CN"/>
                    </w:rPr>
                  </w:pPr>
                  <w:r>
                    <w:rPr>
                      <w:rFonts w:hint="eastAsia"/>
                      <w:color w:val="auto"/>
                      <w:sz w:val="18"/>
                      <w:szCs w:val="18"/>
                      <w:lang w:val="en-US" w:eastAsia="zh-CN"/>
                    </w:rPr>
                    <w:t>--</w:t>
                  </w:r>
                </w:p>
              </w:tc>
              <w:tc>
                <w:tcPr>
                  <w:tcW w:w="344" w:type="pct"/>
                  <w:vMerge w:val="continue"/>
                  <w:vAlign w:val="center"/>
                </w:tcPr>
                <w:p w14:paraId="3F99D548">
                  <w:pPr>
                    <w:pStyle w:val="60"/>
                    <w:rPr>
                      <w:rFonts w:hint="eastAsia"/>
                      <w:color w:val="auto"/>
                      <w:sz w:val="18"/>
                      <w:szCs w:val="18"/>
                      <w:lang w:val="en-US" w:eastAsia="zh-CN"/>
                    </w:rPr>
                  </w:pPr>
                </w:p>
              </w:tc>
              <w:tc>
                <w:tcPr>
                  <w:tcW w:w="367" w:type="pct"/>
                  <w:shd w:val="clear" w:color="auto" w:fill="auto"/>
                  <w:vAlign w:val="center"/>
                </w:tcPr>
                <w:p w14:paraId="31320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0.0025</w:t>
                  </w:r>
                </w:p>
              </w:tc>
              <w:tc>
                <w:tcPr>
                  <w:tcW w:w="392" w:type="pct"/>
                  <w:shd w:val="clear" w:color="auto" w:fill="auto"/>
                  <w:vAlign w:val="center"/>
                </w:tcPr>
                <w:p w14:paraId="0981A7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0.022</w:t>
                  </w:r>
                </w:p>
              </w:tc>
              <w:tc>
                <w:tcPr>
                  <w:tcW w:w="365" w:type="pct"/>
                  <w:shd w:val="clear" w:color="auto" w:fill="auto"/>
                  <w:vAlign w:val="center"/>
                </w:tcPr>
                <w:p w14:paraId="53950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4.7</w:t>
                  </w:r>
                </w:p>
              </w:tc>
              <w:tc>
                <w:tcPr>
                  <w:tcW w:w="351" w:type="pct"/>
                  <w:vAlign w:val="center"/>
                </w:tcPr>
                <w:p w14:paraId="7496BAB5">
                  <w:pPr>
                    <w:pStyle w:val="60"/>
                    <w:rPr>
                      <w:rFonts w:hint="default"/>
                      <w:color w:val="auto"/>
                      <w:sz w:val="18"/>
                      <w:szCs w:val="18"/>
                      <w:lang w:val="en-US" w:eastAsia="zh-CN"/>
                    </w:rPr>
                  </w:pPr>
                  <w:r>
                    <w:rPr>
                      <w:rFonts w:hint="eastAsia"/>
                      <w:color w:val="auto"/>
                      <w:sz w:val="18"/>
                      <w:szCs w:val="18"/>
                      <w:lang w:val="en-US" w:eastAsia="zh-CN"/>
                    </w:rPr>
                    <w:t>100</w:t>
                  </w:r>
                </w:p>
              </w:tc>
              <w:tc>
                <w:tcPr>
                  <w:tcW w:w="399" w:type="pct"/>
                  <w:vAlign w:val="center"/>
                </w:tcPr>
                <w:p w14:paraId="45E4C3BC">
                  <w:pPr>
                    <w:pStyle w:val="60"/>
                    <w:rPr>
                      <w:rFonts w:hint="default"/>
                      <w:color w:val="auto"/>
                      <w:sz w:val="18"/>
                      <w:szCs w:val="18"/>
                      <w:lang w:val="en-US" w:eastAsia="zh-CN"/>
                    </w:rPr>
                  </w:pPr>
                  <w:r>
                    <w:rPr>
                      <w:rFonts w:hint="eastAsia"/>
                      <w:color w:val="auto"/>
                      <w:sz w:val="18"/>
                      <w:szCs w:val="18"/>
                      <w:lang w:val="en-US" w:eastAsia="zh-CN"/>
                    </w:rPr>
                    <w:t>--</w:t>
                  </w:r>
                </w:p>
              </w:tc>
              <w:tc>
                <w:tcPr>
                  <w:tcW w:w="568" w:type="pct"/>
                  <w:vMerge w:val="continue"/>
                  <w:vAlign w:val="center"/>
                </w:tcPr>
                <w:p w14:paraId="78AF76CE">
                  <w:pPr>
                    <w:jc w:val="center"/>
                    <w:rPr>
                      <w:rFonts w:hint="eastAsia" w:ascii="Times New Roman" w:hAnsi="Times New Roman" w:cs="Times New Roman"/>
                      <w:color w:val="auto"/>
                      <w:sz w:val="18"/>
                      <w:szCs w:val="18"/>
                      <w:lang w:val="en-US" w:eastAsia="zh-CN"/>
                    </w:rPr>
                  </w:pPr>
                </w:p>
              </w:tc>
            </w:tr>
            <w:tr w14:paraId="670CE7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6D723061">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VOCs</w:t>
                  </w:r>
                </w:p>
              </w:tc>
              <w:tc>
                <w:tcPr>
                  <w:tcW w:w="410" w:type="pct"/>
                  <w:shd w:val="clear" w:color="auto" w:fill="auto"/>
                  <w:vAlign w:val="center"/>
                </w:tcPr>
                <w:p w14:paraId="45AB751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0.534</w:t>
                  </w:r>
                </w:p>
              </w:tc>
              <w:tc>
                <w:tcPr>
                  <w:tcW w:w="463" w:type="pct"/>
                  <w:shd w:val="clear" w:color="auto" w:fill="auto"/>
                  <w:vAlign w:val="center"/>
                </w:tcPr>
                <w:p w14:paraId="7FE774F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3.167</w:t>
                  </w:r>
                </w:p>
              </w:tc>
              <w:tc>
                <w:tcPr>
                  <w:tcW w:w="355" w:type="pct"/>
                  <w:vAlign w:val="center"/>
                </w:tcPr>
                <w:p w14:paraId="469EC9A2">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1006.6</w:t>
                  </w:r>
                </w:p>
              </w:tc>
              <w:tc>
                <w:tcPr>
                  <w:tcW w:w="370" w:type="pct"/>
                  <w:vMerge w:val="restart"/>
                  <w:shd w:val="clear" w:color="auto" w:fill="auto"/>
                  <w:vAlign w:val="center"/>
                </w:tcPr>
                <w:p w14:paraId="6A39C95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焚烧</w:t>
                  </w:r>
                </w:p>
              </w:tc>
              <w:tc>
                <w:tcPr>
                  <w:tcW w:w="267" w:type="pct"/>
                  <w:vMerge w:val="restart"/>
                  <w:shd w:val="clear" w:color="auto" w:fill="auto"/>
                  <w:vAlign w:val="center"/>
                </w:tcPr>
                <w:p w14:paraId="47CAE761">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95</w:t>
                  </w:r>
                </w:p>
              </w:tc>
              <w:tc>
                <w:tcPr>
                  <w:tcW w:w="344" w:type="pct"/>
                  <w:vMerge w:val="restart"/>
                  <w:vAlign w:val="center"/>
                </w:tcPr>
                <w:p w14:paraId="42EE6D6C">
                  <w:pPr>
                    <w:pStyle w:val="60"/>
                    <w:rPr>
                      <w:rFonts w:hint="default"/>
                      <w:color w:val="auto"/>
                      <w:sz w:val="18"/>
                      <w:szCs w:val="18"/>
                      <w:lang w:val="en-US" w:eastAsia="zh-CN"/>
                    </w:rPr>
                  </w:pPr>
                  <w:r>
                    <w:rPr>
                      <w:rFonts w:hint="eastAsia"/>
                      <w:color w:val="auto"/>
                      <w:sz w:val="18"/>
                      <w:szCs w:val="18"/>
                      <w:lang w:val="en-US" w:eastAsia="zh-CN"/>
                    </w:rPr>
                    <w:t>530.22</w:t>
                  </w:r>
                </w:p>
              </w:tc>
              <w:tc>
                <w:tcPr>
                  <w:tcW w:w="367" w:type="pct"/>
                  <w:vAlign w:val="center"/>
                </w:tcPr>
                <w:p w14:paraId="0851F9D3">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392" w:type="pct"/>
                  <w:vAlign w:val="center"/>
                </w:tcPr>
                <w:p w14:paraId="017F9604">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0.158</w:t>
                  </w:r>
                </w:p>
              </w:tc>
              <w:tc>
                <w:tcPr>
                  <w:tcW w:w="365" w:type="pct"/>
                  <w:vAlign w:val="center"/>
                </w:tcPr>
                <w:p w14:paraId="317934EC">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50.3</w:t>
                  </w:r>
                </w:p>
              </w:tc>
              <w:tc>
                <w:tcPr>
                  <w:tcW w:w="351" w:type="pct"/>
                  <w:shd w:val="clear" w:color="auto" w:fill="auto"/>
                  <w:vAlign w:val="center"/>
                </w:tcPr>
                <w:p w14:paraId="6FAC09C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60</w:t>
                  </w:r>
                </w:p>
              </w:tc>
              <w:tc>
                <w:tcPr>
                  <w:tcW w:w="399" w:type="pct"/>
                  <w:shd w:val="clear" w:color="auto" w:fill="auto"/>
                  <w:vAlign w:val="center"/>
                </w:tcPr>
                <w:p w14:paraId="32F5E78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w:t>
                  </w:r>
                </w:p>
              </w:tc>
              <w:tc>
                <w:tcPr>
                  <w:tcW w:w="568" w:type="pct"/>
                  <w:vMerge w:val="restart"/>
                  <w:vAlign w:val="center"/>
                </w:tcPr>
                <w:p w14:paraId="68EB6F0E">
                  <w:pPr>
                    <w:jc w:val="center"/>
                    <w:rPr>
                      <w:rFonts w:hint="eastAsia" w:ascii="Times New Roman" w:hAnsi="Times New Roman" w:cs="Times New Roman"/>
                      <w:color w:val="auto"/>
                      <w:sz w:val="18"/>
                      <w:szCs w:val="18"/>
                      <w:lang w:val="en-US" w:eastAsia="zh-CN"/>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ascii="Times New Roman" w:hAnsi="Times New Roman" w:cs="Times New Roman"/>
                      <w:color w:val="auto"/>
                      <w:sz w:val="18"/>
                      <w:szCs w:val="18"/>
                    </w:rPr>
                    <w:t>（H=</w:t>
                  </w:r>
                  <w:r>
                    <w:rPr>
                      <w:rFonts w:hint="eastAsia" w:cs="Times New Roman"/>
                      <w:color w:val="auto"/>
                      <w:sz w:val="18"/>
                      <w:szCs w:val="18"/>
                      <w:lang w:val="en-US" w:eastAsia="zh-CN"/>
                    </w:rPr>
                    <w:t>15</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7B6726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7511A3A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甲醇</w:t>
                  </w:r>
                </w:p>
              </w:tc>
              <w:tc>
                <w:tcPr>
                  <w:tcW w:w="410" w:type="pct"/>
                  <w:shd w:val="clear" w:color="auto" w:fill="auto"/>
                  <w:vAlign w:val="center"/>
                </w:tcPr>
                <w:p w14:paraId="25C8888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0.241</w:t>
                  </w:r>
                </w:p>
              </w:tc>
              <w:tc>
                <w:tcPr>
                  <w:tcW w:w="463" w:type="pct"/>
                  <w:shd w:val="clear" w:color="auto" w:fill="auto"/>
                  <w:vAlign w:val="center"/>
                </w:tcPr>
                <w:p w14:paraId="4DBEE23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2.099</w:t>
                  </w:r>
                </w:p>
              </w:tc>
              <w:tc>
                <w:tcPr>
                  <w:tcW w:w="355" w:type="pct"/>
                  <w:vAlign w:val="center"/>
                </w:tcPr>
                <w:p w14:paraId="485B7E4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455.0</w:t>
                  </w:r>
                </w:p>
              </w:tc>
              <w:tc>
                <w:tcPr>
                  <w:tcW w:w="370" w:type="pct"/>
                  <w:vMerge w:val="continue"/>
                  <w:vAlign w:val="center"/>
                </w:tcPr>
                <w:p w14:paraId="4931D105">
                  <w:pPr>
                    <w:pStyle w:val="60"/>
                    <w:rPr>
                      <w:rFonts w:hint="eastAsia"/>
                      <w:color w:val="auto"/>
                      <w:sz w:val="18"/>
                      <w:szCs w:val="18"/>
                      <w:lang w:val="en-US" w:eastAsia="zh-CN"/>
                    </w:rPr>
                  </w:pPr>
                </w:p>
              </w:tc>
              <w:tc>
                <w:tcPr>
                  <w:tcW w:w="267" w:type="pct"/>
                  <w:vMerge w:val="continue"/>
                  <w:vAlign w:val="center"/>
                </w:tcPr>
                <w:p w14:paraId="7128036A">
                  <w:pPr>
                    <w:pStyle w:val="60"/>
                    <w:rPr>
                      <w:rFonts w:hint="default"/>
                      <w:color w:val="auto"/>
                      <w:sz w:val="18"/>
                      <w:szCs w:val="18"/>
                      <w:lang w:val="en-US" w:eastAsia="zh-CN"/>
                    </w:rPr>
                  </w:pPr>
                </w:p>
              </w:tc>
              <w:tc>
                <w:tcPr>
                  <w:tcW w:w="344" w:type="pct"/>
                  <w:vMerge w:val="continue"/>
                  <w:vAlign w:val="center"/>
                </w:tcPr>
                <w:p w14:paraId="58771AD3">
                  <w:pPr>
                    <w:pStyle w:val="60"/>
                    <w:rPr>
                      <w:rFonts w:hint="eastAsia"/>
                      <w:color w:val="auto"/>
                      <w:sz w:val="18"/>
                      <w:szCs w:val="18"/>
                      <w:lang w:val="en-US" w:eastAsia="zh-CN"/>
                    </w:rPr>
                  </w:pPr>
                </w:p>
              </w:tc>
              <w:tc>
                <w:tcPr>
                  <w:tcW w:w="367" w:type="pct"/>
                  <w:vAlign w:val="center"/>
                </w:tcPr>
                <w:p w14:paraId="2AEDE806">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0.012</w:t>
                  </w:r>
                </w:p>
              </w:tc>
              <w:tc>
                <w:tcPr>
                  <w:tcW w:w="392" w:type="pct"/>
                  <w:vAlign w:val="center"/>
                </w:tcPr>
                <w:p w14:paraId="6C41EB10">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0.105</w:t>
                  </w:r>
                </w:p>
              </w:tc>
              <w:tc>
                <w:tcPr>
                  <w:tcW w:w="365" w:type="pct"/>
                  <w:vAlign w:val="center"/>
                </w:tcPr>
                <w:p w14:paraId="2105B8D2">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22.8</w:t>
                  </w:r>
                </w:p>
              </w:tc>
              <w:tc>
                <w:tcPr>
                  <w:tcW w:w="351" w:type="pct"/>
                  <w:shd w:val="clear" w:color="auto" w:fill="auto"/>
                  <w:vAlign w:val="center"/>
                </w:tcPr>
                <w:p w14:paraId="5FF89F5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50</w:t>
                  </w:r>
                </w:p>
              </w:tc>
              <w:tc>
                <w:tcPr>
                  <w:tcW w:w="399" w:type="pct"/>
                  <w:shd w:val="clear" w:color="auto" w:fill="auto"/>
                  <w:vAlign w:val="center"/>
                </w:tcPr>
                <w:p w14:paraId="7FFE70B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68" w:type="pct"/>
                  <w:vMerge w:val="continue"/>
                  <w:vAlign w:val="center"/>
                </w:tcPr>
                <w:p w14:paraId="1DA7ACE0">
                  <w:pPr>
                    <w:jc w:val="center"/>
                    <w:rPr>
                      <w:rFonts w:hint="eastAsia" w:ascii="Times New Roman" w:hAnsi="Times New Roman" w:cs="Times New Roman"/>
                      <w:color w:val="auto"/>
                      <w:sz w:val="18"/>
                      <w:szCs w:val="18"/>
                      <w:lang w:val="en-US" w:eastAsia="zh-CN"/>
                    </w:rPr>
                  </w:pPr>
                </w:p>
              </w:tc>
            </w:tr>
            <w:tr w14:paraId="6CC86F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28C0AC4A">
                  <w:pPr>
                    <w:pStyle w:val="60"/>
                    <w:rPr>
                      <w:rFonts w:hint="eastAsia"/>
                      <w:color w:val="auto"/>
                      <w:sz w:val="18"/>
                      <w:szCs w:val="18"/>
                      <w:lang w:val="en-US" w:eastAsia="zh-CN"/>
                    </w:rPr>
                  </w:pPr>
                  <w:r>
                    <w:rPr>
                      <w:rFonts w:hint="eastAsia"/>
                      <w:color w:val="auto"/>
                      <w:sz w:val="18"/>
                      <w:szCs w:val="18"/>
                      <w:lang w:val="en-US" w:eastAsia="zh-CN"/>
                    </w:rPr>
                    <w:t>NOx</w:t>
                  </w:r>
                </w:p>
              </w:tc>
              <w:tc>
                <w:tcPr>
                  <w:tcW w:w="410" w:type="pct"/>
                  <w:shd w:val="clear" w:color="auto" w:fill="auto"/>
                  <w:vAlign w:val="center"/>
                </w:tcPr>
                <w:p w14:paraId="547C50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0.0021</w:t>
                  </w:r>
                </w:p>
              </w:tc>
              <w:tc>
                <w:tcPr>
                  <w:tcW w:w="463" w:type="pct"/>
                  <w:shd w:val="clear" w:color="auto" w:fill="auto"/>
                  <w:vAlign w:val="center"/>
                </w:tcPr>
                <w:p w14:paraId="426390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0.018</w:t>
                  </w:r>
                </w:p>
              </w:tc>
              <w:tc>
                <w:tcPr>
                  <w:tcW w:w="355" w:type="pct"/>
                  <w:vAlign w:val="center"/>
                </w:tcPr>
                <w:p w14:paraId="21EC0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4.0</w:t>
                  </w:r>
                </w:p>
              </w:tc>
              <w:tc>
                <w:tcPr>
                  <w:tcW w:w="370" w:type="pct"/>
                  <w:vAlign w:val="center"/>
                </w:tcPr>
                <w:p w14:paraId="4254CDF8">
                  <w:pPr>
                    <w:pStyle w:val="60"/>
                    <w:rPr>
                      <w:rFonts w:hint="default"/>
                      <w:color w:val="auto"/>
                      <w:sz w:val="18"/>
                      <w:szCs w:val="18"/>
                      <w:lang w:val="en-US" w:eastAsia="zh-CN"/>
                    </w:rPr>
                  </w:pPr>
                  <w:r>
                    <w:rPr>
                      <w:rFonts w:hint="eastAsia"/>
                      <w:color w:val="auto"/>
                      <w:sz w:val="18"/>
                      <w:szCs w:val="18"/>
                      <w:lang w:val="en-US" w:eastAsia="zh-CN"/>
                    </w:rPr>
                    <w:t>--</w:t>
                  </w:r>
                </w:p>
              </w:tc>
              <w:tc>
                <w:tcPr>
                  <w:tcW w:w="267" w:type="pct"/>
                  <w:vAlign w:val="center"/>
                </w:tcPr>
                <w:p w14:paraId="52C71E60">
                  <w:pPr>
                    <w:pStyle w:val="60"/>
                    <w:rPr>
                      <w:rFonts w:hint="default"/>
                      <w:color w:val="auto"/>
                      <w:sz w:val="18"/>
                      <w:szCs w:val="18"/>
                      <w:lang w:val="en-US" w:eastAsia="zh-CN"/>
                    </w:rPr>
                  </w:pPr>
                  <w:r>
                    <w:rPr>
                      <w:rFonts w:hint="eastAsia"/>
                      <w:color w:val="auto"/>
                      <w:sz w:val="18"/>
                      <w:szCs w:val="18"/>
                      <w:lang w:val="en-US" w:eastAsia="zh-CN"/>
                    </w:rPr>
                    <w:t>--</w:t>
                  </w:r>
                </w:p>
              </w:tc>
              <w:tc>
                <w:tcPr>
                  <w:tcW w:w="344" w:type="pct"/>
                  <w:vMerge w:val="continue"/>
                  <w:vAlign w:val="center"/>
                </w:tcPr>
                <w:p w14:paraId="48D194F2">
                  <w:pPr>
                    <w:pStyle w:val="60"/>
                    <w:rPr>
                      <w:rFonts w:hint="eastAsia"/>
                      <w:color w:val="auto"/>
                      <w:sz w:val="18"/>
                      <w:szCs w:val="18"/>
                      <w:lang w:val="en-US" w:eastAsia="zh-CN"/>
                    </w:rPr>
                  </w:pPr>
                </w:p>
              </w:tc>
              <w:tc>
                <w:tcPr>
                  <w:tcW w:w="367" w:type="pct"/>
                  <w:shd w:val="clear" w:color="auto" w:fill="auto"/>
                  <w:vAlign w:val="center"/>
                </w:tcPr>
                <w:p w14:paraId="08932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0.0021</w:t>
                  </w:r>
                </w:p>
              </w:tc>
              <w:tc>
                <w:tcPr>
                  <w:tcW w:w="392" w:type="pct"/>
                  <w:shd w:val="clear" w:color="auto" w:fill="auto"/>
                  <w:vAlign w:val="center"/>
                </w:tcPr>
                <w:p w14:paraId="6C468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0.018</w:t>
                  </w:r>
                </w:p>
              </w:tc>
              <w:tc>
                <w:tcPr>
                  <w:tcW w:w="365" w:type="pct"/>
                  <w:shd w:val="clear" w:color="auto" w:fill="auto"/>
                  <w:vAlign w:val="center"/>
                </w:tcPr>
                <w:p w14:paraId="40D9A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4.0</w:t>
                  </w:r>
                </w:p>
              </w:tc>
              <w:tc>
                <w:tcPr>
                  <w:tcW w:w="351" w:type="pct"/>
                  <w:shd w:val="clear" w:color="auto" w:fill="auto"/>
                  <w:vAlign w:val="center"/>
                </w:tcPr>
                <w:p w14:paraId="23B1BDDD">
                  <w:pPr>
                    <w:pStyle w:val="60"/>
                    <w:rPr>
                      <w:rFonts w:hint="default"/>
                      <w:color w:val="auto"/>
                      <w:sz w:val="18"/>
                      <w:szCs w:val="18"/>
                      <w:lang w:val="en-US" w:eastAsia="zh-CN"/>
                    </w:rPr>
                  </w:pPr>
                  <w:r>
                    <w:rPr>
                      <w:rFonts w:hint="eastAsia"/>
                      <w:color w:val="auto"/>
                      <w:sz w:val="18"/>
                      <w:szCs w:val="18"/>
                      <w:lang w:val="en-US" w:eastAsia="zh-CN"/>
                    </w:rPr>
                    <w:t>100</w:t>
                  </w:r>
                </w:p>
              </w:tc>
              <w:tc>
                <w:tcPr>
                  <w:tcW w:w="399" w:type="pct"/>
                  <w:shd w:val="clear" w:color="auto" w:fill="auto"/>
                  <w:vAlign w:val="center"/>
                </w:tcPr>
                <w:p w14:paraId="70392720">
                  <w:pPr>
                    <w:pStyle w:val="60"/>
                    <w:rPr>
                      <w:rFonts w:hint="default"/>
                      <w:color w:val="auto"/>
                      <w:sz w:val="18"/>
                      <w:szCs w:val="18"/>
                      <w:lang w:val="en-US" w:eastAsia="zh-CN"/>
                    </w:rPr>
                  </w:pPr>
                  <w:r>
                    <w:rPr>
                      <w:rFonts w:hint="eastAsia"/>
                      <w:color w:val="auto"/>
                      <w:sz w:val="18"/>
                      <w:szCs w:val="18"/>
                      <w:lang w:val="en-US" w:eastAsia="zh-CN"/>
                    </w:rPr>
                    <w:t>--</w:t>
                  </w:r>
                </w:p>
              </w:tc>
              <w:tc>
                <w:tcPr>
                  <w:tcW w:w="568" w:type="pct"/>
                  <w:vMerge w:val="continue"/>
                  <w:vAlign w:val="center"/>
                </w:tcPr>
                <w:p w14:paraId="00DE1391">
                  <w:pPr>
                    <w:jc w:val="center"/>
                    <w:rPr>
                      <w:rFonts w:hint="eastAsia" w:ascii="Times New Roman" w:hAnsi="Times New Roman" w:cs="Times New Roman"/>
                      <w:color w:val="auto"/>
                      <w:sz w:val="18"/>
                      <w:szCs w:val="18"/>
                      <w:lang w:val="en-US" w:eastAsia="zh-CN"/>
                    </w:rPr>
                  </w:pPr>
                </w:p>
              </w:tc>
            </w:tr>
            <w:tr w14:paraId="5B16A4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13"/>
                  <w:shd w:val="clear" w:color="auto" w:fill="auto"/>
                  <w:vAlign w:val="center"/>
                </w:tcPr>
                <w:p w14:paraId="610D1869">
                  <w:pPr>
                    <w:jc w:val="both"/>
                    <w:rPr>
                      <w:rFonts w:hint="eastAsia" w:cs="Times New Roman"/>
                      <w:color w:val="auto"/>
                      <w:sz w:val="18"/>
                      <w:szCs w:val="18"/>
                      <w:lang w:val="en-US" w:eastAsia="zh-CN"/>
                    </w:rPr>
                  </w:pPr>
                  <w:r>
                    <w:rPr>
                      <w:rFonts w:hint="eastAsia" w:cs="Times New Roman"/>
                      <w:color w:val="auto"/>
                      <w:sz w:val="18"/>
                      <w:szCs w:val="18"/>
                      <w:lang w:val="en-US" w:eastAsia="zh-CN"/>
                    </w:rPr>
                    <w:t>备注：①DA001及DA002排气筒氮氧化物排放浓度分类比现有项目例行监测数据。</w:t>
                  </w:r>
                </w:p>
                <w:p w14:paraId="33DAFB1F">
                  <w:pPr>
                    <w:ind w:firstLine="540" w:firstLineChars="300"/>
                    <w:jc w:val="both"/>
                    <w:rPr>
                      <w:rFonts w:hint="default" w:cs="Times New Roman"/>
                      <w:color w:val="auto"/>
                      <w:sz w:val="18"/>
                      <w:szCs w:val="18"/>
                      <w:lang w:val="en-US" w:eastAsia="zh-CN"/>
                    </w:rPr>
                  </w:pPr>
                  <w:r>
                    <w:rPr>
                      <w:rFonts w:hint="eastAsia" w:cs="Times New Roman"/>
                      <w:color w:val="auto"/>
                      <w:sz w:val="18"/>
                      <w:szCs w:val="18"/>
                      <w:lang w:val="en-US" w:eastAsia="zh-CN"/>
                    </w:rPr>
                    <w:t>②根据现有项目例行检测数据，DA001及DA002排气筒颗粒物均为未检出，故本次环评不再考虑焚烧过程次生颗粒物。</w:t>
                  </w:r>
                </w:p>
              </w:tc>
            </w:tr>
          </w:tbl>
          <w:p w14:paraId="58C389D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本项目建成后，全厂废气均进入西厂区2台尾气炉焚烧处理，处理后废气经尾气炉配套DA001/DA002排放筒排放。则本项目建成后DA001及DA002排气筒外排废气达标情况如下：</w:t>
            </w:r>
          </w:p>
          <w:p w14:paraId="2705DBB8">
            <w:pPr>
              <w:adjustRightInd w:val="0"/>
              <w:snapToGrid w:val="0"/>
              <w:spacing w:before="120" w:beforeLines="50"/>
              <w:jc w:val="center"/>
              <w:rPr>
                <w:rFonts w:hint="default" w:eastAsia="宋体"/>
                <w:b/>
                <w:bCs/>
                <w:color w:val="auto"/>
                <w:szCs w:val="21"/>
                <w:lang w:val="en-US" w:eastAsia="zh-CN"/>
              </w:rPr>
            </w:pPr>
            <w:r>
              <w:rPr>
                <w:b/>
                <w:bCs/>
                <w:color w:val="auto"/>
                <w:szCs w:val="21"/>
              </w:rPr>
              <w:t>表</w:t>
            </w:r>
            <w:r>
              <w:rPr>
                <w:rFonts w:hint="eastAsia"/>
                <w:b/>
                <w:bCs/>
                <w:color w:val="auto"/>
                <w:szCs w:val="21"/>
                <w:lang w:val="en-US" w:eastAsia="zh-CN"/>
              </w:rPr>
              <w:t>4-8</w:t>
            </w:r>
            <w:r>
              <w:rPr>
                <w:b/>
                <w:bCs/>
                <w:color w:val="auto"/>
                <w:szCs w:val="21"/>
              </w:rPr>
              <w:t xml:space="preserve">  </w:t>
            </w:r>
            <w:r>
              <w:rPr>
                <w:rFonts w:hint="eastAsia"/>
                <w:b/>
                <w:bCs/>
                <w:color w:val="auto"/>
                <w:szCs w:val="21"/>
                <w:lang w:val="en-US" w:eastAsia="zh-CN"/>
              </w:rPr>
              <w:t>正常工况下</w:t>
            </w:r>
            <w:r>
              <w:rPr>
                <w:rFonts w:hint="eastAsia"/>
                <w:b/>
                <w:bCs/>
                <w:color w:val="auto"/>
                <w:szCs w:val="21"/>
              </w:rPr>
              <w:t>本</w:t>
            </w:r>
            <w:r>
              <w:rPr>
                <w:b/>
                <w:bCs/>
                <w:color w:val="auto"/>
                <w:szCs w:val="21"/>
              </w:rPr>
              <w:t>项目</w:t>
            </w:r>
            <w:r>
              <w:rPr>
                <w:rFonts w:hint="eastAsia"/>
                <w:b/>
                <w:bCs/>
                <w:color w:val="auto"/>
                <w:szCs w:val="21"/>
                <w:lang w:val="en-US" w:eastAsia="zh-CN"/>
              </w:rPr>
              <w:t>建成后全厂</w:t>
            </w:r>
            <w:r>
              <w:rPr>
                <w:rFonts w:hint="eastAsia"/>
                <w:b/>
                <w:bCs/>
                <w:color w:val="auto"/>
                <w:szCs w:val="21"/>
              </w:rPr>
              <w:t>有组织</w:t>
            </w:r>
            <w:r>
              <w:rPr>
                <w:b/>
                <w:bCs/>
                <w:color w:val="auto"/>
                <w:szCs w:val="21"/>
              </w:rPr>
              <w:t>废气</w:t>
            </w:r>
            <w:r>
              <w:rPr>
                <w:rFonts w:hint="eastAsia"/>
                <w:b/>
                <w:bCs/>
                <w:color w:val="auto"/>
                <w:szCs w:val="21"/>
                <w:lang w:val="en-US" w:eastAsia="zh-CN"/>
              </w:rPr>
              <w:t>达标性分析汇总表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629"/>
              <w:gridCol w:w="945"/>
              <w:gridCol w:w="840"/>
              <w:gridCol w:w="840"/>
              <w:gridCol w:w="1005"/>
              <w:gridCol w:w="945"/>
              <w:gridCol w:w="930"/>
              <w:gridCol w:w="1060"/>
            </w:tblGrid>
            <w:tr w14:paraId="0E1E3B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vMerge w:val="restart"/>
                  <w:vAlign w:val="center"/>
                </w:tcPr>
                <w:p w14:paraId="000C4159">
                  <w:pPr>
                    <w:pStyle w:val="60"/>
                    <w:rPr>
                      <w:rFonts w:hint="default" w:eastAsia="宋体"/>
                      <w:b/>
                      <w:bCs/>
                      <w:color w:val="auto"/>
                      <w:sz w:val="18"/>
                      <w:szCs w:val="18"/>
                      <w:lang w:val="en-US" w:eastAsia="zh-CN"/>
                    </w:rPr>
                  </w:pPr>
                  <w:r>
                    <w:rPr>
                      <w:rFonts w:hint="eastAsia"/>
                      <w:b/>
                      <w:bCs/>
                      <w:color w:val="auto"/>
                      <w:sz w:val="18"/>
                      <w:szCs w:val="18"/>
                      <w:lang w:val="en-US" w:eastAsia="zh-CN"/>
                    </w:rPr>
                    <w:t>污染物名称</w:t>
                  </w:r>
                </w:p>
              </w:tc>
              <w:tc>
                <w:tcPr>
                  <w:tcW w:w="2215" w:type="pct"/>
                  <w:gridSpan w:val="4"/>
                  <w:vAlign w:val="center"/>
                </w:tcPr>
                <w:p w14:paraId="36A25B4A">
                  <w:pPr>
                    <w:pStyle w:val="60"/>
                    <w:rPr>
                      <w:b/>
                      <w:bCs/>
                      <w:color w:val="auto"/>
                      <w:sz w:val="18"/>
                      <w:szCs w:val="18"/>
                    </w:rPr>
                  </w:pPr>
                  <w:r>
                    <w:rPr>
                      <w:rFonts w:hint="eastAsia"/>
                      <w:b/>
                      <w:bCs/>
                      <w:color w:val="auto"/>
                      <w:sz w:val="18"/>
                      <w:szCs w:val="18"/>
                    </w:rPr>
                    <w:t>废气排放情况</w:t>
                  </w:r>
                </w:p>
              </w:tc>
              <w:tc>
                <w:tcPr>
                  <w:tcW w:w="1144" w:type="pct"/>
                  <w:gridSpan w:val="2"/>
                  <w:vAlign w:val="center"/>
                </w:tcPr>
                <w:p w14:paraId="6AE856BB">
                  <w:pPr>
                    <w:pStyle w:val="60"/>
                    <w:rPr>
                      <w:rFonts w:hint="eastAsia"/>
                      <w:b/>
                      <w:bCs/>
                      <w:color w:val="auto"/>
                      <w:sz w:val="18"/>
                      <w:szCs w:val="18"/>
                    </w:rPr>
                  </w:pPr>
                  <w:r>
                    <w:rPr>
                      <w:rFonts w:hint="eastAsia"/>
                      <w:b/>
                      <w:bCs/>
                      <w:color w:val="auto"/>
                      <w:sz w:val="18"/>
                      <w:szCs w:val="18"/>
                    </w:rPr>
                    <w:t>排放标准</w:t>
                  </w:r>
                </w:p>
              </w:tc>
              <w:tc>
                <w:tcPr>
                  <w:tcW w:w="646" w:type="pct"/>
                  <w:vMerge w:val="restart"/>
                  <w:vAlign w:val="center"/>
                </w:tcPr>
                <w:p w14:paraId="14A82F90">
                  <w:pPr>
                    <w:pStyle w:val="60"/>
                    <w:rPr>
                      <w:b/>
                      <w:bCs/>
                      <w:color w:val="auto"/>
                      <w:sz w:val="18"/>
                      <w:szCs w:val="18"/>
                    </w:rPr>
                  </w:pPr>
                  <w:r>
                    <w:rPr>
                      <w:rFonts w:hint="eastAsia"/>
                      <w:b/>
                      <w:bCs/>
                      <w:color w:val="auto"/>
                      <w:sz w:val="18"/>
                      <w:szCs w:val="18"/>
                    </w:rPr>
                    <w:t>排气筒</w:t>
                  </w:r>
                </w:p>
              </w:tc>
            </w:tr>
            <w:tr w14:paraId="6DF5ED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vMerge w:val="continue"/>
                  <w:vAlign w:val="center"/>
                </w:tcPr>
                <w:p w14:paraId="2B0034D9">
                  <w:pPr>
                    <w:pStyle w:val="60"/>
                    <w:rPr>
                      <w:b/>
                      <w:bCs/>
                      <w:color w:val="auto"/>
                      <w:sz w:val="18"/>
                      <w:szCs w:val="18"/>
                    </w:rPr>
                  </w:pPr>
                </w:p>
              </w:tc>
              <w:tc>
                <w:tcPr>
                  <w:tcW w:w="576" w:type="pct"/>
                  <w:vAlign w:val="center"/>
                </w:tcPr>
                <w:p w14:paraId="1135F794">
                  <w:pPr>
                    <w:pStyle w:val="60"/>
                    <w:rPr>
                      <w:b/>
                      <w:bCs/>
                      <w:color w:val="auto"/>
                      <w:sz w:val="18"/>
                      <w:szCs w:val="18"/>
                    </w:rPr>
                  </w:pPr>
                  <w:r>
                    <w:rPr>
                      <w:rFonts w:hint="eastAsia"/>
                      <w:b/>
                      <w:bCs/>
                      <w:color w:val="auto"/>
                      <w:sz w:val="18"/>
                      <w:szCs w:val="18"/>
                      <w:lang w:val="en-US" w:eastAsia="zh-CN"/>
                    </w:rPr>
                    <w:t>废气量</w:t>
                  </w:r>
                  <w:r>
                    <w:rPr>
                      <w:rFonts w:hint="eastAsia"/>
                      <w:b/>
                      <w:bCs/>
                      <w:color w:val="auto"/>
                      <w:sz w:val="18"/>
                      <w:szCs w:val="18"/>
                    </w:rPr>
                    <w:t>m</w:t>
                  </w:r>
                  <w:r>
                    <w:rPr>
                      <w:rFonts w:hint="eastAsia"/>
                      <w:b/>
                      <w:bCs/>
                      <w:color w:val="auto"/>
                      <w:sz w:val="18"/>
                      <w:szCs w:val="18"/>
                      <w:vertAlign w:val="superscript"/>
                    </w:rPr>
                    <w:t>3</w:t>
                  </w:r>
                  <w:r>
                    <w:rPr>
                      <w:rFonts w:hint="eastAsia"/>
                      <w:b/>
                      <w:bCs/>
                      <w:color w:val="auto"/>
                      <w:sz w:val="18"/>
                      <w:szCs w:val="18"/>
                    </w:rPr>
                    <w:t>/h</w:t>
                  </w:r>
                </w:p>
              </w:tc>
              <w:tc>
                <w:tcPr>
                  <w:tcW w:w="512" w:type="pct"/>
                  <w:vAlign w:val="center"/>
                </w:tcPr>
                <w:p w14:paraId="45512817">
                  <w:pPr>
                    <w:pStyle w:val="60"/>
                    <w:rPr>
                      <w:b/>
                      <w:bCs/>
                      <w:color w:val="auto"/>
                      <w:sz w:val="18"/>
                      <w:szCs w:val="18"/>
                    </w:rPr>
                  </w:pPr>
                  <w:r>
                    <w:rPr>
                      <w:rFonts w:hint="eastAsia"/>
                      <w:b/>
                      <w:bCs/>
                      <w:color w:val="auto"/>
                      <w:sz w:val="18"/>
                      <w:szCs w:val="18"/>
                    </w:rPr>
                    <w:t>排放</w:t>
                  </w:r>
                  <w:r>
                    <w:rPr>
                      <w:b/>
                      <w:bCs/>
                      <w:color w:val="auto"/>
                      <w:sz w:val="18"/>
                      <w:szCs w:val="18"/>
                    </w:rPr>
                    <w:t>速率kg/h</w:t>
                  </w:r>
                </w:p>
              </w:tc>
              <w:tc>
                <w:tcPr>
                  <w:tcW w:w="512" w:type="pct"/>
                  <w:vAlign w:val="center"/>
                </w:tcPr>
                <w:p w14:paraId="530F96C4">
                  <w:pPr>
                    <w:pStyle w:val="60"/>
                    <w:rPr>
                      <w:b/>
                      <w:bCs/>
                      <w:color w:val="auto"/>
                      <w:sz w:val="18"/>
                      <w:szCs w:val="18"/>
                    </w:rPr>
                  </w:pPr>
                  <w:r>
                    <w:rPr>
                      <w:b/>
                      <w:bCs/>
                      <w:color w:val="auto"/>
                      <w:sz w:val="18"/>
                      <w:szCs w:val="18"/>
                    </w:rPr>
                    <w:t>排放量t/a</w:t>
                  </w:r>
                </w:p>
              </w:tc>
              <w:tc>
                <w:tcPr>
                  <w:tcW w:w="613" w:type="pct"/>
                  <w:vAlign w:val="center"/>
                </w:tcPr>
                <w:p w14:paraId="319C570B">
                  <w:pPr>
                    <w:pStyle w:val="60"/>
                    <w:rPr>
                      <w:b/>
                      <w:bCs/>
                      <w:color w:val="auto"/>
                      <w:sz w:val="18"/>
                      <w:szCs w:val="18"/>
                    </w:rPr>
                  </w:pPr>
                  <w:r>
                    <w:rPr>
                      <w:rFonts w:hint="eastAsia"/>
                      <w:b/>
                      <w:bCs/>
                      <w:color w:val="auto"/>
                      <w:sz w:val="18"/>
                      <w:szCs w:val="18"/>
                    </w:rPr>
                    <w:t>排放浓度mg/m</w:t>
                  </w:r>
                  <w:r>
                    <w:rPr>
                      <w:rFonts w:hint="eastAsia"/>
                      <w:b/>
                      <w:bCs/>
                      <w:color w:val="auto"/>
                      <w:sz w:val="18"/>
                      <w:szCs w:val="18"/>
                      <w:vertAlign w:val="superscript"/>
                    </w:rPr>
                    <w:t>3</w:t>
                  </w:r>
                </w:p>
              </w:tc>
              <w:tc>
                <w:tcPr>
                  <w:tcW w:w="576" w:type="pct"/>
                  <w:vAlign w:val="center"/>
                </w:tcPr>
                <w:p w14:paraId="247CBF90">
                  <w:pPr>
                    <w:pStyle w:val="60"/>
                    <w:rPr>
                      <w:b/>
                      <w:bCs/>
                      <w:color w:val="auto"/>
                      <w:sz w:val="18"/>
                      <w:szCs w:val="18"/>
                    </w:rPr>
                  </w:pPr>
                  <w:r>
                    <w:rPr>
                      <w:b/>
                      <w:bCs/>
                      <w:color w:val="auto"/>
                      <w:sz w:val="18"/>
                      <w:szCs w:val="18"/>
                    </w:rPr>
                    <w:t>浓度</w:t>
                  </w:r>
                  <w:r>
                    <w:rPr>
                      <w:rFonts w:hint="eastAsia"/>
                      <w:b/>
                      <w:bCs/>
                      <w:color w:val="auto"/>
                      <w:sz w:val="18"/>
                      <w:szCs w:val="18"/>
                      <w:lang w:val="en-US" w:eastAsia="zh-CN"/>
                    </w:rPr>
                    <w:t>限值</w:t>
                  </w:r>
                  <w:r>
                    <w:rPr>
                      <w:b/>
                      <w:bCs/>
                      <w:color w:val="auto"/>
                      <w:sz w:val="18"/>
                      <w:szCs w:val="18"/>
                    </w:rPr>
                    <w:t>mg/m</w:t>
                  </w:r>
                  <w:r>
                    <w:rPr>
                      <w:b/>
                      <w:bCs/>
                      <w:color w:val="auto"/>
                      <w:sz w:val="18"/>
                      <w:szCs w:val="18"/>
                      <w:vertAlign w:val="superscript"/>
                    </w:rPr>
                    <w:t>3</w:t>
                  </w:r>
                </w:p>
              </w:tc>
              <w:tc>
                <w:tcPr>
                  <w:tcW w:w="567" w:type="pct"/>
                  <w:vAlign w:val="center"/>
                </w:tcPr>
                <w:p w14:paraId="69982836">
                  <w:pPr>
                    <w:pStyle w:val="60"/>
                    <w:rPr>
                      <w:b/>
                      <w:bCs/>
                      <w:color w:val="auto"/>
                      <w:sz w:val="18"/>
                      <w:szCs w:val="18"/>
                    </w:rPr>
                  </w:pPr>
                  <w:r>
                    <w:rPr>
                      <w:b/>
                      <w:bCs/>
                      <w:color w:val="auto"/>
                      <w:sz w:val="18"/>
                      <w:szCs w:val="18"/>
                    </w:rPr>
                    <w:t>速率</w:t>
                  </w:r>
                  <w:r>
                    <w:rPr>
                      <w:rFonts w:hint="eastAsia"/>
                      <w:b/>
                      <w:bCs/>
                      <w:color w:val="auto"/>
                      <w:sz w:val="18"/>
                      <w:szCs w:val="18"/>
                      <w:lang w:val="en-US" w:eastAsia="zh-CN"/>
                    </w:rPr>
                    <w:t>限值</w:t>
                  </w:r>
                  <w:r>
                    <w:rPr>
                      <w:b/>
                      <w:bCs/>
                      <w:color w:val="auto"/>
                      <w:sz w:val="18"/>
                      <w:szCs w:val="18"/>
                    </w:rPr>
                    <w:t>kg/h</w:t>
                  </w:r>
                </w:p>
              </w:tc>
              <w:tc>
                <w:tcPr>
                  <w:tcW w:w="646" w:type="pct"/>
                  <w:vMerge w:val="continue"/>
                  <w:vAlign w:val="center"/>
                </w:tcPr>
                <w:p w14:paraId="25DD23A5">
                  <w:pPr>
                    <w:pStyle w:val="60"/>
                    <w:rPr>
                      <w:b/>
                      <w:bCs/>
                      <w:color w:val="auto"/>
                      <w:sz w:val="18"/>
                      <w:szCs w:val="18"/>
                    </w:rPr>
                  </w:pPr>
                </w:p>
              </w:tc>
            </w:tr>
            <w:tr w14:paraId="5106B8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7966804D">
                  <w:pPr>
                    <w:pStyle w:val="60"/>
                    <w:rPr>
                      <w:color w:val="auto"/>
                      <w:sz w:val="18"/>
                      <w:szCs w:val="18"/>
                    </w:rPr>
                  </w:pPr>
                  <w:r>
                    <w:rPr>
                      <w:rFonts w:hint="eastAsia"/>
                      <w:color w:val="auto"/>
                      <w:sz w:val="18"/>
                      <w:szCs w:val="18"/>
                    </w:rPr>
                    <w:t>VOCs</w:t>
                  </w:r>
                </w:p>
              </w:tc>
              <w:tc>
                <w:tcPr>
                  <w:tcW w:w="576" w:type="pct"/>
                  <w:vMerge w:val="restart"/>
                  <w:vAlign w:val="center"/>
                </w:tcPr>
                <w:p w14:paraId="2357C69E">
                  <w:pPr>
                    <w:pStyle w:val="60"/>
                    <w:rPr>
                      <w:rFonts w:hint="default" w:eastAsia="宋体"/>
                      <w:color w:val="auto"/>
                      <w:sz w:val="18"/>
                      <w:szCs w:val="18"/>
                      <w:lang w:val="en-US" w:eastAsia="zh-CN"/>
                    </w:rPr>
                  </w:pPr>
                  <w:r>
                    <w:rPr>
                      <w:rFonts w:hint="eastAsia"/>
                      <w:color w:val="auto"/>
                      <w:sz w:val="18"/>
                      <w:szCs w:val="18"/>
                      <w:lang w:val="en-US" w:eastAsia="zh-CN"/>
                    </w:rPr>
                    <w:t>13852</w:t>
                  </w:r>
                </w:p>
              </w:tc>
              <w:tc>
                <w:tcPr>
                  <w:tcW w:w="512" w:type="pct"/>
                  <w:vAlign w:val="center"/>
                </w:tcPr>
                <w:p w14:paraId="49B0EA6E">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0.367</w:t>
                  </w:r>
                </w:p>
              </w:tc>
              <w:tc>
                <w:tcPr>
                  <w:tcW w:w="512" w:type="pct"/>
                  <w:vAlign w:val="center"/>
                </w:tcPr>
                <w:p w14:paraId="7FEA66C8">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3.120</w:t>
                  </w:r>
                </w:p>
              </w:tc>
              <w:tc>
                <w:tcPr>
                  <w:tcW w:w="613" w:type="pct"/>
                  <w:vAlign w:val="center"/>
                </w:tcPr>
                <w:p w14:paraId="0A1C9DC6">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26.5</w:t>
                  </w:r>
                </w:p>
              </w:tc>
              <w:tc>
                <w:tcPr>
                  <w:tcW w:w="576" w:type="pct"/>
                  <w:vAlign w:val="center"/>
                </w:tcPr>
                <w:p w14:paraId="4FCA08ED">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567" w:type="pct"/>
                  <w:vAlign w:val="center"/>
                </w:tcPr>
                <w:p w14:paraId="6E13A0F7">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646" w:type="pct"/>
                  <w:vMerge w:val="restart"/>
                  <w:vAlign w:val="center"/>
                </w:tcPr>
                <w:p w14:paraId="261A98E4">
                  <w:pPr>
                    <w:jc w:val="center"/>
                    <w:rPr>
                      <w:color w:val="auto"/>
                      <w:sz w:val="18"/>
                      <w:szCs w:val="18"/>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01</w:t>
                  </w:r>
                  <w:r>
                    <w:rPr>
                      <w:rFonts w:ascii="Times New Roman" w:hAnsi="Times New Roman" w:cs="Times New Roman"/>
                      <w:color w:val="auto"/>
                      <w:sz w:val="18"/>
                      <w:szCs w:val="18"/>
                    </w:rPr>
                    <w:t>（H=</w:t>
                  </w:r>
                  <w:r>
                    <w:rPr>
                      <w:rFonts w:hint="eastAsia" w:cs="Times New Roman"/>
                      <w:color w:val="auto"/>
                      <w:sz w:val="18"/>
                      <w:szCs w:val="18"/>
                      <w:lang w:val="en-US" w:eastAsia="zh-CN"/>
                    </w:rPr>
                    <w:t>24</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32758F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09131047">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576" w:type="pct"/>
                  <w:vMerge w:val="continue"/>
                  <w:vAlign w:val="center"/>
                </w:tcPr>
                <w:p w14:paraId="3C1CC14B">
                  <w:pPr>
                    <w:pStyle w:val="60"/>
                    <w:rPr>
                      <w:rFonts w:hint="eastAsia"/>
                      <w:color w:val="auto"/>
                      <w:sz w:val="18"/>
                      <w:szCs w:val="18"/>
                      <w:lang w:val="en-US" w:eastAsia="zh-CN"/>
                    </w:rPr>
                  </w:pPr>
                </w:p>
              </w:tc>
              <w:tc>
                <w:tcPr>
                  <w:tcW w:w="512" w:type="pct"/>
                  <w:vAlign w:val="center"/>
                </w:tcPr>
                <w:p w14:paraId="4021C2A3">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0.120</w:t>
                  </w:r>
                </w:p>
              </w:tc>
              <w:tc>
                <w:tcPr>
                  <w:tcW w:w="512" w:type="pct"/>
                  <w:vAlign w:val="center"/>
                </w:tcPr>
                <w:p w14:paraId="0FA5C0EC">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1.044</w:t>
                  </w:r>
                </w:p>
              </w:tc>
              <w:tc>
                <w:tcPr>
                  <w:tcW w:w="613" w:type="pct"/>
                  <w:vAlign w:val="center"/>
                </w:tcPr>
                <w:p w14:paraId="2D64606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8.7</w:t>
                  </w:r>
                </w:p>
              </w:tc>
              <w:tc>
                <w:tcPr>
                  <w:tcW w:w="576" w:type="pct"/>
                  <w:vAlign w:val="center"/>
                </w:tcPr>
                <w:p w14:paraId="7D255307">
                  <w:pPr>
                    <w:pStyle w:val="60"/>
                    <w:rPr>
                      <w:rFonts w:hint="default"/>
                      <w:color w:val="auto"/>
                      <w:sz w:val="18"/>
                      <w:szCs w:val="18"/>
                      <w:lang w:val="en-US" w:eastAsia="zh-CN"/>
                    </w:rPr>
                  </w:pPr>
                  <w:r>
                    <w:rPr>
                      <w:rFonts w:hint="eastAsia"/>
                      <w:color w:val="auto"/>
                      <w:sz w:val="18"/>
                      <w:szCs w:val="18"/>
                      <w:lang w:val="en-US" w:eastAsia="zh-CN"/>
                    </w:rPr>
                    <w:t>50</w:t>
                  </w:r>
                </w:p>
              </w:tc>
              <w:tc>
                <w:tcPr>
                  <w:tcW w:w="567" w:type="pct"/>
                  <w:vAlign w:val="center"/>
                </w:tcPr>
                <w:p w14:paraId="61F5265B">
                  <w:pPr>
                    <w:pStyle w:val="60"/>
                    <w:rPr>
                      <w:rFonts w:hint="default"/>
                      <w:color w:val="auto"/>
                      <w:sz w:val="18"/>
                      <w:szCs w:val="18"/>
                      <w:lang w:val="en-US" w:eastAsia="zh-CN"/>
                    </w:rPr>
                  </w:pPr>
                  <w:r>
                    <w:rPr>
                      <w:rFonts w:hint="eastAsia"/>
                      <w:color w:val="auto"/>
                      <w:sz w:val="18"/>
                      <w:szCs w:val="18"/>
                      <w:lang w:val="en-US" w:eastAsia="zh-CN"/>
                    </w:rPr>
                    <w:t>--</w:t>
                  </w:r>
                </w:p>
              </w:tc>
              <w:tc>
                <w:tcPr>
                  <w:tcW w:w="646" w:type="pct"/>
                  <w:vMerge w:val="continue"/>
                  <w:vAlign w:val="center"/>
                </w:tcPr>
                <w:p w14:paraId="635D1D02">
                  <w:pPr>
                    <w:jc w:val="center"/>
                    <w:rPr>
                      <w:rFonts w:hint="eastAsia" w:ascii="Times New Roman" w:hAnsi="Times New Roman" w:cs="Times New Roman"/>
                      <w:color w:val="auto"/>
                      <w:sz w:val="18"/>
                      <w:szCs w:val="18"/>
                      <w:lang w:val="en-US" w:eastAsia="zh-CN"/>
                    </w:rPr>
                  </w:pPr>
                </w:p>
              </w:tc>
            </w:tr>
            <w:tr w14:paraId="1B386D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14DCE2D4">
                  <w:pPr>
                    <w:pStyle w:val="60"/>
                    <w:rPr>
                      <w:rFonts w:hint="eastAsia"/>
                      <w:color w:val="auto"/>
                      <w:sz w:val="18"/>
                      <w:szCs w:val="18"/>
                      <w:lang w:val="en-US" w:eastAsia="zh-CN"/>
                    </w:rPr>
                  </w:pPr>
                  <w:r>
                    <w:rPr>
                      <w:rFonts w:hint="eastAsia"/>
                      <w:color w:val="auto"/>
                      <w:sz w:val="18"/>
                      <w:szCs w:val="18"/>
                      <w:lang w:val="en-US" w:eastAsia="zh-CN"/>
                    </w:rPr>
                    <w:t>NOx</w:t>
                  </w:r>
                </w:p>
              </w:tc>
              <w:tc>
                <w:tcPr>
                  <w:tcW w:w="576" w:type="pct"/>
                  <w:vMerge w:val="continue"/>
                  <w:vAlign w:val="center"/>
                </w:tcPr>
                <w:p w14:paraId="509D7371">
                  <w:pPr>
                    <w:pStyle w:val="60"/>
                    <w:rPr>
                      <w:rFonts w:hint="eastAsia"/>
                      <w:color w:val="auto"/>
                      <w:sz w:val="18"/>
                      <w:szCs w:val="18"/>
                      <w:lang w:val="en-US" w:eastAsia="zh-CN"/>
                    </w:rPr>
                  </w:pPr>
                </w:p>
              </w:tc>
              <w:tc>
                <w:tcPr>
                  <w:tcW w:w="512" w:type="pct"/>
                  <w:vAlign w:val="center"/>
                </w:tcPr>
                <w:p w14:paraId="40C50E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0.0287</w:t>
                  </w:r>
                </w:p>
              </w:tc>
              <w:tc>
                <w:tcPr>
                  <w:tcW w:w="512" w:type="pct"/>
                  <w:vAlign w:val="center"/>
                </w:tcPr>
                <w:p w14:paraId="278AB0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0.249</w:t>
                  </w:r>
                </w:p>
              </w:tc>
              <w:tc>
                <w:tcPr>
                  <w:tcW w:w="613" w:type="pct"/>
                  <w:vAlign w:val="center"/>
                </w:tcPr>
                <w:p w14:paraId="29309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w:t>
                  </w:r>
                </w:p>
              </w:tc>
              <w:tc>
                <w:tcPr>
                  <w:tcW w:w="576" w:type="pct"/>
                  <w:vAlign w:val="center"/>
                </w:tcPr>
                <w:p w14:paraId="63BB36F6">
                  <w:pPr>
                    <w:pStyle w:val="60"/>
                    <w:rPr>
                      <w:rFonts w:hint="default"/>
                      <w:color w:val="auto"/>
                      <w:sz w:val="18"/>
                      <w:szCs w:val="18"/>
                      <w:lang w:val="en-US" w:eastAsia="zh-CN"/>
                    </w:rPr>
                  </w:pPr>
                  <w:r>
                    <w:rPr>
                      <w:rFonts w:hint="eastAsia"/>
                      <w:color w:val="auto"/>
                      <w:sz w:val="18"/>
                      <w:szCs w:val="18"/>
                      <w:lang w:val="en-US" w:eastAsia="zh-CN"/>
                    </w:rPr>
                    <w:t>100</w:t>
                  </w:r>
                </w:p>
              </w:tc>
              <w:tc>
                <w:tcPr>
                  <w:tcW w:w="567" w:type="pct"/>
                  <w:vAlign w:val="center"/>
                </w:tcPr>
                <w:p w14:paraId="033B2DE4">
                  <w:pPr>
                    <w:pStyle w:val="60"/>
                    <w:rPr>
                      <w:rFonts w:hint="default"/>
                      <w:color w:val="auto"/>
                      <w:sz w:val="18"/>
                      <w:szCs w:val="18"/>
                      <w:lang w:val="en-US" w:eastAsia="zh-CN"/>
                    </w:rPr>
                  </w:pPr>
                  <w:r>
                    <w:rPr>
                      <w:rFonts w:hint="eastAsia"/>
                      <w:color w:val="auto"/>
                      <w:sz w:val="18"/>
                      <w:szCs w:val="18"/>
                      <w:lang w:val="en-US" w:eastAsia="zh-CN"/>
                    </w:rPr>
                    <w:t>--</w:t>
                  </w:r>
                </w:p>
              </w:tc>
              <w:tc>
                <w:tcPr>
                  <w:tcW w:w="646" w:type="pct"/>
                  <w:vMerge w:val="continue"/>
                  <w:vAlign w:val="center"/>
                </w:tcPr>
                <w:p w14:paraId="62ABC08F">
                  <w:pPr>
                    <w:jc w:val="center"/>
                    <w:rPr>
                      <w:rFonts w:hint="eastAsia" w:ascii="Times New Roman" w:hAnsi="Times New Roman" w:cs="Times New Roman"/>
                      <w:color w:val="auto"/>
                      <w:sz w:val="18"/>
                      <w:szCs w:val="18"/>
                      <w:lang w:val="en-US" w:eastAsia="zh-CN"/>
                    </w:rPr>
                  </w:pPr>
                </w:p>
              </w:tc>
            </w:tr>
            <w:tr w14:paraId="69BA9D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4302090C">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VOCs</w:t>
                  </w:r>
                </w:p>
              </w:tc>
              <w:tc>
                <w:tcPr>
                  <w:tcW w:w="576" w:type="pct"/>
                  <w:vMerge w:val="restart"/>
                  <w:vAlign w:val="center"/>
                </w:tcPr>
                <w:p w14:paraId="14FF5A02">
                  <w:pPr>
                    <w:pStyle w:val="60"/>
                    <w:rPr>
                      <w:rFonts w:hint="default"/>
                      <w:color w:val="auto"/>
                      <w:sz w:val="18"/>
                      <w:szCs w:val="18"/>
                      <w:lang w:val="en-US" w:eastAsia="zh-CN"/>
                    </w:rPr>
                  </w:pPr>
                  <w:r>
                    <w:rPr>
                      <w:rFonts w:hint="eastAsia"/>
                      <w:color w:val="auto"/>
                      <w:sz w:val="18"/>
                      <w:szCs w:val="18"/>
                      <w:lang w:val="en-US" w:eastAsia="zh-CN"/>
                    </w:rPr>
                    <w:t>6546</w:t>
                  </w:r>
                </w:p>
              </w:tc>
              <w:tc>
                <w:tcPr>
                  <w:tcW w:w="512" w:type="pct"/>
                  <w:vAlign w:val="center"/>
                </w:tcPr>
                <w:p w14:paraId="6673A9B6">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0.367</w:t>
                  </w:r>
                </w:p>
              </w:tc>
              <w:tc>
                <w:tcPr>
                  <w:tcW w:w="512" w:type="pct"/>
                  <w:vAlign w:val="center"/>
                </w:tcPr>
                <w:p w14:paraId="1D87A7E1">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3.120</w:t>
                  </w:r>
                </w:p>
              </w:tc>
              <w:tc>
                <w:tcPr>
                  <w:tcW w:w="613" w:type="pct"/>
                  <w:vAlign w:val="center"/>
                </w:tcPr>
                <w:p w14:paraId="1FCF7019">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56.1</w:t>
                  </w:r>
                </w:p>
              </w:tc>
              <w:tc>
                <w:tcPr>
                  <w:tcW w:w="576" w:type="pct"/>
                  <w:shd w:val="clear" w:color="auto" w:fill="auto"/>
                  <w:vAlign w:val="center"/>
                </w:tcPr>
                <w:p w14:paraId="4885180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60</w:t>
                  </w:r>
                </w:p>
              </w:tc>
              <w:tc>
                <w:tcPr>
                  <w:tcW w:w="567" w:type="pct"/>
                  <w:shd w:val="clear" w:color="auto" w:fill="auto"/>
                  <w:vAlign w:val="center"/>
                </w:tcPr>
                <w:p w14:paraId="07E7CFB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w:t>
                  </w:r>
                </w:p>
              </w:tc>
              <w:tc>
                <w:tcPr>
                  <w:tcW w:w="646" w:type="pct"/>
                  <w:vMerge w:val="restart"/>
                  <w:vAlign w:val="center"/>
                </w:tcPr>
                <w:p w14:paraId="7D99BADE">
                  <w:pPr>
                    <w:jc w:val="center"/>
                    <w:rPr>
                      <w:rFonts w:hint="eastAsia" w:ascii="Times New Roman" w:hAnsi="Times New Roman" w:cs="Times New Roman"/>
                      <w:color w:val="auto"/>
                      <w:sz w:val="18"/>
                      <w:szCs w:val="18"/>
                      <w:lang w:val="en-US" w:eastAsia="zh-CN"/>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ascii="Times New Roman" w:hAnsi="Times New Roman" w:cs="Times New Roman"/>
                      <w:color w:val="auto"/>
                      <w:sz w:val="18"/>
                      <w:szCs w:val="18"/>
                    </w:rPr>
                    <w:t>（H=</w:t>
                  </w:r>
                  <w:r>
                    <w:rPr>
                      <w:rFonts w:hint="eastAsia" w:cs="Times New Roman"/>
                      <w:color w:val="auto"/>
                      <w:sz w:val="18"/>
                      <w:szCs w:val="18"/>
                      <w:lang w:val="en-US" w:eastAsia="zh-CN"/>
                    </w:rPr>
                    <w:t>15</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49640B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994" w:type="pct"/>
                  <w:shd w:val="clear" w:color="auto" w:fill="auto"/>
                  <w:vAlign w:val="center"/>
                </w:tcPr>
                <w:p w14:paraId="777506C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甲醇</w:t>
                  </w:r>
                </w:p>
              </w:tc>
              <w:tc>
                <w:tcPr>
                  <w:tcW w:w="576" w:type="pct"/>
                  <w:vMerge w:val="continue"/>
                  <w:vAlign w:val="center"/>
                </w:tcPr>
                <w:p w14:paraId="539530C9">
                  <w:pPr>
                    <w:pStyle w:val="60"/>
                    <w:rPr>
                      <w:rFonts w:hint="eastAsia"/>
                      <w:color w:val="auto"/>
                      <w:sz w:val="18"/>
                      <w:szCs w:val="18"/>
                      <w:lang w:val="en-US" w:eastAsia="zh-CN"/>
                    </w:rPr>
                  </w:pPr>
                </w:p>
              </w:tc>
              <w:tc>
                <w:tcPr>
                  <w:tcW w:w="512" w:type="pct"/>
                  <w:vAlign w:val="center"/>
                </w:tcPr>
                <w:p w14:paraId="6F5650C6">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0.120</w:t>
                  </w:r>
                </w:p>
              </w:tc>
              <w:tc>
                <w:tcPr>
                  <w:tcW w:w="512" w:type="pct"/>
                  <w:vAlign w:val="center"/>
                </w:tcPr>
                <w:p w14:paraId="29F8E5C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1.044</w:t>
                  </w:r>
                </w:p>
              </w:tc>
              <w:tc>
                <w:tcPr>
                  <w:tcW w:w="613" w:type="pct"/>
                  <w:vAlign w:val="center"/>
                </w:tcPr>
                <w:p w14:paraId="5540E719">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18.3</w:t>
                  </w:r>
                </w:p>
              </w:tc>
              <w:tc>
                <w:tcPr>
                  <w:tcW w:w="576" w:type="pct"/>
                  <w:shd w:val="clear" w:color="auto" w:fill="auto"/>
                  <w:vAlign w:val="center"/>
                </w:tcPr>
                <w:p w14:paraId="37035B1D">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50</w:t>
                  </w:r>
                </w:p>
              </w:tc>
              <w:tc>
                <w:tcPr>
                  <w:tcW w:w="567" w:type="pct"/>
                  <w:shd w:val="clear" w:color="auto" w:fill="auto"/>
                  <w:vAlign w:val="center"/>
                </w:tcPr>
                <w:p w14:paraId="58D637F2">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pct"/>
                  <w:vMerge w:val="continue"/>
                  <w:vAlign w:val="center"/>
                </w:tcPr>
                <w:p w14:paraId="06036DBE">
                  <w:pPr>
                    <w:jc w:val="center"/>
                    <w:rPr>
                      <w:rFonts w:hint="eastAsia" w:ascii="Times New Roman" w:hAnsi="Times New Roman" w:cs="Times New Roman"/>
                      <w:color w:val="auto"/>
                      <w:sz w:val="18"/>
                      <w:szCs w:val="18"/>
                      <w:lang w:val="en-US" w:eastAsia="zh-CN"/>
                    </w:rPr>
                  </w:pPr>
                </w:p>
              </w:tc>
            </w:tr>
            <w:tr w14:paraId="643234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1CB5245D">
                  <w:pPr>
                    <w:pStyle w:val="60"/>
                    <w:rPr>
                      <w:rFonts w:hint="eastAsia"/>
                      <w:color w:val="auto"/>
                      <w:sz w:val="18"/>
                      <w:szCs w:val="18"/>
                      <w:lang w:val="en-US" w:eastAsia="zh-CN"/>
                    </w:rPr>
                  </w:pPr>
                  <w:r>
                    <w:rPr>
                      <w:rFonts w:hint="eastAsia"/>
                      <w:color w:val="auto"/>
                      <w:sz w:val="18"/>
                      <w:szCs w:val="18"/>
                      <w:lang w:val="en-US" w:eastAsia="zh-CN"/>
                    </w:rPr>
                    <w:t>NOx</w:t>
                  </w:r>
                </w:p>
              </w:tc>
              <w:tc>
                <w:tcPr>
                  <w:tcW w:w="576" w:type="pct"/>
                  <w:vMerge w:val="continue"/>
                  <w:vAlign w:val="center"/>
                </w:tcPr>
                <w:p w14:paraId="25D09F7B">
                  <w:pPr>
                    <w:pStyle w:val="60"/>
                    <w:rPr>
                      <w:rFonts w:hint="eastAsia"/>
                      <w:color w:val="auto"/>
                      <w:sz w:val="18"/>
                      <w:szCs w:val="18"/>
                      <w:lang w:val="en-US" w:eastAsia="zh-CN"/>
                    </w:rPr>
                  </w:pPr>
                </w:p>
              </w:tc>
              <w:tc>
                <w:tcPr>
                  <w:tcW w:w="512" w:type="pct"/>
                  <w:vAlign w:val="center"/>
                </w:tcPr>
                <w:p w14:paraId="7E0AD9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0.0285</w:t>
                  </w:r>
                </w:p>
              </w:tc>
              <w:tc>
                <w:tcPr>
                  <w:tcW w:w="512" w:type="pct"/>
                  <w:vAlign w:val="center"/>
                </w:tcPr>
                <w:p w14:paraId="6D240B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0.248</w:t>
                  </w:r>
                </w:p>
              </w:tc>
              <w:tc>
                <w:tcPr>
                  <w:tcW w:w="613" w:type="pct"/>
                  <w:vAlign w:val="center"/>
                </w:tcPr>
                <w:p w14:paraId="7A92AD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4.4</w:t>
                  </w:r>
                </w:p>
              </w:tc>
              <w:tc>
                <w:tcPr>
                  <w:tcW w:w="576" w:type="pct"/>
                  <w:shd w:val="clear" w:color="auto" w:fill="auto"/>
                  <w:vAlign w:val="center"/>
                </w:tcPr>
                <w:p w14:paraId="4F0876B4">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100</w:t>
                  </w:r>
                </w:p>
              </w:tc>
              <w:tc>
                <w:tcPr>
                  <w:tcW w:w="567" w:type="pct"/>
                  <w:shd w:val="clear" w:color="auto" w:fill="auto"/>
                  <w:vAlign w:val="center"/>
                </w:tcPr>
                <w:p w14:paraId="10CE89D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6" w:type="pct"/>
                  <w:vMerge w:val="continue"/>
                  <w:vAlign w:val="center"/>
                </w:tcPr>
                <w:p w14:paraId="538743E7">
                  <w:pPr>
                    <w:jc w:val="center"/>
                    <w:rPr>
                      <w:rFonts w:hint="eastAsia" w:ascii="Times New Roman" w:hAnsi="Times New Roman" w:cs="Times New Roman"/>
                      <w:color w:val="auto"/>
                      <w:sz w:val="18"/>
                      <w:szCs w:val="18"/>
                      <w:lang w:val="en-US" w:eastAsia="zh-CN"/>
                    </w:rPr>
                  </w:pPr>
                </w:p>
              </w:tc>
            </w:tr>
          </w:tbl>
          <w:p w14:paraId="17F5E18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根据上述分析可知，本项目及本项目建成后全厂DA001及DA002排气筒外排废气VOCs能够满足《挥发性有机物排放标准 第6部分：有机化工行业》（DB37/2801.6-2018）表1（其他行业</w:t>
            </w:r>
            <w:r>
              <w:rPr>
                <w:rFonts w:hint="default" w:ascii="Times New Roman" w:hAnsi="Times New Roman" w:cs="Times New Roman"/>
                <w:b w:val="0"/>
                <w:bCs w:val="0"/>
                <w:color w:val="auto"/>
                <w:lang w:val="en-US" w:eastAsia="zh-CN"/>
              </w:rPr>
              <w:t>Ⅱ</w:t>
            </w:r>
            <w:r>
              <w:rPr>
                <w:rFonts w:hint="eastAsia"/>
                <w:b w:val="0"/>
                <w:bCs w:val="0"/>
                <w:color w:val="auto"/>
                <w:lang w:val="en-US" w:eastAsia="zh-CN"/>
              </w:rPr>
              <w:t>时段）限值要求（浓度60mg/m</w:t>
            </w:r>
            <w:r>
              <w:rPr>
                <w:rFonts w:hint="eastAsia"/>
                <w:b w:val="0"/>
                <w:bCs w:val="0"/>
                <w:color w:val="auto"/>
                <w:vertAlign w:val="superscript"/>
                <w:lang w:val="en-US" w:eastAsia="zh-CN"/>
              </w:rPr>
              <w:t>3</w:t>
            </w:r>
            <w:r>
              <w:rPr>
                <w:rFonts w:hint="eastAsia"/>
                <w:b w:val="0"/>
                <w:bCs w:val="0"/>
                <w:color w:val="auto"/>
                <w:lang w:val="en-US" w:eastAsia="zh-CN"/>
              </w:rPr>
              <w:t>、速率3.0kg/h）；甲醇排放浓度能够满足《挥发性有机物排放标准 第6部分：有机化工行业》（DB37/2801.6-2018）表2限值要求（甲醇50mg/m</w:t>
            </w:r>
            <w:r>
              <w:rPr>
                <w:rFonts w:hint="eastAsia"/>
                <w:b w:val="0"/>
                <w:bCs w:val="0"/>
                <w:color w:val="auto"/>
                <w:vertAlign w:val="superscript"/>
                <w:lang w:val="en-US" w:eastAsia="zh-CN"/>
              </w:rPr>
              <w:t>3</w:t>
            </w:r>
            <w:r>
              <w:rPr>
                <w:rFonts w:hint="eastAsia"/>
                <w:b w:val="0"/>
                <w:bCs w:val="0"/>
                <w:color w:val="auto"/>
                <w:lang w:val="en-US" w:eastAsia="zh-CN"/>
              </w:rPr>
              <w:t>）；氮氧化物排放浓度能够满足《区域性大气污染物综合排放标准》(DB37/2376-2019)表1中“重点控制区”限值要求（氮氧化物100mg/m</w:t>
            </w:r>
            <w:r>
              <w:rPr>
                <w:rFonts w:hint="eastAsia"/>
                <w:b w:val="0"/>
                <w:bCs w:val="0"/>
                <w:color w:val="auto"/>
                <w:vertAlign w:val="superscript"/>
                <w:lang w:val="en-US" w:eastAsia="zh-CN"/>
              </w:rPr>
              <w:t>3</w:t>
            </w:r>
            <w:r>
              <w:rPr>
                <w:rFonts w:hint="eastAsia"/>
                <w:b w:val="0"/>
                <w:bCs w:val="0"/>
                <w:color w:val="auto"/>
                <w:lang w:val="en-US" w:eastAsia="zh-CN"/>
              </w:rPr>
              <w:t>）。</w:t>
            </w:r>
          </w:p>
          <w:p w14:paraId="1741389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③等效排气筒核算</w:t>
            </w:r>
          </w:p>
          <w:p w14:paraId="2556053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根据现场踏勘，本项目DA001及DA002排气筒间距为12m，小于两排气筒几何高度之和，根据《挥发性有机物排放标准 第6部分：有机化工行业》（DB37/2801.6-2018）要求，需进行等效排气筒核算。经核算，本项目排气筒等效后VOCs排放速率为</w:t>
            </w:r>
            <w:r>
              <w:rPr>
                <w:rFonts w:hint="eastAsia"/>
                <w:b w:val="0"/>
                <w:bCs w:val="0"/>
                <w:color w:val="auto"/>
                <w:highlight w:val="none"/>
                <w:lang w:val="en-US" w:eastAsia="zh-CN"/>
              </w:rPr>
              <w:t>0.054kg/h、本项目建成后全厂等效后VOCs排放速率为0.734kg/h，等效高度为20m，能够满足</w:t>
            </w:r>
            <w:r>
              <w:rPr>
                <w:rFonts w:hint="eastAsia"/>
                <w:b w:val="0"/>
                <w:bCs w:val="0"/>
                <w:color w:val="auto"/>
                <w:lang w:val="en-US" w:eastAsia="zh-CN"/>
              </w:rPr>
              <w:t>《挥发性有机物排放标准 第6部分：有机化工行业》（DB37/2801.6-2018）表1（其他行业</w:t>
            </w:r>
            <w:r>
              <w:rPr>
                <w:rFonts w:hint="default" w:ascii="Times New Roman" w:hAnsi="Times New Roman" w:cs="Times New Roman"/>
                <w:b w:val="0"/>
                <w:bCs w:val="0"/>
                <w:color w:val="auto"/>
                <w:lang w:val="en-US" w:eastAsia="zh-CN"/>
              </w:rPr>
              <w:t>Ⅱ</w:t>
            </w:r>
            <w:r>
              <w:rPr>
                <w:rFonts w:hint="eastAsia"/>
                <w:b w:val="0"/>
                <w:bCs w:val="0"/>
                <w:color w:val="auto"/>
                <w:lang w:val="en-US" w:eastAsia="zh-CN"/>
              </w:rPr>
              <w:t>时段）限值要求。</w:t>
            </w:r>
          </w:p>
          <w:p w14:paraId="59EEC25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④停炉检修工况</w:t>
            </w:r>
          </w:p>
          <w:p w14:paraId="2066AD2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根据前述，本次环评考虑最不利工况，即1#尾气炉停炉检修，则检修期间DA002排气筒外排废气达标情况如下：</w:t>
            </w:r>
          </w:p>
          <w:p w14:paraId="2424878B">
            <w:pPr>
              <w:adjustRightInd w:val="0"/>
              <w:snapToGrid w:val="0"/>
              <w:spacing w:before="120" w:beforeLines="50"/>
              <w:jc w:val="center"/>
              <w:rPr>
                <w:rFonts w:hint="default" w:eastAsia="宋体"/>
                <w:b/>
                <w:bCs/>
                <w:color w:val="auto"/>
                <w:szCs w:val="21"/>
                <w:lang w:val="en-US" w:eastAsia="zh-CN"/>
              </w:rPr>
            </w:pPr>
            <w:r>
              <w:rPr>
                <w:b/>
                <w:bCs/>
                <w:color w:val="auto"/>
                <w:szCs w:val="21"/>
              </w:rPr>
              <w:t>表</w:t>
            </w:r>
            <w:r>
              <w:rPr>
                <w:rFonts w:hint="eastAsia"/>
                <w:b/>
                <w:bCs/>
                <w:color w:val="auto"/>
                <w:szCs w:val="21"/>
                <w:lang w:val="en-US" w:eastAsia="zh-CN"/>
              </w:rPr>
              <w:t>4-9</w:t>
            </w:r>
            <w:r>
              <w:rPr>
                <w:b/>
                <w:bCs/>
                <w:color w:val="auto"/>
                <w:szCs w:val="21"/>
              </w:rPr>
              <w:t xml:space="preserve">  </w:t>
            </w:r>
            <w:r>
              <w:rPr>
                <w:rFonts w:hint="eastAsia"/>
                <w:b/>
                <w:bCs/>
                <w:color w:val="auto"/>
                <w:szCs w:val="21"/>
                <w:lang w:val="en-US" w:eastAsia="zh-CN"/>
              </w:rPr>
              <w:t>本项目检修期间DA002排气筒</w:t>
            </w:r>
            <w:r>
              <w:rPr>
                <w:rFonts w:hint="eastAsia"/>
                <w:b/>
                <w:bCs/>
                <w:color w:val="auto"/>
                <w:szCs w:val="21"/>
              </w:rPr>
              <w:t>有组织</w:t>
            </w:r>
            <w:r>
              <w:rPr>
                <w:b/>
                <w:bCs/>
                <w:color w:val="auto"/>
                <w:szCs w:val="21"/>
              </w:rPr>
              <w:t>废气</w:t>
            </w:r>
            <w:r>
              <w:rPr>
                <w:rFonts w:hint="eastAsia"/>
                <w:b/>
                <w:bCs/>
                <w:color w:val="auto"/>
                <w:szCs w:val="21"/>
                <w:lang w:val="en-US" w:eastAsia="zh-CN"/>
              </w:rPr>
              <w:t>达标性分析汇总表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64"/>
              <w:gridCol w:w="672"/>
              <w:gridCol w:w="759"/>
              <w:gridCol w:w="582"/>
              <w:gridCol w:w="530"/>
              <w:gridCol w:w="450"/>
              <w:gridCol w:w="705"/>
              <w:gridCol w:w="645"/>
              <w:gridCol w:w="615"/>
              <w:gridCol w:w="765"/>
              <w:gridCol w:w="555"/>
              <w:gridCol w:w="420"/>
              <w:gridCol w:w="932"/>
            </w:tblGrid>
            <w:tr w14:paraId="0B1D6A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572" w:type="pct"/>
                  <w:gridSpan w:val="4"/>
                  <w:vAlign w:val="center"/>
                </w:tcPr>
                <w:p w14:paraId="191F52CE">
                  <w:pPr>
                    <w:pStyle w:val="60"/>
                    <w:rPr>
                      <w:b/>
                      <w:bCs/>
                      <w:color w:val="auto"/>
                      <w:sz w:val="18"/>
                      <w:szCs w:val="18"/>
                    </w:rPr>
                  </w:pPr>
                  <w:r>
                    <w:rPr>
                      <w:rFonts w:hint="eastAsia"/>
                      <w:b/>
                      <w:bCs/>
                      <w:color w:val="auto"/>
                      <w:sz w:val="18"/>
                      <w:szCs w:val="18"/>
                    </w:rPr>
                    <w:t>废气</w:t>
                  </w:r>
                  <w:r>
                    <w:rPr>
                      <w:rFonts w:hint="eastAsia"/>
                      <w:b/>
                      <w:bCs/>
                      <w:color w:val="auto"/>
                      <w:sz w:val="18"/>
                      <w:szCs w:val="18"/>
                      <w:lang w:val="en-US" w:eastAsia="zh-CN"/>
                    </w:rPr>
                    <w:t>进口</w:t>
                  </w:r>
                  <w:r>
                    <w:rPr>
                      <w:rFonts w:hint="eastAsia"/>
                      <w:b/>
                      <w:bCs/>
                      <w:color w:val="auto"/>
                      <w:sz w:val="18"/>
                      <w:szCs w:val="18"/>
                    </w:rPr>
                    <w:t>情况</w:t>
                  </w:r>
                </w:p>
              </w:tc>
              <w:tc>
                <w:tcPr>
                  <w:tcW w:w="323" w:type="pct"/>
                  <w:vMerge w:val="restart"/>
                  <w:vAlign w:val="center"/>
                </w:tcPr>
                <w:p w14:paraId="659EE036">
                  <w:pPr>
                    <w:pStyle w:val="60"/>
                    <w:rPr>
                      <w:b/>
                      <w:bCs/>
                      <w:color w:val="auto"/>
                      <w:sz w:val="18"/>
                      <w:szCs w:val="18"/>
                    </w:rPr>
                  </w:pPr>
                  <w:r>
                    <w:rPr>
                      <w:b/>
                      <w:bCs/>
                      <w:color w:val="auto"/>
                      <w:sz w:val="18"/>
                      <w:szCs w:val="18"/>
                    </w:rPr>
                    <w:t>处理措施</w:t>
                  </w:r>
                </w:p>
              </w:tc>
              <w:tc>
                <w:tcPr>
                  <w:tcW w:w="274" w:type="pct"/>
                  <w:vMerge w:val="restart"/>
                  <w:vAlign w:val="center"/>
                </w:tcPr>
                <w:p w14:paraId="50E7D827">
                  <w:pPr>
                    <w:pStyle w:val="60"/>
                    <w:rPr>
                      <w:b/>
                      <w:bCs/>
                      <w:color w:val="auto"/>
                      <w:sz w:val="18"/>
                      <w:szCs w:val="18"/>
                    </w:rPr>
                  </w:pPr>
                  <w:r>
                    <w:rPr>
                      <w:rFonts w:hint="eastAsia"/>
                      <w:b/>
                      <w:bCs/>
                      <w:color w:val="auto"/>
                      <w:sz w:val="18"/>
                      <w:szCs w:val="18"/>
                    </w:rPr>
                    <w:t>处理</w:t>
                  </w:r>
                  <w:r>
                    <w:rPr>
                      <w:b/>
                      <w:bCs/>
                      <w:color w:val="auto"/>
                      <w:sz w:val="18"/>
                      <w:szCs w:val="18"/>
                    </w:rPr>
                    <w:t>效率/%</w:t>
                  </w:r>
                </w:p>
              </w:tc>
              <w:tc>
                <w:tcPr>
                  <w:tcW w:w="430" w:type="pct"/>
                  <w:vMerge w:val="restart"/>
                  <w:vAlign w:val="center"/>
                </w:tcPr>
                <w:p w14:paraId="30027524">
                  <w:pPr>
                    <w:pStyle w:val="60"/>
                    <w:rPr>
                      <w:b/>
                      <w:bCs/>
                      <w:color w:val="auto"/>
                      <w:sz w:val="18"/>
                      <w:szCs w:val="18"/>
                    </w:rPr>
                  </w:pPr>
                  <w:r>
                    <w:rPr>
                      <w:rFonts w:hint="eastAsia"/>
                      <w:b/>
                      <w:bCs/>
                      <w:color w:val="auto"/>
                      <w:sz w:val="18"/>
                      <w:szCs w:val="18"/>
                      <w:lang w:val="en-US" w:eastAsia="zh-CN"/>
                    </w:rPr>
                    <w:t>废气量</w:t>
                  </w:r>
                  <w:r>
                    <w:rPr>
                      <w:rFonts w:hint="eastAsia"/>
                      <w:b/>
                      <w:bCs/>
                      <w:color w:val="auto"/>
                      <w:sz w:val="18"/>
                      <w:szCs w:val="18"/>
                    </w:rPr>
                    <w:t>m</w:t>
                  </w:r>
                  <w:r>
                    <w:rPr>
                      <w:rFonts w:hint="eastAsia"/>
                      <w:b/>
                      <w:bCs/>
                      <w:color w:val="auto"/>
                      <w:sz w:val="18"/>
                      <w:szCs w:val="18"/>
                      <w:vertAlign w:val="superscript"/>
                    </w:rPr>
                    <w:t>3</w:t>
                  </w:r>
                  <w:r>
                    <w:rPr>
                      <w:rFonts w:hint="eastAsia"/>
                      <w:b/>
                      <w:bCs/>
                      <w:color w:val="auto"/>
                      <w:sz w:val="18"/>
                      <w:szCs w:val="18"/>
                    </w:rPr>
                    <w:t>/h</w:t>
                  </w:r>
                </w:p>
              </w:tc>
              <w:tc>
                <w:tcPr>
                  <w:tcW w:w="1235" w:type="pct"/>
                  <w:gridSpan w:val="3"/>
                  <w:vAlign w:val="center"/>
                </w:tcPr>
                <w:p w14:paraId="4F91E617">
                  <w:pPr>
                    <w:pStyle w:val="60"/>
                    <w:rPr>
                      <w:b/>
                      <w:bCs/>
                      <w:color w:val="auto"/>
                      <w:sz w:val="18"/>
                      <w:szCs w:val="18"/>
                    </w:rPr>
                  </w:pPr>
                  <w:r>
                    <w:rPr>
                      <w:rFonts w:hint="eastAsia"/>
                      <w:b/>
                      <w:bCs/>
                      <w:color w:val="auto"/>
                      <w:sz w:val="18"/>
                      <w:szCs w:val="18"/>
                    </w:rPr>
                    <w:t>废气排放情况</w:t>
                  </w:r>
                </w:p>
              </w:tc>
              <w:tc>
                <w:tcPr>
                  <w:tcW w:w="594" w:type="pct"/>
                  <w:gridSpan w:val="2"/>
                  <w:vAlign w:val="center"/>
                </w:tcPr>
                <w:p w14:paraId="44B000AA">
                  <w:pPr>
                    <w:pStyle w:val="60"/>
                    <w:rPr>
                      <w:b/>
                      <w:bCs/>
                      <w:color w:val="auto"/>
                      <w:sz w:val="18"/>
                      <w:szCs w:val="18"/>
                    </w:rPr>
                  </w:pPr>
                  <w:r>
                    <w:rPr>
                      <w:rFonts w:hint="eastAsia"/>
                      <w:b/>
                      <w:bCs/>
                      <w:color w:val="auto"/>
                      <w:sz w:val="18"/>
                      <w:szCs w:val="18"/>
                    </w:rPr>
                    <w:t>排放标准</w:t>
                  </w:r>
                </w:p>
              </w:tc>
              <w:tc>
                <w:tcPr>
                  <w:tcW w:w="568" w:type="pct"/>
                  <w:vMerge w:val="restart"/>
                  <w:vAlign w:val="center"/>
                </w:tcPr>
                <w:p w14:paraId="63F9B2B5">
                  <w:pPr>
                    <w:pStyle w:val="60"/>
                    <w:rPr>
                      <w:b/>
                      <w:bCs/>
                      <w:color w:val="auto"/>
                      <w:sz w:val="18"/>
                      <w:szCs w:val="18"/>
                    </w:rPr>
                  </w:pPr>
                  <w:r>
                    <w:rPr>
                      <w:rFonts w:hint="eastAsia"/>
                      <w:b/>
                      <w:bCs/>
                      <w:color w:val="auto"/>
                      <w:sz w:val="18"/>
                      <w:szCs w:val="18"/>
                    </w:rPr>
                    <w:t>排气筒</w:t>
                  </w:r>
                </w:p>
              </w:tc>
            </w:tr>
            <w:tr w14:paraId="483CF4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44" w:type="pct"/>
                  <w:vAlign w:val="center"/>
                </w:tcPr>
                <w:p w14:paraId="484E871E">
                  <w:pPr>
                    <w:pStyle w:val="60"/>
                    <w:rPr>
                      <w:b/>
                      <w:bCs/>
                      <w:color w:val="auto"/>
                      <w:sz w:val="18"/>
                      <w:szCs w:val="18"/>
                    </w:rPr>
                  </w:pPr>
                  <w:r>
                    <w:rPr>
                      <w:b/>
                      <w:bCs/>
                      <w:color w:val="auto"/>
                      <w:sz w:val="18"/>
                      <w:szCs w:val="18"/>
                    </w:rPr>
                    <w:t>污染物</w:t>
                  </w:r>
                  <w:r>
                    <w:rPr>
                      <w:rFonts w:hint="eastAsia"/>
                      <w:b/>
                      <w:bCs/>
                      <w:color w:val="auto"/>
                      <w:sz w:val="18"/>
                      <w:szCs w:val="18"/>
                    </w:rPr>
                    <w:t>名称</w:t>
                  </w:r>
                </w:p>
              </w:tc>
              <w:tc>
                <w:tcPr>
                  <w:tcW w:w="410" w:type="pct"/>
                  <w:vAlign w:val="center"/>
                </w:tcPr>
                <w:p w14:paraId="50CCEE71">
                  <w:pPr>
                    <w:pStyle w:val="60"/>
                    <w:rPr>
                      <w:b/>
                      <w:bCs/>
                      <w:color w:val="auto"/>
                      <w:sz w:val="18"/>
                      <w:szCs w:val="18"/>
                    </w:rPr>
                  </w:pPr>
                  <w:r>
                    <w:rPr>
                      <w:rFonts w:hint="eastAsia"/>
                      <w:b/>
                      <w:bCs/>
                      <w:color w:val="auto"/>
                      <w:sz w:val="18"/>
                      <w:szCs w:val="18"/>
                    </w:rPr>
                    <w:t>进</w:t>
                  </w:r>
                  <w:r>
                    <w:rPr>
                      <w:rFonts w:hint="eastAsia"/>
                      <w:b/>
                      <w:bCs/>
                      <w:color w:val="auto"/>
                      <w:sz w:val="18"/>
                      <w:szCs w:val="18"/>
                      <w:lang w:val="en-US" w:eastAsia="zh-CN"/>
                    </w:rPr>
                    <w:t>气</w:t>
                  </w:r>
                  <w:r>
                    <w:rPr>
                      <w:b/>
                      <w:bCs/>
                      <w:color w:val="auto"/>
                      <w:sz w:val="18"/>
                      <w:szCs w:val="18"/>
                    </w:rPr>
                    <w:t>速率(kg/h)</w:t>
                  </w:r>
                </w:p>
              </w:tc>
              <w:tc>
                <w:tcPr>
                  <w:tcW w:w="463" w:type="pct"/>
                  <w:vAlign w:val="center"/>
                </w:tcPr>
                <w:p w14:paraId="1539DD1B">
                  <w:pPr>
                    <w:pStyle w:val="60"/>
                    <w:rPr>
                      <w:b/>
                      <w:bCs/>
                      <w:color w:val="auto"/>
                      <w:sz w:val="18"/>
                      <w:szCs w:val="18"/>
                    </w:rPr>
                  </w:pPr>
                  <w:r>
                    <w:rPr>
                      <w:rFonts w:hint="eastAsia"/>
                      <w:b/>
                      <w:bCs/>
                      <w:color w:val="auto"/>
                      <w:sz w:val="18"/>
                      <w:szCs w:val="18"/>
                      <w:lang w:val="en-US" w:eastAsia="zh-CN"/>
                    </w:rPr>
                    <w:t>进口废气</w:t>
                  </w:r>
                  <w:r>
                    <w:rPr>
                      <w:b/>
                      <w:bCs/>
                      <w:color w:val="auto"/>
                      <w:sz w:val="18"/>
                      <w:szCs w:val="18"/>
                    </w:rPr>
                    <w:t>量t/a</w:t>
                  </w:r>
                </w:p>
              </w:tc>
              <w:tc>
                <w:tcPr>
                  <w:tcW w:w="355" w:type="pct"/>
                  <w:vAlign w:val="center"/>
                </w:tcPr>
                <w:p w14:paraId="72B1F2C7">
                  <w:pPr>
                    <w:pStyle w:val="60"/>
                    <w:rPr>
                      <w:b/>
                      <w:bCs/>
                      <w:color w:val="auto"/>
                      <w:sz w:val="18"/>
                      <w:szCs w:val="18"/>
                    </w:rPr>
                  </w:pPr>
                  <w:r>
                    <w:rPr>
                      <w:rFonts w:hint="eastAsia"/>
                      <w:b/>
                      <w:bCs/>
                      <w:color w:val="auto"/>
                      <w:sz w:val="18"/>
                      <w:szCs w:val="18"/>
                    </w:rPr>
                    <w:t>废气浓度mg/m</w:t>
                  </w:r>
                  <w:r>
                    <w:rPr>
                      <w:rFonts w:hint="eastAsia"/>
                      <w:b/>
                      <w:bCs/>
                      <w:color w:val="auto"/>
                      <w:sz w:val="18"/>
                      <w:szCs w:val="18"/>
                      <w:vertAlign w:val="superscript"/>
                    </w:rPr>
                    <w:t>3</w:t>
                  </w:r>
                </w:p>
              </w:tc>
              <w:tc>
                <w:tcPr>
                  <w:tcW w:w="323" w:type="pct"/>
                  <w:vMerge w:val="continue"/>
                  <w:vAlign w:val="center"/>
                </w:tcPr>
                <w:p w14:paraId="3BC0B05E">
                  <w:pPr>
                    <w:pStyle w:val="60"/>
                    <w:rPr>
                      <w:b/>
                      <w:bCs/>
                      <w:color w:val="auto"/>
                      <w:sz w:val="18"/>
                      <w:szCs w:val="18"/>
                    </w:rPr>
                  </w:pPr>
                </w:p>
              </w:tc>
              <w:tc>
                <w:tcPr>
                  <w:tcW w:w="274" w:type="pct"/>
                  <w:vMerge w:val="continue"/>
                  <w:vAlign w:val="center"/>
                </w:tcPr>
                <w:p w14:paraId="5ACD868A">
                  <w:pPr>
                    <w:pStyle w:val="60"/>
                    <w:rPr>
                      <w:b/>
                      <w:bCs/>
                      <w:color w:val="auto"/>
                      <w:sz w:val="18"/>
                      <w:szCs w:val="18"/>
                    </w:rPr>
                  </w:pPr>
                </w:p>
              </w:tc>
              <w:tc>
                <w:tcPr>
                  <w:tcW w:w="430" w:type="pct"/>
                  <w:vMerge w:val="continue"/>
                  <w:vAlign w:val="center"/>
                </w:tcPr>
                <w:p w14:paraId="662A17D3">
                  <w:pPr>
                    <w:pStyle w:val="60"/>
                    <w:rPr>
                      <w:b/>
                      <w:bCs/>
                      <w:color w:val="auto"/>
                      <w:sz w:val="18"/>
                      <w:szCs w:val="18"/>
                    </w:rPr>
                  </w:pPr>
                </w:p>
              </w:tc>
              <w:tc>
                <w:tcPr>
                  <w:tcW w:w="393" w:type="pct"/>
                  <w:vAlign w:val="center"/>
                </w:tcPr>
                <w:p w14:paraId="5626345E">
                  <w:pPr>
                    <w:pStyle w:val="60"/>
                    <w:rPr>
                      <w:b/>
                      <w:bCs/>
                      <w:color w:val="auto"/>
                      <w:sz w:val="18"/>
                      <w:szCs w:val="18"/>
                    </w:rPr>
                  </w:pPr>
                  <w:r>
                    <w:rPr>
                      <w:rFonts w:hint="eastAsia"/>
                      <w:b/>
                      <w:bCs/>
                      <w:color w:val="auto"/>
                      <w:sz w:val="18"/>
                      <w:szCs w:val="18"/>
                    </w:rPr>
                    <w:t>排放</w:t>
                  </w:r>
                  <w:r>
                    <w:rPr>
                      <w:b/>
                      <w:bCs/>
                      <w:color w:val="auto"/>
                      <w:sz w:val="18"/>
                      <w:szCs w:val="18"/>
                    </w:rPr>
                    <w:t>速率kg/h</w:t>
                  </w:r>
                </w:p>
              </w:tc>
              <w:tc>
                <w:tcPr>
                  <w:tcW w:w="375" w:type="pct"/>
                  <w:vAlign w:val="center"/>
                </w:tcPr>
                <w:p w14:paraId="28D2E2C9">
                  <w:pPr>
                    <w:pStyle w:val="60"/>
                    <w:rPr>
                      <w:b/>
                      <w:bCs/>
                      <w:color w:val="auto"/>
                      <w:sz w:val="18"/>
                      <w:szCs w:val="18"/>
                    </w:rPr>
                  </w:pPr>
                  <w:r>
                    <w:rPr>
                      <w:b/>
                      <w:bCs/>
                      <w:color w:val="auto"/>
                      <w:sz w:val="18"/>
                      <w:szCs w:val="18"/>
                    </w:rPr>
                    <w:t>排放量t/a</w:t>
                  </w:r>
                </w:p>
              </w:tc>
              <w:tc>
                <w:tcPr>
                  <w:tcW w:w="466" w:type="pct"/>
                  <w:vAlign w:val="center"/>
                </w:tcPr>
                <w:p w14:paraId="7F043671">
                  <w:pPr>
                    <w:pStyle w:val="60"/>
                    <w:rPr>
                      <w:b/>
                      <w:bCs/>
                      <w:color w:val="auto"/>
                      <w:sz w:val="18"/>
                      <w:szCs w:val="18"/>
                    </w:rPr>
                  </w:pPr>
                  <w:r>
                    <w:rPr>
                      <w:rFonts w:hint="eastAsia"/>
                      <w:b/>
                      <w:bCs/>
                      <w:color w:val="auto"/>
                      <w:sz w:val="18"/>
                      <w:szCs w:val="18"/>
                    </w:rPr>
                    <w:t>排放浓度mg/m</w:t>
                  </w:r>
                  <w:r>
                    <w:rPr>
                      <w:rFonts w:hint="eastAsia"/>
                      <w:b/>
                      <w:bCs/>
                      <w:color w:val="auto"/>
                      <w:sz w:val="18"/>
                      <w:szCs w:val="18"/>
                      <w:vertAlign w:val="superscript"/>
                    </w:rPr>
                    <w:t>3</w:t>
                  </w:r>
                </w:p>
              </w:tc>
              <w:tc>
                <w:tcPr>
                  <w:tcW w:w="338" w:type="pct"/>
                  <w:vAlign w:val="center"/>
                </w:tcPr>
                <w:p w14:paraId="66E303D9">
                  <w:pPr>
                    <w:pStyle w:val="60"/>
                    <w:rPr>
                      <w:b/>
                      <w:bCs/>
                      <w:color w:val="auto"/>
                      <w:sz w:val="18"/>
                      <w:szCs w:val="18"/>
                    </w:rPr>
                  </w:pPr>
                  <w:r>
                    <w:rPr>
                      <w:b/>
                      <w:bCs/>
                      <w:color w:val="auto"/>
                      <w:sz w:val="18"/>
                      <w:szCs w:val="18"/>
                    </w:rPr>
                    <w:t>浓度mg/m</w:t>
                  </w:r>
                  <w:r>
                    <w:rPr>
                      <w:b/>
                      <w:bCs/>
                      <w:color w:val="auto"/>
                      <w:sz w:val="18"/>
                      <w:szCs w:val="18"/>
                      <w:vertAlign w:val="superscript"/>
                    </w:rPr>
                    <w:t>3</w:t>
                  </w:r>
                </w:p>
              </w:tc>
              <w:tc>
                <w:tcPr>
                  <w:tcW w:w="256" w:type="pct"/>
                  <w:vAlign w:val="center"/>
                </w:tcPr>
                <w:p w14:paraId="3659040A">
                  <w:pPr>
                    <w:pStyle w:val="60"/>
                    <w:rPr>
                      <w:b/>
                      <w:bCs/>
                      <w:color w:val="auto"/>
                      <w:sz w:val="18"/>
                      <w:szCs w:val="18"/>
                    </w:rPr>
                  </w:pPr>
                  <w:r>
                    <w:rPr>
                      <w:b/>
                      <w:bCs/>
                      <w:color w:val="auto"/>
                      <w:sz w:val="18"/>
                      <w:szCs w:val="18"/>
                    </w:rPr>
                    <w:t>速率kg/h</w:t>
                  </w:r>
                </w:p>
              </w:tc>
              <w:tc>
                <w:tcPr>
                  <w:tcW w:w="568" w:type="pct"/>
                  <w:vMerge w:val="continue"/>
                  <w:vAlign w:val="center"/>
                </w:tcPr>
                <w:p w14:paraId="0543AC41">
                  <w:pPr>
                    <w:pStyle w:val="60"/>
                    <w:rPr>
                      <w:b/>
                      <w:bCs/>
                      <w:color w:val="auto"/>
                      <w:sz w:val="18"/>
                      <w:szCs w:val="18"/>
                    </w:rPr>
                  </w:pPr>
                </w:p>
              </w:tc>
            </w:tr>
            <w:tr w14:paraId="2C6D14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5625A8A9">
                  <w:pPr>
                    <w:pStyle w:val="60"/>
                    <w:rPr>
                      <w:color w:val="auto"/>
                      <w:sz w:val="18"/>
                      <w:szCs w:val="18"/>
                    </w:rPr>
                  </w:pPr>
                  <w:r>
                    <w:rPr>
                      <w:rFonts w:hint="eastAsia"/>
                      <w:color w:val="auto"/>
                      <w:sz w:val="18"/>
                      <w:szCs w:val="18"/>
                    </w:rPr>
                    <w:t>VOCs</w:t>
                  </w:r>
                </w:p>
              </w:tc>
              <w:tc>
                <w:tcPr>
                  <w:tcW w:w="410" w:type="pct"/>
                  <w:vAlign w:val="center"/>
                </w:tcPr>
                <w:p w14:paraId="008E80AC">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1.067</w:t>
                  </w:r>
                </w:p>
              </w:tc>
              <w:tc>
                <w:tcPr>
                  <w:tcW w:w="463" w:type="pct"/>
                  <w:vAlign w:val="center"/>
                </w:tcPr>
                <w:p w14:paraId="40151117">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0.044</w:t>
                  </w:r>
                </w:p>
              </w:tc>
              <w:tc>
                <w:tcPr>
                  <w:tcW w:w="355" w:type="pct"/>
                  <w:vAlign w:val="center"/>
                </w:tcPr>
                <w:p w14:paraId="23841647">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1006.6</w:t>
                  </w:r>
                </w:p>
              </w:tc>
              <w:tc>
                <w:tcPr>
                  <w:tcW w:w="323" w:type="pct"/>
                  <w:vMerge w:val="restart"/>
                  <w:vAlign w:val="center"/>
                </w:tcPr>
                <w:p w14:paraId="51D17DA3">
                  <w:pPr>
                    <w:pStyle w:val="60"/>
                    <w:rPr>
                      <w:rFonts w:hint="eastAsia"/>
                      <w:color w:val="auto"/>
                      <w:sz w:val="18"/>
                      <w:szCs w:val="18"/>
                      <w:lang w:val="en-US" w:eastAsia="zh-CN"/>
                    </w:rPr>
                  </w:pPr>
                  <w:r>
                    <w:rPr>
                      <w:rFonts w:hint="eastAsia"/>
                      <w:color w:val="auto"/>
                      <w:sz w:val="18"/>
                      <w:szCs w:val="18"/>
                      <w:lang w:val="en-US" w:eastAsia="zh-CN"/>
                    </w:rPr>
                    <w:t>焚烧</w:t>
                  </w:r>
                </w:p>
              </w:tc>
              <w:tc>
                <w:tcPr>
                  <w:tcW w:w="274" w:type="pct"/>
                  <w:vMerge w:val="restart"/>
                  <w:vAlign w:val="center"/>
                </w:tcPr>
                <w:p w14:paraId="48361049">
                  <w:pPr>
                    <w:pStyle w:val="60"/>
                    <w:rPr>
                      <w:rFonts w:hint="default"/>
                      <w:color w:val="auto"/>
                      <w:sz w:val="18"/>
                      <w:szCs w:val="18"/>
                      <w:lang w:val="en-US" w:eastAsia="zh-CN"/>
                    </w:rPr>
                  </w:pPr>
                  <w:r>
                    <w:rPr>
                      <w:rFonts w:hint="eastAsia"/>
                      <w:color w:val="auto"/>
                      <w:sz w:val="18"/>
                      <w:szCs w:val="18"/>
                      <w:lang w:val="en-US" w:eastAsia="zh-CN"/>
                    </w:rPr>
                    <w:t>95</w:t>
                  </w:r>
                </w:p>
              </w:tc>
              <w:tc>
                <w:tcPr>
                  <w:tcW w:w="430" w:type="pct"/>
                  <w:vMerge w:val="restart"/>
                  <w:vAlign w:val="center"/>
                </w:tcPr>
                <w:p w14:paraId="3A6F34DA">
                  <w:pPr>
                    <w:pStyle w:val="60"/>
                    <w:rPr>
                      <w:rFonts w:hint="default"/>
                      <w:color w:val="auto"/>
                      <w:sz w:val="18"/>
                      <w:szCs w:val="18"/>
                      <w:lang w:val="en-US" w:eastAsia="zh-CN"/>
                    </w:rPr>
                  </w:pPr>
                  <w:r>
                    <w:rPr>
                      <w:rFonts w:hint="eastAsia"/>
                      <w:color w:val="auto"/>
                      <w:sz w:val="18"/>
                      <w:szCs w:val="18"/>
                      <w:lang w:val="en-US" w:eastAsia="zh-CN"/>
                    </w:rPr>
                    <w:t>1060.44</w:t>
                  </w:r>
                </w:p>
              </w:tc>
              <w:tc>
                <w:tcPr>
                  <w:tcW w:w="393" w:type="pct"/>
                  <w:vAlign w:val="center"/>
                </w:tcPr>
                <w:p w14:paraId="5BF26CD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0.053</w:t>
                  </w:r>
                </w:p>
              </w:tc>
              <w:tc>
                <w:tcPr>
                  <w:tcW w:w="375" w:type="pct"/>
                  <w:vAlign w:val="center"/>
                </w:tcPr>
                <w:p w14:paraId="21FB17C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466" w:type="pct"/>
                  <w:vAlign w:val="center"/>
                </w:tcPr>
                <w:p w14:paraId="01BBABA1">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50.3</w:t>
                  </w:r>
                </w:p>
              </w:tc>
              <w:tc>
                <w:tcPr>
                  <w:tcW w:w="338" w:type="pct"/>
                  <w:vAlign w:val="center"/>
                </w:tcPr>
                <w:p w14:paraId="657FAEBD">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256" w:type="pct"/>
                  <w:vAlign w:val="center"/>
                </w:tcPr>
                <w:p w14:paraId="760EB0C7">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568" w:type="pct"/>
                  <w:vMerge w:val="restart"/>
                  <w:vAlign w:val="center"/>
                </w:tcPr>
                <w:p w14:paraId="30BA4111">
                  <w:pPr>
                    <w:jc w:val="center"/>
                    <w:rPr>
                      <w:color w:val="auto"/>
                      <w:sz w:val="18"/>
                      <w:szCs w:val="18"/>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ascii="Times New Roman" w:hAnsi="Times New Roman" w:cs="Times New Roman"/>
                      <w:color w:val="auto"/>
                      <w:sz w:val="18"/>
                      <w:szCs w:val="18"/>
                    </w:rPr>
                    <w:t>（H=</w:t>
                  </w:r>
                  <w:r>
                    <w:rPr>
                      <w:rFonts w:hint="eastAsia" w:cs="Times New Roman"/>
                      <w:color w:val="auto"/>
                      <w:sz w:val="18"/>
                      <w:szCs w:val="18"/>
                      <w:lang w:val="en-US" w:eastAsia="zh-CN"/>
                    </w:rPr>
                    <w:t>15</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3B7184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70997357">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410" w:type="pct"/>
                  <w:vAlign w:val="center"/>
                </w:tcPr>
                <w:p w14:paraId="5529A9D9">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0.483</w:t>
                  </w:r>
                </w:p>
              </w:tc>
              <w:tc>
                <w:tcPr>
                  <w:tcW w:w="463" w:type="pct"/>
                  <w:vAlign w:val="center"/>
                </w:tcPr>
                <w:p w14:paraId="5376334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0.029</w:t>
                  </w:r>
                </w:p>
              </w:tc>
              <w:tc>
                <w:tcPr>
                  <w:tcW w:w="355" w:type="pct"/>
                  <w:vAlign w:val="center"/>
                </w:tcPr>
                <w:p w14:paraId="003D544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455.0</w:t>
                  </w:r>
                </w:p>
              </w:tc>
              <w:tc>
                <w:tcPr>
                  <w:tcW w:w="323" w:type="pct"/>
                  <w:vMerge w:val="continue"/>
                  <w:vAlign w:val="center"/>
                </w:tcPr>
                <w:p w14:paraId="157FF24D">
                  <w:pPr>
                    <w:pStyle w:val="60"/>
                    <w:rPr>
                      <w:rFonts w:hint="eastAsia"/>
                      <w:color w:val="auto"/>
                      <w:sz w:val="18"/>
                      <w:szCs w:val="18"/>
                      <w:lang w:val="en-US" w:eastAsia="zh-CN"/>
                    </w:rPr>
                  </w:pPr>
                </w:p>
              </w:tc>
              <w:tc>
                <w:tcPr>
                  <w:tcW w:w="274" w:type="pct"/>
                  <w:vMerge w:val="continue"/>
                  <w:vAlign w:val="center"/>
                </w:tcPr>
                <w:p w14:paraId="79C04992">
                  <w:pPr>
                    <w:pStyle w:val="60"/>
                    <w:rPr>
                      <w:rFonts w:hint="eastAsia"/>
                      <w:color w:val="auto"/>
                      <w:sz w:val="18"/>
                      <w:szCs w:val="18"/>
                      <w:lang w:val="en-US" w:eastAsia="zh-CN"/>
                    </w:rPr>
                  </w:pPr>
                </w:p>
              </w:tc>
              <w:tc>
                <w:tcPr>
                  <w:tcW w:w="430" w:type="pct"/>
                  <w:vMerge w:val="continue"/>
                  <w:vAlign w:val="center"/>
                </w:tcPr>
                <w:p w14:paraId="345852CE">
                  <w:pPr>
                    <w:pStyle w:val="60"/>
                    <w:rPr>
                      <w:rFonts w:hint="eastAsia"/>
                      <w:color w:val="auto"/>
                      <w:sz w:val="18"/>
                      <w:szCs w:val="18"/>
                      <w:lang w:val="en-US" w:eastAsia="zh-CN"/>
                    </w:rPr>
                  </w:pPr>
                </w:p>
              </w:tc>
              <w:tc>
                <w:tcPr>
                  <w:tcW w:w="393" w:type="pct"/>
                  <w:vAlign w:val="center"/>
                </w:tcPr>
                <w:p w14:paraId="77A8C9FE">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0.024</w:t>
                  </w:r>
                </w:p>
              </w:tc>
              <w:tc>
                <w:tcPr>
                  <w:tcW w:w="375" w:type="pct"/>
                  <w:vAlign w:val="center"/>
                </w:tcPr>
                <w:p w14:paraId="7C5CF535">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466" w:type="pct"/>
                  <w:vAlign w:val="center"/>
                </w:tcPr>
                <w:p w14:paraId="6F68578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22.8</w:t>
                  </w:r>
                </w:p>
              </w:tc>
              <w:tc>
                <w:tcPr>
                  <w:tcW w:w="338" w:type="pct"/>
                  <w:vAlign w:val="center"/>
                </w:tcPr>
                <w:p w14:paraId="41AB9496">
                  <w:pPr>
                    <w:pStyle w:val="60"/>
                    <w:rPr>
                      <w:rFonts w:hint="default"/>
                      <w:color w:val="auto"/>
                      <w:sz w:val="18"/>
                      <w:szCs w:val="18"/>
                      <w:lang w:val="en-US" w:eastAsia="zh-CN"/>
                    </w:rPr>
                  </w:pPr>
                  <w:r>
                    <w:rPr>
                      <w:rFonts w:hint="eastAsia"/>
                      <w:color w:val="auto"/>
                      <w:sz w:val="18"/>
                      <w:szCs w:val="18"/>
                      <w:lang w:val="en-US" w:eastAsia="zh-CN"/>
                    </w:rPr>
                    <w:t>50</w:t>
                  </w:r>
                </w:p>
              </w:tc>
              <w:tc>
                <w:tcPr>
                  <w:tcW w:w="256" w:type="pct"/>
                  <w:vAlign w:val="center"/>
                </w:tcPr>
                <w:p w14:paraId="4B17CD74">
                  <w:pPr>
                    <w:pStyle w:val="60"/>
                    <w:rPr>
                      <w:rFonts w:hint="default"/>
                      <w:color w:val="auto"/>
                      <w:sz w:val="18"/>
                      <w:szCs w:val="18"/>
                      <w:lang w:val="en-US" w:eastAsia="zh-CN"/>
                    </w:rPr>
                  </w:pPr>
                  <w:r>
                    <w:rPr>
                      <w:rFonts w:hint="eastAsia"/>
                      <w:color w:val="auto"/>
                      <w:sz w:val="18"/>
                      <w:szCs w:val="18"/>
                      <w:lang w:val="en-US" w:eastAsia="zh-CN"/>
                    </w:rPr>
                    <w:t>--</w:t>
                  </w:r>
                </w:p>
              </w:tc>
              <w:tc>
                <w:tcPr>
                  <w:tcW w:w="568" w:type="pct"/>
                  <w:vMerge w:val="continue"/>
                  <w:vAlign w:val="center"/>
                </w:tcPr>
                <w:p w14:paraId="538CB7B2">
                  <w:pPr>
                    <w:jc w:val="center"/>
                    <w:rPr>
                      <w:rFonts w:hint="eastAsia" w:ascii="Times New Roman" w:hAnsi="Times New Roman" w:cs="Times New Roman"/>
                      <w:color w:val="auto"/>
                      <w:sz w:val="18"/>
                      <w:szCs w:val="18"/>
                      <w:lang w:val="en-US" w:eastAsia="zh-CN"/>
                    </w:rPr>
                  </w:pPr>
                </w:p>
              </w:tc>
            </w:tr>
            <w:tr w14:paraId="77D3E4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44" w:type="pct"/>
                  <w:shd w:val="clear" w:color="auto" w:fill="auto"/>
                  <w:vAlign w:val="center"/>
                </w:tcPr>
                <w:p w14:paraId="19466ED2">
                  <w:pPr>
                    <w:pStyle w:val="60"/>
                    <w:rPr>
                      <w:rFonts w:hint="default"/>
                      <w:color w:val="auto"/>
                      <w:sz w:val="18"/>
                      <w:szCs w:val="18"/>
                      <w:lang w:val="en-US" w:eastAsia="zh-CN"/>
                    </w:rPr>
                  </w:pPr>
                  <w:r>
                    <w:rPr>
                      <w:rFonts w:hint="eastAsia"/>
                      <w:color w:val="auto"/>
                      <w:sz w:val="18"/>
                      <w:szCs w:val="18"/>
                      <w:lang w:val="en-US" w:eastAsia="zh-CN"/>
                    </w:rPr>
                    <w:t>NOx</w:t>
                  </w:r>
                </w:p>
              </w:tc>
              <w:tc>
                <w:tcPr>
                  <w:tcW w:w="410" w:type="pct"/>
                  <w:vAlign w:val="center"/>
                </w:tcPr>
                <w:p w14:paraId="6B14E2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0.0046</w:t>
                  </w:r>
                </w:p>
              </w:tc>
              <w:tc>
                <w:tcPr>
                  <w:tcW w:w="463" w:type="pct"/>
                  <w:vAlign w:val="center"/>
                </w:tcPr>
                <w:p w14:paraId="4030C0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0.0003</w:t>
                  </w:r>
                </w:p>
              </w:tc>
              <w:tc>
                <w:tcPr>
                  <w:tcW w:w="355" w:type="pct"/>
                  <w:vAlign w:val="center"/>
                </w:tcPr>
                <w:p w14:paraId="7F5ACE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4.4</w:t>
                  </w:r>
                </w:p>
              </w:tc>
              <w:tc>
                <w:tcPr>
                  <w:tcW w:w="323" w:type="pct"/>
                  <w:vAlign w:val="center"/>
                </w:tcPr>
                <w:p w14:paraId="40DA4505">
                  <w:pPr>
                    <w:pStyle w:val="60"/>
                    <w:rPr>
                      <w:rFonts w:hint="default"/>
                      <w:color w:val="auto"/>
                      <w:sz w:val="18"/>
                      <w:szCs w:val="18"/>
                      <w:lang w:val="en-US" w:eastAsia="zh-CN"/>
                    </w:rPr>
                  </w:pPr>
                  <w:r>
                    <w:rPr>
                      <w:rFonts w:hint="eastAsia"/>
                      <w:color w:val="auto"/>
                      <w:sz w:val="18"/>
                      <w:szCs w:val="18"/>
                      <w:lang w:val="en-US" w:eastAsia="zh-CN"/>
                    </w:rPr>
                    <w:t>--</w:t>
                  </w:r>
                </w:p>
              </w:tc>
              <w:tc>
                <w:tcPr>
                  <w:tcW w:w="274" w:type="pct"/>
                  <w:vAlign w:val="center"/>
                </w:tcPr>
                <w:p w14:paraId="7024DAD9">
                  <w:pPr>
                    <w:pStyle w:val="60"/>
                    <w:rPr>
                      <w:rFonts w:hint="default"/>
                      <w:color w:val="auto"/>
                      <w:sz w:val="18"/>
                      <w:szCs w:val="18"/>
                      <w:lang w:val="en-US" w:eastAsia="zh-CN"/>
                    </w:rPr>
                  </w:pPr>
                  <w:r>
                    <w:rPr>
                      <w:rFonts w:hint="eastAsia"/>
                      <w:color w:val="auto"/>
                      <w:sz w:val="18"/>
                      <w:szCs w:val="18"/>
                      <w:lang w:val="en-US" w:eastAsia="zh-CN"/>
                    </w:rPr>
                    <w:t>--</w:t>
                  </w:r>
                </w:p>
              </w:tc>
              <w:tc>
                <w:tcPr>
                  <w:tcW w:w="430" w:type="pct"/>
                  <w:vMerge w:val="continue"/>
                  <w:vAlign w:val="center"/>
                </w:tcPr>
                <w:p w14:paraId="399F9475">
                  <w:pPr>
                    <w:pStyle w:val="60"/>
                    <w:rPr>
                      <w:rFonts w:hint="eastAsia"/>
                      <w:color w:val="auto"/>
                      <w:sz w:val="18"/>
                      <w:szCs w:val="18"/>
                      <w:lang w:val="en-US" w:eastAsia="zh-CN"/>
                    </w:rPr>
                  </w:pPr>
                </w:p>
              </w:tc>
              <w:tc>
                <w:tcPr>
                  <w:tcW w:w="393" w:type="pct"/>
                  <w:vAlign w:val="center"/>
                </w:tcPr>
                <w:p w14:paraId="32F9B0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0.0046</w:t>
                  </w:r>
                </w:p>
              </w:tc>
              <w:tc>
                <w:tcPr>
                  <w:tcW w:w="375" w:type="pct"/>
                  <w:vAlign w:val="center"/>
                </w:tcPr>
                <w:p w14:paraId="0CCBD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0.0003</w:t>
                  </w:r>
                </w:p>
              </w:tc>
              <w:tc>
                <w:tcPr>
                  <w:tcW w:w="466" w:type="pct"/>
                  <w:vAlign w:val="center"/>
                </w:tcPr>
                <w:p w14:paraId="60632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4.4</w:t>
                  </w:r>
                </w:p>
              </w:tc>
              <w:tc>
                <w:tcPr>
                  <w:tcW w:w="338" w:type="pct"/>
                  <w:vAlign w:val="center"/>
                </w:tcPr>
                <w:p w14:paraId="3CA2F92A">
                  <w:pPr>
                    <w:pStyle w:val="60"/>
                    <w:rPr>
                      <w:rFonts w:hint="default"/>
                      <w:color w:val="auto"/>
                      <w:sz w:val="18"/>
                      <w:szCs w:val="18"/>
                      <w:lang w:val="en-US" w:eastAsia="zh-CN"/>
                    </w:rPr>
                  </w:pPr>
                  <w:r>
                    <w:rPr>
                      <w:rFonts w:hint="eastAsia"/>
                      <w:color w:val="auto"/>
                      <w:sz w:val="18"/>
                      <w:szCs w:val="18"/>
                      <w:lang w:val="en-US" w:eastAsia="zh-CN"/>
                    </w:rPr>
                    <w:t>100</w:t>
                  </w:r>
                </w:p>
              </w:tc>
              <w:tc>
                <w:tcPr>
                  <w:tcW w:w="256" w:type="pct"/>
                  <w:vAlign w:val="center"/>
                </w:tcPr>
                <w:p w14:paraId="65FF8637">
                  <w:pPr>
                    <w:pStyle w:val="60"/>
                    <w:rPr>
                      <w:rFonts w:hint="default"/>
                      <w:color w:val="auto"/>
                      <w:sz w:val="18"/>
                      <w:szCs w:val="18"/>
                      <w:lang w:val="en-US" w:eastAsia="zh-CN"/>
                    </w:rPr>
                  </w:pPr>
                  <w:r>
                    <w:rPr>
                      <w:rFonts w:hint="eastAsia"/>
                      <w:color w:val="auto"/>
                      <w:sz w:val="18"/>
                      <w:szCs w:val="18"/>
                      <w:lang w:val="en-US" w:eastAsia="zh-CN"/>
                    </w:rPr>
                    <w:t>--</w:t>
                  </w:r>
                </w:p>
              </w:tc>
              <w:tc>
                <w:tcPr>
                  <w:tcW w:w="568" w:type="pct"/>
                  <w:vMerge w:val="continue"/>
                  <w:vAlign w:val="center"/>
                </w:tcPr>
                <w:p w14:paraId="7E9506C1">
                  <w:pPr>
                    <w:jc w:val="center"/>
                    <w:rPr>
                      <w:rFonts w:hint="eastAsia" w:ascii="Times New Roman" w:hAnsi="Times New Roman" w:cs="Times New Roman"/>
                      <w:color w:val="auto"/>
                      <w:sz w:val="18"/>
                      <w:szCs w:val="18"/>
                      <w:lang w:val="en-US" w:eastAsia="zh-CN"/>
                    </w:rPr>
                  </w:pPr>
                </w:p>
              </w:tc>
            </w:tr>
          </w:tbl>
          <w:p w14:paraId="4B5D1412">
            <w:pPr>
              <w:adjustRightInd w:val="0"/>
              <w:snapToGrid w:val="0"/>
              <w:spacing w:before="120" w:beforeLines="50"/>
              <w:jc w:val="center"/>
              <w:rPr>
                <w:rFonts w:hint="default" w:eastAsia="宋体"/>
                <w:b/>
                <w:bCs/>
                <w:color w:val="auto"/>
                <w:szCs w:val="21"/>
                <w:lang w:val="en-US" w:eastAsia="zh-CN"/>
              </w:rPr>
            </w:pPr>
            <w:r>
              <w:rPr>
                <w:b/>
                <w:bCs/>
                <w:color w:val="auto"/>
                <w:szCs w:val="21"/>
              </w:rPr>
              <w:t>表</w:t>
            </w:r>
            <w:r>
              <w:rPr>
                <w:rFonts w:hint="eastAsia"/>
                <w:b/>
                <w:bCs/>
                <w:color w:val="auto"/>
                <w:szCs w:val="21"/>
                <w:lang w:val="en-US" w:eastAsia="zh-CN"/>
              </w:rPr>
              <w:t>4-10</w:t>
            </w:r>
            <w:r>
              <w:rPr>
                <w:b/>
                <w:bCs/>
                <w:color w:val="auto"/>
                <w:szCs w:val="21"/>
              </w:rPr>
              <w:t xml:space="preserve">  </w:t>
            </w:r>
            <w:r>
              <w:rPr>
                <w:rFonts w:hint="eastAsia"/>
                <w:b/>
                <w:bCs/>
                <w:color w:val="auto"/>
                <w:szCs w:val="21"/>
                <w:lang w:val="en-US" w:eastAsia="zh-CN"/>
              </w:rPr>
              <w:t>本项目建成后全厂检修期间DA002排气筒</w:t>
            </w:r>
            <w:r>
              <w:rPr>
                <w:rFonts w:hint="eastAsia"/>
                <w:b/>
                <w:bCs/>
                <w:color w:val="auto"/>
                <w:szCs w:val="21"/>
              </w:rPr>
              <w:t>有组织</w:t>
            </w:r>
            <w:r>
              <w:rPr>
                <w:b/>
                <w:bCs/>
                <w:color w:val="auto"/>
                <w:szCs w:val="21"/>
              </w:rPr>
              <w:t>废气</w:t>
            </w:r>
            <w:r>
              <w:rPr>
                <w:rFonts w:hint="eastAsia"/>
                <w:b/>
                <w:bCs/>
                <w:color w:val="auto"/>
                <w:szCs w:val="21"/>
                <w:lang w:val="en-US" w:eastAsia="zh-CN"/>
              </w:rPr>
              <w:t>达标性分析汇总表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629"/>
              <w:gridCol w:w="945"/>
              <w:gridCol w:w="840"/>
              <w:gridCol w:w="840"/>
              <w:gridCol w:w="1005"/>
              <w:gridCol w:w="945"/>
              <w:gridCol w:w="930"/>
              <w:gridCol w:w="1060"/>
            </w:tblGrid>
            <w:tr w14:paraId="4A22C5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vMerge w:val="restart"/>
                  <w:vAlign w:val="center"/>
                </w:tcPr>
                <w:p w14:paraId="032B30DC">
                  <w:pPr>
                    <w:pStyle w:val="60"/>
                    <w:rPr>
                      <w:rFonts w:hint="default" w:eastAsia="宋体"/>
                      <w:b/>
                      <w:bCs/>
                      <w:color w:val="auto"/>
                      <w:sz w:val="18"/>
                      <w:szCs w:val="18"/>
                      <w:lang w:val="en-US" w:eastAsia="zh-CN"/>
                    </w:rPr>
                  </w:pPr>
                  <w:r>
                    <w:rPr>
                      <w:rFonts w:hint="eastAsia"/>
                      <w:b/>
                      <w:bCs/>
                      <w:color w:val="auto"/>
                      <w:sz w:val="18"/>
                      <w:szCs w:val="18"/>
                      <w:lang w:val="en-US" w:eastAsia="zh-CN"/>
                    </w:rPr>
                    <w:t>污染物名称</w:t>
                  </w:r>
                </w:p>
              </w:tc>
              <w:tc>
                <w:tcPr>
                  <w:tcW w:w="2215" w:type="pct"/>
                  <w:gridSpan w:val="4"/>
                  <w:vAlign w:val="center"/>
                </w:tcPr>
                <w:p w14:paraId="26F951AD">
                  <w:pPr>
                    <w:pStyle w:val="60"/>
                    <w:rPr>
                      <w:b/>
                      <w:bCs/>
                      <w:color w:val="auto"/>
                      <w:sz w:val="18"/>
                      <w:szCs w:val="18"/>
                    </w:rPr>
                  </w:pPr>
                  <w:r>
                    <w:rPr>
                      <w:rFonts w:hint="eastAsia"/>
                      <w:b/>
                      <w:bCs/>
                      <w:color w:val="auto"/>
                      <w:sz w:val="18"/>
                      <w:szCs w:val="18"/>
                    </w:rPr>
                    <w:t>废气排放情况</w:t>
                  </w:r>
                </w:p>
              </w:tc>
              <w:tc>
                <w:tcPr>
                  <w:tcW w:w="1144" w:type="pct"/>
                  <w:gridSpan w:val="2"/>
                  <w:vAlign w:val="center"/>
                </w:tcPr>
                <w:p w14:paraId="6BA9F07F">
                  <w:pPr>
                    <w:pStyle w:val="60"/>
                    <w:rPr>
                      <w:rFonts w:hint="eastAsia"/>
                      <w:b/>
                      <w:bCs/>
                      <w:color w:val="auto"/>
                      <w:sz w:val="18"/>
                      <w:szCs w:val="18"/>
                    </w:rPr>
                  </w:pPr>
                  <w:r>
                    <w:rPr>
                      <w:rFonts w:hint="eastAsia"/>
                      <w:b/>
                      <w:bCs/>
                      <w:color w:val="auto"/>
                      <w:sz w:val="18"/>
                      <w:szCs w:val="18"/>
                    </w:rPr>
                    <w:t>排放标准</w:t>
                  </w:r>
                </w:p>
              </w:tc>
              <w:tc>
                <w:tcPr>
                  <w:tcW w:w="646" w:type="pct"/>
                  <w:vMerge w:val="restart"/>
                  <w:vAlign w:val="center"/>
                </w:tcPr>
                <w:p w14:paraId="21C53678">
                  <w:pPr>
                    <w:pStyle w:val="60"/>
                    <w:rPr>
                      <w:b/>
                      <w:bCs/>
                      <w:color w:val="auto"/>
                      <w:sz w:val="18"/>
                      <w:szCs w:val="18"/>
                    </w:rPr>
                  </w:pPr>
                  <w:r>
                    <w:rPr>
                      <w:rFonts w:hint="eastAsia"/>
                      <w:b/>
                      <w:bCs/>
                      <w:color w:val="auto"/>
                      <w:sz w:val="18"/>
                      <w:szCs w:val="18"/>
                    </w:rPr>
                    <w:t>排气筒</w:t>
                  </w:r>
                </w:p>
              </w:tc>
            </w:tr>
            <w:tr w14:paraId="43E99E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vMerge w:val="continue"/>
                  <w:vAlign w:val="center"/>
                </w:tcPr>
                <w:p w14:paraId="007D1B48">
                  <w:pPr>
                    <w:pStyle w:val="60"/>
                    <w:rPr>
                      <w:b/>
                      <w:bCs/>
                      <w:color w:val="auto"/>
                      <w:sz w:val="18"/>
                      <w:szCs w:val="18"/>
                    </w:rPr>
                  </w:pPr>
                </w:p>
              </w:tc>
              <w:tc>
                <w:tcPr>
                  <w:tcW w:w="576" w:type="pct"/>
                  <w:vAlign w:val="center"/>
                </w:tcPr>
                <w:p w14:paraId="438DA4BE">
                  <w:pPr>
                    <w:pStyle w:val="60"/>
                    <w:rPr>
                      <w:b/>
                      <w:bCs/>
                      <w:color w:val="auto"/>
                      <w:sz w:val="18"/>
                      <w:szCs w:val="18"/>
                    </w:rPr>
                  </w:pPr>
                  <w:r>
                    <w:rPr>
                      <w:rFonts w:hint="eastAsia"/>
                      <w:b/>
                      <w:bCs/>
                      <w:color w:val="auto"/>
                      <w:sz w:val="18"/>
                      <w:szCs w:val="18"/>
                      <w:lang w:val="en-US" w:eastAsia="zh-CN"/>
                    </w:rPr>
                    <w:t>废气量</w:t>
                  </w:r>
                  <w:r>
                    <w:rPr>
                      <w:rFonts w:hint="eastAsia"/>
                      <w:b/>
                      <w:bCs/>
                      <w:color w:val="auto"/>
                      <w:sz w:val="18"/>
                      <w:szCs w:val="18"/>
                    </w:rPr>
                    <w:t>m</w:t>
                  </w:r>
                  <w:r>
                    <w:rPr>
                      <w:rFonts w:hint="eastAsia"/>
                      <w:b/>
                      <w:bCs/>
                      <w:color w:val="auto"/>
                      <w:sz w:val="18"/>
                      <w:szCs w:val="18"/>
                      <w:vertAlign w:val="superscript"/>
                    </w:rPr>
                    <w:t>3</w:t>
                  </w:r>
                  <w:r>
                    <w:rPr>
                      <w:rFonts w:hint="eastAsia"/>
                      <w:b/>
                      <w:bCs/>
                      <w:color w:val="auto"/>
                      <w:sz w:val="18"/>
                      <w:szCs w:val="18"/>
                    </w:rPr>
                    <w:t>/h</w:t>
                  </w:r>
                </w:p>
              </w:tc>
              <w:tc>
                <w:tcPr>
                  <w:tcW w:w="512" w:type="pct"/>
                  <w:vAlign w:val="center"/>
                </w:tcPr>
                <w:p w14:paraId="6EA78FA9">
                  <w:pPr>
                    <w:pStyle w:val="60"/>
                    <w:rPr>
                      <w:b/>
                      <w:bCs/>
                      <w:color w:val="auto"/>
                      <w:sz w:val="18"/>
                      <w:szCs w:val="18"/>
                    </w:rPr>
                  </w:pPr>
                  <w:r>
                    <w:rPr>
                      <w:rFonts w:hint="eastAsia"/>
                      <w:b/>
                      <w:bCs/>
                      <w:color w:val="auto"/>
                      <w:sz w:val="18"/>
                      <w:szCs w:val="18"/>
                    </w:rPr>
                    <w:t>排放</w:t>
                  </w:r>
                  <w:r>
                    <w:rPr>
                      <w:b/>
                      <w:bCs/>
                      <w:color w:val="auto"/>
                      <w:sz w:val="18"/>
                      <w:szCs w:val="18"/>
                    </w:rPr>
                    <w:t>速率kg/h</w:t>
                  </w:r>
                </w:p>
              </w:tc>
              <w:tc>
                <w:tcPr>
                  <w:tcW w:w="512" w:type="pct"/>
                  <w:vAlign w:val="center"/>
                </w:tcPr>
                <w:p w14:paraId="2559D3B7">
                  <w:pPr>
                    <w:pStyle w:val="60"/>
                    <w:rPr>
                      <w:b/>
                      <w:bCs/>
                      <w:color w:val="auto"/>
                      <w:sz w:val="18"/>
                      <w:szCs w:val="18"/>
                    </w:rPr>
                  </w:pPr>
                  <w:r>
                    <w:rPr>
                      <w:b/>
                      <w:bCs/>
                      <w:color w:val="auto"/>
                      <w:sz w:val="18"/>
                      <w:szCs w:val="18"/>
                    </w:rPr>
                    <w:t>排放量t/a</w:t>
                  </w:r>
                </w:p>
              </w:tc>
              <w:tc>
                <w:tcPr>
                  <w:tcW w:w="613" w:type="pct"/>
                  <w:vAlign w:val="center"/>
                </w:tcPr>
                <w:p w14:paraId="7ABBB0E6">
                  <w:pPr>
                    <w:pStyle w:val="60"/>
                    <w:rPr>
                      <w:b/>
                      <w:bCs/>
                      <w:color w:val="auto"/>
                      <w:sz w:val="18"/>
                      <w:szCs w:val="18"/>
                    </w:rPr>
                  </w:pPr>
                  <w:r>
                    <w:rPr>
                      <w:rFonts w:hint="eastAsia"/>
                      <w:b/>
                      <w:bCs/>
                      <w:color w:val="auto"/>
                      <w:sz w:val="18"/>
                      <w:szCs w:val="18"/>
                    </w:rPr>
                    <w:t>排放浓度mg/m</w:t>
                  </w:r>
                  <w:r>
                    <w:rPr>
                      <w:rFonts w:hint="eastAsia"/>
                      <w:b/>
                      <w:bCs/>
                      <w:color w:val="auto"/>
                      <w:sz w:val="18"/>
                      <w:szCs w:val="18"/>
                      <w:vertAlign w:val="superscript"/>
                    </w:rPr>
                    <w:t>3</w:t>
                  </w:r>
                </w:p>
              </w:tc>
              <w:tc>
                <w:tcPr>
                  <w:tcW w:w="576" w:type="pct"/>
                  <w:vAlign w:val="center"/>
                </w:tcPr>
                <w:p w14:paraId="6A651939">
                  <w:pPr>
                    <w:pStyle w:val="60"/>
                    <w:rPr>
                      <w:b/>
                      <w:bCs/>
                      <w:color w:val="auto"/>
                      <w:sz w:val="18"/>
                      <w:szCs w:val="18"/>
                    </w:rPr>
                  </w:pPr>
                  <w:r>
                    <w:rPr>
                      <w:b/>
                      <w:bCs/>
                      <w:color w:val="auto"/>
                      <w:sz w:val="18"/>
                      <w:szCs w:val="18"/>
                    </w:rPr>
                    <w:t>浓度</w:t>
                  </w:r>
                  <w:r>
                    <w:rPr>
                      <w:rFonts w:hint="eastAsia"/>
                      <w:b/>
                      <w:bCs/>
                      <w:color w:val="auto"/>
                      <w:sz w:val="18"/>
                      <w:szCs w:val="18"/>
                      <w:lang w:val="en-US" w:eastAsia="zh-CN"/>
                    </w:rPr>
                    <w:t>限值</w:t>
                  </w:r>
                  <w:r>
                    <w:rPr>
                      <w:b/>
                      <w:bCs/>
                      <w:color w:val="auto"/>
                      <w:sz w:val="18"/>
                      <w:szCs w:val="18"/>
                    </w:rPr>
                    <w:t>mg/m</w:t>
                  </w:r>
                  <w:r>
                    <w:rPr>
                      <w:b/>
                      <w:bCs/>
                      <w:color w:val="auto"/>
                      <w:sz w:val="18"/>
                      <w:szCs w:val="18"/>
                      <w:vertAlign w:val="superscript"/>
                    </w:rPr>
                    <w:t>3</w:t>
                  </w:r>
                </w:p>
              </w:tc>
              <w:tc>
                <w:tcPr>
                  <w:tcW w:w="567" w:type="pct"/>
                  <w:vAlign w:val="center"/>
                </w:tcPr>
                <w:p w14:paraId="47524E5D">
                  <w:pPr>
                    <w:pStyle w:val="60"/>
                    <w:rPr>
                      <w:b/>
                      <w:bCs/>
                      <w:color w:val="auto"/>
                      <w:sz w:val="18"/>
                      <w:szCs w:val="18"/>
                    </w:rPr>
                  </w:pPr>
                  <w:r>
                    <w:rPr>
                      <w:b/>
                      <w:bCs/>
                      <w:color w:val="auto"/>
                      <w:sz w:val="18"/>
                      <w:szCs w:val="18"/>
                    </w:rPr>
                    <w:t>速率</w:t>
                  </w:r>
                  <w:r>
                    <w:rPr>
                      <w:rFonts w:hint="eastAsia"/>
                      <w:b/>
                      <w:bCs/>
                      <w:color w:val="auto"/>
                      <w:sz w:val="18"/>
                      <w:szCs w:val="18"/>
                      <w:lang w:val="en-US" w:eastAsia="zh-CN"/>
                    </w:rPr>
                    <w:t>限值</w:t>
                  </w:r>
                  <w:r>
                    <w:rPr>
                      <w:b/>
                      <w:bCs/>
                      <w:color w:val="auto"/>
                      <w:sz w:val="18"/>
                      <w:szCs w:val="18"/>
                    </w:rPr>
                    <w:t>kg/h</w:t>
                  </w:r>
                </w:p>
              </w:tc>
              <w:tc>
                <w:tcPr>
                  <w:tcW w:w="646" w:type="pct"/>
                  <w:vMerge w:val="continue"/>
                  <w:vAlign w:val="center"/>
                </w:tcPr>
                <w:p w14:paraId="6751AF29">
                  <w:pPr>
                    <w:pStyle w:val="60"/>
                    <w:rPr>
                      <w:b/>
                      <w:bCs/>
                      <w:color w:val="auto"/>
                      <w:sz w:val="18"/>
                      <w:szCs w:val="18"/>
                    </w:rPr>
                  </w:pPr>
                </w:p>
              </w:tc>
            </w:tr>
            <w:tr w14:paraId="7258AB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6E7FAA22">
                  <w:pPr>
                    <w:pStyle w:val="60"/>
                    <w:rPr>
                      <w:color w:val="auto"/>
                      <w:sz w:val="18"/>
                      <w:szCs w:val="18"/>
                    </w:rPr>
                  </w:pPr>
                  <w:r>
                    <w:rPr>
                      <w:rFonts w:hint="eastAsia"/>
                      <w:color w:val="auto"/>
                      <w:sz w:val="18"/>
                      <w:szCs w:val="18"/>
                    </w:rPr>
                    <w:t>VOCs</w:t>
                  </w:r>
                </w:p>
              </w:tc>
              <w:tc>
                <w:tcPr>
                  <w:tcW w:w="576" w:type="pct"/>
                  <w:vMerge w:val="restart"/>
                  <w:vAlign w:val="center"/>
                </w:tcPr>
                <w:p w14:paraId="2A865963">
                  <w:pPr>
                    <w:pStyle w:val="60"/>
                    <w:rPr>
                      <w:rFonts w:hint="default" w:eastAsia="宋体"/>
                      <w:color w:val="auto"/>
                      <w:sz w:val="18"/>
                      <w:szCs w:val="18"/>
                      <w:lang w:val="en-US" w:eastAsia="zh-CN"/>
                    </w:rPr>
                  </w:pPr>
                  <w:r>
                    <w:rPr>
                      <w:rFonts w:hint="eastAsia"/>
                      <w:color w:val="auto"/>
                      <w:sz w:val="18"/>
                      <w:szCs w:val="18"/>
                      <w:lang w:val="en-US" w:eastAsia="zh-CN"/>
                    </w:rPr>
                    <w:t>15000*</w:t>
                  </w:r>
                </w:p>
              </w:tc>
              <w:tc>
                <w:tcPr>
                  <w:tcW w:w="512" w:type="pct"/>
                  <w:vAlign w:val="center"/>
                </w:tcPr>
                <w:p w14:paraId="7CEDB0E8">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0.734</w:t>
                  </w:r>
                </w:p>
              </w:tc>
              <w:tc>
                <w:tcPr>
                  <w:tcW w:w="512" w:type="pct"/>
                  <w:vAlign w:val="center"/>
                </w:tcPr>
                <w:p w14:paraId="15C03134">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0.043</w:t>
                  </w:r>
                </w:p>
              </w:tc>
              <w:tc>
                <w:tcPr>
                  <w:tcW w:w="613" w:type="pct"/>
                  <w:vAlign w:val="center"/>
                </w:tcPr>
                <w:p w14:paraId="6887AF7C">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48.9</w:t>
                  </w:r>
                </w:p>
              </w:tc>
              <w:tc>
                <w:tcPr>
                  <w:tcW w:w="576" w:type="pct"/>
                  <w:vAlign w:val="center"/>
                </w:tcPr>
                <w:p w14:paraId="68EDA347">
                  <w:pPr>
                    <w:pStyle w:val="60"/>
                    <w:rPr>
                      <w:rFonts w:hint="default" w:eastAsia="宋体"/>
                      <w:color w:val="auto"/>
                      <w:sz w:val="18"/>
                      <w:szCs w:val="18"/>
                      <w:lang w:val="en-US" w:eastAsia="zh-CN"/>
                    </w:rPr>
                  </w:pPr>
                  <w:r>
                    <w:rPr>
                      <w:rFonts w:hint="eastAsia"/>
                      <w:color w:val="auto"/>
                      <w:sz w:val="18"/>
                      <w:szCs w:val="18"/>
                      <w:lang w:val="en-US" w:eastAsia="zh-CN"/>
                    </w:rPr>
                    <w:t>60</w:t>
                  </w:r>
                </w:p>
              </w:tc>
              <w:tc>
                <w:tcPr>
                  <w:tcW w:w="567" w:type="pct"/>
                  <w:vAlign w:val="center"/>
                </w:tcPr>
                <w:p w14:paraId="34E14011">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646" w:type="pct"/>
                  <w:vMerge w:val="restart"/>
                  <w:vAlign w:val="center"/>
                </w:tcPr>
                <w:p w14:paraId="3971EFA7">
                  <w:pPr>
                    <w:jc w:val="center"/>
                    <w:rPr>
                      <w:color w:val="auto"/>
                      <w:sz w:val="18"/>
                      <w:szCs w:val="18"/>
                    </w:rPr>
                  </w:pPr>
                  <w:r>
                    <w:rPr>
                      <w:rFonts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ascii="Times New Roman" w:hAnsi="Times New Roman" w:cs="Times New Roman"/>
                      <w:color w:val="auto"/>
                      <w:sz w:val="18"/>
                      <w:szCs w:val="18"/>
                    </w:rPr>
                    <w:t>（H=</w:t>
                  </w:r>
                  <w:r>
                    <w:rPr>
                      <w:rFonts w:hint="eastAsia" w:cs="Times New Roman"/>
                      <w:color w:val="auto"/>
                      <w:sz w:val="18"/>
                      <w:szCs w:val="18"/>
                      <w:lang w:val="en-US" w:eastAsia="zh-CN"/>
                    </w:rPr>
                    <w:t>15</w:t>
                  </w:r>
                  <w:r>
                    <w:rPr>
                      <w:rFonts w:hint="eastAsia" w:ascii="Times New Roman" w:hAnsi="Times New Roman" w:cs="Times New Roman"/>
                      <w:color w:val="auto"/>
                      <w:sz w:val="18"/>
                      <w:szCs w:val="18"/>
                      <w:lang w:val="en-US" w:eastAsia="zh-CN"/>
                    </w:rPr>
                    <w:t>m</w:t>
                  </w:r>
                  <w:r>
                    <w:rPr>
                      <w:rFonts w:ascii="Times New Roman" w:hAnsi="Times New Roman" w:cs="Times New Roman"/>
                      <w:color w:val="auto"/>
                      <w:sz w:val="18"/>
                      <w:szCs w:val="18"/>
                    </w:rPr>
                    <w:t>）</w:t>
                  </w:r>
                </w:p>
              </w:tc>
            </w:tr>
            <w:tr w14:paraId="71AFFB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5E0D4D3F">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576" w:type="pct"/>
                  <w:vMerge w:val="continue"/>
                  <w:vAlign w:val="center"/>
                </w:tcPr>
                <w:p w14:paraId="329B1605">
                  <w:pPr>
                    <w:pStyle w:val="60"/>
                    <w:rPr>
                      <w:rFonts w:hint="eastAsia"/>
                      <w:color w:val="auto"/>
                      <w:sz w:val="18"/>
                      <w:szCs w:val="18"/>
                      <w:lang w:val="en-US" w:eastAsia="zh-CN"/>
                    </w:rPr>
                  </w:pPr>
                </w:p>
              </w:tc>
              <w:tc>
                <w:tcPr>
                  <w:tcW w:w="512" w:type="pct"/>
                  <w:vAlign w:val="center"/>
                </w:tcPr>
                <w:p w14:paraId="2659D888">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0.240</w:t>
                  </w:r>
                </w:p>
              </w:tc>
              <w:tc>
                <w:tcPr>
                  <w:tcW w:w="512" w:type="pct"/>
                  <w:vAlign w:val="center"/>
                </w:tcPr>
                <w:p w14:paraId="48AE412B">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0.014</w:t>
                  </w:r>
                </w:p>
              </w:tc>
              <w:tc>
                <w:tcPr>
                  <w:tcW w:w="613" w:type="pct"/>
                  <w:vAlign w:val="center"/>
                </w:tcPr>
                <w:p w14:paraId="6B86DDDB">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576" w:type="pct"/>
                  <w:vAlign w:val="center"/>
                </w:tcPr>
                <w:p w14:paraId="79BF2F54">
                  <w:pPr>
                    <w:pStyle w:val="60"/>
                    <w:rPr>
                      <w:rFonts w:hint="default"/>
                      <w:color w:val="auto"/>
                      <w:sz w:val="18"/>
                      <w:szCs w:val="18"/>
                      <w:lang w:val="en-US" w:eastAsia="zh-CN"/>
                    </w:rPr>
                  </w:pPr>
                  <w:r>
                    <w:rPr>
                      <w:rFonts w:hint="eastAsia"/>
                      <w:color w:val="auto"/>
                      <w:sz w:val="18"/>
                      <w:szCs w:val="18"/>
                      <w:lang w:val="en-US" w:eastAsia="zh-CN"/>
                    </w:rPr>
                    <w:t>50</w:t>
                  </w:r>
                </w:p>
              </w:tc>
              <w:tc>
                <w:tcPr>
                  <w:tcW w:w="567" w:type="pct"/>
                  <w:vAlign w:val="center"/>
                </w:tcPr>
                <w:p w14:paraId="207B42DD">
                  <w:pPr>
                    <w:pStyle w:val="60"/>
                    <w:rPr>
                      <w:rFonts w:hint="default"/>
                      <w:color w:val="auto"/>
                      <w:sz w:val="18"/>
                      <w:szCs w:val="18"/>
                      <w:lang w:val="en-US" w:eastAsia="zh-CN"/>
                    </w:rPr>
                  </w:pPr>
                  <w:r>
                    <w:rPr>
                      <w:rFonts w:hint="eastAsia"/>
                      <w:color w:val="auto"/>
                      <w:sz w:val="18"/>
                      <w:szCs w:val="18"/>
                      <w:lang w:val="en-US" w:eastAsia="zh-CN"/>
                    </w:rPr>
                    <w:t>--</w:t>
                  </w:r>
                </w:p>
              </w:tc>
              <w:tc>
                <w:tcPr>
                  <w:tcW w:w="646" w:type="pct"/>
                  <w:vMerge w:val="continue"/>
                  <w:vAlign w:val="center"/>
                </w:tcPr>
                <w:p w14:paraId="5F0BDF0D">
                  <w:pPr>
                    <w:jc w:val="center"/>
                    <w:rPr>
                      <w:rFonts w:hint="eastAsia" w:ascii="Times New Roman" w:hAnsi="Times New Roman" w:cs="Times New Roman"/>
                      <w:color w:val="auto"/>
                      <w:sz w:val="18"/>
                      <w:szCs w:val="18"/>
                      <w:lang w:val="en-US" w:eastAsia="zh-CN"/>
                    </w:rPr>
                  </w:pPr>
                </w:p>
              </w:tc>
            </w:tr>
            <w:tr w14:paraId="36B1DE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994" w:type="pct"/>
                  <w:shd w:val="clear" w:color="auto" w:fill="auto"/>
                  <w:vAlign w:val="center"/>
                </w:tcPr>
                <w:p w14:paraId="111ED73C">
                  <w:pPr>
                    <w:pStyle w:val="60"/>
                    <w:rPr>
                      <w:rFonts w:hint="eastAsia"/>
                      <w:color w:val="auto"/>
                      <w:sz w:val="18"/>
                      <w:szCs w:val="18"/>
                      <w:lang w:val="en-US" w:eastAsia="zh-CN"/>
                    </w:rPr>
                  </w:pPr>
                  <w:r>
                    <w:rPr>
                      <w:rFonts w:hint="eastAsia"/>
                      <w:color w:val="auto"/>
                      <w:sz w:val="18"/>
                      <w:szCs w:val="18"/>
                      <w:lang w:val="en-US" w:eastAsia="zh-CN"/>
                    </w:rPr>
                    <w:t>NOx</w:t>
                  </w:r>
                </w:p>
              </w:tc>
              <w:tc>
                <w:tcPr>
                  <w:tcW w:w="576" w:type="pct"/>
                  <w:vMerge w:val="continue"/>
                  <w:vAlign w:val="center"/>
                </w:tcPr>
                <w:p w14:paraId="5E26C062">
                  <w:pPr>
                    <w:pStyle w:val="60"/>
                    <w:rPr>
                      <w:rFonts w:hint="eastAsia"/>
                      <w:color w:val="auto"/>
                      <w:sz w:val="18"/>
                      <w:szCs w:val="18"/>
                      <w:lang w:val="en-US" w:eastAsia="zh-CN"/>
                    </w:rPr>
                  </w:pPr>
                </w:p>
              </w:tc>
              <w:tc>
                <w:tcPr>
                  <w:tcW w:w="512" w:type="pct"/>
                  <w:vAlign w:val="center"/>
                </w:tcPr>
                <w:p w14:paraId="7B3A51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0.057</w:t>
                  </w:r>
                </w:p>
              </w:tc>
              <w:tc>
                <w:tcPr>
                  <w:tcW w:w="512" w:type="pct"/>
                  <w:vAlign w:val="center"/>
                </w:tcPr>
                <w:p w14:paraId="7C64F6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0.0034</w:t>
                  </w:r>
                </w:p>
              </w:tc>
              <w:tc>
                <w:tcPr>
                  <w:tcW w:w="613" w:type="pct"/>
                  <w:vAlign w:val="center"/>
                </w:tcPr>
                <w:p w14:paraId="2CEFC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3.8</w:t>
                  </w:r>
                </w:p>
              </w:tc>
              <w:tc>
                <w:tcPr>
                  <w:tcW w:w="576" w:type="pct"/>
                  <w:vAlign w:val="center"/>
                </w:tcPr>
                <w:p w14:paraId="5AFD6CB2">
                  <w:pPr>
                    <w:pStyle w:val="60"/>
                    <w:rPr>
                      <w:rFonts w:hint="default"/>
                      <w:color w:val="auto"/>
                      <w:sz w:val="18"/>
                      <w:szCs w:val="18"/>
                      <w:lang w:val="en-US" w:eastAsia="zh-CN"/>
                    </w:rPr>
                  </w:pPr>
                  <w:r>
                    <w:rPr>
                      <w:rFonts w:hint="eastAsia"/>
                      <w:color w:val="auto"/>
                      <w:sz w:val="18"/>
                      <w:szCs w:val="18"/>
                      <w:lang w:val="en-US" w:eastAsia="zh-CN"/>
                    </w:rPr>
                    <w:t>100</w:t>
                  </w:r>
                </w:p>
              </w:tc>
              <w:tc>
                <w:tcPr>
                  <w:tcW w:w="567" w:type="pct"/>
                  <w:vAlign w:val="center"/>
                </w:tcPr>
                <w:p w14:paraId="72D246CC">
                  <w:pPr>
                    <w:pStyle w:val="60"/>
                    <w:rPr>
                      <w:rFonts w:hint="default"/>
                      <w:color w:val="auto"/>
                      <w:sz w:val="18"/>
                      <w:szCs w:val="18"/>
                      <w:lang w:val="en-US" w:eastAsia="zh-CN"/>
                    </w:rPr>
                  </w:pPr>
                  <w:r>
                    <w:rPr>
                      <w:rFonts w:hint="eastAsia"/>
                      <w:color w:val="auto"/>
                      <w:sz w:val="18"/>
                      <w:szCs w:val="18"/>
                      <w:lang w:val="en-US" w:eastAsia="zh-CN"/>
                    </w:rPr>
                    <w:t>--</w:t>
                  </w:r>
                </w:p>
              </w:tc>
              <w:tc>
                <w:tcPr>
                  <w:tcW w:w="646" w:type="pct"/>
                  <w:vMerge w:val="continue"/>
                  <w:vAlign w:val="center"/>
                </w:tcPr>
                <w:p w14:paraId="1A51AC2D">
                  <w:pPr>
                    <w:jc w:val="center"/>
                    <w:rPr>
                      <w:rFonts w:hint="eastAsia" w:ascii="Times New Roman" w:hAnsi="Times New Roman" w:cs="Times New Roman"/>
                      <w:color w:val="auto"/>
                      <w:sz w:val="18"/>
                      <w:szCs w:val="18"/>
                      <w:lang w:val="en-US" w:eastAsia="zh-CN"/>
                    </w:rPr>
                  </w:pPr>
                </w:p>
              </w:tc>
            </w:tr>
            <w:tr w14:paraId="48415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000" w:type="pct"/>
                  <w:gridSpan w:val="8"/>
                  <w:shd w:val="clear" w:color="auto" w:fill="auto"/>
                  <w:vAlign w:val="center"/>
                </w:tcPr>
                <w:p w14:paraId="69C106D4">
                  <w:pPr>
                    <w:jc w:val="both"/>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备注：*本项目建成后全厂检修期间废气排放量为2#尾气炉配套风机满负荷运行下的风量。</w:t>
                  </w:r>
                </w:p>
              </w:tc>
            </w:tr>
          </w:tbl>
          <w:p w14:paraId="30CA7C6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根据上述分析可知，本项目及本项目建成后全厂停炉检修期间DA002排气筒外排废气VOCs能够满足《挥发性有机物排放标准 第6部分：有机化工行业》（DB37/2801.6-2018）表1（其他行业</w:t>
            </w:r>
            <w:r>
              <w:rPr>
                <w:rFonts w:hint="default" w:ascii="Times New Roman" w:hAnsi="Times New Roman" w:cs="Times New Roman"/>
                <w:b w:val="0"/>
                <w:bCs w:val="0"/>
                <w:color w:val="auto"/>
                <w:lang w:val="en-US" w:eastAsia="zh-CN"/>
              </w:rPr>
              <w:t>Ⅱ</w:t>
            </w:r>
            <w:r>
              <w:rPr>
                <w:rFonts w:hint="eastAsia"/>
                <w:b w:val="0"/>
                <w:bCs w:val="0"/>
                <w:color w:val="auto"/>
                <w:lang w:val="en-US" w:eastAsia="zh-CN"/>
              </w:rPr>
              <w:t>时段）限值要求（浓度60mg/m</w:t>
            </w:r>
            <w:r>
              <w:rPr>
                <w:rFonts w:hint="eastAsia"/>
                <w:b w:val="0"/>
                <w:bCs w:val="0"/>
                <w:color w:val="auto"/>
                <w:vertAlign w:val="superscript"/>
                <w:lang w:val="en-US" w:eastAsia="zh-CN"/>
              </w:rPr>
              <w:t>3</w:t>
            </w:r>
            <w:r>
              <w:rPr>
                <w:rFonts w:hint="eastAsia"/>
                <w:b w:val="0"/>
                <w:bCs w:val="0"/>
                <w:color w:val="auto"/>
                <w:lang w:val="en-US" w:eastAsia="zh-CN"/>
              </w:rPr>
              <w:t>、速率3.0kg/h）；甲醇排放浓度能够满足《挥发性有机物排放标准 第6部分：有机化工行业》（DB37/2801.6-2018）表2限值要求（甲醇50mg/m</w:t>
            </w:r>
            <w:r>
              <w:rPr>
                <w:rFonts w:hint="eastAsia"/>
                <w:b w:val="0"/>
                <w:bCs w:val="0"/>
                <w:color w:val="auto"/>
                <w:vertAlign w:val="superscript"/>
                <w:lang w:val="en-US" w:eastAsia="zh-CN"/>
              </w:rPr>
              <w:t>3</w:t>
            </w:r>
            <w:r>
              <w:rPr>
                <w:rFonts w:hint="eastAsia"/>
                <w:b w:val="0"/>
                <w:bCs w:val="0"/>
                <w:color w:val="auto"/>
                <w:lang w:val="en-US" w:eastAsia="zh-CN"/>
              </w:rPr>
              <w:t>）；氮氧化物排放浓度能够满足《区域性大气污染物综合排放标准》(DB37/2376-2019)表1中“重点控制区”限值要求（氮氧化物100mg/m</w:t>
            </w:r>
            <w:r>
              <w:rPr>
                <w:rFonts w:hint="eastAsia"/>
                <w:b w:val="0"/>
                <w:bCs w:val="0"/>
                <w:color w:val="auto"/>
                <w:vertAlign w:val="superscript"/>
                <w:lang w:val="en-US" w:eastAsia="zh-CN"/>
              </w:rPr>
              <w:t>3</w:t>
            </w:r>
            <w:r>
              <w:rPr>
                <w:rFonts w:hint="eastAsia"/>
                <w:b w:val="0"/>
                <w:bCs w:val="0"/>
                <w:color w:val="auto"/>
                <w:lang w:val="en-US" w:eastAsia="zh-CN"/>
              </w:rPr>
              <w:t>）。</w:t>
            </w:r>
          </w:p>
          <w:p w14:paraId="4F5479F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eastAsia="宋体"/>
                <w:b/>
                <w:bCs/>
                <w:color w:val="auto"/>
                <w:lang w:val="en-US" w:eastAsia="zh-CN"/>
              </w:rPr>
            </w:pPr>
            <w:r>
              <w:rPr>
                <w:rFonts w:hint="eastAsia"/>
                <w:b/>
                <w:bCs/>
                <w:color w:val="auto"/>
                <w:lang w:val="en-US" w:eastAsia="zh-CN"/>
              </w:rPr>
              <w:t>2、无组织废气</w:t>
            </w:r>
          </w:p>
          <w:p w14:paraId="0FC0960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根据前述，本项目涉及到无组织废气污染源主要为储罐区及装卸车区设备动静密封点泄漏废气。</w:t>
            </w:r>
          </w:p>
          <w:p w14:paraId="20336C5C">
            <w:pPr>
              <w:topLinePunct/>
              <w:adjustRightInd w:val="0"/>
              <w:snapToGrid w:val="0"/>
              <w:spacing w:line="420" w:lineRule="exact"/>
              <w:ind w:firstLine="420" w:firstLineChars="200"/>
              <w:rPr>
                <w:rFonts w:hint="eastAsia"/>
                <w:bCs/>
                <w:color w:val="auto"/>
                <w:szCs w:val="21"/>
              </w:rPr>
            </w:pPr>
            <w:r>
              <w:rPr>
                <w:rFonts w:hint="eastAsia"/>
                <w:bCs/>
                <w:color w:val="auto"/>
                <w:szCs w:val="21"/>
                <w:lang w:val="en-US" w:eastAsia="zh-CN"/>
              </w:rPr>
              <w:t>本</w:t>
            </w:r>
            <w:r>
              <w:rPr>
                <w:rFonts w:hint="eastAsia"/>
                <w:bCs/>
                <w:color w:val="auto"/>
                <w:szCs w:val="21"/>
              </w:rPr>
              <w:t>项目设备动静密封点泄漏量计算参照《排污许可证申请与核发技术规范 石化行业》（HJ853-2017）中废气年许可排放量计算方法。挥发性有机物流经的设备与管线组件密封点泄漏的挥发性有机物年许可排放量按下式计算：</w:t>
            </w:r>
          </w:p>
          <w:p w14:paraId="3BF1EF40">
            <w:pPr>
              <w:pStyle w:val="79"/>
              <w:spacing w:line="240" w:lineRule="auto"/>
              <w:ind w:firstLine="0" w:firstLineChars="0"/>
              <w:jc w:val="center"/>
              <w:rPr>
                <w:color w:val="auto"/>
              </w:rPr>
            </w:pPr>
            <w:r>
              <w:rPr>
                <w:rFonts w:cs="Times New Roman"/>
                <w:color w:val="auto"/>
                <w:sz w:val="21"/>
              </w:rPr>
              <w:drawing>
                <wp:inline distT="0" distB="0" distL="0" distR="0">
                  <wp:extent cx="2295525" cy="476250"/>
                  <wp:effectExtent l="0" t="0" r="9525" b="0"/>
                  <wp:docPr id="3" name="图片 7"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示, 示意图&#10;&#10;AI 生成的内容可能不正确。"/>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295525" cy="476250"/>
                          </a:xfrm>
                          <a:prstGeom prst="rect">
                            <a:avLst/>
                          </a:prstGeom>
                          <a:noFill/>
                          <a:ln>
                            <a:noFill/>
                          </a:ln>
                        </pic:spPr>
                      </pic:pic>
                    </a:graphicData>
                  </a:graphic>
                </wp:inline>
              </w:drawing>
            </w:r>
          </w:p>
          <w:p w14:paraId="7BB6DF70">
            <w:pPr>
              <w:pStyle w:val="79"/>
              <w:keepNext w:val="0"/>
              <w:keepLines w:val="0"/>
              <w:pageBreakBefore w:val="0"/>
              <w:widowControl w:val="0"/>
              <w:kinsoku/>
              <w:wordWrap/>
              <w:overflowPunct/>
              <w:topLinePunct w:val="0"/>
              <w:autoSpaceDE/>
              <w:autoSpaceDN/>
              <w:bidi w:val="0"/>
              <w:snapToGrid w:val="0"/>
              <w:spacing w:line="420" w:lineRule="exact"/>
              <w:ind w:firstLine="480"/>
              <w:textAlignment w:val="auto"/>
              <w:rPr>
                <w:color w:val="auto"/>
                <w:sz w:val="21"/>
                <w:szCs w:val="21"/>
              </w:rPr>
            </w:pPr>
            <w:r>
              <w:rPr>
                <w:color w:val="auto"/>
                <w:sz w:val="21"/>
                <w:szCs w:val="21"/>
              </w:rPr>
              <w:t>式中：E</w:t>
            </w:r>
            <w:r>
              <w:rPr>
                <w:color w:val="auto"/>
                <w:sz w:val="21"/>
                <w:szCs w:val="21"/>
                <w:vertAlign w:val="subscript"/>
              </w:rPr>
              <w:t>设备</w:t>
            </w:r>
            <w:r>
              <w:rPr>
                <w:color w:val="auto"/>
                <w:sz w:val="21"/>
                <w:szCs w:val="21"/>
              </w:rPr>
              <w:t>—设备与管线组件密封点泄漏的挥发性有机物年许可排放量，kg/a；</w:t>
            </w:r>
          </w:p>
          <w:p w14:paraId="168B722D">
            <w:pPr>
              <w:pStyle w:val="79"/>
              <w:keepNext w:val="0"/>
              <w:keepLines w:val="0"/>
              <w:pageBreakBefore w:val="0"/>
              <w:widowControl w:val="0"/>
              <w:kinsoku/>
              <w:wordWrap/>
              <w:overflowPunct/>
              <w:topLinePunct w:val="0"/>
              <w:autoSpaceDE/>
              <w:autoSpaceDN/>
              <w:bidi w:val="0"/>
              <w:snapToGrid w:val="0"/>
              <w:spacing w:line="420" w:lineRule="exact"/>
              <w:ind w:firstLine="1050" w:firstLineChars="500"/>
              <w:textAlignment w:val="auto"/>
              <w:rPr>
                <w:color w:val="auto"/>
                <w:sz w:val="21"/>
                <w:szCs w:val="21"/>
              </w:rPr>
            </w:pPr>
            <w:r>
              <w:rPr>
                <w:color w:val="auto"/>
                <w:sz w:val="21"/>
                <w:szCs w:val="21"/>
              </w:rPr>
              <w:t>t</w:t>
            </w:r>
            <w:r>
              <w:rPr>
                <w:color w:val="auto"/>
                <w:sz w:val="21"/>
                <w:szCs w:val="21"/>
                <w:vertAlign w:val="subscript"/>
              </w:rPr>
              <w:t>i</w:t>
            </w:r>
            <w:r>
              <w:rPr>
                <w:color w:val="auto"/>
                <w:sz w:val="21"/>
                <w:szCs w:val="21"/>
              </w:rPr>
              <w:t>—密封点i的年运行时间，h/a；</w:t>
            </w:r>
          </w:p>
          <w:p w14:paraId="049E90CA">
            <w:pPr>
              <w:pStyle w:val="79"/>
              <w:keepNext w:val="0"/>
              <w:keepLines w:val="0"/>
              <w:pageBreakBefore w:val="0"/>
              <w:widowControl w:val="0"/>
              <w:kinsoku/>
              <w:wordWrap/>
              <w:overflowPunct/>
              <w:topLinePunct w:val="0"/>
              <w:autoSpaceDE/>
              <w:autoSpaceDN/>
              <w:bidi w:val="0"/>
              <w:snapToGrid w:val="0"/>
              <w:spacing w:line="420" w:lineRule="exact"/>
              <w:ind w:firstLine="1050" w:firstLineChars="500"/>
              <w:textAlignment w:val="auto"/>
              <w:rPr>
                <w:color w:val="auto"/>
                <w:sz w:val="21"/>
                <w:szCs w:val="21"/>
              </w:rPr>
            </w:pPr>
            <w:r>
              <w:rPr>
                <w:color w:val="auto"/>
                <w:sz w:val="21"/>
                <w:szCs w:val="21"/>
              </w:rPr>
              <w:t>e</w:t>
            </w:r>
            <w:r>
              <w:rPr>
                <w:color w:val="auto"/>
                <w:sz w:val="21"/>
                <w:szCs w:val="21"/>
                <w:vertAlign w:val="subscript"/>
              </w:rPr>
              <w:t>TOC,i</w:t>
            </w:r>
            <w:r>
              <w:rPr>
                <w:color w:val="auto"/>
                <w:sz w:val="21"/>
                <w:szCs w:val="21"/>
              </w:rPr>
              <w:t>—密封点i的总有机碳（TOC）排放</w:t>
            </w:r>
            <w:r>
              <w:rPr>
                <w:rFonts w:hint="eastAsia"/>
                <w:color w:val="auto"/>
                <w:sz w:val="21"/>
                <w:szCs w:val="21"/>
              </w:rPr>
              <w:t>；</w:t>
            </w:r>
          </w:p>
          <w:p w14:paraId="06DE6203">
            <w:pPr>
              <w:pStyle w:val="79"/>
              <w:keepNext w:val="0"/>
              <w:keepLines w:val="0"/>
              <w:pageBreakBefore w:val="0"/>
              <w:widowControl w:val="0"/>
              <w:kinsoku/>
              <w:wordWrap/>
              <w:overflowPunct/>
              <w:topLinePunct w:val="0"/>
              <w:autoSpaceDE/>
              <w:autoSpaceDN/>
              <w:bidi w:val="0"/>
              <w:adjustRightInd/>
              <w:snapToGrid w:val="0"/>
              <w:spacing w:line="240" w:lineRule="auto"/>
              <w:ind w:firstLine="1050" w:firstLineChars="500"/>
              <w:textAlignment w:val="auto"/>
              <w:rPr>
                <w:color w:val="auto"/>
                <w:sz w:val="21"/>
                <w:szCs w:val="21"/>
              </w:rPr>
            </w:pPr>
            <w:r>
              <w:rPr>
                <w:color w:val="auto"/>
                <w:position w:val="-32"/>
                <w:sz w:val="21"/>
                <w:szCs w:val="21"/>
              </w:rPr>
              <w:object>
                <v:shape id="_x0000_i1031" o:spt="75" type="#_x0000_t75" style="height:36pt;width:36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r>
              <w:rPr>
                <w:color w:val="auto"/>
                <w:sz w:val="21"/>
                <w:szCs w:val="21"/>
              </w:rPr>
              <w:t>—流经密封点i的物料中挥发性有机物平均质量分数与总有机碳（TOC）平均质量分数之比，保守取值为1</w:t>
            </w:r>
            <w:r>
              <w:rPr>
                <w:rFonts w:hint="eastAsia"/>
                <w:color w:val="auto"/>
                <w:sz w:val="21"/>
                <w:szCs w:val="21"/>
              </w:rPr>
              <w:t>；</w:t>
            </w:r>
          </w:p>
          <w:p w14:paraId="0EBC3D47">
            <w:pPr>
              <w:pStyle w:val="79"/>
              <w:keepNext w:val="0"/>
              <w:keepLines w:val="0"/>
              <w:pageBreakBefore w:val="0"/>
              <w:widowControl w:val="0"/>
              <w:kinsoku/>
              <w:wordWrap/>
              <w:overflowPunct/>
              <w:topLinePunct w:val="0"/>
              <w:autoSpaceDE/>
              <w:autoSpaceDN/>
              <w:bidi w:val="0"/>
              <w:snapToGrid w:val="0"/>
              <w:spacing w:line="420" w:lineRule="exact"/>
              <w:ind w:firstLine="1050" w:firstLineChars="500"/>
              <w:textAlignment w:val="auto"/>
              <w:rPr>
                <w:color w:val="auto"/>
                <w:sz w:val="21"/>
                <w:szCs w:val="21"/>
              </w:rPr>
            </w:pPr>
            <w:r>
              <w:rPr>
                <w:color w:val="auto"/>
                <w:sz w:val="21"/>
                <w:szCs w:val="21"/>
              </w:rPr>
              <w:t>n—挥发性有机物流经的设备与管线组件密封点数。</w:t>
            </w:r>
          </w:p>
          <w:p w14:paraId="176B75D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sz w:val="21"/>
                <w:szCs w:val="21"/>
              </w:rPr>
            </w:pPr>
            <w:r>
              <w:rPr>
                <w:rFonts w:hint="eastAsia"/>
                <w:color w:val="auto"/>
              </w:rPr>
              <w:t>根据</w:t>
            </w:r>
            <w:r>
              <w:rPr>
                <w:color w:val="auto"/>
              </w:rPr>
              <w:t>HJ853-2017</w:t>
            </w:r>
            <w:r>
              <w:rPr>
                <w:rFonts w:hint="eastAsia"/>
                <w:color w:val="auto"/>
              </w:rPr>
              <w:t>，石油化学工业设备与管线组件</w:t>
            </w:r>
            <w:r>
              <w:rPr>
                <w:rFonts w:hint="eastAsia"/>
                <w:color w:val="auto"/>
                <w:sz w:val="28"/>
                <w:szCs w:val="28"/>
              </w:rPr>
              <w:t>e</w:t>
            </w:r>
            <w:r>
              <w:rPr>
                <w:rFonts w:hint="eastAsia"/>
                <w:color w:val="auto"/>
                <w:vertAlign w:val="subscript"/>
              </w:rPr>
              <w:t>TOC,i</w:t>
            </w:r>
            <w:r>
              <w:rPr>
                <w:rFonts w:hint="eastAsia"/>
                <w:color w:val="auto"/>
              </w:rPr>
              <w:t>取值参数如下：</w:t>
            </w:r>
          </w:p>
          <w:p w14:paraId="581EBDB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4-11</w:t>
            </w:r>
            <w:r>
              <w:rPr>
                <w:rFonts w:hint="eastAsia"/>
                <w:b/>
                <w:color w:val="auto"/>
                <w:szCs w:val="21"/>
              </w:rPr>
              <w:t xml:space="preserve">  设备与管线组件eTOC,i取值参数表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3479"/>
              <w:gridCol w:w="2975"/>
            </w:tblGrid>
            <w:tr w14:paraId="28E84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Align w:val="center"/>
                </w:tcPr>
                <w:p w14:paraId="61CBF5D7">
                  <w:pPr>
                    <w:pStyle w:val="60"/>
                    <w:ind w:firstLine="482"/>
                    <w:jc w:val="both"/>
                    <w:rPr>
                      <w:b/>
                      <w:bCs/>
                      <w:color w:val="auto"/>
                      <w:sz w:val="18"/>
                      <w:szCs w:val="18"/>
                    </w:rPr>
                  </w:pPr>
                  <w:r>
                    <w:rPr>
                      <w:rFonts w:hint="eastAsia"/>
                      <w:b/>
                      <w:bCs/>
                      <w:color w:val="auto"/>
                      <w:sz w:val="18"/>
                      <w:szCs w:val="18"/>
                    </w:rPr>
                    <w:t>类型</w:t>
                  </w:r>
                </w:p>
              </w:tc>
              <w:tc>
                <w:tcPr>
                  <w:tcW w:w="3858" w:type="dxa"/>
                  <w:vAlign w:val="center"/>
                </w:tcPr>
                <w:p w14:paraId="2E41EEF2">
                  <w:pPr>
                    <w:pStyle w:val="60"/>
                    <w:rPr>
                      <w:b/>
                      <w:bCs/>
                      <w:color w:val="auto"/>
                      <w:sz w:val="18"/>
                      <w:szCs w:val="18"/>
                    </w:rPr>
                  </w:pPr>
                  <w:r>
                    <w:rPr>
                      <w:rFonts w:hint="eastAsia"/>
                      <w:b/>
                      <w:bCs/>
                      <w:color w:val="auto"/>
                      <w:sz w:val="18"/>
                      <w:szCs w:val="18"/>
                    </w:rPr>
                    <w:t>设备类型</w:t>
                  </w:r>
                </w:p>
              </w:tc>
              <w:tc>
                <w:tcPr>
                  <w:tcW w:w="3295" w:type="dxa"/>
                  <w:vAlign w:val="center"/>
                </w:tcPr>
                <w:p w14:paraId="060C6843">
                  <w:pPr>
                    <w:pStyle w:val="60"/>
                    <w:ind w:firstLine="482"/>
                    <w:jc w:val="both"/>
                    <w:rPr>
                      <w:b/>
                      <w:bCs/>
                      <w:color w:val="auto"/>
                      <w:sz w:val="18"/>
                      <w:szCs w:val="18"/>
                    </w:rPr>
                  </w:pPr>
                  <w:r>
                    <w:rPr>
                      <w:rFonts w:hint="eastAsia"/>
                      <w:b/>
                      <w:bCs/>
                      <w:color w:val="auto"/>
                      <w:sz w:val="18"/>
                      <w:szCs w:val="18"/>
                    </w:rPr>
                    <w:t>排放速率e</w:t>
                  </w:r>
                  <w:r>
                    <w:rPr>
                      <w:rFonts w:hint="eastAsia"/>
                      <w:b/>
                      <w:bCs/>
                      <w:color w:val="auto"/>
                      <w:sz w:val="18"/>
                      <w:szCs w:val="18"/>
                      <w:vertAlign w:val="subscript"/>
                    </w:rPr>
                    <w:t>TOC,i</w:t>
                  </w:r>
                  <w:r>
                    <w:rPr>
                      <w:rFonts w:hint="eastAsia"/>
                      <w:b/>
                      <w:bCs/>
                      <w:color w:val="auto"/>
                      <w:sz w:val="18"/>
                      <w:szCs w:val="18"/>
                    </w:rPr>
                    <w:t>/(kg/h排放源)</w:t>
                  </w:r>
                </w:p>
              </w:tc>
            </w:tr>
            <w:tr w14:paraId="7539B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restart"/>
                  <w:vAlign w:val="center"/>
                </w:tcPr>
                <w:p w14:paraId="7CC3F793">
                  <w:pPr>
                    <w:pStyle w:val="60"/>
                    <w:rPr>
                      <w:color w:val="auto"/>
                      <w:sz w:val="18"/>
                      <w:szCs w:val="18"/>
                    </w:rPr>
                  </w:pPr>
                  <w:r>
                    <w:rPr>
                      <w:rFonts w:hint="eastAsia"/>
                      <w:color w:val="auto"/>
                      <w:sz w:val="18"/>
                      <w:szCs w:val="18"/>
                    </w:rPr>
                    <w:t>石油化学工业</w:t>
                  </w:r>
                </w:p>
              </w:tc>
              <w:tc>
                <w:tcPr>
                  <w:tcW w:w="3858" w:type="dxa"/>
                  <w:vAlign w:val="center"/>
                </w:tcPr>
                <w:p w14:paraId="5999BE10">
                  <w:pPr>
                    <w:pStyle w:val="60"/>
                    <w:rPr>
                      <w:color w:val="auto"/>
                      <w:sz w:val="18"/>
                      <w:szCs w:val="18"/>
                    </w:rPr>
                  </w:pPr>
                  <w:r>
                    <w:rPr>
                      <w:rFonts w:hint="eastAsia"/>
                      <w:color w:val="auto"/>
                      <w:sz w:val="18"/>
                      <w:szCs w:val="18"/>
                    </w:rPr>
                    <w:t>气体阀门</w:t>
                  </w:r>
                </w:p>
              </w:tc>
              <w:tc>
                <w:tcPr>
                  <w:tcW w:w="3295" w:type="dxa"/>
                  <w:vAlign w:val="center"/>
                </w:tcPr>
                <w:p w14:paraId="258BC7E8">
                  <w:pPr>
                    <w:pStyle w:val="60"/>
                    <w:rPr>
                      <w:color w:val="auto"/>
                      <w:sz w:val="18"/>
                      <w:szCs w:val="18"/>
                    </w:rPr>
                  </w:pPr>
                  <w:r>
                    <w:rPr>
                      <w:rFonts w:hint="eastAsia"/>
                      <w:color w:val="auto"/>
                      <w:sz w:val="18"/>
                      <w:szCs w:val="18"/>
                    </w:rPr>
                    <w:t>0.024</w:t>
                  </w:r>
                </w:p>
              </w:tc>
            </w:tr>
            <w:tr w14:paraId="514F1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continue"/>
                  <w:vAlign w:val="center"/>
                </w:tcPr>
                <w:p w14:paraId="01CC8E47">
                  <w:pPr>
                    <w:pStyle w:val="60"/>
                    <w:rPr>
                      <w:color w:val="auto"/>
                      <w:sz w:val="18"/>
                      <w:szCs w:val="18"/>
                    </w:rPr>
                  </w:pPr>
                </w:p>
              </w:tc>
              <w:tc>
                <w:tcPr>
                  <w:tcW w:w="3858" w:type="dxa"/>
                  <w:vAlign w:val="center"/>
                </w:tcPr>
                <w:p w14:paraId="421C646F">
                  <w:pPr>
                    <w:pStyle w:val="60"/>
                    <w:rPr>
                      <w:color w:val="auto"/>
                      <w:sz w:val="18"/>
                      <w:szCs w:val="18"/>
                    </w:rPr>
                  </w:pPr>
                  <w:r>
                    <w:rPr>
                      <w:rFonts w:hint="eastAsia"/>
                      <w:color w:val="auto"/>
                      <w:sz w:val="18"/>
                      <w:szCs w:val="18"/>
                    </w:rPr>
                    <w:t>开口阀或开口管线</w:t>
                  </w:r>
                </w:p>
              </w:tc>
              <w:tc>
                <w:tcPr>
                  <w:tcW w:w="3295" w:type="dxa"/>
                  <w:vAlign w:val="center"/>
                </w:tcPr>
                <w:p w14:paraId="4795FCC8">
                  <w:pPr>
                    <w:pStyle w:val="60"/>
                    <w:rPr>
                      <w:color w:val="auto"/>
                      <w:sz w:val="18"/>
                      <w:szCs w:val="18"/>
                    </w:rPr>
                  </w:pPr>
                  <w:r>
                    <w:rPr>
                      <w:rFonts w:hint="eastAsia"/>
                      <w:color w:val="auto"/>
                      <w:sz w:val="18"/>
                      <w:szCs w:val="18"/>
                    </w:rPr>
                    <w:t>0.03</w:t>
                  </w:r>
                </w:p>
              </w:tc>
            </w:tr>
            <w:tr w14:paraId="2DF47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continue"/>
                  <w:vAlign w:val="center"/>
                </w:tcPr>
                <w:p w14:paraId="254B4700">
                  <w:pPr>
                    <w:pStyle w:val="60"/>
                    <w:rPr>
                      <w:color w:val="auto"/>
                      <w:sz w:val="18"/>
                      <w:szCs w:val="18"/>
                    </w:rPr>
                  </w:pPr>
                </w:p>
              </w:tc>
              <w:tc>
                <w:tcPr>
                  <w:tcW w:w="3858" w:type="dxa"/>
                  <w:vAlign w:val="center"/>
                </w:tcPr>
                <w:p w14:paraId="5658CF4E">
                  <w:pPr>
                    <w:pStyle w:val="60"/>
                    <w:rPr>
                      <w:color w:val="auto"/>
                      <w:sz w:val="18"/>
                      <w:szCs w:val="18"/>
                    </w:rPr>
                  </w:pPr>
                  <w:r>
                    <w:rPr>
                      <w:rFonts w:hint="eastAsia"/>
                      <w:color w:val="auto"/>
                      <w:sz w:val="18"/>
                      <w:szCs w:val="18"/>
                    </w:rPr>
                    <w:t>有机液体阀门</w:t>
                  </w:r>
                </w:p>
              </w:tc>
              <w:tc>
                <w:tcPr>
                  <w:tcW w:w="3295" w:type="dxa"/>
                  <w:vAlign w:val="center"/>
                </w:tcPr>
                <w:p w14:paraId="12D635FC">
                  <w:pPr>
                    <w:pStyle w:val="60"/>
                    <w:rPr>
                      <w:color w:val="auto"/>
                      <w:sz w:val="18"/>
                      <w:szCs w:val="18"/>
                    </w:rPr>
                  </w:pPr>
                  <w:r>
                    <w:rPr>
                      <w:rFonts w:hint="eastAsia"/>
                      <w:color w:val="auto"/>
                      <w:sz w:val="18"/>
                      <w:szCs w:val="18"/>
                    </w:rPr>
                    <w:t>0.036</w:t>
                  </w:r>
                </w:p>
              </w:tc>
            </w:tr>
            <w:tr w14:paraId="35EB3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continue"/>
                  <w:vAlign w:val="center"/>
                </w:tcPr>
                <w:p w14:paraId="3D4D5525">
                  <w:pPr>
                    <w:pStyle w:val="60"/>
                    <w:rPr>
                      <w:color w:val="auto"/>
                      <w:sz w:val="18"/>
                      <w:szCs w:val="18"/>
                    </w:rPr>
                  </w:pPr>
                </w:p>
              </w:tc>
              <w:tc>
                <w:tcPr>
                  <w:tcW w:w="3858" w:type="dxa"/>
                  <w:vAlign w:val="center"/>
                </w:tcPr>
                <w:p w14:paraId="7BFBA242">
                  <w:pPr>
                    <w:pStyle w:val="60"/>
                    <w:rPr>
                      <w:color w:val="auto"/>
                      <w:sz w:val="18"/>
                      <w:szCs w:val="18"/>
                    </w:rPr>
                  </w:pPr>
                  <w:r>
                    <w:rPr>
                      <w:rFonts w:hint="eastAsia"/>
                      <w:color w:val="auto"/>
                      <w:sz w:val="18"/>
                      <w:szCs w:val="18"/>
                    </w:rPr>
                    <w:t>法兰或连接件</w:t>
                  </w:r>
                </w:p>
              </w:tc>
              <w:tc>
                <w:tcPr>
                  <w:tcW w:w="3295" w:type="dxa"/>
                  <w:vAlign w:val="center"/>
                </w:tcPr>
                <w:p w14:paraId="197AF51C">
                  <w:pPr>
                    <w:pStyle w:val="60"/>
                    <w:rPr>
                      <w:color w:val="auto"/>
                      <w:sz w:val="18"/>
                      <w:szCs w:val="18"/>
                    </w:rPr>
                  </w:pPr>
                  <w:r>
                    <w:rPr>
                      <w:rFonts w:hint="eastAsia"/>
                      <w:color w:val="auto"/>
                      <w:sz w:val="18"/>
                      <w:szCs w:val="18"/>
                    </w:rPr>
                    <w:t>0.044</w:t>
                  </w:r>
                </w:p>
              </w:tc>
            </w:tr>
            <w:tr w14:paraId="679C9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continue"/>
                  <w:vAlign w:val="center"/>
                </w:tcPr>
                <w:p w14:paraId="41BF0E35">
                  <w:pPr>
                    <w:pStyle w:val="60"/>
                    <w:rPr>
                      <w:color w:val="auto"/>
                      <w:sz w:val="18"/>
                      <w:szCs w:val="18"/>
                    </w:rPr>
                  </w:pPr>
                </w:p>
              </w:tc>
              <w:tc>
                <w:tcPr>
                  <w:tcW w:w="3858" w:type="dxa"/>
                  <w:vAlign w:val="center"/>
                </w:tcPr>
                <w:p w14:paraId="6FDCB386">
                  <w:pPr>
                    <w:pStyle w:val="60"/>
                    <w:rPr>
                      <w:color w:val="auto"/>
                      <w:sz w:val="18"/>
                      <w:szCs w:val="18"/>
                    </w:rPr>
                  </w:pPr>
                  <w:r>
                    <w:rPr>
                      <w:rFonts w:hint="eastAsia"/>
                      <w:color w:val="auto"/>
                      <w:sz w:val="18"/>
                      <w:szCs w:val="18"/>
                    </w:rPr>
                    <w:t>泵、压缩机、搅拌器、泄压设备</w:t>
                  </w:r>
                </w:p>
              </w:tc>
              <w:tc>
                <w:tcPr>
                  <w:tcW w:w="3295" w:type="dxa"/>
                  <w:vAlign w:val="center"/>
                </w:tcPr>
                <w:p w14:paraId="797B067B">
                  <w:pPr>
                    <w:pStyle w:val="60"/>
                    <w:rPr>
                      <w:color w:val="auto"/>
                      <w:sz w:val="18"/>
                      <w:szCs w:val="18"/>
                    </w:rPr>
                  </w:pPr>
                  <w:r>
                    <w:rPr>
                      <w:rFonts w:hint="eastAsia"/>
                      <w:color w:val="auto"/>
                      <w:sz w:val="18"/>
                      <w:szCs w:val="18"/>
                    </w:rPr>
                    <w:t>0.14</w:t>
                  </w:r>
                </w:p>
              </w:tc>
            </w:tr>
            <w:tr w14:paraId="62776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vMerge w:val="continue"/>
                  <w:vAlign w:val="center"/>
                </w:tcPr>
                <w:p w14:paraId="396A4FC5">
                  <w:pPr>
                    <w:pStyle w:val="60"/>
                    <w:rPr>
                      <w:color w:val="auto"/>
                      <w:sz w:val="18"/>
                      <w:szCs w:val="18"/>
                    </w:rPr>
                  </w:pPr>
                </w:p>
              </w:tc>
              <w:tc>
                <w:tcPr>
                  <w:tcW w:w="3858" w:type="dxa"/>
                  <w:vAlign w:val="center"/>
                </w:tcPr>
                <w:p w14:paraId="3350EB73">
                  <w:pPr>
                    <w:pStyle w:val="60"/>
                    <w:rPr>
                      <w:color w:val="auto"/>
                      <w:sz w:val="18"/>
                      <w:szCs w:val="18"/>
                    </w:rPr>
                  </w:pPr>
                  <w:r>
                    <w:rPr>
                      <w:rFonts w:hint="eastAsia"/>
                      <w:color w:val="auto"/>
                      <w:sz w:val="18"/>
                      <w:szCs w:val="18"/>
                    </w:rPr>
                    <w:t>其他</w:t>
                  </w:r>
                </w:p>
              </w:tc>
              <w:tc>
                <w:tcPr>
                  <w:tcW w:w="3295" w:type="dxa"/>
                  <w:vAlign w:val="center"/>
                </w:tcPr>
                <w:p w14:paraId="4BEB130C">
                  <w:pPr>
                    <w:pStyle w:val="60"/>
                    <w:rPr>
                      <w:color w:val="auto"/>
                      <w:sz w:val="18"/>
                      <w:szCs w:val="18"/>
                    </w:rPr>
                  </w:pPr>
                  <w:r>
                    <w:rPr>
                      <w:rFonts w:hint="eastAsia"/>
                      <w:color w:val="auto"/>
                      <w:sz w:val="18"/>
                      <w:szCs w:val="18"/>
                    </w:rPr>
                    <w:t>0.073</w:t>
                  </w:r>
                </w:p>
              </w:tc>
            </w:tr>
          </w:tbl>
          <w:p w14:paraId="5CB6C9E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 w:val="0"/>
                <w:bCs/>
                <w:color w:val="auto"/>
                <w:sz w:val="21"/>
                <w:szCs w:val="21"/>
              </w:rPr>
            </w:pPr>
            <w:r>
              <w:rPr>
                <w:rFonts w:hint="eastAsia"/>
                <w:color w:val="auto"/>
                <w:sz w:val="21"/>
                <w:szCs w:val="21"/>
                <w:lang w:val="en-US" w:eastAsia="zh-CN"/>
              </w:rPr>
              <w:t>本项目涉及到的设备与管线组件密封点数量统计结果如下</w:t>
            </w:r>
            <w:r>
              <w:rPr>
                <w:rFonts w:hint="eastAsia"/>
                <w:color w:val="auto"/>
                <w:sz w:val="21"/>
                <w:szCs w:val="21"/>
              </w:rPr>
              <w:t>：</w:t>
            </w:r>
          </w:p>
          <w:p w14:paraId="23A1BDF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val="0"/>
                <w:bCs/>
                <w:color w:val="auto"/>
                <w:szCs w:val="21"/>
              </w:rPr>
            </w:pPr>
            <w:r>
              <w:rPr>
                <w:rFonts w:hint="eastAsia"/>
                <w:b/>
                <w:color w:val="auto"/>
                <w:szCs w:val="21"/>
              </w:rPr>
              <w:t>表</w:t>
            </w:r>
            <w:r>
              <w:rPr>
                <w:rFonts w:hint="eastAsia"/>
                <w:b/>
                <w:color w:val="auto"/>
                <w:szCs w:val="21"/>
                <w:lang w:val="en-US" w:eastAsia="zh-CN"/>
              </w:rPr>
              <w:t>4-12</w:t>
            </w:r>
            <w:r>
              <w:rPr>
                <w:b/>
                <w:color w:val="auto"/>
                <w:szCs w:val="21"/>
              </w:rPr>
              <w:t xml:space="preserve">  </w:t>
            </w:r>
            <w:r>
              <w:rPr>
                <w:rFonts w:hint="eastAsia"/>
                <w:b/>
                <w:color w:val="auto"/>
                <w:szCs w:val="21"/>
                <w:lang w:val="en-US" w:eastAsia="zh-CN"/>
              </w:rPr>
              <w:t>本</w:t>
            </w:r>
            <w:r>
              <w:rPr>
                <w:rFonts w:hint="eastAsia"/>
                <w:b/>
                <w:color w:val="auto"/>
                <w:szCs w:val="21"/>
              </w:rPr>
              <w:t>项目废气排放情况汇总表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9"/>
              <w:gridCol w:w="1921"/>
              <w:gridCol w:w="631"/>
              <w:gridCol w:w="1031"/>
              <w:gridCol w:w="788"/>
              <w:gridCol w:w="874"/>
              <w:gridCol w:w="1359"/>
              <w:gridCol w:w="488"/>
              <w:gridCol w:w="693"/>
            </w:tblGrid>
            <w:tr w14:paraId="37556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Merge w:val="restart"/>
                  <w:vAlign w:val="center"/>
                </w:tcPr>
                <w:p w14:paraId="77B0BB04">
                  <w:pPr>
                    <w:pStyle w:val="60"/>
                    <w:rPr>
                      <w:color w:val="auto"/>
                      <w:sz w:val="18"/>
                      <w:szCs w:val="18"/>
                    </w:rPr>
                  </w:pPr>
                  <w:r>
                    <w:rPr>
                      <w:rFonts w:hint="eastAsia"/>
                      <w:color w:val="auto"/>
                      <w:sz w:val="18"/>
                      <w:szCs w:val="18"/>
                    </w:rPr>
                    <w:t>序号</w:t>
                  </w:r>
                </w:p>
              </w:tc>
              <w:tc>
                <w:tcPr>
                  <w:tcW w:w="2015" w:type="dxa"/>
                  <w:vMerge w:val="restart"/>
                  <w:vAlign w:val="center"/>
                </w:tcPr>
                <w:p w14:paraId="4A8C2F89">
                  <w:pPr>
                    <w:pStyle w:val="60"/>
                    <w:rPr>
                      <w:color w:val="auto"/>
                      <w:sz w:val="18"/>
                      <w:szCs w:val="18"/>
                    </w:rPr>
                  </w:pPr>
                  <w:r>
                    <w:rPr>
                      <w:rFonts w:hint="eastAsia"/>
                      <w:color w:val="auto"/>
                      <w:sz w:val="18"/>
                      <w:szCs w:val="18"/>
                    </w:rPr>
                    <w:t>区域划分</w:t>
                  </w:r>
                </w:p>
              </w:tc>
              <w:tc>
                <w:tcPr>
                  <w:tcW w:w="5415" w:type="dxa"/>
                  <w:gridSpan w:val="6"/>
                  <w:vAlign w:val="center"/>
                </w:tcPr>
                <w:p w14:paraId="52784298">
                  <w:pPr>
                    <w:pStyle w:val="60"/>
                    <w:rPr>
                      <w:color w:val="auto"/>
                      <w:sz w:val="18"/>
                      <w:szCs w:val="18"/>
                    </w:rPr>
                  </w:pPr>
                  <w:r>
                    <w:rPr>
                      <w:rFonts w:hint="eastAsia"/>
                      <w:color w:val="auto"/>
                      <w:sz w:val="18"/>
                      <w:szCs w:val="18"/>
                    </w:rPr>
                    <w:t>设备类型及数量（个）</w:t>
                  </w:r>
                </w:p>
              </w:tc>
              <w:tc>
                <w:tcPr>
                  <w:tcW w:w="724" w:type="dxa"/>
                  <w:vMerge w:val="restart"/>
                  <w:vAlign w:val="center"/>
                </w:tcPr>
                <w:p w14:paraId="4F92B029">
                  <w:pPr>
                    <w:pStyle w:val="60"/>
                    <w:rPr>
                      <w:color w:val="auto"/>
                      <w:sz w:val="18"/>
                      <w:szCs w:val="18"/>
                    </w:rPr>
                  </w:pPr>
                  <w:r>
                    <w:rPr>
                      <w:color w:val="auto"/>
                      <w:sz w:val="18"/>
                      <w:szCs w:val="18"/>
                    </w:rPr>
                    <w:t>合计</w:t>
                  </w:r>
                  <w:r>
                    <w:rPr>
                      <w:rFonts w:hint="eastAsia"/>
                      <w:color w:val="auto"/>
                      <w:sz w:val="18"/>
                      <w:szCs w:val="18"/>
                    </w:rPr>
                    <w:t>（个）</w:t>
                  </w:r>
                </w:p>
              </w:tc>
            </w:tr>
            <w:tr w14:paraId="7E131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Merge w:val="continue"/>
                  <w:vAlign w:val="center"/>
                </w:tcPr>
                <w:p w14:paraId="07982E41">
                  <w:pPr>
                    <w:pStyle w:val="60"/>
                    <w:rPr>
                      <w:color w:val="auto"/>
                      <w:sz w:val="18"/>
                      <w:szCs w:val="18"/>
                    </w:rPr>
                  </w:pPr>
                </w:p>
              </w:tc>
              <w:tc>
                <w:tcPr>
                  <w:tcW w:w="2015" w:type="dxa"/>
                  <w:vMerge w:val="continue"/>
                  <w:vAlign w:val="center"/>
                </w:tcPr>
                <w:p w14:paraId="4F7BD174">
                  <w:pPr>
                    <w:pStyle w:val="60"/>
                    <w:rPr>
                      <w:color w:val="auto"/>
                      <w:sz w:val="18"/>
                      <w:szCs w:val="18"/>
                    </w:rPr>
                  </w:pPr>
                </w:p>
              </w:tc>
              <w:tc>
                <w:tcPr>
                  <w:tcW w:w="660" w:type="dxa"/>
                  <w:vAlign w:val="center"/>
                </w:tcPr>
                <w:p w14:paraId="2E395B1C">
                  <w:pPr>
                    <w:pStyle w:val="60"/>
                    <w:rPr>
                      <w:color w:val="auto"/>
                      <w:sz w:val="18"/>
                      <w:szCs w:val="18"/>
                    </w:rPr>
                  </w:pPr>
                  <w:r>
                    <w:rPr>
                      <w:rFonts w:hint="eastAsia"/>
                      <w:color w:val="auto"/>
                      <w:sz w:val="18"/>
                      <w:szCs w:val="18"/>
                    </w:rPr>
                    <w:t>气体阀门</w:t>
                  </w:r>
                </w:p>
              </w:tc>
              <w:tc>
                <w:tcPr>
                  <w:tcW w:w="1080" w:type="dxa"/>
                  <w:vAlign w:val="center"/>
                </w:tcPr>
                <w:p w14:paraId="3DD43A40">
                  <w:pPr>
                    <w:pStyle w:val="60"/>
                    <w:rPr>
                      <w:color w:val="auto"/>
                      <w:sz w:val="18"/>
                      <w:szCs w:val="18"/>
                    </w:rPr>
                  </w:pPr>
                  <w:r>
                    <w:rPr>
                      <w:rFonts w:hint="eastAsia"/>
                      <w:color w:val="auto"/>
                      <w:sz w:val="18"/>
                      <w:szCs w:val="18"/>
                    </w:rPr>
                    <w:t>开口阀或开口管线</w:t>
                  </w:r>
                </w:p>
              </w:tc>
              <w:tc>
                <w:tcPr>
                  <w:tcW w:w="825" w:type="dxa"/>
                  <w:vAlign w:val="center"/>
                </w:tcPr>
                <w:p w14:paraId="11FFFC74">
                  <w:pPr>
                    <w:pStyle w:val="60"/>
                    <w:rPr>
                      <w:color w:val="auto"/>
                      <w:sz w:val="18"/>
                      <w:szCs w:val="18"/>
                    </w:rPr>
                  </w:pPr>
                  <w:r>
                    <w:rPr>
                      <w:rFonts w:hint="eastAsia"/>
                      <w:color w:val="auto"/>
                      <w:sz w:val="18"/>
                      <w:szCs w:val="18"/>
                    </w:rPr>
                    <w:t>有机液体阀门</w:t>
                  </w:r>
                </w:p>
              </w:tc>
              <w:tc>
                <w:tcPr>
                  <w:tcW w:w="915" w:type="dxa"/>
                  <w:vAlign w:val="center"/>
                </w:tcPr>
                <w:p w14:paraId="1D4B2F72">
                  <w:pPr>
                    <w:pStyle w:val="60"/>
                    <w:rPr>
                      <w:color w:val="auto"/>
                      <w:sz w:val="18"/>
                      <w:szCs w:val="18"/>
                    </w:rPr>
                  </w:pPr>
                  <w:r>
                    <w:rPr>
                      <w:rFonts w:hint="eastAsia"/>
                      <w:color w:val="auto"/>
                      <w:sz w:val="18"/>
                      <w:szCs w:val="18"/>
                    </w:rPr>
                    <w:t>法兰或连接件</w:t>
                  </w:r>
                </w:p>
              </w:tc>
              <w:tc>
                <w:tcPr>
                  <w:tcW w:w="1425" w:type="dxa"/>
                  <w:vAlign w:val="center"/>
                </w:tcPr>
                <w:p w14:paraId="0E38F363">
                  <w:pPr>
                    <w:pStyle w:val="60"/>
                    <w:rPr>
                      <w:color w:val="auto"/>
                      <w:sz w:val="18"/>
                      <w:szCs w:val="18"/>
                    </w:rPr>
                  </w:pPr>
                  <w:r>
                    <w:rPr>
                      <w:rFonts w:hint="eastAsia"/>
                      <w:color w:val="auto"/>
                      <w:sz w:val="18"/>
                      <w:szCs w:val="18"/>
                    </w:rPr>
                    <w:t>泵、压缩机、搅拌器、泄压设备</w:t>
                  </w:r>
                </w:p>
              </w:tc>
              <w:tc>
                <w:tcPr>
                  <w:tcW w:w="510" w:type="dxa"/>
                  <w:vAlign w:val="center"/>
                </w:tcPr>
                <w:p w14:paraId="43ABF0BD">
                  <w:pPr>
                    <w:pStyle w:val="60"/>
                    <w:rPr>
                      <w:color w:val="auto"/>
                      <w:sz w:val="18"/>
                      <w:szCs w:val="18"/>
                    </w:rPr>
                  </w:pPr>
                  <w:r>
                    <w:rPr>
                      <w:rFonts w:hint="eastAsia"/>
                      <w:color w:val="auto"/>
                      <w:sz w:val="18"/>
                      <w:szCs w:val="18"/>
                    </w:rPr>
                    <w:t>其他</w:t>
                  </w:r>
                </w:p>
              </w:tc>
              <w:tc>
                <w:tcPr>
                  <w:tcW w:w="724" w:type="dxa"/>
                  <w:vMerge w:val="continue"/>
                  <w:vAlign w:val="center"/>
                </w:tcPr>
                <w:p w14:paraId="05D5F1C1">
                  <w:pPr>
                    <w:pStyle w:val="60"/>
                    <w:rPr>
                      <w:color w:val="auto"/>
                      <w:sz w:val="18"/>
                      <w:szCs w:val="18"/>
                    </w:rPr>
                  </w:pPr>
                </w:p>
              </w:tc>
            </w:tr>
            <w:tr w14:paraId="092F4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Align w:val="center"/>
                </w:tcPr>
                <w:p w14:paraId="54373F89">
                  <w:pPr>
                    <w:pStyle w:val="60"/>
                    <w:rPr>
                      <w:color w:val="auto"/>
                      <w:sz w:val="18"/>
                      <w:szCs w:val="18"/>
                    </w:rPr>
                  </w:pPr>
                  <w:r>
                    <w:rPr>
                      <w:rFonts w:hint="eastAsia"/>
                      <w:color w:val="auto"/>
                      <w:sz w:val="18"/>
                      <w:szCs w:val="18"/>
                    </w:rPr>
                    <w:t>1</w:t>
                  </w:r>
                </w:p>
              </w:tc>
              <w:tc>
                <w:tcPr>
                  <w:tcW w:w="2015" w:type="dxa"/>
                  <w:vAlign w:val="center"/>
                </w:tcPr>
                <w:p w14:paraId="7B2CE795">
                  <w:pPr>
                    <w:pStyle w:val="60"/>
                    <w:rPr>
                      <w:rFonts w:hint="default" w:eastAsia="宋体"/>
                      <w:color w:val="auto"/>
                      <w:sz w:val="18"/>
                      <w:szCs w:val="18"/>
                      <w:lang w:val="en-US" w:eastAsia="zh-CN"/>
                    </w:rPr>
                  </w:pPr>
                  <w:r>
                    <w:rPr>
                      <w:rFonts w:hint="eastAsia"/>
                      <w:color w:val="auto"/>
                      <w:sz w:val="18"/>
                      <w:szCs w:val="18"/>
                      <w:lang w:val="en-US" w:eastAsia="zh-CN"/>
                    </w:rPr>
                    <w:t>本次新建储罐区</w:t>
                  </w:r>
                </w:p>
              </w:tc>
              <w:tc>
                <w:tcPr>
                  <w:tcW w:w="660" w:type="dxa"/>
                  <w:vAlign w:val="center"/>
                </w:tcPr>
                <w:p w14:paraId="6E2ED33C">
                  <w:pPr>
                    <w:pStyle w:val="60"/>
                    <w:rPr>
                      <w:color w:val="auto"/>
                      <w:sz w:val="18"/>
                      <w:szCs w:val="18"/>
                    </w:rPr>
                  </w:pPr>
                  <w:r>
                    <w:rPr>
                      <w:color w:val="auto"/>
                      <w:sz w:val="18"/>
                      <w:szCs w:val="18"/>
                    </w:rPr>
                    <w:t>0</w:t>
                  </w:r>
                </w:p>
              </w:tc>
              <w:tc>
                <w:tcPr>
                  <w:tcW w:w="1080" w:type="dxa"/>
                  <w:vAlign w:val="center"/>
                </w:tcPr>
                <w:p w14:paraId="04C073F8">
                  <w:pPr>
                    <w:pStyle w:val="60"/>
                    <w:rPr>
                      <w:rFonts w:hint="default" w:eastAsia="宋体"/>
                      <w:color w:val="auto"/>
                      <w:sz w:val="18"/>
                      <w:szCs w:val="18"/>
                      <w:lang w:val="en-US" w:eastAsia="zh-CN"/>
                    </w:rPr>
                  </w:pPr>
                  <w:r>
                    <w:rPr>
                      <w:rFonts w:hint="eastAsia"/>
                      <w:color w:val="auto"/>
                      <w:sz w:val="18"/>
                      <w:szCs w:val="18"/>
                      <w:lang w:val="en-US" w:eastAsia="zh-CN"/>
                    </w:rPr>
                    <w:t>10</w:t>
                  </w:r>
                </w:p>
              </w:tc>
              <w:tc>
                <w:tcPr>
                  <w:tcW w:w="825" w:type="dxa"/>
                  <w:vAlign w:val="center"/>
                </w:tcPr>
                <w:p w14:paraId="5024D16F">
                  <w:pPr>
                    <w:pStyle w:val="60"/>
                    <w:rPr>
                      <w:rFonts w:hint="default" w:eastAsia="宋体"/>
                      <w:color w:val="auto"/>
                      <w:sz w:val="18"/>
                      <w:szCs w:val="18"/>
                      <w:lang w:val="en-US" w:eastAsia="zh-CN"/>
                    </w:rPr>
                  </w:pPr>
                  <w:r>
                    <w:rPr>
                      <w:rFonts w:hint="eastAsia"/>
                      <w:color w:val="auto"/>
                      <w:sz w:val="18"/>
                      <w:szCs w:val="18"/>
                      <w:lang w:val="en-US" w:eastAsia="zh-CN"/>
                    </w:rPr>
                    <w:t>228</w:t>
                  </w:r>
                </w:p>
              </w:tc>
              <w:tc>
                <w:tcPr>
                  <w:tcW w:w="915" w:type="dxa"/>
                  <w:vAlign w:val="center"/>
                </w:tcPr>
                <w:p w14:paraId="1A781404">
                  <w:pPr>
                    <w:pStyle w:val="60"/>
                    <w:rPr>
                      <w:rFonts w:hint="default" w:eastAsia="宋体"/>
                      <w:color w:val="auto"/>
                      <w:sz w:val="18"/>
                      <w:szCs w:val="18"/>
                      <w:lang w:val="en-US" w:eastAsia="zh-CN"/>
                    </w:rPr>
                  </w:pPr>
                  <w:r>
                    <w:rPr>
                      <w:rFonts w:hint="eastAsia"/>
                      <w:color w:val="auto"/>
                      <w:sz w:val="18"/>
                      <w:szCs w:val="18"/>
                      <w:lang w:val="en-US" w:eastAsia="zh-CN"/>
                    </w:rPr>
                    <w:t>639</w:t>
                  </w:r>
                </w:p>
              </w:tc>
              <w:tc>
                <w:tcPr>
                  <w:tcW w:w="1425" w:type="dxa"/>
                  <w:vAlign w:val="center"/>
                </w:tcPr>
                <w:p w14:paraId="41285812">
                  <w:pPr>
                    <w:pStyle w:val="60"/>
                    <w:rPr>
                      <w:rFonts w:hint="default" w:eastAsia="宋体"/>
                      <w:color w:val="auto"/>
                      <w:sz w:val="18"/>
                      <w:szCs w:val="18"/>
                      <w:lang w:val="en-US" w:eastAsia="zh-CN"/>
                    </w:rPr>
                  </w:pPr>
                  <w:r>
                    <w:rPr>
                      <w:rFonts w:hint="eastAsia"/>
                      <w:color w:val="auto"/>
                      <w:sz w:val="18"/>
                      <w:szCs w:val="18"/>
                      <w:lang w:val="en-US" w:eastAsia="zh-CN"/>
                    </w:rPr>
                    <w:t>25</w:t>
                  </w:r>
                </w:p>
              </w:tc>
              <w:tc>
                <w:tcPr>
                  <w:tcW w:w="510" w:type="dxa"/>
                  <w:vAlign w:val="center"/>
                </w:tcPr>
                <w:p w14:paraId="7DDE6614">
                  <w:pPr>
                    <w:pStyle w:val="60"/>
                    <w:rPr>
                      <w:color w:val="auto"/>
                      <w:sz w:val="18"/>
                      <w:szCs w:val="18"/>
                    </w:rPr>
                  </w:pPr>
                  <w:r>
                    <w:rPr>
                      <w:color w:val="auto"/>
                      <w:sz w:val="18"/>
                      <w:szCs w:val="18"/>
                    </w:rPr>
                    <w:t>0</w:t>
                  </w:r>
                </w:p>
              </w:tc>
              <w:tc>
                <w:tcPr>
                  <w:tcW w:w="724" w:type="dxa"/>
                  <w:vAlign w:val="center"/>
                </w:tcPr>
                <w:p w14:paraId="1B780DBD">
                  <w:pPr>
                    <w:pStyle w:val="60"/>
                    <w:rPr>
                      <w:rFonts w:hint="default" w:eastAsia="宋体"/>
                      <w:color w:val="auto"/>
                      <w:sz w:val="18"/>
                      <w:szCs w:val="18"/>
                      <w:lang w:val="en-US" w:eastAsia="zh-CN"/>
                    </w:rPr>
                  </w:pPr>
                  <w:r>
                    <w:rPr>
                      <w:rFonts w:hint="eastAsia"/>
                      <w:color w:val="auto"/>
                      <w:sz w:val="18"/>
                      <w:szCs w:val="18"/>
                      <w:lang w:val="en-US" w:eastAsia="zh-CN"/>
                    </w:rPr>
                    <w:t>902</w:t>
                  </w:r>
                </w:p>
              </w:tc>
            </w:tr>
            <w:tr w14:paraId="025D4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Align w:val="center"/>
                </w:tcPr>
                <w:p w14:paraId="6BB831D7">
                  <w:pPr>
                    <w:pStyle w:val="60"/>
                    <w:rPr>
                      <w:rFonts w:hint="eastAsia" w:eastAsia="宋体"/>
                      <w:color w:val="auto"/>
                      <w:sz w:val="18"/>
                      <w:szCs w:val="18"/>
                      <w:lang w:val="en-US" w:eastAsia="zh-CN"/>
                    </w:rPr>
                  </w:pPr>
                  <w:r>
                    <w:rPr>
                      <w:rFonts w:hint="eastAsia"/>
                      <w:color w:val="auto"/>
                      <w:sz w:val="18"/>
                      <w:szCs w:val="18"/>
                      <w:lang w:val="en-US" w:eastAsia="zh-CN"/>
                    </w:rPr>
                    <w:t>2</w:t>
                  </w:r>
                </w:p>
              </w:tc>
              <w:tc>
                <w:tcPr>
                  <w:tcW w:w="2015" w:type="dxa"/>
                  <w:vAlign w:val="center"/>
                </w:tcPr>
                <w:p w14:paraId="639CF663">
                  <w:pPr>
                    <w:pStyle w:val="60"/>
                    <w:rPr>
                      <w:rFonts w:hint="default"/>
                      <w:color w:val="auto"/>
                      <w:sz w:val="18"/>
                      <w:szCs w:val="18"/>
                      <w:lang w:val="en-US" w:eastAsia="zh-CN"/>
                    </w:rPr>
                  </w:pPr>
                  <w:r>
                    <w:rPr>
                      <w:rFonts w:hint="eastAsia"/>
                      <w:color w:val="auto"/>
                      <w:sz w:val="18"/>
                      <w:szCs w:val="18"/>
                      <w:lang w:val="en-US" w:eastAsia="zh-CN"/>
                    </w:rPr>
                    <w:t>本次新建装卸车区</w:t>
                  </w:r>
                </w:p>
              </w:tc>
              <w:tc>
                <w:tcPr>
                  <w:tcW w:w="660" w:type="dxa"/>
                  <w:vAlign w:val="center"/>
                </w:tcPr>
                <w:p w14:paraId="2F7BAC0A">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1080" w:type="dxa"/>
                  <w:vAlign w:val="center"/>
                </w:tcPr>
                <w:p w14:paraId="1A824F58">
                  <w:pPr>
                    <w:pStyle w:val="60"/>
                    <w:rPr>
                      <w:rFonts w:hint="default"/>
                      <w:color w:val="auto"/>
                      <w:sz w:val="18"/>
                      <w:szCs w:val="18"/>
                      <w:lang w:val="en-US" w:eastAsia="zh-CN"/>
                    </w:rPr>
                  </w:pPr>
                  <w:r>
                    <w:rPr>
                      <w:rFonts w:hint="eastAsia"/>
                      <w:color w:val="auto"/>
                      <w:sz w:val="18"/>
                      <w:szCs w:val="18"/>
                      <w:lang w:val="en-US" w:eastAsia="zh-CN"/>
                    </w:rPr>
                    <w:t>4</w:t>
                  </w:r>
                </w:p>
              </w:tc>
              <w:tc>
                <w:tcPr>
                  <w:tcW w:w="825" w:type="dxa"/>
                  <w:vAlign w:val="center"/>
                </w:tcPr>
                <w:p w14:paraId="5104D1D5">
                  <w:pPr>
                    <w:pStyle w:val="60"/>
                    <w:rPr>
                      <w:rFonts w:hint="default"/>
                      <w:color w:val="auto"/>
                      <w:sz w:val="18"/>
                      <w:szCs w:val="18"/>
                      <w:lang w:val="en-US" w:eastAsia="zh-CN"/>
                    </w:rPr>
                  </w:pPr>
                  <w:r>
                    <w:rPr>
                      <w:rFonts w:hint="eastAsia"/>
                      <w:color w:val="auto"/>
                      <w:sz w:val="18"/>
                      <w:szCs w:val="18"/>
                      <w:lang w:val="en-US" w:eastAsia="zh-CN"/>
                    </w:rPr>
                    <w:t>102</w:t>
                  </w:r>
                </w:p>
              </w:tc>
              <w:tc>
                <w:tcPr>
                  <w:tcW w:w="915" w:type="dxa"/>
                  <w:vAlign w:val="center"/>
                </w:tcPr>
                <w:p w14:paraId="2327B6D1">
                  <w:pPr>
                    <w:pStyle w:val="60"/>
                    <w:rPr>
                      <w:rFonts w:hint="default"/>
                      <w:color w:val="auto"/>
                      <w:sz w:val="18"/>
                      <w:szCs w:val="18"/>
                      <w:lang w:val="en-US" w:eastAsia="zh-CN"/>
                    </w:rPr>
                  </w:pPr>
                  <w:r>
                    <w:rPr>
                      <w:rFonts w:hint="eastAsia"/>
                      <w:color w:val="auto"/>
                      <w:sz w:val="18"/>
                      <w:szCs w:val="18"/>
                      <w:lang w:val="en-US" w:eastAsia="zh-CN"/>
                    </w:rPr>
                    <w:t>263</w:t>
                  </w:r>
                </w:p>
              </w:tc>
              <w:tc>
                <w:tcPr>
                  <w:tcW w:w="1425" w:type="dxa"/>
                  <w:vAlign w:val="center"/>
                </w:tcPr>
                <w:p w14:paraId="388954BD">
                  <w:pPr>
                    <w:pStyle w:val="60"/>
                    <w:rPr>
                      <w:rFonts w:hint="default"/>
                      <w:color w:val="auto"/>
                      <w:sz w:val="18"/>
                      <w:szCs w:val="18"/>
                      <w:lang w:val="en-US" w:eastAsia="zh-CN"/>
                    </w:rPr>
                  </w:pPr>
                  <w:r>
                    <w:rPr>
                      <w:rFonts w:hint="eastAsia"/>
                      <w:color w:val="auto"/>
                      <w:sz w:val="18"/>
                      <w:szCs w:val="18"/>
                      <w:lang w:val="en-US" w:eastAsia="zh-CN"/>
                    </w:rPr>
                    <w:t>8</w:t>
                  </w:r>
                </w:p>
              </w:tc>
              <w:tc>
                <w:tcPr>
                  <w:tcW w:w="510" w:type="dxa"/>
                  <w:vAlign w:val="center"/>
                </w:tcPr>
                <w:p w14:paraId="79E48C2F">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724" w:type="dxa"/>
                  <w:vAlign w:val="center"/>
                </w:tcPr>
                <w:p w14:paraId="0BF2E7D7">
                  <w:pPr>
                    <w:pStyle w:val="60"/>
                    <w:rPr>
                      <w:rFonts w:hint="default"/>
                      <w:color w:val="auto"/>
                      <w:sz w:val="18"/>
                      <w:szCs w:val="18"/>
                      <w:lang w:val="en-US" w:eastAsia="zh-CN"/>
                    </w:rPr>
                  </w:pPr>
                  <w:r>
                    <w:rPr>
                      <w:rFonts w:hint="eastAsia"/>
                      <w:color w:val="auto"/>
                      <w:sz w:val="18"/>
                      <w:szCs w:val="18"/>
                      <w:lang w:val="en-US" w:eastAsia="zh-CN"/>
                    </w:rPr>
                    <w:t>377</w:t>
                  </w:r>
                </w:p>
              </w:tc>
            </w:tr>
            <w:tr w14:paraId="67993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Align w:val="center"/>
                </w:tcPr>
                <w:p w14:paraId="6C24D847">
                  <w:pPr>
                    <w:pStyle w:val="60"/>
                    <w:rPr>
                      <w:color w:val="auto"/>
                      <w:sz w:val="18"/>
                      <w:szCs w:val="18"/>
                    </w:rPr>
                  </w:pPr>
                  <w:r>
                    <w:rPr>
                      <w:rFonts w:hint="eastAsia"/>
                      <w:color w:val="auto"/>
                      <w:sz w:val="18"/>
                      <w:szCs w:val="18"/>
                      <w:lang w:val="en-US" w:eastAsia="zh-CN"/>
                    </w:rPr>
                    <w:t>3</w:t>
                  </w:r>
                </w:p>
              </w:tc>
              <w:tc>
                <w:tcPr>
                  <w:tcW w:w="2015" w:type="dxa"/>
                  <w:vAlign w:val="center"/>
                </w:tcPr>
                <w:p w14:paraId="44A8079B">
                  <w:pPr>
                    <w:pStyle w:val="60"/>
                    <w:rPr>
                      <w:rFonts w:hint="default" w:eastAsia="宋体"/>
                      <w:color w:val="auto"/>
                      <w:sz w:val="18"/>
                      <w:szCs w:val="18"/>
                      <w:lang w:val="en-US" w:eastAsia="zh-CN"/>
                    </w:rPr>
                  </w:pPr>
                  <w:r>
                    <w:rPr>
                      <w:rFonts w:hint="eastAsia"/>
                      <w:color w:val="auto"/>
                      <w:sz w:val="18"/>
                      <w:szCs w:val="18"/>
                      <w:lang w:val="en-US" w:eastAsia="zh-CN"/>
                    </w:rPr>
                    <w:t>现有甲醇原料罐</w:t>
                  </w:r>
                </w:p>
              </w:tc>
              <w:tc>
                <w:tcPr>
                  <w:tcW w:w="660" w:type="dxa"/>
                  <w:vAlign w:val="center"/>
                </w:tcPr>
                <w:p w14:paraId="72013DDD">
                  <w:pPr>
                    <w:pStyle w:val="60"/>
                    <w:rPr>
                      <w:color w:val="auto"/>
                      <w:sz w:val="18"/>
                      <w:szCs w:val="18"/>
                    </w:rPr>
                  </w:pPr>
                  <w:r>
                    <w:rPr>
                      <w:color w:val="auto"/>
                      <w:sz w:val="18"/>
                      <w:szCs w:val="18"/>
                    </w:rPr>
                    <w:t>0</w:t>
                  </w:r>
                </w:p>
              </w:tc>
              <w:tc>
                <w:tcPr>
                  <w:tcW w:w="1080" w:type="dxa"/>
                  <w:vAlign w:val="center"/>
                </w:tcPr>
                <w:p w14:paraId="3A2EBF14">
                  <w:pPr>
                    <w:pStyle w:val="60"/>
                    <w:rPr>
                      <w:rFonts w:hint="default" w:eastAsia="宋体"/>
                      <w:color w:val="auto"/>
                      <w:sz w:val="18"/>
                      <w:szCs w:val="18"/>
                      <w:lang w:val="en-US" w:eastAsia="zh-CN"/>
                    </w:rPr>
                  </w:pPr>
                  <w:r>
                    <w:rPr>
                      <w:rFonts w:hint="eastAsia"/>
                      <w:color w:val="auto"/>
                      <w:sz w:val="18"/>
                      <w:szCs w:val="18"/>
                      <w:lang w:val="en-US" w:eastAsia="zh-CN"/>
                    </w:rPr>
                    <w:t>2</w:t>
                  </w:r>
                </w:p>
              </w:tc>
              <w:tc>
                <w:tcPr>
                  <w:tcW w:w="825" w:type="dxa"/>
                  <w:vAlign w:val="center"/>
                </w:tcPr>
                <w:p w14:paraId="79DD6C83">
                  <w:pPr>
                    <w:pStyle w:val="60"/>
                    <w:rPr>
                      <w:rFonts w:hint="default" w:eastAsia="宋体"/>
                      <w:color w:val="auto"/>
                      <w:sz w:val="18"/>
                      <w:szCs w:val="18"/>
                      <w:lang w:val="en-US" w:eastAsia="zh-CN"/>
                    </w:rPr>
                  </w:pPr>
                  <w:r>
                    <w:rPr>
                      <w:rFonts w:hint="eastAsia"/>
                      <w:color w:val="auto"/>
                      <w:sz w:val="18"/>
                      <w:szCs w:val="18"/>
                      <w:lang w:val="en-US" w:eastAsia="zh-CN"/>
                    </w:rPr>
                    <w:t>80</w:t>
                  </w:r>
                </w:p>
              </w:tc>
              <w:tc>
                <w:tcPr>
                  <w:tcW w:w="915" w:type="dxa"/>
                  <w:vAlign w:val="center"/>
                </w:tcPr>
                <w:p w14:paraId="46A29F8F">
                  <w:pPr>
                    <w:pStyle w:val="60"/>
                    <w:rPr>
                      <w:rFonts w:hint="default" w:eastAsia="宋体"/>
                      <w:color w:val="auto"/>
                      <w:sz w:val="18"/>
                      <w:szCs w:val="18"/>
                      <w:lang w:val="en-US" w:eastAsia="zh-CN"/>
                    </w:rPr>
                  </w:pPr>
                  <w:r>
                    <w:rPr>
                      <w:rFonts w:hint="eastAsia"/>
                      <w:color w:val="auto"/>
                      <w:sz w:val="18"/>
                      <w:szCs w:val="18"/>
                      <w:lang w:val="en-US" w:eastAsia="zh-CN"/>
                    </w:rPr>
                    <w:t>117</w:t>
                  </w:r>
                </w:p>
              </w:tc>
              <w:tc>
                <w:tcPr>
                  <w:tcW w:w="1425" w:type="dxa"/>
                  <w:vAlign w:val="center"/>
                </w:tcPr>
                <w:p w14:paraId="6A9867E9">
                  <w:pPr>
                    <w:pStyle w:val="60"/>
                    <w:rPr>
                      <w:rFonts w:hint="default" w:eastAsia="宋体"/>
                      <w:color w:val="auto"/>
                      <w:sz w:val="18"/>
                      <w:szCs w:val="18"/>
                      <w:lang w:val="en-US" w:eastAsia="zh-CN"/>
                    </w:rPr>
                  </w:pPr>
                  <w:r>
                    <w:rPr>
                      <w:rFonts w:hint="eastAsia"/>
                      <w:color w:val="auto"/>
                      <w:sz w:val="18"/>
                      <w:szCs w:val="18"/>
                      <w:lang w:val="en-US" w:eastAsia="zh-CN"/>
                    </w:rPr>
                    <w:t>6</w:t>
                  </w:r>
                </w:p>
              </w:tc>
              <w:tc>
                <w:tcPr>
                  <w:tcW w:w="510" w:type="dxa"/>
                  <w:vAlign w:val="center"/>
                </w:tcPr>
                <w:p w14:paraId="6DB6F1CB">
                  <w:pPr>
                    <w:pStyle w:val="60"/>
                    <w:rPr>
                      <w:color w:val="auto"/>
                      <w:sz w:val="18"/>
                      <w:szCs w:val="18"/>
                    </w:rPr>
                  </w:pPr>
                  <w:r>
                    <w:rPr>
                      <w:color w:val="auto"/>
                      <w:sz w:val="18"/>
                      <w:szCs w:val="18"/>
                    </w:rPr>
                    <w:t>0</w:t>
                  </w:r>
                </w:p>
              </w:tc>
              <w:tc>
                <w:tcPr>
                  <w:tcW w:w="724" w:type="dxa"/>
                  <w:vAlign w:val="center"/>
                </w:tcPr>
                <w:p w14:paraId="22CAE029">
                  <w:pPr>
                    <w:pStyle w:val="60"/>
                    <w:rPr>
                      <w:rFonts w:hint="default" w:eastAsia="宋体"/>
                      <w:color w:val="auto"/>
                      <w:sz w:val="18"/>
                      <w:szCs w:val="18"/>
                      <w:lang w:val="en-US" w:eastAsia="zh-CN"/>
                    </w:rPr>
                  </w:pPr>
                  <w:r>
                    <w:rPr>
                      <w:rFonts w:hint="eastAsia"/>
                      <w:color w:val="auto"/>
                      <w:sz w:val="18"/>
                      <w:szCs w:val="18"/>
                      <w:lang w:val="en-US" w:eastAsia="zh-CN"/>
                    </w:rPr>
                    <w:t>205</w:t>
                  </w:r>
                </w:p>
              </w:tc>
            </w:tr>
            <w:tr w14:paraId="24646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Align w:val="center"/>
                </w:tcPr>
                <w:p w14:paraId="6C48BC21">
                  <w:pPr>
                    <w:pStyle w:val="60"/>
                    <w:rPr>
                      <w:rFonts w:hint="default"/>
                      <w:color w:val="auto"/>
                      <w:sz w:val="18"/>
                      <w:szCs w:val="18"/>
                      <w:lang w:val="en-US" w:eastAsia="zh-CN"/>
                    </w:rPr>
                  </w:pPr>
                  <w:r>
                    <w:rPr>
                      <w:rFonts w:hint="eastAsia"/>
                      <w:color w:val="auto"/>
                      <w:sz w:val="18"/>
                      <w:szCs w:val="18"/>
                      <w:lang w:val="en-US" w:eastAsia="zh-CN"/>
                    </w:rPr>
                    <w:t>4</w:t>
                  </w:r>
                </w:p>
              </w:tc>
              <w:tc>
                <w:tcPr>
                  <w:tcW w:w="2015" w:type="dxa"/>
                  <w:vAlign w:val="center"/>
                </w:tcPr>
                <w:p w14:paraId="31540FF4">
                  <w:pPr>
                    <w:pStyle w:val="60"/>
                    <w:rPr>
                      <w:rFonts w:hint="default"/>
                      <w:color w:val="auto"/>
                      <w:sz w:val="18"/>
                      <w:szCs w:val="18"/>
                      <w:lang w:val="en-US" w:eastAsia="zh-CN"/>
                    </w:rPr>
                  </w:pPr>
                  <w:r>
                    <w:rPr>
                      <w:rFonts w:hint="eastAsia"/>
                      <w:color w:val="auto"/>
                      <w:sz w:val="18"/>
                      <w:szCs w:val="18"/>
                      <w:lang w:val="en-US" w:eastAsia="zh-CN"/>
                    </w:rPr>
                    <w:t>现有叔丁醇产品暂存罐</w:t>
                  </w:r>
                </w:p>
              </w:tc>
              <w:tc>
                <w:tcPr>
                  <w:tcW w:w="660" w:type="dxa"/>
                  <w:vAlign w:val="center"/>
                </w:tcPr>
                <w:p w14:paraId="0FB4BF78">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1080" w:type="dxa"/>
                  <w:vAlign w:val="center"/>
                </w:tcPr>
                <w:p w14:paraId="556D0161">
                  <w:pPr>
                    <w:pStyle w:val="60"/>
                    <w:rPr>
                      <w:rFonts w:hint="default"/>
                      <w:color w:val="auto"/>
                      <w:sz w:val="18"/>
                      <w:szCs w:val="18"/>
                      <w:lang w:val="en-US" w:eastAsia="zh-CN"/>
                    </w:rPr>
                  </w:pPr>
                  <w:r>
                    <w:rPr>
                      <w:rFonts w:hint="eastAsia"/>
                      <w:color w:val="auto"/>
                      <w:sz w:val="18"/>
                      <w:szCs w:val="18"/>
                      <w:lang w:val="en-US" w:eastAsia="zh-CN"/>
                    </w:rPr>
                    <w:t>2</w:t>
                  </w:r>
                </w:p>
              </w:tc>
              <w:tc>
                <w:tcPr>
                  <w:tcW w:w="825" w:type="dxa"/>
                  <w:vAlign w:val="center"/>
                </w:tcPr>
                <w:p w14:paraId="2745D489">
                  <w:pPr>
                    <w:pStyle w:val="60"/>
                    <w:rPr>
                      <w:rFonts w:hint="default"/>
                      <w:color w:val="auto"/>
                      <w:sz w:val="18"/>
                      <w:szCs w:val="18"/>
                      <w:lang w:val="en-US" w:eastAsia="zh-CN"/>
                    </w:rPr>
                  </w:pPr>
                  <w:r>
                    <w:rPr>
                      <w:rFonts w:hint="eastAsia"/>
                      <w:color w:val="auto"/>
                      <w:sz w:val="18"/>
                      <w:szCs w:val="18"/>
                      <w:lang w:val="en-US" w:eastAsia="zh-CN"/>
                    </w:rPr>
                    <w:t>35</w:t>
                  </w:r>
                </w:p>
              </w:tc>
              <w:tc>
                <w:tcPr>
                  <w:tcW w:w="915" w:type="dxa"/>
                  <w:vAlign w:val="center"/>
                </w:tcPr>
                <w:p w14:paraId="4521D5E0">
                  <w:pPr>
                    <w:pStyle w:val="60"/>
                    <w:rPr>
                      <w:rFonts w:hint="default"/>
                      <w:color w:val="auto"/>
                      <w:sz w:val="18"/>
                      <w:szCs w:val="18"/>
                      <w:lang w:val="en-US" w:eastAsia="zh-CN"/>
                    </w:rPr>
                  </w:pPr>
                  <w:r>
                    <w:rPr>
                      <w:rFonts w:hint="eastAsia"/>
                      <w:color w:val="auto"/>
                      <w:sz w:val="18"/>
                      <w:szCs w:val="18"/>
                      <w:lang w:val="en-US" w:eastAsia="zh-CN"/>
                    </w:rPr>
                    <w:t>84</w:t>
                  </w:r>
                </w:p>
              </w:tc>
              <w:tc>
                <w:tcPr>
                  <w:tcW w:w="1425" w:type="dxa"/>
                  <w:vAlign w:val="center"/>
                </w:tcPr>
                <w:p w14:paraId="167D1AF7">
                  <w:pPr>
                    <w:pStyle w:val="60"/>
                    <w:rPr>
                      <w:rFonts w:hint="default"/>
                      <w:color w:val="auto"/>
                      <w:sz w:val="18"/>
                      <w:szCs w:val="18"/>
                      <w:lang w:val="en-US" w:eastAsia="zh-CN"/>
                    </w:rPr>
                  </w:pPr>
                  <w:r>
                    <w:rPr>
                      <w:rFonts w:hint="eastAsia"/>
                      <w:color w:val="auto"/>
                      <w:sz w:val="18"/>
                      <w:szCs w:val="18"/>
                      <w:lang w:val="en-US" w:eastAsia="zh-CN"/>
                    </w:rPr>
                    <w:t>2</w:t>
                  </w:r>
                </w:p>
              </w:tc>
              <w:tc>
                <w:tcPr>
                  <w:tcW w:w="510" w:type="dxa"/>
                  <w:vAlign w:val="center"/>
                </w:tcPr>
                <w:p w14:paraId="3670214A">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724" w:type="dxa"/>
                  <w:vAlign w:val="center"/>
                </w:tcPr>
                <w:p w14:paraId="6239679A">
                  <w:pPr>
                    <w:pStyle w:val="60"/>
                    <w:rPr>
                      <w:rFonts w:hint="default"/>
                      <w:color w:val="auto"/>
                      <w:sz w:val="18"/>
                      <w:szCs w:val="18"/>
                      <w:lang w:val="en-US" w:eastAsia="zh-CN"/>
                    </w:rPr>
                  </w:pPr>
                  <w:r>
                    <w:rPr>
                      <w:rFonts w:hint="eastAsia"/>
                      <w:color w:val="auto"/>
                      <w:sz w:val="18"/>
                      <w:szCs w:val="18"/>
                      <w:lang w:val="en-US" w:eastAsia="zh-CN"/>
                    </w:rPr>
                    <w:t>123</w:t>
                  </w:r>
                </w:p>
              </w:tc>
            </w:tr>
            <w:tr w14:paraId="25A6D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27" w:type="dxa"/>
                  <w:vAlign w:val="center"/>
                </w:tcPr>
                <w:p w14:paraId="06D1FEEF">
                  <w:pPr>
                    <w:pStyle w:val="60"/>
                    <w:rPr>
                      <w:rFonts w:hint="default" w:eastAsia="宋体"/>
                      <w:color w:val="auto"/>
                      <w:sz w:val="18"/>
                      <w:szCs w:val="18"/>
                      <w:lang w:val="en-US" w:eastAsia="zh-CN"/>
                    </w:rPr>
                  </w:pPr>
                  <w:r>
                    <w:rPr>
                      <w:rFonts w:hint="eastAsia"/>
                      <w:color w:val="auto"/>
                      <w:sz w:val="18"/>
                      <w:szCs w:val="18"/>
                      <w:lang w:val="en-US" w:eastAsia="zh-CN"/>
                    </w:rPr>
                    <w:t>5</w:t>
                  </w:r>
                </w:p>
              </w:tc>
              <w:tc>
                <w:tcPr>
                  <w:tcW w:w="2015" w:type="dxa"/>
                  <w:vAlign w:val="center"/>
                </w:tcPr>
                <w:p w14:paraId="20C2D085">
                  <w:pPr>
                    <w:pStyle w:val="60"/>
                    <w:rPr>
                      <w:rFonts w:hint="default" w:eastAsia="宋体"/>
                      <w:color w:val="auto"/>
                      <w:sz w:val="18"/>
                      <w:szCs w:val="18"/>
                      <w:lang w:val="en-US" w:eastAsia="zh-CN"/>
                    </w:rPr>
                  </w:pPr>
                  <w:r>
                    <w:rPr>
                      <w:rFonts w:hint="eastAsia"/>
                      <w:color w:val="auto"/>
                      <w:sz w:val="18"/>
                      <w:szCs w:val="18"/>
                      <w:lang w:val="en-US" w:eastAsia="zh-CN"/>
                    </w:rPr>
                    <w:t>现有叔丁醇卸车设施</w:t>
                  </w:r>
                </w:p>
              </w:tc>
              <w:tc>
                <w:tcPr>
                  <w:tcW w:w="660" w:type="dxa"/>
                  <w:vAlign w:val="center"/>
                </w:tcPr>
                <w:p w14:paraId="14A8EAA4">
                  <w:pPr>
                    <w:pStyle w:val="60"/>
                    <w:rPr>
                      <w:color w:val="auto"/>
                      <w:sz w:val="18"/>
                      <w:szCs w:val="18"/>
                    </w:rPr>
                  </w:pPr>
                  <w:r>
                    <w:rPr>
                      <w:color w:val="auto"/>
                      <w:sz w:val="18"/>
                      <w:szCs w:val="18"/>
                    </w:rPr>
                    <w:t>0</w:t>
                  </w:r>
                </w:p>
              </w:tc>
              <w:tc>
                <w:tcPr>
                  <w:tcW w:w="1080" w:type="dxa"/>
                  <w:vAlign w:val="center"/>
                </w:tcPr>
                <w:p w14:paraId="4B1D3826">
                  <w:pPr>
                    <w:pStyle w:val="60"/>
                    <w:rPr>
                      <w:rFonts w:hint="default" w:eastAsia="宋体"/>
                      <w:color w:val="auto"/>
                      <w:sz w:val="18"/>
                      <w:szCs w:val="18"/>
                      <w:lang w:val="en-US" w:eastAsia="zh-CN"/>
                    </w:rPr>
                  </w:pPr>
                  <w:r>
                    <w:rPr>
                      <w:rFonts w:hint="eastAsia"/>
                      <w:color w:val="auto"/>
                      <w:sz w:val="18"/>
                      <w:szCs w:val="18"/>
                      <w:lang w:val="en-US" w:eastAsia="zh-CN"/>
                    </w:rPr>
                    <w:t>1</w:t>
                  </w:r>
                </w:p>
              </w:tc>
              <w:tc>
                <w:tcPr>
                  <w:tcW w:w="825" w:type="dxa"/>
                  <w:vAlign w:val="center"/>
                </w:tcPr>
                <w:p w14:paraId="3D7F9822">
                  <w:pPr>
                    <w:pStyle w:val="60"/>
                    <w:rPr>
                      <w:rFonts w:hint="default" w:eastAsia="宋体"/>
                      <w:color w:val="auto"/>
                      <w:sz w:val="18"/>
                      <w:szCs w:val="18"/>
                      <w:lang w:val="en-US" w:eastAsia="zh-CN"/>
                    </w:rPr>
                  </w:pPr>
                  <w:r>
                    <w:rPr>
                      <w:rFonts w:hint="eastAsia"/>
                      <w:color w:val="auto"/>
                      <w:sz w:val="18"/>
                      <w:szCs w:val="18"/>
                      <w:lang w:val="en-US" w:eastAsia="zh-CN"/>
                    </w:rPr>
                    <w:t>30</w:t>
                  </w:r>
                </w:p>
              </w:tc>
              <w:tc>
                <w:tcPr>
                  <w:tcW w:w="915" w:type="dxa"/>
                  <w:vAlign w:val="center"/>
                </w:tcPr>
                <w:p w14:paraId="78BCAE78">
                  <w:pPr>
                    <w:pStyle w:val="60"/>
                    <w:rPr>
                      <w:rFonts w:hint="default" w:eastAsia="宋体"/>
                      <w:color w:val="auto"/>
                      <w:sz w:val="18"/>
                      <w:szCs w:val="18"/>
                      <w:lang w:val="en-US" w:eastAsia="zh-CN"/>
                    </w:rPr>
                  </w:pPr>
                  <w:r>
                    <w:rPr>
                      <w:rFonts w:hint="eastAsia"/>
                      <w:color w:val="auto"/>
                      <w:sz w:val="18"/>
                      <w:szCs w:val="18"/>
                      <w:lang w:val="en-US" w:eastAsia="zh-CN"/>
                    </w:rPr>
                    <w:t>118</w:t>
                  </w:r>
                </w:p>
              </w:tc>
              <w:tc>
                <w:tcPr>
                  <w:tcW w:w="1425" w:type="dxa"/>
                  <w:vAlign w:val="center"/>
                </w:tcPr>
                <w:p w14:paraId="5AAA9988">
                  <w:pPr>
                    <w:pStyle w:val="60"/>
                    <w:rPr>
                      <w:rFonts w:hint="default" w:eastAsia="宋体"/>
                      <w:color w:val="auto"/>
                      <w:sz w:val="18"/>
                      <w:szCs w:val="18"/>
                      <w:lang w:val="en-US" w:eastAsia="zh-CN"/>
                    </w:rPr>
                  </w:pPr>
                  <w:r>
                    <w:rPr>
                      <w:rFonts w:hint="eastAsia"/>
                      <w:color w:val="auto"/>
                      <w:sz w:val="18"/>
                      <w:szCs w:val="18"/>
                      <w:lang w:val="en-US" w:eastAsia="zh-CN"/>
                    </w:rPr>
                    <w:t>2</w:t>
                  </w:r>
                </w:p>
              </w:tc>
              <w:tc>
                <w:tcPr>
                  <w:tcW w:w="510" w:type="dxa"/>
                  <w:vAlign w:val="center"/>
                </w:tcPr>
                <w:p w14:paraId="5CD97540">
                  <w:pPr>
                    <w:pStyle w:val="60"/>
                    <w:rPr>
                      <w:color w:val="auto"/>
                      <w:sz w:val="18"/>
                      <w:szCs w:val="18"/>
                    </w:rPr>
                  </w:pPr>
                  <w:r>
                    <w:rPr>
                      <w:color w:val="auto"/>
                      <w:sz w:val="18"/>
                      <w:szCs w:val="18"/>
                    </w:rPr>
                    <w:t>0</w:t>
                  </w:r>
                </w:p>
              </w:tc>
              <w:tc>
                <w:tcPr>
                  <w:tcW w:w="724" w:type="dxa"/>
                  <w:vAlign w:val="center"/>
                </w:tcPr>
                <w:p w14:paraId="1F4F4C4E">
                  <w:pPr>
                    <w:pStyle w:val="60"/>
                    <w:rPr>
                      <w:rFonts w:hint="default" w:eastAsia="宋体"/>
                      <w:color w:val="auto"/>
                      <w:sz w:val="18"/>
                      <w:szCs w:val="18"/>
                      <w:lang w:val="en-US" w:eastAsia="zh-CN"/>
                    </w:rPr>
                  </w:pPr>
                  <w:r>
                    <w:rPr>
                      <w:rFonts w:hint="eastAsia"/>
                      <w:color w:val="auto"/>
                      <w:sz w:val="18"/>
                      <w:szCs w:val="18"/>
                      <w:lang w:val="en-US" w:eastAsia="zh-CN"/>
                    </w:rPr>
                    <w:t>151</w:t>
                  </w:r>
                </w:p>
              </w:tc>
            </w:tr>
            <w:tr w14:paraId="32DF6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442" w:type="dxa"/>
                  <w:gridSpan w:val="2"/>
                  <w:vAlign w:val="center"/>
                </w:tcPr>
                <w:p w14:paraId="6A8CA532">
                  <w:pPr>
                    <w:pStyle w:val="60"/>
                    <w:rPr>
                      <w:color w:val="auto"/>
                      <w:sz w:val="18"/>
                      <w:szCs w:val="18"/>
                    </w:rPr>
                  </w:pPr>
                  <w:r>
                    <w:rPr>
                      <w:rFonts w:hint="eastAsia"/>
                      <w:color w:val="auto"/>
                      <w:sz w:val="18"/>
                      <w:szCs w:val="18"/>
                    </w:rPr>
                    <w:t>合计（个）</w:t>
                  </w:r>
                </w:p>
              </w:tc>
              <w:tc>
                <w:tcPr>
                  <w:tcW w:w="660" w:type="dxa"/>
                  <w:vAlign w:val="center"/>
                </w:tcPr>
                <w:p w14:paraId="0D5DE2D3">
                  <w:pPr>
                    <w:pStyle w:val="60"/>
                    <w:rPr>
                      <w:rFonts w:hint="eastAsia" w:eastAsia="宋体"/>
                      <w:color w:val="auto"/>
                      <w:sz w:val="18"/>
                      <w:szCs w:val="18"/>
                      <w:lang w:val="en-US" w:eastAsia="zh-CN"/>
                    </w:rPr>
                  </w:pPr>
                  <w:r>
                    <w:rPr>
                      <w:rFonts w:hint="eastAsia"/>
                      <w:color w:val="auto"/>
                      <w:sz w:val="18"/>
                      <w:szCs w:val="18"/>
                      <w:lang w:val="en-US" w:eastAsia="zh-CN"/>
                    </w:rPr>
                    <w:t>0</w:t>
                  </w:r>
                </w:p>
              </w:tc>
              <w:tc>
                <w:tcPr>
                  <w:tcW w:w="1080" w:type="dxa"/>
                  <w:vAlign w:val="center"/>
                </w:tcPr>
                <w:p w14:paraId="7083E5F3">
                  <w:pPr>
                    <w:pStyle w:val="60"/>
                    <w:rPr>
                      <w:rFonts w:hint="default" w:eastAsia="宋体"/>
                      <w:color w:val="auto"/>
                      <w:sz w:val="18"/>
                      <w:szCs w:val="18"/>
                      <w:lang w:val="en-US" w:eastAsia="zh-CN"/>
                    </w:rPr>
                  </w:pPr>
                  <w:r>
                    <w:rPr>
                      <w:rFonts w:hint="eastAsia"/>
                      <w:color w:val="auto"/>
                      <w:sz w:val="18"/>
                      <w:szCs w:val="18"/>
                      <w:lang w:val="en-US" w:eastAsia="zh-CN"/>
                    </w:rPr>
                    <w:t>19</w:t>
                  </w:r>
                </w:p>
              </w:tc>
              <w:tc>
                <w:tcPr>
                  <w:tcW w:w="825" w:type="dxa"/>
                  <w:vAlign w:val="center"/>
                </w:tcPr>
                <w:p w14:paraId="11B5CF91">
                  <w:pPr>
                    <w:pStyle w:val="60"/>
                    <w:rPr>
                      <w:rFonts w:hint="default" w:eastAsia="宋体"/>
                      <w:color w:val="auto"/>
                      <w:sz w:val="18"/>
                      <w:szCs w:val="18"/>
                      <w:lang w:val="en-US" w:eastAsia="zh-CN"/>
                    </w:rPr>
                  </w:pPr>
                  <w:r>
                    <w:rPr>
                      <w:rFonts w:hint="eastAsia"/>
                      <w:color w:val="auto"/>
                      <w:sz w:val="18"/>
                      <w:szCs w:val="18"/>
                      <w:lang w:val="en-US" w:eastAsia="zh-CN"/>
                    </w:rPr>
                    <w:t>475</w:t>
                  </w:r>
                </w:p>
              </w:tc>
              <w:tc>
                <w:tcPr>
                  <w:tcW w:w="915" w:type="dxa"/>
                  <w:vAlign w:val="center"/>
                </w:tcPr>
                <w:p w14:paraId="44B5FBF2">
                  <w:pPr>
                    <w:pStyle w:val="60"/>
                    <w:rPr>
                      <w:rFonts w:hint="default" w:eastAsia="宋体"/>
                      <w:color w:val="auto"/>
                      <w:sz w:val="18"/>
                      <w:szCs w:val="18"/>
                      <w:lang w:val="en-US" w:eastAsia="zh-CN"/>
                    </w:rPr>
                  </w:pPr>
                  <w:r>
                    <w:rPr>
                      <w:rFonts w:hint="eastAsia"/>
                      <w:color w:val="auto"/>
                      <w:sz w:val="18"/>
                      <w:szCs w:val="18"/>
                      <w:lang w:val="en-US" w:eastAsia="zh-CN"/>
                    </w:rPr>
                    <w:t>1221</w:t>
                  </w:r>
                </w:p>
              </w:tc>
              <w:tc>
                <w:tcPr>
                  <w:tcW w:w="1425" w:type="dxa"/>
                  <w:vAlign w:val="center"/>
                </w:tcPr>
                <w:p w14:paraId="602D3AC5">
                  <w:pPr>
                    <w:pStyle w:val="60"/>
                    <w:rPr>
                      <w:rFonts w:hint="default" w:eastAsia="宋体"/>
                      <w:color w:val="auto"/>
                      <w:sz w:val="18"/>
                      <w:szCs w:val="18"/>
                      <w:lang w:val="en-US" w:eastAsia="zh-CN"/>
                    </w:rPr>
                  </w:pPr>
                  <w:r>
                    <w:rPr>
                      <w:rFonts w:hint="eastAsia"/>
                      <w:color w:val="auto"/>
                      <w:sz w:val="18"/>
                      <w:szCs w:val="18"/>
                      <w:lang w:val="en-US" w:eastAsia="zh-CN"/>
                    </w:rPr>
                    <w:t>43</w:t>
                  </w:r>
                </w:p>
              </w:tc>
              <w:tc>
                <w:tcPr>
                  <w:tcW w:w="510" w:type="dxa"/>
                  <w:vAlign w:val="center"/>
                </w:tcPr>
                <w:p w14:paraId="56BBF962">
                  <w:pPr>
                    <w:pStyle w:val="60"/>
                    <w:rPr>
                      <w:rFonts w:hint="default" w:eastAsia="宋体"/>
                      <w:color w:val="auto"/>
                      <w:sz w:val="18"/>
                      <w:szCs w:val="18"/>
                      <w:lang w:val="en-US" w:eastAsia="zh-CN"/>
                    </w:rPr>
                  </w:pPr>
                  <w:r>
                    <w:rPr>
                      <w:rFonts w:hint="eastAsia"/>
                      <w:color w:val="auto"/>
                      <w:sz w:val="18"/>
                      <w:szCs w:val="18"/>
                      <w:lang w:val="en-US" w:eastAsia="zh-CN"/>
                    </w:rPr>
                    <w:t>0</w:t>
                  </w:r>
                </w:p>
              </w:tc>
              <w:tc>
                <w:tcPr>
                  <w:tcW w:w="724" w:type="dxa"/>
                  <w:vAlign w:val="center"/>
                </w:tcPr>
                <w:p w14:paraId="0FB51A46">
                  <w:pPr>
                    <w:pStyle w:val="60"/>
                    <w:rPr>
                      <w:rFonts w:hint="default" w:eastAsia="宋体"/>
                      <w:color w:val="auto"/>
                      <w:sz w:val="18"/>
                      <w:szCs w:val="18"/>
                      <w:lang w:val="en-US" w:eastAsia="zh-CN"/>
                    </w:rPr>
                  </w:pPr>
                  <w:r>
                    <w:rPr>
                      <w:rFonts w:hint="eastAsia"/>
                      <w:color w:val="auto"/>
                      <w:sz w:val="18"/>
                      <w:szCs w:val="18"/>
                      <w:lang w:val="en-US" w:eastAsia="zh-CN"/>
                    </w:rPr>
                    <w:t>1758</w:t>
                  </w:r>
                </w:p>
              </w:tc>
            </w:tr>
          </w:tbl>
          <w:p w14:paraId="1D8BCD4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b w:val="0"/>
                <w:bCs/>
                <w:color w:val="auto"/>
                <w:sz w:val="21"/>
                <w:szCs w:val="21"/>
              </w:rPr>
            </w:pPr>
            <w:r>
              <w:rPr>
                <w:rFonts w:hint="eastAsia"/>
                <w:color w:val="auto"/>
                <w:sz w:val="21"/>
                <w:szCs w:val="21"/>
              </w:rPr>
              <w:t>根据上式，</w:t>
            </w:r>
            <w:r>
              <w:rPr>
                <w:rFonts w:hint="eastAsia"/>
                <w:color w:val="auto"/>
                <w:sz w:val="21"/>
                <w:szCs w:val="21"/>
                <w:lang w:val="en-US" w:eastAsia="zh-CN"/>
              </w:rPr>
              <w:t>本</w:t>
            </w:r>
            <w:r>
              <w:rPr>
                <w:rFonts w:hint="eastAsia"/>
                <w:color w:val="auto"/>
                <w:sz w:val="21"/>
                <w:szCs w:val="21"/>
              </w:rPr>
              <w:t>项目装置区设备与管线组件挥发性有机物排放量计算情况见下表：</w:t>
            </w:r>
          </w:p>
          <w:p w14:paraId="19FE586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4-13</w:t>
            </w:r>
            <w:r>
              <w:rPr>
                <w:rFonts w:hint="eastAsia"/>
                <w:b/>
                <w:color w:val="auto"/>
                <w:szCs w:val="21"/>
              </w:rPr>
              <w:t xml:space="preserve">  </w:t>
            </w:r>
            <w:r>
              <w:rPr>
                <w:rFonts w:hint="eastAsia"/>
                <w:b/>
                <w:color w:val="auto"/>
                <w:szCs w:val="21"/>
                <w:lang w:val="en-US" w:eastAsia="zh-CN"/>
              </w:rPr>
              <w:t>本</w:t>
            </w:r>
            <w:r>
              <w:rPr>
                <w:rFonts w:hint="eastAsia"/>
                <w:b/>
                <w:color w:val="auto"/>
                <w:szCs w:val="21"/>
              </w:rPr>
              <w:t>项目设备动静密封点泄漏量核算结果一览表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20"/>
              <w:gridCol w:w="2189"/>
              <w:gridCol w:w="2325"/>
              <w:gridCol w:w="680"/>
              <w:gridCol w:w="681"/>
              <w:gridCol w:w="1799"/>
            </w:tblGrid>
            <w:tr w14:paraId="48DA61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shd w:val="clear" w:color="auto" w:fill="auto"/>
                  <w:vAlign w:val="center"/>
                </w:tcPr>
                <w:p w14:paraId="60FD47D6">
                  <w:pPr>
                    <w:pStyle w:val="60"/>
                    <w:rPr>
                      <w:snapToGrid w:val="0"/>
                      <w:color w:val="auto"/>
                      <w:sz w:val="18"/>
                      <w:szCs w:val="18"/>
                    </w:rPr>
                  </w:pPr>
                  <w:r>
                    <w:rPr>
                      <w:rFonts w:hint="eastAsia"/>
                      <w:snapToGrid w:val="0"/>
                      <w:color w:val="auto"/>
                      <w:sz w:val="18"/>
                      <w:szCs w:val="18"/>
                    </w:rPr>
                    <w:t>序号</w:t>
                  </w:r>
                </w:p>
              </w:tc>
              <w:tc>
                <w:tcPr>
                  <w:tcW w:w="1335" w:type="pct"/>
                  <w:shd w:val="clear" w:color="auto" w:fill="auto"/>
                  <w:vAlign w:val="center"/>
                </w:tcPr>
                <w:p w14:paraId="06EE543D">
                  <w:pPr>
                    <w:pStyle w:val="60"/>
                    <w:rPr>
                      <w:snapToGrid w:val="0"/>
                      <w:color w:val="auto"/>
                      <w:sz w:val="18"/>
                      <w:szCs w:val="18"/>
                    </w:rPr>
                  </w:pPr>
                  <w:r>
                    <w:rPr>
                      <w:rFonts w:hint="eastAsia"/>
                      <w:snapToGrid w:val="0"/>
                      <w:color w:val="auto"/>
                      <w:sz w:val="18"/>
                      <w:szCs w:val="18"/>
                    </w:rPr>
                    <w:t>排放单元</w:t>
                  </w:r>
                </w:p>
              </w:tc>
              <w:tc>
                <w:tcPr>
                  <w:tcW w:w="1418" w:type="pct"/>
                  <w:shd w:val="clear" w:color="auto" w:fill="auto"/>
                  <w:vAlign w:val="center"/>
                </w:tcPr>
                <w:p w14:paraId="5203ABDB">
                  <w:pPr>
                    <w:pStyle w:val="60"/>
                    <w:rPr>
                      <w:snapToGrid w:val="0"/>
                      <w:color w:val="auto"/>
                      <w:sz w:val="18"/>
                      <w:szCs w:val="18"/>
                    </w:rPr>
                  </w:pPr>
                  <w:r>
                    <w:rPr>
                      <w:rFonts w:hint="eastAsia"/>
                      <w:snapToGrid w:val="0"/>
                      <w:color w:val="auto"/>
                      <w:sz w:val="18"/>
                      <w:szCs w:val="18"/>
                    </w:rPr>
                    <w:t>产污环节</w:t>
                  </w:r>
                </w:p>
              </w:tc>
              <w:tc>
                <w:tcPr>
                  <w:tcW w:w="830" w:type="pct"/>
                  <w:gridSpan w:val="2"/>
                  <w:shd w:val="clear" w:color="auto" w:fill="auto"/>
                  <w:vAlign w:val="center"/>
                </w:tcPr>
                <w:p w14:paraId="587B647F">
                  <w:pPr>
                    <w:pStyle w:val="60"/>
                    <w:rPr>
                      <w:snapToGrid w:val="0"/>
                      <w:color w:val="auto"/>
                      <w:sz w:val="18"/>
                      <w:szCs w:val="18"/>
                    </w:rPr>
                  </w:pPr>
                  <w:r>
                    <w:rPr>
                      <w:rFonts w:hint="eastAsia"/>
                      <w:snapToGrid w:val="0"/>
                      <w:color w:val="auto"/>
                      <w:sz w:val="18"/>
                      <w:szCs w:val="18"/>
                    </w:rPr>
                    <w:t>污染物</w:t>
                  </w:r>
                </w:p>
              </w:tc>
              <w:tc>
                <w:tcPr>
                  <w:tcW w:w="1097" w:type="pct"/>
                  <w:shd w:val="clear" w:color="auto" w:fill="auto"/>
                  <w:vAlign w:val="center"/>
                </w:tcPr>
                <w:p w14:paraId="17D23281">
                  <w:pPr>
                    <w:pStyle w:val="60"/>
                    <w:rPr>
                      <w:snapToGrid w:val="0"/>
                      <w:color w:val="auto"/>
                      <w:sz w:val="18"/>
                      <w:szCs w:val="18"/>
                    </w:rPr>
                  </w:pPr>
                  <w:r>
                    <w:rPr>
                      <w:rFonts w:hint="eastAsia"/>
                      <w:snapToGrid w:val="0"/>
                      <w:color w:val="auto"/>
                      <w:sz w:val="18"/>
                      <w:szCs w:val="18"/>
                    </w:rPr>
                    <w:t>无组织排放量（</w:t>
                  </w:r>
                  <w:r>
                    <w:rPr>
                      <w:snapToGrid w:val="0"/>
                      <w:color w:val="auto"/>
                      <w:sz w:val="18"/>
                      <w:szCs w:val="18"/>
                    </w:rPr>
                    <w:t>t/a</w:t>
                  </w:r>
                  <w:r>
                    <w:rPr>
                      <w:rFonts w:hint="eastAsia"/>
                      <w:snapToGrid w:val="0"/>
                      <w:color w:val="auto"/>
                      <w:sz w:val="18"/>
                      <w:szCs w:val="18"/>
                    </w:rPr>
                    <w:t>）</w:t>
                  </w:r>
                </w:p>
              </w:tc>
            </w:tr>
            <w:tr w14:paraId="74FED0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vMerge w:val="restart"/>
                  <w:shd w:val="clear" w:color="auto" w:fill="auto"/>
                  <w:vAlign w:val="center"/>
                </w:tcPr>
                <w:p w14:paraId="7A45C3DF">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1</w:t>
                  </w:r>
                </w:p>
              </w:tc>
              <w:tc>
                <w:tcPr>
                  <w:tcW w:w="1335" w:type="pct"/>
                  <w:vMerge w:val="restart"/>
                  <w:shd w:val="clear" w:color="auto" w:fill="auto"/>
                  <w:vAlign w:val="center"/>
                </w:tcPr>
                <w:p w14:paraId="25508F12">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本次新建储罐区</w:t>
                  </w:r>
                </w:p>
              </w:tc>
              <w:tc>
                <w:tcPr>
                  <w:tcW w:w="1418" w:type="pct"/>
                  <w:vMerge w:val="restart"/>
                  <w:shd w:val="clear" w:color="auto" w:fill="auto"/>
                  <w:vAlign w:val="center"/>
                </w:tcPr>
                <w:p w14:paraId="0030F49F">
                  <w:pPr>
                    <w:pStyle w:val="60"/>
                    <w:rPr>
                      <w:snapToGrid w:val="0"/>
                      <w:color w:val="auto"/>
                      <w:sz w:val="18"/>
                      <w:szCs w:val="18"/>
                    </w:rPr>
                  </w:pPr>
                  <w:r>
                    <w:rPr>
                      <w:rFonts w:hint="eastAsia"/>
                      <w:snapToGrid w:val="0"/>
                      <w:color w:val="auto"/>
                      <w:sz w:val="18"/>
                      <w:szCs w:val="18"/>
                    </w:rPr>
                    <w:t>设备、管线等“跑冒滴漏”</w:t>
                  </w:r>
                </w:p>
              </w:tc>
              <w:tc>
                <w:tcPr>
                  <w:tcW w:w="830" w:type="pct"/>
                  <w:gridSpan w:val="2"/>
                  <w:shd w:val="clear" w:color="auto" w:fill="auto"/>
                  <w:vAlign w:val="center"/>
                </w:tcPr>
                <w:p w14:paraId="1B2AA704">
                  <w:pPr>
                    <w:pStyle w:val="60"/>
                    <w:rPr>
                      <w:rFonts w:hint="eastAsia" w:eastAsia="宋体"/>
                      <w:color w:val="auto"/>
                      <w:sz w:val="18"/>
                      <w:szCs w:val="18"/>
                      <w:lang w:val="en-US" w:eastAsia="zh-CN"/>
                    </w:rPr>
                  </w:pPr>
                  <w:r>
                    <w:rPr>
                      <w:rFonts w:hint="eastAsia"/>
                      <w:color w:val="auto"/>
                      <w:sz w:val="18"/>
                      <w:szCs w:val="18"/>
                    </w:rPr>
                    <w:t>VOC</w:t>
                  </w:r>
                  <w:r>
                    <w:rPr>
                      <w:rFonts w:hint="eastAsia"/>
                      <w:color w:val="auto"/>
                      <w:sz w:val="18"/>
                      <w:szCs w:val="18"/>
                      <w:vertAlign w:val="subscript"/>
                    </w:rPr>
                    <w:t>S</w:t>
                  </w:r>
                  <w:r>
                    <w:rPr>
                      <w:rFonts w:hint="eastAsia"/>
                      <w:color w:val="auto"/>
                      <w:sz w:val="18"/>
                      <w:szCs w:val="18"/>
                      <w:vertAlign w:val="baseline"/>
                      <w:lang w:val="en-US" w:eastAsia="zh-CN"/>
                    </w:rPr>
                    <w:t>小计</w:t>
                  </w:r>
                </w:p>
              </w:tc>
              <w:tc>
                <w:tcPr>
                  <w:tcW w:w="1097" w:type="pct"/>
                  <w:shd w:val="clear" w:color="auto" w:fill="auto"/>
                  <w:vAlign w:val="center"/>
                </w:tcPr>
                <w:p w14:paraId="309543D3">
                  <w:pPr>
                    <w:pStyle w:val="60"/>
                    <w:rPr>
                      <w:rFonts w:hint="default" w:eastAsia="宋体"/>
                      <w:color w:val="auto"/>
                      <w:sz w:val="18"/>
                      <w:szCs w:val="18"/>
                      <w:lang w:val="en-US" w:eastAsia="zh-CN"/>
                    </w:rPr>
                  </w:pPr>
                  <w:r>
                    <w:rPr>
                      <w:rFonts w:hint="eastAsia"/>
                      <w:color w:val="auto"/>
                      <w:sz w:val="18"/>
                      <w:szCs w:val="18"/>
                      <w:lang w:val="en-US" w:eastAsia="zh-CN"/>
                    </w:rPr>
                    <w:t>1.054</w:t>
                  </w:r>
                </w:p>
              </w:tc>
            </w:tr>
            <w:tr w14:paraId="496C43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vMerge w:val="continue"/>
                  <w:shd w:val="clear" w:color="auto" w:fill="auto"/>
                  <w:vAlign w:val="center"/>
                </w:tcPr>
                <w:p w14:paraId="41E2A03D">
                  <w:pPr>
                    <w:pStyle w:val="60"/>
                    <w:rPr>
                      <w:rFonts w:hint="eastAsia"/>
                      <w:color w:val="auto"/>
                      <w:sz w:val="18"/>
                      <w:szCs w:val="18"/>
                    </w:rPr>
                  </w:pPr>
                </w:p>
              </w:tc>
              <w:tc>
                <w:tcPr>
                  <w:tcW w:w="1335" w:type="pct"/>
                  <w:vMerge w:val="continue"/>
                  <w:shd w:val="clear" w:color="auto" w:fill="auto"/>
                  <w:vAlign w:val="center"/>
                </w:tcPr>
                <w:p w14:paraId="36DB8FB7">
                  <w:pPr>
                    <w:pStyle w:val="60"/>
                    <w:rPr>
                      <w:rFonts w:hint="eastAsia"/>
                      <w:color w:val="auto"/>
                      <w:sz w:val="18"/>
                      <w:szCs w:val="18"/>
                      <w:lang w:val="en-US" w:eastAsia="zh-CN"/>
                    </w:rPr>
                  </w:pPr>
                </w:p>
              </w:tc>
              <w:tc>
                <w:tcPr>
                  <w:tcW w:w="1418" w:type="pct"/>
                  <w:vMerge w:val="continue"/>
                  <w:shd w:val="clear" w:color="auto" w:fill="auto"/>
                  <w:vAlign w:val="center"/>
                </w:tcPr>
                <w:p w14:paraId="48B81EE2">
                  <w:pPr>
                    <w:pStyle w:val="60"/>
                    <w:rPr>
                      <w:rFonts w:hint="eastAsia"/>
                      <w:snapToGrid w:val="0"/>
                      <w:color w:val="auto"/>
                      <w:sz w:val="18"/>
                      <w:szCs w:val="18"/>
                    </w:rPr>
                  </w:pPr>
                </w:p>
              </w:tc>
              <w:tc>
                <w:tcPr>
                  <w:tcW w:w="414" w:type="pct"/>
                  <w:shd w:val="clear" w:color="auto" w:fill="auto"/>
                  <w:vAlign w:val="center"/>
                </w:tcPr>
                <w:p w14:paraId="082CFB2A">
                  <w:pPr>
                    <w:pStyle w:val="60"/>
                    <w:rPr>
                      <w:rFonts w:hint="eastAsia" w:eastAsia="宋体"/>
                      <w:color w:val="auto"/>
                      <w:sz w:val="18"/>
                      <w:szCs w:val="18"/>
                      <w:lang w:val="en-US" w:eastAsia="zh-CN"/>
                    </w:rPr>
                  </w:pPr>
                  <w:r>
                    <w:rPr>
                      <w:rFonts w:hint="eastAsia"/>
                      <w:color w:val="auto"/>
                      <w:sz w:val="18"/>
                      <w:szCs w:val="18"/>
                      <w:lang w:val="en-US" w:eastAsia="zh-CN"/>
                    </w:rPr>
                    <w:t>其中</w:t>
                  </w:r>
                </w:p>
              </w:tc>
              <w:tc>
                <w:tcPr>
                  <w:tcW w:w="415" w:type="pct"/>
                  <w:shd w:val="clear" w:color="auto" w:fill="auto"/>
                  <w:vAlign w:val="center"/>
                </w:tcPr>
                <w:p w14:paraId="4704B3CD">
                  <w:pPr>
                    <w:pStyle w:val="60"/>
                    <w:rPr>
                      <w:rFonts w:hint="eastAsia" w:eastAsia="宋体"/>
                      <w:color w:val="auto"/>
                      <w:sz w:val="18"/>
                      <w:szCs w:val="18"/>
                      <w:lang w:val="en-US" w:eastAsia="zh-CN"/>
                    </w:rPr>
                  </w:pPr>
                  <w:r>
                    <w:rPr>
                      <w:rFonts w:hint="eastAsia"/>
                      <w:color w:val="auto"/>
                      <w:sz w:val="18"/>
                      <w:szCs w:val="18"/>
                      <w:lang w:val="en-US" w:eastAsia="zh-CN"/>
                    </w:rPr>
                    <w:t>甲醇</w:t>
                  </w:r>
                </w:p>
              </w:tc>
              <w:tc>
                <w:tcPr>
                  <w:tcW w:w="1097" w:type="pct"/>
                  <w:shd w:val="clear" w:color="auto" w:fill="auto"/>
                  <w:vAlign w:val="center"/>
                </w:tcPr>
                <w:p w14:paraId="75414B17">
                  <w:pPr>
                    <w:pStyle w:val="60"/>
                    <w:rPr>
                      <w:rFonts w:hint="default"/>
                      <w:color w:val="auto"/>
                      <w:sz w:val="18"/>
                      <w:szCs w:val="18"/>
                      <w:lang w:val="en-US" w:eastAsia="zh-CN"/>
                    </w:rPr>
                  </w:pPr>
                  <w:r>
                    <w:rPr>
                      <w:rFonts w:hint="eastAsia"/>
                      <w:color w:val="auto"/>
                      <w:sz w:val="18"/>
                      <w:szCs w:val="18"/>
                      <w:lang w:val="en-US" w:eastAsia="zh-CN"/>
                    </w:rPr>
                    <w:t>0.703</w:t>
                  </w:r>
                </w:p>
              </w:tc>
            </w:tr>
            <w:tr w14:paraId="76413E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vMerge w:val="restart"/>
                  <w:shd w:val="clear" w:color="auto" w:fill="auto"/>
                  <w:vAlign w:val="center"/>
                </w:tcPr>
                <w:p w14:paraId="6E1A47A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1335" w:type="pct"/>
                  <w:vMerge w:val="restart"/>
                  <w:shd w:val="clear" w:color="auto" w:fill="auto"/>
                  <w:vAlign w:val="center"/>
                </w:tcPr>
                <w:p w14:paraId="2F995A04">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本次新建装卸车区</w:t>
                  </w:r>
                </w:p>
              </w:tc>
              <w:tc>
                <w:tcPr>
                  <w:tcW w:w="1418" w:type="pct"/>
                  <w:vMerge w:val="restart"/>
                  <w:shd w:val="clear" w:color="auto" w:fill="auto"/>
                  <w:vAlign w:val="center"/>
                </w:tcPr>
                <w:p w14:paraId="442C7F46">
                  <w:pPr>
                    <w:pStyle w:val="60"/>
                    <w:rPr>
                      <w:snapToGrid w:val="0"/>
                      <w:color w:val="auto"/>
                      <w:sz w:val="18"/>
                      <w:szCs w:val="18"/>
                    </w:rPr>
                  </w:pPr>
                  <w:r>
                    <w:rPr>
                      <w:rFonts w:hint="eastAsia"/>
                      <w:snapToGrid w:val="0"/>
                      <w:color w:val="auto"/>
                      <w:sz w:val="18"/>
                      <w:szCs w:val="18"/>
                    </w:rPr>
                    <w:t>设备、管线等“跑冒滴漏”</w:t>
                  </w:r>
                </w:p>
              </w:tc>
              <w:tc>
                <w:tcPr>
                  <w:tcW w:w="830" w:type="pct"/>
                  <w:gridSpan w:val="2"/>
                  <w:shd w:val="clear" w:color="auto" w:fill="auto"/>
                  <w:vAlign w:val="center"/>
                </w:tcPr>
                <w:p w14:paraId="48D7E2EE">
                  <w:pPr>
                    <w:pStyle w:val="60"/>
                    <w:rPr>
                      <w:color w:val="auto"/>
                      <w:sz w:val="18"/>
                      <w:szCs w:val="18"/>
                    </w:rPr>
                  </w:pPr>
                  <w:r>
                    <w:rPr>
                      <w:rFonts w:hint="eastAsia"/>
                      <w:color w:val="auto"/>
                      <w:sz w:val="18"/>
                      <w:szCs w:val="18"/>
                    </w:rPr>
                    <w:t>VOC</w:t>
                  </w:r>
                  <w:r>
                    <w:rPr>
                      <w:rFonts w:hint="eastAsia"/>
                      <w:color w:val="auto"/>
                      <w:sz w:val="18"/>
                      <w:szCs w:val="18"/>
                      <w:vertAlign w:val="subscript"/>
                    </w:rPr>
                    <w:t>S</w:t>
                  </w:r>
                  <w:r>
                    <w:rPr>
                      <w:rFonts w:hint="eastAsia"/>
                      <w:color w:val="auto"/>
                      <w:sz w:val="18"/>
                      <w:szCs w:val="18"/>
                      <w:vertAlign w:val="baseline"/>
                      <w:lang w:val="en-US" w:eastAsia="zh-CN"/>
                    </w:rPr>
                    <w:t>小计</w:t>
                  </w:r>
                </w:p>
              </w:tc>
              <w:tc>
                <w:tcPr>
                  <w:tcW w:w="1097" w:type="pct"/>
                  <w:shd w:val="clear" w:color="auto" w:fill="auto"/>
                  <w:vAlign w:val="center"/>
                </w:tcPr>
                <w:p w14:paraId="1719D318">
                  <w:pPr>
                    <w:pStyle w:val="60"/>
                    <w:rPr>
                      <w:rFonts w:hint="default" w:eastAsia="宋体"/>
                      <w:color w:val="auto"/>
                      <w:sz w:val="18"/>
                      <w:szCs w:val="18"/>
                      <w:lang w:val="en-US" w:eastAsia="zh-CN"/>
                    </w:rPr>
                  </w:pPr>
                  <w:r>
                    <w:rPr>
                      <w:rFonts w:hint="eastAsia"/>
                      <w:color w:val="auto"/>
                      <w:sz w:val="18"/>
                      <w:szCs w:val="18"/>
                      <w:lang w:val="en-US" w:eastAsia="zh-CN"/>
                    </w:rPr>
                    <w:t>0.433</w:t>
                  </w:r>
                </w:p>
              </w:tc>
            </w:tr>
            <w:tr w14:paraId="7F2B05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vMerge w:val="continue"/>
                  <w:shd w:val="clear" w:color="auto" w:fill="auto"/>
                  <w:vAlign w:val="center"/>
                </w:tcPr>
                <w:p w14:paraId="1B46BBAA">
                  <w:pPr>
                    <w:pStyle w:val="60"/>
                    <w:rPr>
                      <w:rFonts w:hint="eastAsia"/>
                      <w:color w:val="auto"/>
                      <w:sz w:val="18"/>
                      <w:szCs w:val="18"/>
                      <w:lang w:val="en-US" w:eastAsia="zh-CN"/>
                    </w:rPr>
                  </w:pPr>
                </w:p>
              </w:tc>
              <w:tc>
                <w:tcPr>
                  <w:tcW w:w="1335" w:type="pct"/>
                  <w:vMerge w:val="continue"/>
                  <w:shd w:val="clear" w:color="auto" w:fill="auto"/>
                  <w:vAlign w:val="center"/>
                </w:tcPr>
                <w:p w14:paraId="025BFCB4">
                  <w:pPr>
                    <w:pStyle w:val="60"/>
                    <w:rPr>
                      <w:rFonts w:hint="eastAsia"/>
                      <w:color w:val="auto"/>
                      <w:sz w:val="18"/>
                      <w:szCs w:val="18"/>
                      <w:lang w:val="en-US" w:eastAsia="zh-CN"/>
                    </w:rPr>
                  </w:pPr>
                </w:p>
              </w:tc>
              <w:tc>
                <w:tcPr>
                  <w:tcW w:w="1418" w:type="pct"/>
                  <w:vMerge w:val="continue"/>
                  <w:shd w:val="clear" w:color="auto" w:fill="auto"/>
                  <w:vAlign w:val="center"/>
                </w:tcPr>
                <w:p w14:paraId="4279DD75">
                  <w:pPr>
                    <w:pStyle w:val="60"/>
                    <w:rPr>
                      <w:rFonts w:hint="eastAsia"/>
                      <w:snapToGrid w:val="0"/>
                      <w:color w:val="auto"/>
                      <w:sz w:val="18"/>
                      <w:szCs w:val="18"/>
                    </w:rPr>
                  </w:pPr>
                </w:p>
              </w:tc>
              <w:tc>
                <w:tcPr>
                  <w:tcW w:w="414" w:type="pct"/>
                  <w:shd w:val="clear" w:color="auto" w:fill="auto"/>
                  <w:vAlign w:val="center"/>
                </w:tcPr>
                <w:p w14:paraId="1D47FEEB">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其中</w:t>
                  </w:r>
                </w:p>
              </w:tc>
              <w:tc>
                <w:tcPr>
                  <w:tcW w:w="415" w:type="pct"/>
                  <w:shd w:val="clear" w:color="auto" w:fill="auto"/>
                  <w:vAlign w:val="center"/>
                </w:tcPr>
                <w:p w14:paraId="62E8313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甲醇</w:t>
                  </w:r>
                </w:p>
              </w:tc>
              <w:tc>
                <w:tcPr>
                  <w:tcW w:w="1097" w:type="pct"/>
                  <w:shd w:val="clear" w:color="auto" w:fill="auto"/>
                  <w:vAlign w:val="center"/>
                </w:tcPr>
                <w:p w14:paraId="401A31CD">
                  <w:pPr>
                    <w:pStyle w:val="60"/>
                    <w:rPr>
                      <w:rFonts w:hint="default"/>
                      <w:color w:val="auto"/>
                      <w:sz w:val="18"/>
                      <w:szCs w:val="18"/>
                      <w:lang w:val="en-US" w:eastAsia="zh-CN"/>
                    </w:rPr>
                  </w:pPr>
                  <w:r>
                    <w:rPr>
                      <w:rFonts w:hint="eastAsia"/>
                      <w:color w:val="auto"/>
                      <w:sz w:val="18"/>
                      <w:szCs w:val="18"/>
                      <w:lang w:val="en-US" w:eastAsia="zh-CN"/>
                    </w:rPr>
                    <w:t>0.346</w:t>
                  </w:r>
                </w:p>
              </w:tc>
            </w:tr>
            <w:tr w14:paraId="4A09AB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shd w:val="clear" w:color="auto" w:fill="auto"/>
                  <w:vAlign w:val="center"/>
                </w:tcPr>
                <w:p w14:paraId="07E1537F">
                  <w:pPr>
                    <w:pStyle w:val="6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1335" w:type="pct"/>
                  <w:shd w:val="clear" w:color="auto" w:fill="auto"/>
                  <w:vAlign w:val="center"/>
                </w:tcPr>
                <w:p w14:paraId="39BA0FD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现有甲醇原料罐</w:t>
                  </w:r>
                </w:p>
              </w:tc>
              <w:tc>
                <w:tcPr>
                  <w:tcW w:w="1418" w:type="pct"/>
                  <w:shd w:val="clear" w:color="auto" w:fill="auto"/>
                  <w:vAlign w:val="center"/>
                </w:tcPr>
                <w:p w14:paraId="771BC9CA">
                  <w:pPr>
                    <w:pStyle w:val="60"/>
                    <w:rPr>
                      <w:snapToGrid w:val="0"/>
                      <w:color w:val="auto"/>
                      <w:sz w:val="18"/>
                      <w:szCs w:val="18"/>
                    </w:rPr>
                  </w:pPr>
                  <w:r>
                    <w:rPr>
                      <w:rFonts w:hint="eastAsia"/>
                      <w:snapToGrid w:val="0"/>
                      <w:color w:val="auto"/>
                      <w:sz w:val="18"/>
                      <w:szCs w:val="18"/>
                    </w:rPr>
                    <w:t>设备、管线等“跑冒滴漏”</w:t>
                  </w:r>
                </w:p>
              </w:tc>
              <w:tc>
                <w:tcPr>
                  <w:tcW w:w="830" w:type="pct"/>
                  <w:gridSpan w:val="2"/>
                  <w:shd w:val="clear" w:color="auto" w:fill="auto"/>
                  <w:vAlign w:val="center"/>
                </w:tcPr>
                <w:p w14:paraId="1FACC9E5">
                  <w:pPr>
                    <w:pStyle w:val="60"/>
                    <w:rPr>
                      <w:rFonts w:hint="default" w:eastAsia="宋体"/>
                      <w:color w:val="auto"/>
                      <w:sz w:val="18"/>
                      <w:szCs w:val="18"/>
                      <w:lang w:val="en-US" w:eastAsia="zh-CN"/>
                    </w:rPr>
                  </w:pPr>
                  <w:r>
                    <w:rPr>
                      <w:rFonts w:hint="eastAsia"/>
                      <w:color w:val="auto"/>
                      <w:sz w:val="18"/>
                      <w:szCs w:val="18"/>
                      <w:lang w:val="en-US" w:eastAsia="zh-CN"/>
                    </w:rPr>
                    <w:t>甲醇</w:t>
                  </w:r>
                </w:p>
              </w:tc>
              <w:tc>
                <w:tcPr>
                  <w:tcW w:w="1097" w:type="pct"/>
                  <w:shd w:val="clear" w:color="auto" w:fill="auto"/>
                  <w:vAlign w:val="center"/>
                </w:tcPr>
                <w:p w14:paraId="4F135DA7">
                  <w:pPr>
                    <w:pStyle w:val="60"/>
                    <w:rPr>
                      <w:rFonts w:hint="default" w:eastAsia="宋体"/>
                      <w:color w:val="auto"/>
                      <w:sz w:val="18"/>
                      <w:szCs w:val="18"/>
                      <w:lang w:val="en-US" w:eastAsia="zh-CN"/>
                    </w:rPr>
                  </w:pPr>
                  <w:r>
                    <w:rPr>
                      <w:rFonts w:hint="eastAsia"/>
                      <w:color w:val="auto"/>
                      <w:sz w:val="18"/>
                      <w:szCs w:val="18"/>
                      <w:lang w:val="en-US" w:eastAsia="zh-CN"/>
                    </w:rPr>
                    <w:t>0.235</w:t>
                  </w:r>
                </w:p>
              </w:tc>
            </w:tr>
            <w:tr w14:paraId="18740E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shd w:val="clear" w:color="auto" w:fill="auto"/>
                  <w:vAlign w:val="center"/>
                </w:tcPr>
                <w:p w14:paraId="476A8DE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1335" w:type="pct"/>
                  <w:shd w:val="clear" w:color="auto" w:fill="auto"/>
                  <w:vAlign w:val="center"/>
                </w:tcPr>
                <w:p w14:paraId="1FF2FD1A">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现有叔丁醇产品暂存罐</w:t>
                  </w:r>
                </w:p>
              </w:tc>
              <w:tc>
                <w:tcPr>
                  <w:tcW w:w="1418" w:type="pct"/>
                  <w:shd w:val="clear" w:color="auto" w:fill="auto"/>
                  <w:vAlign w:val="center"/>
                </w:tcPr>
                <w:p w14:paraId="0CB8A948">
                  <w:pPr>
                    <w:pStyle w:val="60"/>
                    <w:rPr>
                      <w:rFonts w:hint="eastAsia" w:ascii="Times New Roman" w:hAnsi="Times New Roman" w:eastAsia="宋体" w:cs="Times New Roman"/>
                      <w:snapToGrid w:val="0"/>
                      <w:color w:val="auto"/>
                      <w:kern w:val="2"/>
                      <w:sz w:val="18"/>
                      <w:szCs w:val="18"/>
                      <w:lang w:val="zh-CN" w:eastAsia="zh-CN" w:bidi="ar-SA"/>
                    </w:rPr>
                  </w:pPr>
                  <w:r>
                    <w:rPr>
                      <w:rFonts w:hint="eastAsia"/>
                      <w:snapToGrid w:val="0"/>
                      <w:color w:val="auto"/>
                      <w:sz w:val="18"/>
                      <w:szCs w:val="18"/>
                    </w:rPr>
                    <w:t>设备、管线等“跑冒滴漏”</w:t>
                  </w:r>
                </w:p>
              </w:tc>
              <w:tc>
                <w:tcPr>
                  <w:tcW w:w="830" w:type="pct"/>
                  <w:gridSpan w:val="2"/>
                  <w:shd w:val="clear" w:color="auto" w:fill="auto"/>
                  <w:vAlign w:val="center"/>
                </w:tcPr>
                <w:p w14:paraId="3BC8F9D8">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VOC</w:t>
                  </w:r>
                  <w:r>
                    <w:rPr>
                      <w:rFonts w:hint="eastAsia"/>
                      <w:color w:val="auto"/>
                      <w:sz w:val="18"/>
                      <w:szCs w:val="18"/>
                      <w:vertAlign w:val="subscript"/>
                    </w:rPr>
                    <w:t>S</w:t>
                  </w:r>
                  <w:r>
                    <w:rPr>
                      <w:rFonts w:hint="eastAsia"/>
                      <w:color w:val="auto"/>
                      <w:sz w:val="18"/>
                      <w:szCs w:val="18"/>
                      <w:vertAlign w:val="baseline"/>
                      <w:lang w:val="en-US" w:eastAsia="zh-CN"/>
                    </w:rPr>
                    <w:t>小计</w:t>
                  </w:r>
                </w:p>
              </w:tc>
              <w:tc>
                <w:tcPr>
                  <w:tcW w:w="1097" w:type="pct"/>
                  <w:shd w:val="clear" w:color="auto" w:fill="auto"/>
                  <w:vAlign w:val="center"/>
                </w:tcPr>
                <w:p w14:paraId="2BE2D2D8">
                  <w:pPr>
                    <w:pStyle w:val="60"/>
                    <w:rPr>
                      <w:rFonts w:hint="default"/>
                      <w:color w:val="auto"/>
                      <w:sz w:val="18"/>
                      <w:szCs w:val="18"/>
                      <w:lang w:val="en-US" w:eastAsia="zh-CN"/>
                    </w:rPr>
                  </w:pPr>
                  <w:r>
                    <w:rPr>
                      <w:rFonts w:hint="eastAsia"/>
                      <w:color w:val="auto"/>
                      <w:sz w:val="18"/>
                      <w:szCs w:val="18"/>
                      <w:lang w:val="en-US" w:eastAsia="zh-CN"/>
                    </w:rPr>
                    <w:t>0.139</w:t>
                  </w:r>
                </w:p>
              </w:tc>
            </w:tr>
            <w:tr w14:paraId="5BCF9E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17" w:type="pct"/>
                  <w:shd w:val="clear" w:color="auto" w:fill="auto"/>
                  <w:vAlign w:val="center"/>
                </w:tcPr>
                <w:p w14:paraId="02719B0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c>
                <w:tcPr>
                  <w:tcW w:w="1335" w:type="pct"/>
                  <w:shd w:val="clear" w:color="auto" w:fill="auto"/>
                  <w:vAlign w:val="center"/>
                </w:tcPr>
                <w:p w14:paraId="047879F2">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现有叔丁醇卸车设施</w:t>
                  </w:r>
                </w:p>
              </w:tc>
              <w:tc>
                <w:tcPr>
                  <w:tcW w:w="1418" w:type="pct"/>
                  <w:shd w:val="clear" w:color="auto" w:fill="auto"/>
                  <w:vAlign w:val="center"/>
                </w:tcPr>
                <w:p w14:paraId="41EDEA6D">
                  <w:pPr>
                    <w:pStyle w:val="60"/>
                    <w:rPr>
                      <w:rFonts w:hint="eastAsia" w:ascii="Times New Roman" w:hAnsi="Times New Roman" w:eastAsia="宋体" w:cs="Times New Roman"/>
                      <w:snapToGrid w:val="0"/>
                      <w:color w:val="auto"/>
                      <w:kern w:val="2"/>
                      <w:sz w:val="18"/>
                      <w:szCs w:val="18"/>
                      <w:lang w:val="zh-CN" w:eastAsia="zh-CN" w:bidi="ar-SA"/>
                    </w:rPr>
                  </w:pPr>
                  <w:r>
                    <w:rPr>
                      <w:rFonts w:hint="eastAsia"/>
                      <w:snapToGrid w:val="0"/>
                      <w:color w:val="auto"/>
                      <w:sz w:val="18"/>
                      <w:szCs w:val="18"/>
                    </w:rPr>
                    <w:t>设备、管线等“跑冒滴漏”</w:t>
                  </w:r>
                </w:p>
              </w:tc>
              <w:tc>
                <w:tcPr>
                  <w:tcW w:w="830" w:type="pct"/>
                  <w:gridSpan w:val="2"/>
                  <w:shd w:val="clear" w:color="auto" w:fill="auto"/>
                  <w:vAlign w:val="center"/>
                </w:tcPr>
                <w:p w14:paraId="43354AC2">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VOC</w:t>
                  </w:r>
                  <w:r>
                    <w:rPr>
                      <w:rFonts w:hint="eastAsia"/>
                      <w:color w:val="auto"/>
                      <w:sz w:val="18"/>
                      <w:szCs w:val="18"/>
                      <w:vertAlign w:val="subscript"/>
                    </w:rPr>
                    <w:t>S</w:t>
                  </w:r>
                  <w:r>
                    <w:rPr>
                      <w:rFonts w:hint="eastAsia"/>
                      <w:color w:val="auto"/>
                      <w:sz w:val="18"/>
                      <w:szCs w:val="18"/>
                      <w:vertAlign w:val="baseline"/>
                      <w:lang w:val="en-US" w:eastAsia="zh-CN"/>
                    </w:rPr>
                    <w:t>小计</w:t>
                  </w:r>
                </w:p>
              </w:tc>
              <w:tc>
                <w:tcPr>
                  <w:tcW w:w="1097" w:type="pct"/>
                  <w:shd w:val="clear" w:color="auto" w:fill="auto"/>
                  <w:vAlign w:val="center"/>
                </w:tcPr>
                <w:p w14:paraId="7E3C4A0E">
                  <w:pPr>
                    <w:pStyle w:val="60"/>
                    <w:rPr>
                      <w:rFonts w:hint="default"/>
                      <w:color w:val="auto"/>
                      <w:sz w:val="18"/>
                      <w:szCs w:val="18"/>
                      <w:lang w:val="en-US" w:eastAsia="zh-CN"/>
                    </w:rPr>
                  </w:pPr>
                  <w:r>
                    <w:rPr>
                      <w:rFonts w:hint="eastAsia"/>
                      <w:color w:val="auto"/>
                      <w:sz w:val="18"/>
                      <w:szCs w:val="18"/>
                      <w:lang w:val="en-US" w:eastAsia="zh-CN"/>
                    </w:rPr>
                    <w:t>0.173</w:t>
                  </w:r>
                </w:p>
              </w:tc>
            </w:tr>
            <w:tr w14:paraId="348F63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71" w:type="pct"/>
                  <w:gridSpan w:val="3"/>
                  <w:vMerge w:val="restart"/>
                  <w:shd w:val="clear" w:color="auto" w:fill="auto"/>
                  <w:vAlign w:val="center"/>
                </w:tcPr>
                <w:p w14:paraId="32D2A705">
                  <w:pPr>
                    <w:pStyle w:val="60"/>
                    <w:rPr>
                      <w:b/>
                      <w:bCs/>
                      <w:snapToGrid w:val="0"/>
                      <w:color w:val="auto"/>
                      <w:sz w:val="18"/>
                      <w:szCs w:val="18"/>
                    </w:rPr>
                  </w:pPr>
                  <w:r>
                    <w:rPr>
                      <w:rFonts w:hint="eastAsia"/>
                      <w:b/>
                      <w:bCs/>
                      <w:snapToGrid w:val="0"/>
                      <w:color w:val="auto"/>
                      <w:sz w:val="18"/>
                      <w:szCs w:val="18"/>
                    </w:rPr>
                    <w:t>设备动静密封点泄漏量合计</w:t>
                  </w:r>
                </w:p>
              </w:tc>
              <w:tc>
                <w:tcPr>
                  <w:tcW w:w="830" w:type="pct"/>
                  <w:gridSpan w:val="2"/>
                  <w:shd w:val="clear" w:color="auto" w:fill="auto"/>
                  <w:vAlign w:val="center"/>
                </w:tcPr>
                <w:p w14:paraId="7ECE29AE">
                  <w:pPr>
                    <w:pStyle w:val="60"/>
                    <w:rPr>
                      <w:rFonts w:hint="eastAsia" w:eastAsia="宋体"/>
                      <w:b/>
                      <w:bCs/>
                      <w:color w:val="auto"/>
                      <w:sz w:val="18"/>
                      <w:szCs w:val="18"/>
                      <w:lang w:val="en-US" w:eastAsia="zh-CN"/>
                    </w:rPr>
                  </w:pPr>
                  <w:r>
                    <w:rPr>
                      <w:rFonts w:hint="eastAsia"/>
                      <w:b/>
                      <w:bCs/>
                      <w:color w:val="auto"/>
                      <w:sz w:val="18"/>
                      <w:szCs w:val="18"/>
                    </w:rPr>
                    <w:t>VOC</w:t>
                  </w:r>
                  <w:r>
                    <w:rPr>
                      <w:rFonts w:hint="eastAsia"/>
                      <w:b/>
                      <w:bCs/>
                      <w:color w:val="auto"/>
                      <w:sz w:val="18"/>
                      <w:szCs w:val="18"/>
                      <w:vertAlign w:val="subscript"/>
                    </w:rPr>
                    <w:t>S</w:t>
                  </w:r>
                  <w:r>
                    <w:rPr>
                      <w:rFonts w:hint="eastAsia"/>
                      <w:b/>
                      <w:bCs/>
                      <w:color w:val="auto"/>
                      <w:sz w:val="18"/>
                      <w:szCs w:val="18"/>
                      <w:vertAlign w:val="baseline"/>
                      <w:lang w:val="en-US" w:eastAsia="zh-CN"/>
                    </w:rPr>
                    <w:t>合计</w:t>
                  </w:r>
                </w:p>
              </w:tc>
              <w:tc>
                <w:tcPr>
                  <w:tcW w:w="1097" w:type="pct"/>
                  <w:shd w:val="clear" w:color="auto" w:fill="auto"/>
                  <w:vAlign w:val="center"/>
                </w:tcPr>
                <w:p w14:paraId="6E8ECF85">
                  <w:pPr>
                    <w:pStyle w:val="60"/>
                    <w:rPr>
                      <w:rFonts w:hint="default" w:eastAsia="宋体"/>
                      <w:b/>
                      <w:bCs/>
                      <w:snapToGrid w:val="0"/>
                      <w:color w:val="auto"/>
                      <w:sz w:val="18"/>
                      <w:szCs w:val="18"/>
                      <w:lang w:val="en-US" w:eastAsia="zh-CN"/>
                    </w:rPr>
                  </w:pPr>
                  <w:r>
                    <w:rPr>
                      <w:rFonts w:hint="eastAsia"/>
                      <w:b/>
                      <w:bCs/>
                      <w:snapToGrid w:val="0"/>
                      <w:color w:val="auto"/>
                      <w:sz w:val="18"/>
                      <w:szCs w:val="18"/>
                      <w:lang w:val="en-US" w:eastAsia="zh-CN"/>
                    </w:rPr>
                    <w:t>2.034</w:t>
                  </w:r>
                </w:p>
              </w:tc>
            </w:tr>
            <w:tr w14:paraId="195AA9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3071" w:type="pct"/>
                  <w:gridSpan w:val="3"/>
                  <w:vMerge w:val="continue"/>
                  <w:shd w:val="clear" w:color="auto" w:fill="auto"/>
                  <w:vAlign w:val="center"/>
                </w:tcPr>
                <w:p w14:paraId="33517109">
                  <w:pPr>
                    <w:pStyle w:val="60"/>
                    <w:rPr>
                      <w:rFonts w:hint="eastAsia"/>
                      <w:b/>
                      <w:bCs/>
                      <w:snapToGrid w:val="0"/>
                      <w:color w:val="auto"/>
                      <w:sz w:val="18"/>
                      <w:szCs w:val="18"/>
                    </w:rPr>
                  </w:pPr>
                </w:p>
              </w:tc>
              <w:tc>
                <w:tcPr>
                  <w:tcW w:w="414" w:type="pct"/>
                  <w:shd w:val="clear" w:color="auto" w:fill="auto"/>
                  <w:vAlign w:val="center"/>
                </w:tcPr>
                <w:p w14:paraId="7249369C">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其中</w:t>
                  </w:r>
                </w:p>
              </w:tc>
              <w:tc>
                <w:tcPr>
                  <w:tcW w:w="415" w:type="pct"/>
                  <w:shd w:val="clear" w:color="auto" w:fill="auto"/>
                  <w:vAlign w:val="center"/>
                </w:tcPr>
                <w:p w14:paraId="23CFE24D">
                  <w:pPr>
                    <w:pStyle w:val="60"/>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甲醇</w:t>
                  </w:r>
                </w:p>
              </w:tc>
              <w:tc>
                <w:tcPr>
                  <w:tcW w:w="1097" w:type="pct"/>
                  <w:shd w:val="clear" w:color="auto" w:fill="auto"/>
                  <w:vAlign w:val="center"/>
                </w:tcPr>
                <w:p w14:paraId="1C54A8FA">
                  <w:pPr>
                    <w:pStyle w:val="60"/>
                    <w:rPr>
                      <w:rFonts w:hint="default"/>
                      <w:b/>
                      <w:bCs/>
                      <w:snapToGrid w:val="0"/>
                      <w:color w:val="auto"/>
                      <w:sz w:val="18"/>
                      <w:szCs w:val="18"/>
                      <w:lang w:val="en-US" w:eastAsia="zh-CN"/>
                    </w:rPr>
                  </w:pPr>
                  <w:r>
                    <w:rPr>
                      <w:rFonts w:hint="eastAsia"/>
                      <w:b/>
                      <w:bCs/>
                      <w:snapToGrid w:val="0"/>
                      <w:color w:val="auto"/>
                      <w:sz w:val="18"/>
                      <w:szCs w:val="18"/>
                      <w:lang w:val="en-US" w:eastAsia="zh-CN"/>
                    </w:rPr>
                    <w:t>1.284</w:t>
                  </w:r>
                </w:p>
              </w:tc>
            </w:tr>
          </w:tbl>
          <w:p w14:paraId="61717D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（二）污染防治措施可行性分析</w:t>
            </w:r>
          </w:p>
          <w:p w14:paraId="1D5F6C2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1、有组织废气治理措施及可行性分析</w:t>
            </w:r>
          </w:p>
          <w:p w14:paraId="558DFA3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本项目有组织废气主要为储罐区呼吸废气及装卸车废气。收集后经现有水洗塔水洗预处理后送西厂区现有2台尾气炉进行焚烧处理，处理后废气经尾气炉配套DA001/DA002排气筒排放。</w:t>
            </w:r>
          </w:p>
          <w:p w14:paraId="1AB3494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lang w:val="en-US" w:eastAsia="zh-CN"/>
              </w:rPr>
            </w:pPr>
            <w:r>
              <w:rPr>
                <w:rFonts w:hint="eastAsia"/>
                <w:color w:val="auto"/>
                <w:lang w:val="en-US" w:eastAsia="zh-CN"/>
              </w:rPr>
              <w:t>①水洗</w:t>
            </w:r>
          </w:p>
          <w:p w14:paraId="67791C4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color w:val="auto"/>
                <w:lang w:val="en-US" w:eastAsia="zh-CN"/>
              </w:rPr>
            </w:pPr>
            <w:r>
              <w:rPr>
                <w:rFonts w:hint="eastAsia"/>
                <w:color w:val="auto"/>
                <w:lang w:val="en-US" w:eastAsia="zh-CN"/>
              </w:rPr>
              <w:t>为了回收废气中的甲醇、甲醛等物料，做到资源化利用，项目废气进入焚烧炉之前设置水洗预处理。水洗液循环使用，富集到一定浓度后全部回用于甲醛生产装置。同时，根据建设单位提供资料，现有甲醛生产装置对产品质量指标要求不高，水洗液中含有少量的叔丁醇不会对产品质量产生影响。</w:t>
            </w:r>
          </w:p>
          <w:p w14:paraId="5187EC6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lang w:val="en-US" w:eastAsia="zh-CN"/>
              </w:rPr>
            </w:pPr>
            <w:r>
              <w:rPr>
                <w:rFonts w:hint="eastAsia"/>
                <w:color w:val="auto"/>
                <w:lang w:val="en-US" w:eastAsia="zh-CN"/>
              </w:rPr>
              <w:t>由于本项目废气中的甲醇、叔丁醇均易溶于水，故水洗对废气中的甲醇、叔丁醇具有良好的去除效果。水洗</w:t>
            </w:r>
            <w:r>
              <w:rPr>
                <w:rFonts w:hint="eastAsia"/>
                <w:color w:val="auto"/>
              </w:rPr>
              <w:t>塔利用气体与液体间接触，将气体中的污染物传送到液体中，然后再将去除大部分污染物的气体与</w:t>
            </w:r>
            <w:r>
              <w:rPr>
                <w:rFonts w:hint="eastAsia"/>
                <w:color w:val="auto"/>
                <w:lang w:val="en-US" w:eastAsia="zh-CN"/>
              </w:rPr>
              <w:t>水</w:t>
            </w:r>
            <w:r>
              <w:rPr>
                <w:rFonts w:hint="eastAsia"/>
                <w:color w:val="auto"/>
              </w:rPr>
              <w:t>分离，达到去除废气、排放洁净气体的目的。</w:t>
            </w:r>
            <w:r>
              <w:rPr>
                <w:rFonts w:hint="eastAsia"/>
                <w:color w:val="auto"/>
                <w:lang w:val="en-US" w:eastAsia="zh-CN"/>
              </w:rPr>
              <w:t>本项目水洗塔参数具体如下：</w:t>
            </w:r>
          </w:p>
          <w:p w14:paraId="091F24B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eastAsia="宋体"/>
                <w:b/>
                <w:color w:val="auto"/>
                <w:szCs w:val="21"/>
              </w:rPr>
            </w:pPr>
            <w:r>
              <w:rPr>
                <w:rFonts w:hint="eastAsia" w:eastAsia="宋体"/>
                <w:b/>
                <w:color w:val="auto"/>
                <w:szCs w:val="21"/>
              </w:rPr>
              <w:t>表</w:t>
            </w:r>
            <w:r>
              <w:rPr>
                <w:rFonts w:hint="eastAsia" w:eastAsia="宋体"/>
                <w:b/>
                <w:color w:val="auto"/>
                <w:szCs w:val="21"/>
                <w:lang w:val="en-US" w:eastAsia="zh-CN"/>
              </w:rPr>
              <w:t>4-1</w:t>
            </w:r>
            <w:r>
              <w:rPr>
                <w:rFonts w:hint="eastAsia"/>
                <w:b/>
                <w:color w:val="auto"/>
                <w:szCs w:val="21"/>
                <w:lang w:val="en-US" w:eastAsia="zh-CN"/>
              </w:rPr>
              <w:t>4</w:t>
            </w:r>
            <w:r>
              <w:rPr>
                <w:rFonts w:hint="eastAsia" w:eastAsia="宋体"/>
                <w:b/>
                <w:color w:val="auto"/>
                <w:szCs w:val="21"/>
              </w:rPr>
              <w:t xml:space="preserve">  </w:t>
            </w:r>
            <w:r>
              <w:rPr>
                <w:rFonts w:hint="eastAsia" w:eastAsia="宋体"/>
                <w:b/>
                <w:color w:val="auto"/>
                <w:szCs w:val="21"/>
                <w:lang w:val="en-US" w:eastAsia="zh-CN"/>
              </w:rPr>
              <w:t>现有水洗</w:t>
            </w:r>
            <w:r>
              <w:rPr>
                <w:rFonts w:hint="eastAsia" w:eastAsia="宋体"/>
                <w:b/>
                <w:color w:val="auto"/>
                <w:szCs w:val="21"/>
              </w:rPr>
              <w:t>塔设计参数一览表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601"/>
              <w:gridCol w:w="3603"/>
            </w:tblGrid>
            <w:tr w14:paraId="28606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12" w:space="0"/>
                    <w:left w:val="nil"/>
                    <w:bottom w:val="single" w:color="auto" w:sz="4" w:space="0"/>
                    <w:right w:val="single" w:color="auto" w:sz="4" w:space="0"/>
                  </w:tcBorders>
                  <w:noWrap w:val="0"/>
                  <w:vAlign w:val="center"/>
                </w:tcPr>
                <w:p w14:paraId="5AAA5EE4">
                  <w:pPr>
                    <w:adjustRightInd w:val="0"/>
                    <w:snapToGrid/>
                    <w:spacing w:line="240" w:lineRule="auto"/>
                    <w:jc w:val="center"/>
                    <w:rPr>
                      <w:color w:val="auto"/>
                      <w:sz w:val="18"/>
                      <w:szCs w:val="18"/>
                    </w:rPr>
                  </w:pPr>
                  <w:r>
                    <w:rPr>
                      <w:rFonts w:hAnsi="宋体"/>
                      <w:color w:val="auto"/>
                      <w:sz w:val="18"/>
                      <w:szCs w:val="18"/>
                    </w:rPr>
                    <w:t>序号</w:t>
                  </w:r>
                </w:p>
              </w:tc>
              <w:tc>
                <w:tcPr>
                  <w:tcW w:w="3601" w:type="dxa"/>
                  <w:tcBorders>
                    <w:top w:val="single" w:color="auto" w:sz="12" w:space="0"/>
                    <w:left w:val="single" w:color="auto" w:sz="4" w:space="0"/>
                    <w:bottom w:val="single" w:color="auto" w:sz="4" w:space="0"/>
                    <w:right w:val="single" w:color="auto" w:sz="4" w:space="0"/>
                  </w:tcBorders>
                  <w:noWrap w:val="0"/>
                  <w:vAlign w:val="center"/>
                </w:tcPr>
                <w:p w14:paraId="322DDB8B">
                  <w:pPr>
                    <w:adjustRightInd w:val="0"/>
                    <w:snapToGrid/>
                    <w:spacing w:line="240" w:lineRule="auto"/>
                    <w:jc w:val="center"/>
                    <w:rPr>
                      <w:color w:val="auto"/>
                      <w:sz w:val="18"/>
                      <w:szCs w:val="18"/>
                    </w:rPr>
                  </w:pPr>
                  <w:r>
                    <w:rPr>
                      <w:rFonts w:hAnsi="宋体"/>
                      <w:color w:val="auto"/>
                      <w:sz w:val="18"/>
                      <w:szCs w:val="18"/>
                    </w:rPr>
                    <w:t>项目</w:t>
                  </w:r>
                </w:p>
              </w:tc>
              <w:tc>
                <w:tcPr>
                  <w:tcW w:w="3603" w:type="dxa"/>
                  <w:tcBorders>
                    <w:top w:val="single" w:color="auto" w:sz="12" w:space="0"/>
                    <w:left w:val="single" w:color="auto" w:sz="4" w:space="0"/>
                    <w:bottom w:val="single" w:color="auto" w:sz="4" w:space="0"/>
                    <w:right w:val="nil"/>
                  </w:tcBorders>
                  <w:noWrap w:val="0"/>
                  <w:vAlign w:val="center"/>
                </w:tcPr>
                <w:p w14:paraId="46F8B0D1">
                  <w:pPr>
                    <w:adjustRightInd w:val="0"/>
                    <w:snapToGrid/>
                    <w:spacing w:line="240" w:lineRule="auto"/>
                    <w:jc w:val="center"/>
                    <w:rPr>
                      <w:color w:val="auto"/>
                      <w:sz w:val="18"/>
                      <w:szCs w:val="18"/>
                    </w:rPr>
                  </w:pPr>
                  <w:r>
                    <w:rPr>
                      <w:rFonts w:hAnsi="宋体"/>
                      <w:color w:val="auto"/>
                      <w:sz w:val="18"/>
                      <w:szCs w:val="18"/>
                    </w:rPr>
                    <w:t>设计指标</w:t>
                  </w:r>
                </w:p>
              </w:tc>
            </w:tr>
            <w:tr w14:paraId="651AD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noWrap w:val="0"/>
                  <w:vAlign w:val="center"/>
                </w:tcPr>
                <w:p w14:paraId="7443D3AA">
                  <w:pPr>
                    <w:adjustRightInd w:val="0"/>
                    <w:snapToGrid/>
                    <w:spacing w:line="240" w:lineRule="auto"/>
                    <w:jc w:val="center"/>
                    <w:rPr>
                      <w:color w:val="auto"/>
                      <w:sz w:val="18"/>
                      <w:szCs w:val="18"/>
                    </w:rPr>
                  </w:pPr>
                  <w:r>
                    <w:rPr>
                      <w:color w:val="auto"/>
                      <w:sz w:val="18"/>
                      <w:szCs w:val="18"/>
                    </w:rPr>
                    <w:t>1</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24AA0E7C">
                  <w:pPr>
                    <w:adjustRightInd w:val="0"/>
                    <w:snapToGrid/>
                    <w:spacing w:line="240" w:lineRule="auto"/>
                    <w:jc w:val="center"/>
                    <w:rPr>
                      <w:color w:val="auto"/>
                      <w:sz w:val="18"/>
                      <w:szCs w:val="18"/>
                    </w:rPr>
                  </w:pPr>
                  <w:r>
                    <w:rPr>
                      <w:rFonts w:hAnsi="宋体"/>
                      <w:color w:val="auto"/>
                      <w:sz w:val="18"/>
                      <w:szCs w:val="18"/>
                    </w:rPr>
                    <w:t>外观尺寸</w:t>
                  </w:r>
                </w:p>
              </w:tc>
              <w:tc>
                <w:tcPr>
                  <w:tcW w:w="3603" w:type="dxa"/>
                  <w:tcBorders>
                    <w:top w:val="single" w:color="auto" w:sz="4" w:space="0"/>
                    <w:left w:val="single" w:color="auto" w:sz="4" w:space="0"/>
                    <w:bottom w:val="single" w:color="auto" w:sz="4" w:space="0"/>
                    <w:right w:val="nil"/>
                  </w:tcBorders>
                  <w:noWrap w:val="0"/>
                  <w:vAlign w:val="center"/>
                </w:tcPr>
                <w:p w14:paraId="6E0BC710">
                  <w:pPr>
                    <w:adjustRightInd w:val="0"/>
                    <w:snapToGrid/>
                    <w:spacing w:line="240" w:lineRule="auto"/>
                    <w:jc w:val="center"/>
                    <w:rPr>
                      <w:color w:val="auto"/>
                      <w:sz w:val="18"/>
                      <w:szCs w:val="18"/>
                    </w:rPr>
                  </w:pPr>
                  <w:r>
                    <w:rPr>
                      <w:rFonts w:ascii="宋体" w:hAnsi="宋体"/>
                      <w:color w:val="auto"/>
                      <w:sz w:val="18"/>
                      <w:szCs w:val="18"/>
                    </w:rPr>
                    <w:t>Φ</w:t>
                  </w:r>
                  <w:r>
                    <w:rPr>
                      <w:rFonts w:hint="eastAsia"/>
                      <w:color w:val="auto"/>
                      <w:sz w:val="18"/>
                      <w:szCs w:val="18"/>
                      <w:lang w:val="en-US" w:eastAsia="zh-CN"/>
                    </w:rPr>
                    <w:t>600</w:t>
                  </w:r>
                  <w:r>
                    <w:rPr>
                      <w:color w:val="auto"/>
                      <w:sz w:val="18"/>
                      <w:szCs w:val="18"/>
                    </w:rPr>
                    <w:t>mm×</w:t>
                  </w:r>
                  <w:r>
                    <w:rPr>
                      <w:rFonts w:hint="eastAsia"/>
                      <w:color w:val="auto"/>
                      <w:sz w:val="18"/>
                      <w:szCs w:val="18"/>
                    </w:rPr>
                    <w:t>2</w:t>
                  </w:r>
                  <w:r>
                    <w:rPr>
                      <w:color w:val="auto"/>
                      <w:sz w:val="18"/>
                      <w:szCs w:val="18"/>
                    </w:rPr>
                    <w:t>500mm</w:t>
                  </w:r>
                </w:p>
              </w:tc>
            </w:tr>
            <w:tr w14:paraId="22E88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51F0CF83">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61BAFFD4">
                  <w:pPr>
                    <w:adjustRightInd w:val="0"/>
                    <w:snapToGrid/>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处理风量</w:t>
                  </w:r>
                </w:p>
              </w:tc>
              <w:tc>
                <w:tcPr>
                  <w:tcW w:w="3603" w:type="dxa"/>
                  <w:tcBorders>
                    <w:top w:val="single" w:color="auto" w:sz="4" w:space="0"/>
                    <w:left w:val="single" w:color="auto" w:sz="4" w:space="0"/>
                    <w:bottom w:val="single" w:color="auto" w:sz="4" w:space="0"/>
                    <w:right w:val="nil"/>
                  </w:tcBorders>
                  <w:noWrap w:val="0"/>
                  <w:vAlign w:val="center"/>
                </w:tcPr>
                <w:p w14:paraId="31B3BD18">
                  <w:pPr>
                    <w:adjustRightInd w:val="0"/>
                    <w:snapToGrid/>
                    <w:spacing w:line="240" w:lineRule="auto"/>
                    <w:jc w:val="center"/>
                    <w:rPr>
                      <w:rFonts w:hint="default" w:ascii="宋体" w:hAnsi="宋体" w:eastAsia="宋体"/>
                      <w:color w:val="auto"/>
                      <w:sz w:val="18"/>
                      <w:szCs w:val="18"/>
                      <w:lang w:val="en-US" w:eastAsia="zh-CN"/>
                    </w:rPr>
                  </w:pPr>
                  <w:r>
                    <w:rPr>
                      <w:rFonts w:hint="default" w:ascii="Times New Roman" w:hAnsi="Times New Roman" w:cs="Times New Roman"/>
                      <w:color w:val="auto"/>
                      <w:sz w:val="18"/>
                      <w:szCs w:val="18"/>
                      <w:lang w:val="en-US" w:eastAsia="zh-CN"/>
                    </w:rPr>
                    <w:t>15000m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/h</w:t>
                  </w:r>
                </w:p>
              </w:tc>
            </w:tr>
            <w:tr w14:paraId="2C7BD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0E20BBF3">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01E555F0">
                  <w:pPr>
                    <w:spacing w:line="240" w:lineRule="auto"/>
                    <w:jc w:val="center"/>
                    <w:rPr>
                      <w:color w:val="auto"/>
                      <w:sz w:val="18"/>
                      <w:szCs w:val="18"/>
                    </w:rPr>
                  </w:pPr>
                  <w:r>
                    <w:rPr>
                      <w:color w:val="auto"/>
                      <w:sz w:val="18"/>
                      <w:szCs w:val="18"/>
                    </w:rPr>
                    <w:t>工作温度</w:t>
                  </w:r>
                </w:p>
              </w:tc>
              <w:tc>
                <w:tcPr>
                  <w:tcW w:w="3603" w:type="dxa"/>
                  <w:tcBorders>
                    <w:top w:val="single" w:color="auto" w:sz="4" w:space="0"/>
                    <w:left w:val="single" w:color="auto" w:sz="4" w:space="0"/>
                    <w:bottom w:val="single" w:color="auto" w:sz="4" w:space="0"/>
                    <w:right w:val="nil"/>
                  </w:tcBorders>
                  <w:noWrap w:val="0"/>
                  <w:vAlign w:val="center"/>
                </w:tcPr>
                <w:p w14:paraId="07E871F8">
                  <w:pPr>
                    <w:spacing w:line="240" w:lineRule="auto"/>
                    <w:jc w:val="center"/>
                    <w:rPr>
                      <w:color w:val="auto"/>
                      <w:sz w:val="18"/>
                      <w:szCs w:val="18"/>
                    </w:rPr>
                  </w:pPr>
                  <w:r>
                    <w:rPr>
                      <w:color w:val="auto"/>
                      <w:sz w:val="18"/>
                      <w:szCs w:val="18"/>
                    </w:rPr>
                    <w:t>≤50℃</w:t>
                  </w:r>
                </w:p>
              </w:tc>
            </w:tr>
            <w:tr w14:paraId="38B9E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1A2C31A4">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4EEA62BD">
                  <w:pPr>
                    <w:spacing w:line="240" w:lineRule="auto"/>
                    <w:jc w:val="center"/>
                    <w:rPr>
                      <w:color w:val="auto"/>
                      <w:sz w:val="18"/>
                      <w:szCs w:val="18"/>
                    </w:rPr>
                  </w:pPr>
                  <w:r>
                    <w:rPr>
                      <w:color w:val="auto"/>
                      <w:sz w:val="18"/>
                      <w:szCs w:val="18"/>
                    </w:rPr>
                    <w:t>工作压力</w:t>
                  </w:r>
                </w:p>
              </w:tc>
              <w:tc>
                <w:tcPr>
                  <w:tcW w:w="3603" w:type="dxa"/>
                  <w:tcBorders>
                    <w:top w:val="single" w:color="auto" w:sz="4" w:space="0"/>
                    <w:left w:val="single" w:color="auto" w:sz="4" w:space="0"/>
                    <w:bottom w:val="single" w:color="auto" w:sz="4" w:space="0"/>
                    <w:right w:val="nil"/>
                  </w:tcBorders>
                  <w:noWrap w:val="0"/>
                  <w:vAlign w:val="center"/>
                </w:tcPr>
                <w:p w14:paraId="0BD775C0">
                  <w:pPr>
                    <w:spacing w:line="240" w:lineRule="auto"/>
                    <w:jc w:val="center"/>
                    <w:rPr>
                      <w:color w:val="auto"/>
                      <w:sz w:val="18"/>
                      <w:szCs w:val="18"/>
                    </w:rPr>
                  </w:pPr>
                  <w:r>
                    <w:rPr>
                      <w:color w:val="auto"/>
                      <w:sz w:val="18"/>
                      <w:szCs w:val="18"/>
                    </w:rPr>
                    <w:t>≤1.0KPa</w:t>
                  </w:r>
                </w:p>
              </w:tc>
            </w:tr>
            <w:tr w14:paraId="54F45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05AA9DB3">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5B2E418E">
                  <w:pPr>
                    <w:spacing w:line="240" w:lineRule="auto"/>
                    <w:jc w:val="center"/>
                    <w:rPr>
                      <w:color w:val="auto"/>
                      <w:sz w:val="18"/>
                      <w:szCs w:val="18"/>
                    </w:rPr>
                  </w:pPr>
                  <w:r>
                    <w:rPr>
                      <w:color w:val="auto"/>
                      <w:sz w:val="18"/>
                      <w:szCs w:val="18"/>
                    </w:rPr>
                    <w:t>填料</w:t>
                  </w:r>
                </w:p>
              </w:tc>
              <w:tc>
                <w:tcPr>
                  <w:tcW w:w="3603" w:type="dxa"/>
                  <w:tcBorders>
                    <w:top w:val="single" w:color="auto" w:sz="4" w:space="0"/>
                    <w:left w:val="single" w:color="auto" w:sz="4" w:space="0"/>
                    <w:bottom w:val="single" w:color="auto" w:sz="4" w:space="0"/>
                    <w:right w:val="nil"/>
                  </w:tcBorders>
                  <w:noWrap w:val="0"/>
                  <w:vAlign w:val="center"/>
                </w:tcPr>
                <w:p w14:paraId="5A48ED61">
                  <w:pPr>
                    <w:spacing w:line="240" w:lineRule="auto"/>
                    <w:jc w:val="center"/>
                    <w:rPr>
                      <w:color w:val="auto"/>
                      <w:sz w:val="18"/>
                      <w:szCs w:val="18"/>
                    </w:rPr>
                  </w:pPr>
                  <w:r>
                    <w:rPr>
                      <w:rFonts w:hint="eastAsia"/>
                      <w:color w:val="auto"/>
                      <w:sz w:val="18"/>
                      <w:szCs w:val="18"/>
                    </w:rPr>
                    <w:t>两</w:t>
                  </w:r>
                  <w:r>
                    <w:rPr>
                      <w:color w:val="auto"/>
                      <w:sz w:val="18"/>
                      <w:szCs w:val="18"/>
                    </w:rPr>
                    <w:t>层；</w:t>
                  </w:r>
                  <w:r>
                    <w:rPr>
                      <w:rFonts w:hint="eastAsia"/>
                      <w:color w:val="auto"/>
                      <w:sz w:val="18"/>
                      <w:szCs w:val="18"/>
                    </w:rPr>
                    <w:t>φ</w:t>
                  </w:r>
                  <w:r>
                    <w:rPr>
                      <w:color w:val="auto"/>
                      <w:sz w:val="18"/>
                      <w:szCs w:val="18"/>
                    </w:rPr>
                    <w:t>50mm多面球、PP材质</w:t>
                  </w:r>
                </w:p>
              </w:tc>
            </w:tr>
            <w:tr w14:paraId="03761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2817578E">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5BE81F22">
                  <w:pPr>
                    <w:spacing w:line="240" w:lineRule="auto"/>
                    <w:jc w:val="center"/>
                    <w:rPr>
                      <w:color w:val="auto"/>
                      <w:sz w:val="18"/>
                      <w:szCs w:val="18"/>
                    </w:rPr>
                  </w:pPr>
                  <w:r>
                    <w:rPr>
                      <w:color w:val="auto"/>
                      <w:sz w:val="18"/>
                      <w:szCs w:val="18"/>
                    </w:rPr>
                    <w:t>除雾器</w:t>
                  </w:r>
                </w:p>
              </w:tc>
              <w:tc>
                <w:tcPr>
                  <w:tcW w:w="3603" w:type="dxa"/>
                  <w:tcBorders>
                    <w:top w:val="single" w:color="auto" w:sz="4" w:space="0"/>
                    <w:left w:val="single" w:color="auto" w:sz="4" w:space="0"/>
                    <w:bottom w:val="single" w:color="auto" w:sz="4" w:space="0"/>
                    <w:right w:val="nil"/>
                  </w:tcBorders>
                  <w:noWrap w:val="0"/>
                  <w:vAlign w:val="center"/>
                </w:tcPr>
                <w:p w14:paraId="67EE0E5A">
                  <w:pPr>
                    <w:spacing w:line="240" w:lineRule="auto"/>
                    <w:jc w:val="center"/>
                    <w:rPr>
                      <w:color w:val="auto"/>
                      <w:sz w:val="18"/>
                      <w:szCs w:val="18"/>
                    </w:rPr>
                  </w:pPr>
                  <w:r>
                    <w:rPr>
                      <w:color w:val="auto"/>
                      <w:sz w:val="18"/>
                      <w:szCs w:val="18"/>
                    </w:rPr>
                    <w:t>卡条式除雾器（自带冲洗系统）</w:t>
                  </w:r>
                </w:p>
              </w:tc>
            </w:tr>
            <w:tr w14:paraId="74ED8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4" w:space="0"/>
                    <w:right w:val="single" w:color="auto" w:sz="4" w:space="0"/>
                  </w:tcBorders>
                  <w:shd w:val="clear" w:color="auto" w:fill="auto"/>
                  <w:noWrap w:val="0"/>
                  <w:vAlign w:val="center"/>
                </w:tcPr>
                <w:p w14:paraId="26D16745">
                  <w:pPr>
                    <w:adjustRightInd w:val="0"/>
                    <w:snapToGrid/>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w:t>
                  </w:r>
                </w:p>
              </w:tc>
              <w:tc>
                <w:tcPr>
                  <w:tcW w:w="3601" w:type="dxa"/>
                  <w:tcBorders>
                    <w:top w:val="single" w:color="auto" w:sz="4" w:space="0"/>
                    <w:left w:val="single" w:color="auto" w:sz="4" w:space="0"/>
                    <w:bottom w:val="single" w:color="auto" w:sz="4" w:space="0"/>
                    <w:right w:val="single" w:color="auto" w:sz="4" w:space="0"/>
                  </w:tcBorders>
                  <w:noWrap w:val="0"/>
                  <w:vAlign w:val="center"/>
                </w:tcPr>
                <w:p w14:paraId="38B46862">
                  <w:pPr>
                    <w:spacing w:line="240" w:lineRule="auto"/>
                    <w:jc w:val="center"/>
                    <w:rPr>
                      <w:color w:val="auto"/>
                      <w:sz w:val="18"/>
                      <w:szCs w:val="18"/>
                    </w:rPr>
                  </w:pPr>
                  <w:r>
                    <w:rPr>
                      <w:color w:val="auto"/>
                      <w:sz w:val="18"/>
                      <w:szCs w:val="18"/>
                    </w:rPr>
                    <w:t>雾化系统</w:t>
                  </w:r>
                </w:p>
              </w:tc>
              <w:tc>
                <w:tcPr>
                  <w:tcW w:w="3603" w:type="dxa"/>
                  <w:tcBorders>
                    <w:top w:val="single" w:color="auto" w:sz="4" w:space="0"/>
                    <w:left w:val="single" w:color="auto" w:sz="4" w:space="0"/>
                    <w:bottom w:val="single" w:color="auto" w:sz="4" w:space="0"/>
                    <w:right w:val="nil"/>
                  </w:tcBorders>
                  <w:noWrap w:val="0"/>
                  <w:vAlign w:val="center"/>
                </w:tcPr>
                <w:p w14:paraId="1078C6A4">
                  <w:pPr>
                    <w:spacing w:line="240" w:lineRule="auto"/>
                    <w:jc w:val="center"/>
                    <w:rPr>
                      <w:color w:val="auto"/>
                      <w:sz w:val="18"/>
                      <w:szCs w:val="18"/>
                    </w:rPr>
                  </w:pPr>
                  <w:r>
                    <w:rPr>
                      <w:color w:val="auto"/>
                      <w:sz w:val="18"/>
                      <w:szCs w:val="18"/>
                    </w:rPr>
                    <w:t>无堵塞螺旋喷嘴</w:t>
                  </w:r>
                </w:p>
              </w:tc>
            </w:tr>
            <w:tr w14:paraId="21915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0" w:type="dxa"/>
                  <w:tcBorders>
                    <w:top w:val="single" w:color="auto" w:sz="4" w:space="0"/>
                    <w:left w:val="nil"/>
                    <w:bottom w:val="single" w:color="auto" w:sz="12" w:space="0"/>
                    <w:right w:val="single" w:color="auto" w:sz="4" w:space="0"/>
                  </w:tcBorders>
                  <w:noWrap w:val="0"/>
                  <w:vAlign w:val="center"/>
                </w:tcPr>
                <w:p w14:paraId="197DD76C">
                  <w:pPr>
                    <w:adjustRightInd w:val="0"/>
                    <w:snapToGrid/>
                    <w:spacing w:line="240" w:lineRule="auto"/>
                    <w:jc w:val="center"/>
                    <w:rPr>
                      <w:rFonts w:hint="default" w:eastAsia="宋体"/>
                      <w:color w:val="auto"/>
                      <w:sz w:val="18"/>
                      <w:szCs w:val="18"/>
                      <w:lang w:val="en-US" w:eastAsia="zh-CN"/>
                    </w:rPr>
                  </w:pPr>
                  <w:r>
                    <w:rPr>
                      <w:rFonts w:hint="eastAsia"/>
                      <w:color w:val="auto"/>
                      <w:sz w:val="18"/>
                      <w:szCs w:val="18"/>
                      <w:lang w:val="en-US" w:eastAsia="zh-CN"/>
                    </w:rPr>
                    <w:t>8</w:t>
                  </w:r>
                </w:p>
              </w:tc>
              <w:tc>
                <w:tcPr>
                  <w:tcW w:w="3601" w:type="dxa"/>
                  <w:tcBorders>
                    <w:top w:val="single" w:color="auto" w:sz="4" w:space="0"/>
                    <w:left w:val="single" w:color="auto" w:sz="4" w:space="0"/>
                    <w:bottom w:val="single" w:color="auto" w:sz="12" w:space="0"/>
                    <w:right w:val="single" w:color="auto" w:sz="4" w:space="0"/>
                  </w:tcBorders>
                  <w:noWrap w:val="0"/>
                  <w:vAlign w:val="center"/>
                </w:tcPr>
                <w:p w14:paraId="3F66C26C">
                  <w:pPr>
                    <w:spacing w:line="240" w:lineRule="auto"/>
                    <w:jc w:val="center"/>
                    <w:rPr>
                      <w:color w:val="auto"/>
                      <w:sz w:val="18"/>
                      <w:szCs w:val="18"/>
                    </w:rPr>
                  </w:pPr>
                  <w:r>
                    <w:rPr>
                      <w:color w:val="auto"/>
                      <w:sz w:val="18"/>
                      <w:szCs w:val="18"/>
                    </w:rPr>
                    <w:t>喷淋泵</w:t>
                  </w:r>
                </w:p>
              </w:tc>
              <w:tc>
                <w:tcPr>
                  <w:tcW w:w="3603" w:type="dxa"/>
                  <w:tcBorders>
                    <w:top w:val="single" w:color="auto" w:sz="4" w:space="0"/>
                    <w:left w:val="single" w:color="auto" w:sz="4" w:space="0"/>
                    <w:bottom w:val="single" w:color="auto" w:sz="12" w:space="0"/>
                    <w:right w:val="nil"/>
                  </w:tcBorders>
                  <w:noWrap w:val="0"/>
                  <w:vAlign w:val="center"/>
                </w:tcPr>
                <w:p w14:paraId="59E6D205">
                  <w:pPr>
                    <w:spacing w:line="240" w:lineRule="auto"/>
                    <w:jc w:val="center"/>
                    <w:rPr>
                      <w:color w:val="auto"/>
                      <w:sz w:val="18"/>
                      <w:szCs w:val="18"/>
                    </w:rPr>
                  </w:pPr>
                  <w:r>
                    <w:rPr>
                      <w:color w:val="auto"/>
                      <w:sz w:val="18"/>
                      <w:szCs w:val="18"/>
                    </w:rPr>
                    <w:t>流量10m</w:t>
                  </w:r>
                  <w:r>
                    <w:rPr>
                      <w:color w:val="auto"/>
                      <w:sz w:val="18"/>
                      <w:szCs w:val="18"/>
                      <w:vertAlign w:val="superscript"/>
                    </w:rPr>
                    <w:t>3</w:t>
                  </w:r>
                  <w:r>
                    <w:rPr>
                      <w:color w:val="auto"/>
                      <w:sz w:val="18"/>
                      <w:szCs w:val="18"/>
                    </w:rPr>
                    <w:t>/h，扬程18m，电机功率1.5kw</w:t>
                  </w:r>
                </w:p>
              </w:tc>
            </w:tr>
          </w:tbl>
          <w:p w14:paraId="40E1B30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color w:val="auto"/>
                <w:lang w:val="en-US" w:eastAsia="zh-CN"/>
              </w:rPr>
            </w:pPr>
            <w:r>
              <w:rPr>
                <w:rFonts w:hint="eastAsia"/>
                <w:color w:val="auto"/>
                <w:lang w:val="en-US" w:eastAsia="zh-CN"/>
              </w:rPr>
              <w:t>②尾气焚烧炉</w:t>
            </w:r>
          </w:p>
          <w:p w14:paraId="56ECE6D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rPr>
            </w:pPr>
            <w:r>
              <w:rPr>
                <w:rFonts w:hint="eastAsia"/>
                <w:color w:val="auto"/>
                <w:lang w:val="en-US" w:eastAsia="zh-CN"/>
              </w:rPr>
              <w:t>目前西厂区设有2台尾气焚烧直燃炉，该炉型不需要天然气助燃，燃料为各装置产生的有机废气</w:t>
            </w:r>
            <w:r>
              <w:rPr>
                <w:rFonts w:hint="eastAsia"/>
                <w:color w:val="auto"/>
              </w:rPr>
              <w:t>。依托焚烧炉的具体参数如下：</w:t>
            </w:r>
          </w:p>
          <w:p w14:paraId="0289666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4-15</w:t>
            </w:r>
            <w:r>
              <w:rPr>
                <w:rFonts w:hint="eastAsia"/>
                <w:b/>
                <w:color w:val="auto"/>
                <w:szCs w:val="21"/>
              </w:rPr>
              <w:t xml:space="preserve">  </w:t>
            </w:r>
            <w:r>
              <w:rPr>
                <w:rFonts w:hint="eastAsia"/>
                <w:b/>
                <w:color w:val="auto"/>
                <w:szCs w:val="21"/>
                <w:lang w:val="en-US" w:eastAsia="zh-CN"/>
              </w:rPr>
              <w:t>西厂区现有</w:t>
            </w:r>
            <w:r>
              <w:rPr>
                <w:rFonts w:hint="eastAsia"/>
                <w:b/>
                <w:color w:val="auto"/>
                <w:szCs w:val="21"/>
              </w:rPr>
              <w:t>尾气焚烧炉技术参数表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4"/>
              <w:gridCol w:w="4220"/>
            </w:tblGrid>
            <w:tr w14:paraId="17383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6C2AED7C">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4220" w:type="dxa"/>
                  <w:vAlign w:val="center"/>
                </w:tcPr>
                <w:p w14:paraId="03B80A58">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技术参数</w:t>
                  </w:r>
                </w:p>
              </w:tc>
            </w:tr>
            <w:tr w14:paraId="65707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747B23D7">
                  <w:pPr>
                    <w:pStyle w:val="79"/>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焚烧炉炉型</w:t>
                  </w:r>
                </w:p>
              </w:tc>
              <w:tc>
                <w:tcPr>
                  <w:tcW w:w="4220" w:type="dxa"/>
                  <w:vAlign w:val="center"/>
                </w:tcPr>
                <w:p w14:paraId="7C28210F">
                  <w:pPr>
                    <w:pStyle w:val="79"/>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直燃炉</w:t>
                  </w:r>
                </w:p>
              </w:tc>
            </w:tr>
            <w:tr w14:paraId="3784A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40B35225">
                  <w:pPr>
                    <w:pStyle w:val="79"/>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处理风量</w:t>
                  </w:r>
                </w:p>
              </w:tc>
              <w:tc>
                <w:tcPr>
                  <w:tcW w:w="4220" w:type="dxa"/>
                  <w:vAlign w:val="center"/>
                </w:tcPr>
                <w:p w14:paraId="6744C701">
                  <w:pPr>
                    <w:pStyle w:val="79"/>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15000m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/h</w:t>
                  </w:r>
                </w:p>
              </w:tc>
            </w:tr>
            <w:tr w14:paraId="24946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31BE46EC">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焚烧温度（℃）</w:t>
                  </w:r>
                </w:p>
              </w:tc>
              <w:tc>
                <w:tcPr>
                  <w:tcW w:w="4220" w:type="dxa"/>
                  <w:vAlign w:val="center"/>
                </w:tcPr>
                <w:p w14:paraId="6BB38CFF">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800~950</w:t>
                  </w:r>
                </w:p>
              </w:tc>
            </w:tr>
            <w:tr w14:paraId="2AF2F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6C724CB4">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操作压力（MPa）</w:t>
                  </w:r>
                </w:p>
              </w:tc>
              <w:tc>
                <w:tcPr>
                  <w:tcW w:w="4220" w:type="dxa"/>
                  <w:vAlign w:val="center"/>
                </w:tcPr>
                <w:p w14:paraId="77F58375">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0.006</w:t>
                  </w:r>
                </w:p>
              </w:tc>
            </w:tr>
            <w:tr w14:paraId="39BB9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47456043">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烟气停留时间（s）</w:t>
                  </w:r>
                </w:p>
              </w:tc>
              <w:tc>
                <w:tcPr>
                  <w:tcW w:w="4220" w:type="dxa"/>
                  <w:vAlign w:val="center"/>
                </w:tcPr>
                <w:p w14:paraId="4B8ABA96">
                  <w:pPr>
                    <w:pStyle w:val="79"/>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1</w:t>
                  </w:r>
                </w:p>
              </w:tc>
            </w:tr>
            <w:tr w14:paraId="554E5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4" w:type="dxa"/>
                  <w:vAlign w:val="center"/>
                </w:tcPr>
                <w:p w14:paraId="6CE8E68B">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VOCs焚烧去除效率</w:t>
                  </w:r>
                </w:p>
              </w:tc>
              <w:tc>
                <w:tcPr>
                  <w:tcW w:w="4220" w:type="dxa"/>
                  <w:vAlign w:val="center"/>
                </w:tcPr>
                <w:p w14:paraId="3DE14B06">
                  <w:pPr>
                    <w:pStyle w:val="79"/>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r>
                    <w:rPr>
                      <w:rFonts w:hint="eastAsia" w:cs="Times New Roman"/>
                      <w:color w:val="auto"/>
                      <w:sz w:val="18"/>
                      <w:szCs w:val="18"/>
                      <w:lang w:val="en-US" w:eastAsia="zh-CN"/>
                    </w:rPr>
                    <w:t>5</w:t>
                  </w:r>
                  <w:r>
                    <w:rPr>
                      <w:rFonts w:hint="default" w:ascii="Times New Roman" w:hAnsi="Times New Roman" w:cs="Times New Roman"/>
                      <w:color w:val="auto"/>
                      <w:sz w:val="18"/>
                      <w:szCs w:val="18"/>
                    </w:rPr>
                    <w:t>%</w:t>
                  </w:r>
                </w:p>
              </w:tc>
            </w:tr>
          </w:tbl>
          <w:p w14:paraId="1A54CB7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根据《排污许可证申请与核发技术规范 石化行业》（HJ853-2017）</w:t>
            </w:r>
            <w:r>
              <w:rPr>
                <w:rFonts w:hint="eastAsia"/>
                <w:color w:val="auto"/>
              </w:rPr>
              <w:t xml:space="preserve">中“表5 </w:t>
            </w:r>
            <w:r>
              <w:rPr>
                <w:color w:val="auto"/>
              </w:rPr>
              <w:t>石化工业排污单位生产装置或设施废气治理可行技术参照表</w:t>
            </w:r>
            <w:r>
              <w:rPr>
                <w:rFonts w:hint="eastAsia"/>
                <w:color w:val="auto"/>
              </w:rPr>
              <w:t>”，本项目采用的</w:t>
            </w:r>
            <w:r>
              <w:rPr>
                <w:rFonts w:hint="eastAsia"/>
                <w:color w:val="auto"/>
                <w:lang w:val="en-US" w:eastAsia="zh-CN"/>
              </w:rPr>
              <w:t>焚烧</w:t>
            </w:r>
            <w:r>
              <w:rPr>
                <w:rFonts w:hint="eastAsia"/>
                <w:color w:val="auto"/>
              </w:rPr>
              <w:t>处理技术为可行技术</w:t>
            </w:r>
            <w:r>
              <w:rPr>
                <w:rFonts w:hint="eastAsia"/>
                <w:b w:val="0"/>
                <w:bCs w:val="0"/>
                <w:color w:val="auto"/>
                <w:lang w:val="en-US" w:eastAsia="zh-CN"/>
              </w:rPr>
              <w:t>。</w:t>
            </w:r>
          </w:p>
          <w:p w14:paraId="184EF72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③依托可行性分析</w:t>
            </w:r>
          </w:p>
          <w:p w14:paraId="3C34E39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根据前述核算，本项目进入1#尾气炉及2#尾气炉的废气量分别为530.22m</w:t>
            </w:r>
            <w:r>
              <w:rPr>
                <w:rFonts w:hint="eastAsia"/>
                <w:b w:val="0"/>
                <w:bCs w:val="0"/>
                <w:color w:val="auto"/>
                <w:vertAlign w:val="superscript"/>
                <w:lang w:val="en-US" w:eastAsia="zh-CN"/>
              </w:rPr>
              <w:t>3</w:t>
            </w:r>
            <w:r>
              <w:rPr>
                <w:rFonts w:hint="eastAsia"/>
                <w:b w:val="0"/>
                <w:bCs w:val="0"/>
                <w:color w:val="auto"/>
                <w:lang w:val="en-US" w:eastAsia="zh-CN"/>
              </w:rPr>
              <w:t>/h，而根据现有项目例行检测，现有1#尾气炉及2#尾气炉的外排废气量分别为13596m</w:t>
            </w:r>
            <w:r>
              <w:rPr>
                <w:rFonts w:hint="eastAsia"/>
                <w:b w:val="0"/>
                <w:bCs w:val="0"/>
                <w:color w:val="auto"/>
                <w:vertAlign w:val="superscript"/>
                <w:lang w:val="en-US" w:eastAsia="zh-CN"/>
              </w:rPr>
              <w:t>3</w:t>
            </w:r>
            <w:r>
              <w:rPr>
                <w:rFonts w:hint="eastAsia"/>
                <w:b w:val="0"/>
                <w:bCs w:val="0"/>
                <w:color w:val="auto"/>
                <w:lang w:val="en-US" w:eastAsia="zh-CN"/>
              </w:rPr>
              <w:t>/h、6290m</w:t>
            </w:r>
            <w:r>
              <w:rPr>
                <w:rFonts w:hint="eastAsia"/>
                <w:b w:val="0"/>
                <w:bCs w:val="0"/>
                <w:color w:val="auto"/>
                <w:vertAlign w:val="superscript"/>
                <w:lang w:val="en-US" w:eastAsia="zh-CN"/>
              </w:rPr>
              <w:t>3</w:t>
            </w:r>
            <w:r>
              <w:rPr>
                <w:rFonts w:hint="eastAsia"/>
                <w:b w:val="0"/>
                <w:bCs w:val="0"/>
                <w:color w:val="auto"/>
                <w:lang w:val="en-US" w:eastAsia="zh-CN"/>
              </w:rPr>
              <w:t>/h。</w:t>
            </w:r>
          </w:p>
          <w:p w14:paraId="15372B9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根据现场踏勘，西厂区现有2台尾气炉设置的风机风量分别为23000m</w:t>
            </w:r>
            <w:r>
              <w:rPr>
                <w:rFonts w:hint="eastAsia"/>
                <w:b w:val="0"/>
                <w:bCs w:val="0"/>
                <w:color w:val="auto"/>
                <w:vertAlign w:val="superscript"/>
                <w:lang w:val="en-US" w:eastAsia="zh-CN"/>
              </w:rPr>
              <w:t>3</w:t>
            </w:r>
            <w:r>
              <w:rPr>
                <w:rFonts w:hint="eastAsia"/>
                <w:b w:val="0"/>
                <w:bCs w:val="0"/>
                <w:color w:val="auto"/>
                <w:lang w:val="en-US" w:eastAsia="zh-CN"/>
              </w:rPr>
              <w:t>/h、15000m</w:t>
            </w:r>
            <w:r>
              <w:rPr>
                <w:rFonts w:hint="eastAsia"/>
                <w:b w:val="0"/>
                <w:bCs w:val="0"/>
                <w:color w:val="auto"/>
                <w:vertAlign w:val="superscript"/>
                <w:lang w:val="en-US" w:eastAsia="zh-CN"/>
              </w:rPr>
              <w:t>3</w:t>
            </w:r>
            <w:r>
              <w:rPr>
                <w:rFonts w:hint="eastAsia"/>
                <w:b w:val="0"/>
                <w:bCs w:val="0"/>
                <w:color w:val="auto"/>
                <w:lang w:val="en-US" w:eastAsia="zh-CN"/>
              </w:rPr>
              <w:t>/h，能够满足同时处理现有项目及本项目废气的要求。</w:t>
            </w:r>
          </w:p>
          <w:p w14:paraId="21FA873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val="0"/>
                <w:bCs w:val="0"/>
                <w:color w:val="auto"/>
                <w:lang w:val="en-US" w:eastAsia="zh-CN"/>
              </w:rPr>
            </w:pPr>
            <w:r>
              <w:rPr>
                <w:rFonts w:hint="eastAsia"/>
                <w:b w:val="0"/>
                <w:bCs w:val="0"/>
                <w:color w:val="auto"/>
                <w:lang w:val="en-US" w:eastAsia="zh-CN"/>
              </w:rPr>
              <w:t>综上所述，本项目废气依托现有尾气炉焚烧处理是可行的。</w:t>
            </w:r>
          </w:p>
          <w:p w14:paraId="05179F4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2、无组织废气控制措施及符合性分析</w:t>
            </w:r>
          </w:p>
          <w:p w14:paraId="7548FE8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①无组织废气控制措施</w:t>
            </w:r>
          </w:p>
          <w:p w14:paraId="5E7CA60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4-16</w:t>
            </w:r>
            <w:r>
              <w:rPr>
                <w:rFonts w:hint="eastAsia"/>
                <w:b/>
                <w:color w:val="auto"/>
                <w:szCs w:val="21"/>
              </w:rPr>
              <w:t xml:space="preserve">  项目无组织废气控制措施一览表</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46"/>
              <w:gridCol w:w="6145"/>
            </w:tblGrid>
            <w:tr w14:paraId="147A5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9" w:type="pct"/>
                  <w:vAlign w:val="center"/>
                </w:tcPr>
                <w:p w14:paraId="6EF94895">
                  <w:pPr>
                    <w:pStyle w:val="66"/>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无组织废气产生位置</w:t>
                  </w:r>
                </w:p>
              </w:tc>
              <w:tc>
                <w:tcPr>
                  <w:tcW w:w="3750" w:type="pct"/>
                  <w:vAlign w:val="center"/>
                </w:tcPr>
                <w:p w14:paraId="6C625C42">
                  <w:pPr>
                    <w:pStyle w:val="66"/>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治理措施</w:t>
                  </w:r>
                </w:p>
              </w:tc>
            </w:tr>
            <w:tr w14:paraId="468CA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9" w:type="pct"/>
                  <w:vAlign w:val="center"/>
                </w:tcPr>
                <w:p w14:paraId="0C5523A9">
                  <w:pPr>
                    <w:pStyle w:val="66"/>
                    <w:jc w:val="center"/>
                    <w:rPr>
                      <w:rFonts w:hint="eastAsia"/>
                      <w:color w:val="auto"/>
                      <w:sz w:val="18"/>
                      <w:szCs w:val="18"/>
                    </w:rPr>
                  </w:pPr>
                  <w:r>
                    <w:rPr>
                      <w:rFonts w:hint="eastAsia"/>
                      <w:color w:val="auto"/>
                      <w:sz w:val="18"/>
                      <w:szCs w:val="18"/>
                    </w:rPr>
                    <w:t>设备与管线组件</w:t>
                  </w:r>
                </w:p>
                <w:p w14:paraId="33A7C35B">
                  <w:pPr>
                    <w:pStyle w:val="66"/>
                    <w:jc w:val="center"/>
                    <w:rPr>
                      <w:rFonts w:ascii="Times New Roman" w:hAnsi="Times New Roman" w:cs="Times New Roman"/>
                      <w:color w:val="auto"/>
                      <w:sz w:val="18"/>
                      <w:szCs w:val="18"/>
                      <w:lang w:val="en-US"/>
                    </w:rPr>
                  </w:pPr>
                  <w:r>
                    <w:rPr>
                      <w:rFonts w:hint="eastAsia"/>
                      <w:color w:val="auto"/>
                      <w:sz w:val="18"/>
                      <w:szCs w:val="18"/>
                    </w:rPr>
                    <w:t>泄漏控制</w:t>
                  </w:r>
                </w:p>
              </w:tc>
              <w:tc>
                <w:tcPr>
                  <w:tcW w:w="3750" w:type="pct"/>
                  <w:vAlign w:val="center"/>
                </w:tcPr>
                <w:p w14:paraId="45FE443D">
                  <w:pPr>
                    <w:pStyle w:val="66"/>
                    <w:jc w:val="lef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rPr>
                    <w:t>针对设备及管线组件VOCS泄漏，企业拟定期开展泄漏检测与修复工作（LDAR），及时修复泄漏点，严格控制“跑、冒、滴、漏”，并设立台账</w:t>
                  </w:r>
                  <w:r>
                    <w:rPr>
                      <w:rFonts w:hint="eastAsia" w:ascii="Times New Roman" w:hAnsi="Times New Roman" w:cs="Times New Roman"/>
                      <w:color w:val="auto"/>
                      <w:sz w:val="18"/>
                      <w:szCs w:val="18"/>
                      <w:lang w:val="en-US" w:eastAsia="zh-CN"/>
                    </w:rPr>
                    <w:t>。</w:t>
                  </w:r>
                </w:p>
              </w:tc>
            </w:tr>
            <w:tr w14:paraId="2F2883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9" w:type="pct"/>
                  <w:vAlign w:val="center"/>
                </w:tcPr>
                <w:p w14:paraId="1D92C750">
                  <w:pPr>
                    <w:pStyle w:val="66"/>
                    <w:jc w:val="center"/>
                    <w:rPr>
                      <w:rFonts w:ascii="Times New Roman" w:hAnsi="Times New Roman" w:cs="Times New Roman"/>
                      <w:color w:val="auto"/>
                      <w:sz w:val="18"/>
                      <w:szCs w:val="18"/>
                      <w:lang w:val="en-US"/>
                    </w:rPr>
                  </w:pPr>
                  <w:r>
                    <w:rPr>
                      <w:rFonts w:hint="eastAsia" w:ascii="Times New Roman" w:hAnsi="Times New Roman" w:cs="Times New Roman"/>
                      <w:color w:val="auto"/>
                      <w:sz w:val="18"/>
                      <w:szCs w:val="18"/>
                      <w:lang w:val="en-US"/>
                    </w:rPr>
                    <w:t>物料储存</w:t>
                  </w:r>
                </w:p>
              </w:tc>
              <w:tc>
                <w:tcPr>
                  <w:tcW w:w="3750" w:type="pct"/>
                  <w:vAlign w:val="center"/>
                </w:tcPr>
                <w:p w14:paraId="6070837C">
                  <w:pPr>
                    <w:pStyle w:val="60"/>
                    <w:spacing w:line="280" w:lineRule="exact"/>
                    <w:jc w:val="left"/>
                    <w:rPr>
                      <w:color w:val="auto"/>
                      <w:sz w:val="18"/>
                      <w:szCs w:val="18"/>
                    </w:rPr>
                  </w:pPr>
                  <w:r>
                    <w:rPr>
                      <w:rFonts w:hint="eastAsia"/>
                      <w:color w:val="auto"/>
                      <w:sz w:val="18"/>
                      <w:szCs w:val="18"/>
                      <w:lang w:val="en-US" w:eastAsia="zh-CN"/>
                    </w:rPr>
                    <w:t>①</w:t>
                  </w:r>
                  <w:r>
                    <w:rPr>
                      <w:rFonts w:hint="eastAsia"/>
                      <w:color w:val="auto"/>
                      <w:sz w:val="18"/>
                      <w:szCs w:val="18"/>
                    </w:rPr>
                    <w:t>储罐表面涂刷浅色（白色）涂层；</w:t>
                  </w:r>
                </w:p>
                <w:p w14:paraId="38CC4A1D">
                  <w:pPr>
                    <w:pStyle w:val="66"/>
                    <w:jc w:val="left"/>
                    <w:rPr>
                      <w:rFonts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②</w:t>
                  </w:r>
                  <w:r>
                    <w:rPr>
                      <w:rFonts w:hint="eastAsia" w:ascii="Times New Roman" w:hAnsi="Times New Roman" w:cs="Times New Roman"/>
                      <w:color w:val="auto"/>
                      <w:sz w:val="18"/>
                      <w:szCs w:val="18"/>
                      <w:lang w:val="en-US"/>
                    </w:rPr>
                    <w:t>内浮顶、固定顶储罐呼吸废气经</w:t>
                  </w:r>
                  <w:r>
                    <w:rPr>
                      <w:rFonts w:hint="eastAsia" w:ascii="Times New Roman" w:hAnsi="Times New Roman" w:cs="Times New Roman"/>
                      <w:color w:val="auto"/>
                      <w:sz w:val="18"/>
                      <w:szCs w:val="18"/>
                      <w:lang w:val="en-US" w:eastAsia="zh-CN"/>
                    </w:rPr>
                    <w:t>水洗预处理后送西厂区现有2台尾气炉焚烧处理</w:t>
                  </w:r>
                  <w:r>
                    <w:rPr>
                      <w:rFonts w:hint="eastAsia" w:ascii="Times New Roman" w:hAnsi="Times New Roman" w:cs="Times New Roman"/>
                      <w:color w:val="auto"/>
                      <w:sz w:val="18"/>
                      <w:szCs w:val="18"/>
                      <w:lang w:val="en-US"/>
                    </w:rPr>
                    <w:t>；</w:t>
                  </w:r>
                </w:p>
                <w:p w14:paraId="22F514B7">
                  <w:pPr>
                    <w:pStyle w:val="66"/>
                    <w:jc w:val="left"/>
                    <w:rPr>
                      <w:rFonts w:ascii="Times New Roman" w:hAnsi="Times New Roman" w:cs="Times New Roman"/>
                      <w:color w:val="auto"/>
                      <w:sz w:val="18"/>
                      <w:szCs w:val="18"/>
                      <w:lang w:val="en-US"/>
                    </w:rPr>
                  </w:pPr>
                  <w:r>
                    <w:rPr>
                      <w:rFonts w:hint="eastAsia"/>
                      <w:color w:val="auto"/>
                      <w:sz w:val="18"/>
                      <w:szCs w:val="18"/>
                      <w:lang w:val="en-US" w:eastAsia="zh-CN"/>
                    </w:rPr>
                    <w:t>③</w:t>
                  </w:r>
                  <w:r>
                    <w:rPr>
                      <w:rFonts w:hint="eastAsia"/>
                      <w:color w:val="auto"/>
                      <w:sz w:val="18"/>
                      <w:szCs w:val="18"/>
                    </w:rPr>
                    <w:t>定期检修，确保储罐罐体保持完好，附件开孔除采样、计量、例行检查维修外，均保持密闭。</w:t>
                  </w:r>
                </w:p>
              </w:tc>
            </w:tr>
            <w:tr w14:paraId="353B5B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9" w:type="pct"/>
                  <w:vAlign w:val="center"/>
                </w:tcPr>
                <w:p w14:paraId="2AE5FC54">
                  <w:pPr>
                    <w:pStyle w:val="66"/>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装卸车</w:t>
                  </w:r>
                </w:p>
              </w:tc>
              <w:tc>
                <w:tcPr>
                  <w:tcW w:w="3750" w:type="pct"/>
                  <w:vAlign w:val="center"/>
                </w:tcPr>
                <w:p w14:paraId="540DEC9E">
                  <w:pPr>
                    <w:pStyle w:val="66"/>
                    <w:jc w:val="left"/>
                    <w:rPr>
                      <w:rFonts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装车采用底部浸没式装车，</w:t>
                  </w:r>
                  <w:r>
                    <w:rPr>
                      <w:rFonts w:hint="eastAsia" w:ascii="Times New Roman" w:hAnsi="Times New Roman" w:cs="Times New Roman"/>
                      <w:color w:val="auto"/>
                      <w:sz w:val="18"/>
                      <w:szCs w:val="18"/>
                      <w:lang w:val="en-US"/>
                    </w:rPr>
                    <w:t>装车废气</w:t>
                  </w:r>
                  <w:r>
                    <w:rPr>
                      <w:rFonts w:ascii="Times New Roman" w:hAnsi="Times New Roman" w:cs="Times New Roman"/>
                      <w:color w:val="auto"/>
                      <w:sz w:val="18"/>
                      <w:szCs w:val="18"/>
                      <w:lang w:val="en-US"/>
                    </w:rPr>
                    <w:t>经密闭管道收集</w:t>
                  </w:r>
                  <w:r>
                    <w:rPr>
                      <w:rFonts w:hint="eastAsia" w:ascii="Times New Roman" w:hAnsi="Times New Roman" w:cs="Times New Roman"/>
                      <w:color w:val="auto"/>
                      <w:sz w:val="18"/>
                      <w:szCs w:val="18"/>
                      <w:lang w:val="en-US"/>
                    </w:rPr>
                    <w:t>经</w:t>
                  </w:r>
                  <w:r>
                    <w:rPr>
                      <w:rFonts w:hint="eastAsia" w:ascii="Times New Roman" w:hAnsi="Times New Roman" w:cs="Times New Roman"/>
                      <w:color w:val="auto"/>
                      <w:sz w:val="18"/>
                      <w:szCs w:val="18"/>
                      <w:lang w:val="en-US" w:eastAsia="zh-CN"/>
                    </w:rPr>
                    <w:t>水洗预处理后送西厂区现有2台尾气炉焚烧处理。</w:t>
                  </w:r>
                </w:p>
              </w:tc>
            </w:tr>
            <w:tr w14:paraId="1612C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9" w:type="pct"/>
                  <w:vAlign w:val="center"/>
                </w:tcPr>
                <w:p w14:paraId="31B31CB7">
                  <w:pPr>
                    <w:pStyle w:val="66"/>
                    <w:jc w:val="center"/>
                    <w:rPr>
                      <w:rFonts w:ascii="Times New Roman" w:hAnsi="Times New Roman" w:cs="Times New Roman"/>
                      <w:color w:val="auto"/>
                      <w:sz w:val="18"/>
                      <w:szCs w:val="18"/>
                      <w:lang w:val="en-US"/>
                    </w:rPr>
                  </w:pPr>
                  <w:r>
                    <w:rPr>
                      <w:rFonts w:hint="eastAsia" w:ascii="Times New Roman" w:hAnsi="Times New Roman" w:cs="Times New Roman"/>
                      <w:color w:val="auto"/>
                      <w:sz w:val="18"/>
                      <w:szCs w:val="18"/>
                      <w:lang w:val="en-US"/>
                    </w:rPr>
                    <w:t>其他管理措施</w:t>
                  </w:r>
                </w:p>
              </w:tc>
              <w:tc>
                <w:tcPr>
                  <w:tcW w:w="3750" w:type="pct"/>
                  <w:vAlign w:val="center"/>
                </w:tcPr>
                <w:p w14:paraId="4B733E3F">
                  <w:pPr>
                    <w:pStyle w:val="60"/>
                    <w:spacing w:line="280" w:lineRule="exact"/>
                    <w:jc w:val="left"/>
                    <w:rPr>
                      <w:color w:val="auto"/>
                      <w:sz w:val="18"/>
                      <w:szCs w:val="18"/>
                    </w:rPr>
                  </w:pPr>
                  <w:r>
                    <w:rPr>
                      <w:rFonts w:hint="eastAsia"/>
                      <w:color w:val="auto"/>
                      <w:sz w:val="18"/>
                      <w:szCs w:val="18"/>
                    </w:rPr>
                    <w:t>①建立物料收发记录台账，记录各存储物料的名称、接收量、输送量、去向以及VOC</w:t>
                  </w:r>
                  <w:r>
                    <w:rPr>
                      <w:rFonts w:hint="eastAsia"/>
                      <w:color w:val="auto"/>
                      <w:sz w:val="18"/>
                      <w:szCs w:val="18"/>
                      <w:vertAlign w:val="subscript"/>
                    </w:rPr>
                    <w:t>S</w:t>
                  </w:r>
                  <w:r>
                    <w:rPr>
                      <w:rFonts w:hint="eastAsia"/>
                      <w:color w:val="auto"/>
                      <w:sz w:val="18"/>
                      <w:szCs w:val="18"/>
                    </w:rPr>
                    <w:t>含量等信息，台账保存期限不少于5年。</w:t>
                  </w:r>
                </w:p>
                <w:p w14:paraId="1F27E75B">
                  <w:pPr>
                    <w:pStyle w:val="60"/>
                    <w:spacing w:line="280" w:lineRule="exact"/>
                    <w:jc w:val="left"/>
                    <w:rPr>
                      <w:color w:val="auto"/>
                      <w:sz w:val="18"/>
                      <w:szCs w:val="18"/>
                    </w:rPr>
                  </w:pPr>
                  <w:r>
                    <w:rPr>
                      <w:rFonts w:hint="eastAsia"/>
                      <w:color w:val="auto"/>
                      <w:sz w:val="18"/>
                      <w:szCs w:val="18"/>
                    </w:rPr>
                    <w:t>②建立废气收集及处理设施的运行和维护记录台账，记录运行时间、废气处理量、操作温度、等关键运行参数，台账保存期限不少于5年。</w:t>
                  </w:r>
                </w:p>
                <w:p w14:paraId="58E35A2F">
                  <w:pPr>
                    <w:pStyle w:val="60"/>
                    <w:spacing w:line="280" w:lineRule="exact"/>
                    <w:jc w:val="left"/>
                    <w:rPr>
                      <w:color w:val="auto"/>
                      <w:sz w:val="18"/>
                      <w:szCs w:val="18"/>
                    </w:rPr>
                  </w:pPr>
                  <w:r>
                    <w:rPr>
                      <w:rFonts w:hint="eastAsia"/>
                      <w:color w:val="auto"/>
                      <w:sz w:val="18"/>
                      <w:szCs w:val="18"/>
                    </w:rPr>
                    <w:t>③加强厂界及厂区内VOC</w:t>
                  </w:r>
                  <w:r>
                    <w:rPr>
                      <w:rFonts w:hint="eastAsia"/>
                      <w:color w:val="auto"/>
                      <w:sz w:val="18"/>
                      <w:szCs w:val="18"/>
                      <w:vertAlign w:val="subscript"/>
                    </w:rPr>
                    <w:t>S</w:t>
                  </w:r>
                  <w:r>
                    <w:rPr>
                      <w:rFonts w:hint="eastAsia"/>
                      <w:color w:val="auto"/>
                      <w:sz w:val="18"/>
                      <w:szCs w:val="18"/>
                    </w:rPr>
                    <w:t>的例行监测。</w:t>
                  </w:r>
                </w:p>
                <w:p w14:paraId="3F6162A9">
                  <w:pPr>
                    <w:pStyle w:val="66"/>
                    <w:jc w:val="left"/>
                    <w:rPr>
                      <w:rFonts w:hint="eastAsia"/>
                      <w:color w:val="auto"/>
                      <w:sz w:val="18"/>
                      <w:szCs w:val="18"/>
                    </w:rPr>
                  </w:pPr>
                  <w:r>
                    <w:rPr>
                      <w:rFonts w:hint="eastAsia"/>
                      <w:color w:val="auto"/>
                      <w:sz w:val="18"/>
                      <w:szCs w:val="18"/>
                    </w:rPr>
                    <w:t>④强化厂区精细化管理水平。</w:t>
                  </w:r>
                </w:p>
              </w:tc>
            </w:tr>
          </w:tbl>
          <w:p w14:paraId="39898CB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②无组织废气控制措施符合性分析</w:t>
            </w:r>
          </w:p>
          <w:p w14:paraId="55961E3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4-17</w:t>
            </w:r>
            <w:r>
              <w:rPr>
                <w:rFonts w:hint="eastAsia"/>
                <w:b/>
                <w:color w:val="auto"/>
                <w:szCs w:val="21"/>
              </w:rPr>
              <w:t xml:space="preserve">  与《挥发性有机物无组织排放控制标准》（GB37822-2019）符合性分析一览表</w:t>
            </w:r>
          </w:p>
          <w:tbl>
            <w:tblPr>
              <w:tblStyle w:val="2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8"/>
              <w:gridCol w:w="4965"/>
              <w:gridCol w:w="2266"/>
            </w:tblGrid>
            <w:tr w14:paraId="5F8D2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616" w:type="pct"/>
                  <w:gridSpan w:val="2"/>
                  <w:tcMar>
                    <w:top w:w="0" w:type="dxa"/>
                    <w:left w:w="28" w:type="dxa"/>
                    <w:bottom w:w="0" w:type="dxa"/>
                    <w:right w:w="28" w:type="dxa"/>
                  </w:tcMar>
                  <w:vAlign w:val="center"/>
                </w:tcPr>
                <w:p w14:paraId="7B122049">
                  <w:pPr>
                    <w:jc w:val="center"/>
                    <w:rPr>
                      <w:rFonts w:ascii="Times New Roman" w:hAnsi="Times New Roman"/>
                      <w:color w:val="auto"/>
                      <w:sz w:val="18"/>
                      <w:szCs w:val="18"/>
                    </w:rPr>
                  </w:pPr>
                  <w:r>
                    <w:rPr>
                      <w:rFonts w:ascii="Times New Roman" w:hAnsi="Times New Roman"/>
                      <w:color w:val="auto"/>
                      <w:sz w:val="18"/>
                      <w:szCs w:val="18"/>
                    </w:rPr>
                    <w:t>《挥发性有机物无组织排放控制标准》（GB37822-2019）</w:t>
                  </w:r>
                </w:p>
              </w:tc>
              <w:tc>
                <w:tcPr>
                  <w:tcW w:w="1383" w:type="pct"/>
                  <w:tcMar>
                    <w:top w:w="0" w:type="dxa"/>
                    <w:left w:w="28" w:type="dxa"/>
                    <w:bottom w:w="0" w:type="dxa"/>
                    <w:right w:w="28" w:type="dxa"/>
                  </w:tcMar>
                  <w:vAlign w:val="center"/>
                </w:tcPr>
                <w:p w14:paraId="016D777A">
                  <w:pPr>
                    <w:jc w:val="center"/>
                    <w:rPr>
                      <w:rFonts w:ascii="Times New Roman" w:hAnsi="Times New Roman"/>
                      <w:color w:val="auto"/>
                      <w:sz w:val="18"/>
                      <w:szCs w:val="18"/>
                    </w:rPr>
                  </w:pPr>
                  <w:r>
                    <w:rPr>
                      <w:rFonts w:ascii="Times New Roman" w:hAnsi="Times New Roman"/>
                      <w:color w:val="auto"/>
                      <w:sz w:val="18"/>
                      <w:szCs w:val="18"/>
                    </w:rPr>
                    <w:t>项目情况及符合性</w:t>
                  </w:r>
                </w:p>
              </w:tc>
            </w:tr>
            <w:tr w14:paraId="1732A7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tcMar>
                    <w:top w:w="0" w:type="dxa"/>
                    <w:left w:w="28" w:type="dxa"/>
                    <w:bottom w:w="0" w:type="dxa"/>
                    <w:right w:w="28" w:type="dxa"/>
                  </w:tcMar>
                  <w:vAlign w:val="center"/>
                </w:tcPr>
                <w:p w14:paraId="450F1DB7">
                  <w:pPr>
                    <w:jc w:val="center"/>
                    <w:rPr>
                      <w:rFonts w:ascii="Times New Roman" w:hAnsi="Times New Roman"/>
                      <w:color w:val="auto"/>
                      <w:sz w:val="18"/>
                      <w:szCs w:val="18"/>
                    </w:rPr>
                  </w:pPr>
                  <w:r>
                    <w:rPr>
                      <w:rFonts w:ascii="Times New Roman" w:hAnsi="Times New Roman"/>
                      <w:color w:val="auto"/>
                      <w:sz w:val="18"/>
                      <w:szCs w:val="18"/>
                    </w:rPr>
                    <w:t>5、挥发性有机液体储存</w:t>
                  </w:r>
                </w:p>
              </w:tc>
              <w:tc>
                <w:tcPr>
                  <w:tcW w:w="3031" w:type="pct"/>
                  <w:tcMar>
                    <w:top w:w="0" w:type="dxa"/>
                    <w:left w:w="28" w:type="dxa"/>
                    <w:bottom w:w="0" w:type="dxa"/>
                    <w:right w:w="28" w:type="dxa"/>
                  </w:tcMar>
                  <w:vAlign w:val="center"/>
                </w:tcPr>
                <w:p w14:paraId="6FF3E220">
                  <w:pPr>
                    <w:jc w:val="left"/>
                    <w:rPr>
                      <w:rFonts w:ascii="Times New Roman" w:hAnsi="Times New Roman"/>
                      <w:color w:val="auto"/>
                      <w:sz w:val="18"/>
                      <w:szCs w:val="18"/>
                    </w:rPr>
                  </w:pPr>
                  <w:r>
                    <w:rPr>
                      <w:rFonts w:ascii="Times New Roman" w:hAnsi="Times New Roman"/>
                      <w:color w:val="auto"/>
                      <w:sz w:val="18"/>
                      <w:szCs w:val="18"/>
                    </w:rPr>
                    <w:t>5.2 挥发性有机液体储罐</w:t>
                  </w:r>
                </w:p>
                <w:p w14:paraId="7A36CDFF">
                  <w:pPr>
                    <w:jc w:val="left"/>
                    <w:rPr>
                      <w:rFonts w:ascii="Times New Roman" w:hAnsi="Times New Roman"/>
                      <w:color w:val="auto"/>
                      <w:sz w:val="18"/>
                      <w:szCs w:val="18"/>
                    </w:rPr>
                  </w:pPr>
                  <w:r>
                    <w:rPr>
                      <w:rFonts w:ascii="Times New Roman" w:hAnsi="Times New Roman"/>
                      <w:color w:val="auto"/>
                      <w:sz w:val="18"/>
                      <w:szCs w:val="18"/>
                    </w:rPr>
                    <w:t>5.2.2储罐特别控制要求</w:t>
                  </w:r>
                </w:p>
                <w:p w14:paraId="2389B0E4">
                  <w:pPr>
                    <w:jc w:val="left"/>
                    <w:rPr>
                      <w:rFonts w:ascii="Times New Roman" w:hAnsi="Times New Roman"/>
                      <w:color w:val="auto"/>
                      <w:sz w:val="18"/>
                      <w:szCs w:val="18"/>
                    </w:rPr>
                  </w:pPr>
                  <w:r>
                    <w:rPr>
                      <w:rFonts w:ascii="Times New Roman" w:hAnsi="Times New Roman"/>
                      <w:color w:val="auto"/>
                      <w:sz w:val="18"/>
                      <w:szCs w:val="18"/>
                    </w:rPr>
                    <w:t>5.2.2.1储存真实蒸气压≥76.6kPa的挥发性有机液体储罐，应采用低压罐、压力罐或其他等效措施。</w:t>
                  </w:r>
                </w:p>
                <w:p w14:paraId="7453DB0A">
                  <w:pPr>
                    <w:jc w:val="left"/>
                    <w:rPr>
                      <w:rFonts w:ascii="Times New Roman" w:hAnsi="Times New Roman"/>
                      <w:color w:val="auto"/>
                      <w:sz w:val="18"/>
                      <w:szCs w:val="18"/>
                    </w:rPr>
                  </w:pPr>
                  <w:r>
                    <w:rPr>
                      <w:rFonts w:ascii="Times New Roman" w:hAnsi="Times New Roman"/>
                      <w:color w:val="auto"/>
                      <w:sz w:val="18"/>
                      <w:szCs w:val="18"/>
                    </w:rPr>
                    <w:t>5.2.1.1储存真实蒸气压≥76.6kPa且储罐容积≥75m</w:t>
                  </w:r>
                  <w:r>
                    <w:rPr>
                      <w:rFonts w:ascii="Times New Roman" w:hAnsi="Times New Roman"/>
                      <w:color w:val="auto"/>
                      <w:sz w:val="18"/>
                      <w:szCs w:val="18"/>
                      <w:vertAlign w:val="superscript"/>
                    </w:rPr>
                    <w:t>3</w:t>
                  </w:r>
                  <w:r>
                    <w:rPr>
                      <w:rFonts w:ascii="Times New Roman" w:hAnsi="Times New Roman"/>
                      <w:color w:val="auto"/>
                      <w:sz w:val="18"/>
                      <w:szCs w:val="18"/>
                    </w:rPr>
                    <w:t>的挥发性有机液体储罐，应采用低压罐、压力罐或其他等效措施。</w:t>
                  </w:r>
                </w:p>
                <w:p w14:paraId="50070206">
                  <w:pPr>
                    <w:jc w:val="left"/>
                    <w:rPr>
                      <w:rFonts w:ascii="Times New Roman" w:hAnsi="Times New Roman"/>
                      <w:color w:val="auto"/>
                      <w:sz w:val="18"/>
                      <w:szCs w:val="18"/>
                    </w:rPr>
                  </w:pPr>
                  <w:r>
                    <w:rPr>
                      <w:rFonts w:ascii="Times New Roman" w:hAnsi="Times New Roman"/>
                      <w:color w:val="auto"/>
                      <w:sz w:val="18"/>
                      <w:szCs w:val="18"/>
                    </w:rPr>
                    <w:t>5.2.2.2储存真实蒸气压≥27.6kPa但&lt;76.6kPa且储罐容积≥75m</w:t>
                  </w:r>
                  <w:r>
                    <w:rPr>
                      <w:rFonts w:ascii="Times New Roman" w:hAnsi="Times New Roman"/>
                      <w:color w:val="auto"/>
                      <w:sz w:val="18"/>
                      <w:szCs w:val="18"/>
                      <w:vertAlign w:val="superscript"/>
                    </w:rPr>
                    <w:t>3</w:t>
                  </w:r>
                  <w:r>
                    <w:rPr>
                      <w:rFonts w:ascii="Times New Roman" w:hAnsi="Times New Roman"/>
                      <w:color w:val="auto"/>
                      <w:sz w:val="18"/>
                      <w:szCs w:val="18"/>
                    </w:rPr>
                    <w:t>的挥发性有机液体储罐，以及储存真实蒸气压≥5.2kPa但&lt;27.6kPa且储罐容积≥150m</w:t>
                  </w:r>
                  <w:r>
                    <w:rPr>
                      <w:rFonts w:ascii="Times New Roman" w:hAnsi="Times New Roman"/>
                      <w:color w:val="auto"/>
                      <w:sz w:val="18"/>
                      <w:szCs w:val="18"/>
                      <w:vertAlign w:val="superscript"/>
                    </w:rPr>
                    <w:t>3</w:t>
                  </w:r>
                  <w:r>
                    <w:rPr>
                      <w:rFonts w:ascii="Times New Roman" w:hAnsi="Times New Roman"/>
                      <w:color w:val="auto"/>
                      <w:sz w:val="18"/>
                      <w:szCs w:val="18"/>
                    </w:rPr>
                    <w:t>的挥发性有机液体储罐，应符合下列规定之一：</w:t>
                  </w:r>
                </w:p>
                <w:p w14:paraId="37E56F88">
                  <w:pPr>
                    <w:jc w:val="left"/>
                    <w:rPr>
                      <w:rFonts w:ascii="Times New Roman" w:hAnsi="Times New Roman"/>
                      <w:color w:val="auto"/>
                      <w:sz w:val="18"/>
                      <w:szCs w:val="18"/>
                    </w:rPr>
                  </w:pPr>
                  <w:r>
                    <w:rPr>
                      <w:rFonts w:ascii="Times New Roman" w:hAnsi="Times New Roman"/>
                      <w:color w:val="auto"/>
                      <w:sz w:val="18"/>
                      <w:szCs w:val="18"/>
                    </w:rPr>
                    <w:t>a)采用浮顶罐。对于内浮顶罐，浮顶与罐壁之间应采用浸液式密封、机械式鞋形密封等高效密封方式；对于外浮顶罐，浮顶与罐壁之间应采用双重密封，且一次密封采用浸液式密封、机械式鞋形密封等高效密封方式。</w:t>
                  </w:r>
                </w:p>
                <w:p w14:paraId="77F47597">
                  <w:pPr>
                    <w:jc w:val="left"/>
                    <w:rPr>
                      <w:rFonts w:ascii="Times New Roman" w:hAnsi="Times New Roman"/>
                      <w:color w:val="auto"/>
                      <w:sz w:val="18"/>
                      <w:szCs w:val="18"/>
                    </w:rPr>
                  </w:pPr>
                  <w:r>
                    <w:rPr>
                      <w:rFonts w:ascii="Times New Roman" w:hAnsi="Times New Roman"/>
                      <w:color w:val="auto"/>
                      <w:sz w:val="18"/>
                      <w:szCs w:val="18"/>
                    </w:rPr>
                    <w:t>b）采用固定顶罐，排放的废气应收集处理并满足相关行业排放标准的要求（无行业排放标准的应满足GB16297的要求）或处理效率不低于90%。</w:t>
                  </w:r>
                </w:p>
                <w:p w14:paraId="7850231B">
                  <w:pPr>
                    <w:jc w:val="left"/>
                    <w:rPr>
                      <w:rFonts w:ascii="Times New Roman" w:hAnsi="Times New Roman"/>
                      <w:color w:val="auto"/>
                      <w:sz w:val="18"/>
                      <w:szCs w:val="18"/>
                    </w:rPr>
                  </w:pPr>
                  <w:r>
                    <w:rPr>
                      <w:rFonts w:ascii="Times New Roman" w:hAnsi="Times New Roman"/>
                      <w:color w:val="auto"/>
                      <w:sz w:val="18"/>
                      <w:szCs w:val="18"/>
                    </w:rPr>
                    <w:t>c)采用气相平衡系统；</w:t>
                  </w:r>
                </w:p>
                <w:p w14:paraId="355FA963">
                  <w:pPr>
                    <w:jc w:val="left"/>
                    <w:rPr>
                      <w:rFonts w:ascii="Times New Roman" w:hAnsi="Times New Roman"/>
                      <w:color w:val="auto"/>
                      <w:sz w:val="18"/>
                      <w:szCs w:val="18"/>
                    </w:rPr>
                  </w:pPr>
                  <w:r>
                    <w:rPr>
                      <w:rFonts w:ascii="Times New Roman" w:hAnsi="Times New Roman"/>
                      <w:color w:val="auto"/>
                      <w:sz w:val="18"/>
                      <w:szCs w:val="18"/>
                    </w:rPr>
                    <w:t>d）采取其他等效措施。</w:t>
                  </w:r>
                </w:p>
              </w:tc>
              <w:tc>
                <w:tcPr>
                  <w:tcW w:w="1383" w:type="pct"/>
                  <w:tcMar>
                    <w:top w:w="0" w:type="dxa"/>
                    <w:left w:w="28" w:type="dxa"/>
                    <w:bottom w:w="0" w:type="dxa"/>
                    <w:right w:w="28" w:type="dxa"/>
                  </w:tcMar>
                  <w:vAlign w:val="center"/>
                </w:tcPr>
                <w:p w14:paraId="68E36113">
                  <w:pPr>
                    <w:jc w:val="center"/>
                    <w:rPr>
                      <w:rFonts w:ascii="Times New Roman" w:hAnsi="Times New Roman"/>
                      <w:color w:val="auto"/>
                      <w:sz w:val="18"/>
                      <w:szCs w:val="18"/>
                    </w:rPr>
                  </w:pPr>
                  <w:r>
                    <w:rPr>
                      <w:rFonts w:hint="eastAsia" w:ascii="Times New Roman" w:hAnsi="Times New Roman"/>
                      <w:color w:val="auto"/>
                      <w:sz w:val="18"/>
                      <w:szCs w:val="18"/>
                    </w:rPr>
                    <w:t>本项目</w:t>
                  </w:r>
                  <w:r>
                    <w:rPr>
                      <w:rFonts w:hint="eastAsia" w:ascii="Times New Roman" w:hAnsi="Times New Roman"/>
                      <w:color w:val="auto"/>
                      <w:sz w:val="18"/>
                      <w:szCs w:val="18"/>
                      <w:lang w:val="en-US" w:eastAsia="zh-CN"/>
                    </w:rPr>
                    <w:t>涉及</w:t>
                  </w:r>
                  <w:r>
                    <w:rPr>
                      <w:rFonts w:ascii="Times New Roman" w:hAnsi="Times New Roman"/>
                      <w:color w:val="auto"/>
                      <w:sz w:val="18"/>
                      <w:szCs w:val="18"/>
                    </w:rPr>
                    <w:t>储罐部分采用</w:t>
                  </w:r>
                  <w:r>
                    <w:rPr>
                      <w:rFonts w:hint="eastAsia" w:ascii="Times New Roman" w:hAnsi="Times New Roman"/>
                      <w:color w:val="auto"/>
                      <w:sz w:val="18"/>
                      <w:szCs w:val="18"/>
                      <w:lang w:val="en-US" w:eastAsia="zh-CN"/>
                    </w:rPr>
                    <w:t>内</w:t>
                  </w:r>
                  <w:r>
                    <w:rPr>
                      <w:rFonts w:ascii="Times New Roman" w:hAnsi="Times New Roman"/>
                      <w:color w:val="auto"/>
                      <w:sz w:val="18"/>
                      <w:szCs w:val="18"/>
                    </w:rPr>
                    <w:t>浮顶罐、部分采用固定顶罐，</w:t>
                  </w:r>
                  <w:r>
                    <w:rPr>
                      <w:rFonts w:hint="eastAsia" w:ascii="Times New Roman" w:hAnsi="Times New Roman"/>
                      <w:color w:val="auto"/>
                      <w:sz w:val="18"/>
                      <w:szCs w:val="18"/>
                      <w:lang w:val="en-US" w:eastAsia="zh-CN"/>
                    </w:rPr>
                    <w:t>各</w:t>
                  </w:r>
                  <w:r>
                    <w:rPr>
                      <w:rFonts w:ascii="Times New Roman" w:hAnsi="Times New Roman"/>
                      <w:color w:val="auto"/>
                      <w:sz w:val="18"/>
                      <w:szCs w:val="18"/>
                    </w:rPr>
                    <w:t>储罐呼吸废气收集后经</w:t>
                  </w:r>
                  <w:r>
                    <w:rPr>
                      <w:rFonts w:hint="eastAsia" w:ascii="Times New Roman" w:hAnsi="Times New Roman"/>
                      <w:color w:val="auto"/>
                      <w:sz w:val="18"/>
                      <w:szCs w:val="18"/>
                      <w:lang w:val="en-US" w:eastAsia="zh-CN"/>
                    </w:rPr>
                    <w:t>水洗+焚烧</w:t>
                  </w:r>
                  <w:r>
                    <w:rPr>
                      <w:rFonts w:ascii="Times New Roman" w:hAnsi="Times New Roman"/>
                      <w:color w:val="auto"/>
                      <w:sz w:val="18"/>
                      <w:szCs w:val="18"/>
                    </w:rPr>
                    <w:t>处理。</w:t>
                  </w:r>
                </w:p>
                <w:p w14:paraId="2D2C4A7F">
                  <w:pPr>
                    <w:jc w:val="center"/>
                    <w:rPr>
                      <w:rFonts w:ascii="Times New Roman" w:hAnsi="Times New Roman"/>
                      <w:color w:val="auto"/>
                      <w:sz w:val="18"/>
                      <w:szCs w:val="18"/>
                    </w:rPr>
                  </w:pPr>
                  <w:r>
                    <w:rPr>
                      <w:rFonts w:ascii="Times New Roman" w:hAnsi="Times New Roman"/>
                      <w:color w:val="auto"/>
                      <w:sz w:val="18"/>
                      <w:szCs w:val="18"/>
                    </w:rPr>
                    <w:t>满足要求。</w:t>
                  </w:r>
                </w:p>
              </w:tc>
            </w:tr>
            <w:tr w14:paraId="137116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restart"/>
                  <w:tcMar>
                    <w:top w:w="0" w:type="dxa"/>
                    <w:left w:w="28" w:type="dxa"/>
                    <w:bottom w:w="0" w:type="dxa"/>
                    <w:right w:w="28" w:type="dxa"/>
                  </w:tcMar>
                  <w:vAlign w:val="center"/>
                </w:tcPr>
                <w:p w14:paraId="0D455128">
                  <w:pPr>
                    <w:jc w:val="center"/>
                    <w:rPr>
                      <w:rFonts w:ascii="Times New Roman" w:hAnsi="Times New Roman"/>
                      <w:color w:val="auto"/>
                      <w:sz w:val="18"/>
                      <w:szCs w:val="18"/>
                    </w:rPr>
                  </w:pPr>
                  <w:r>
                    <w:rPr>
                      <w:rFonts w:ascii="Times New Roman" w:hAnsi="Times New Roman"/>
                      <w:color w:val="auto"/>
                      <w:sz w:val="18"/>
                      <w:szCs w:val="18"/>
                    </w:rPr>
                    <w:t>6、VOCs物料转移和输送无组织排放控制要求</w:t>
                  </w:r>
                </w:p>
              </w:tc>
              <w:tc>
                <w:tcPr>
                  <w:tcW w:w="3031" w:type="pct"/>
                  <w:tcMar>
                    <w:top w:w="0" w:type="dxa"/>
                    <w:left w:w="28" w:type="dxa"/>
                    <w:bottom w:w="0" w:type="dxa"/>
                    <w:right w:w="28" w:type="dxa"/>
                  </w:tcMar>
                  <w:vAlign w:val="center"/>
                </w:tcPr>
                <w:p w14:paraId="37472826">
                  <w:pPr>
                    <w:jc w:val="left"/>
                    <w:rPr>
                      <w:rFonts w:ascii="Times New Roman" w:hAnsi="Times New Roman"/>
                      <w:color w:val="auto"/>
                      <w:sz w:val="18"/>
                      <w:szCs w:val="18"/>
                    </w:rPr>
                  </w:pPr>
                  <w:r>
                    <w:rPr>
                      <w:rFonts w:ascii="Times New Roman" w:hAnsi="Times New Roman"/>
                      <w:color w:val="auto"/>
                      <w:sz w:val="18"/>
                      <w:szCs w:val="18"/>
                    </w:rPr>
                    <w:t>6.1基本要求</w:t>
                  </w:r>
                </w:p>
                <w:p w14:paraId="3FDC119F">
                  <w:pPr>
                    <w:jc w:val="left"/>
                    <w:rPr>
                      <w:rFonts w:ascii="Times New Roman" w:hAnsi="Times New Roman"/>
                      <w:color w:val="auto"/>
                      <w:sz w:val="18"/>
                      <w:szCs w:val="18"/>
                    </w:rPr>
                  </w:pPr>
                  <w:r>
                    <w:rPr>
                      <w:rFonts w:ascii="Times New Roman" w:hAnsi="Times New Roman"/>
                      <w:color w:val="auto"/>
                      <w:sz w:val="18"/>
                      <w:szCs w:val="18"/>
                    </w:rPr>
                    <w:t>6.1.1液态VOCs物料应采用密闭管道输送。采用非管道输送方式转移液态VOCs物料时，应采用密闭容器、罐车。</w:t>
                  </w:r>
                </w:p>
                <w:p w14:paraId="789CD61A">
                  <w:pPr>
                    <w:jc w:val="left"/>
                    <w:rPr>
                      <w:rFonts w:ascii="Times New Roman" w:hAnsi="Times New Roman"/>
                      <w:color w:val="auto"/>
                      <w:sz w:val="18"/>
                      <w:szCs w:val="18"/>
                    </w:rPr>
                  </w:pPr>
                  <w:r>
                    <w:rPr>
                      <w:rFonts w:ascii="Times New Roman" w:hAnsi="Times New Roman"/>
                      <w:color w:val="auto"/>
                      <w:sz w:val="18"/>
                      <w:szCs w:val="18"/>
                    </w:rPr>
                    <w:t>6.1.2粉状、粒状VOCs物料应采用气力输送设备、管状带式输送机、螺旋输送机等密闭输送方式，或者采用密闭的包装袋、容器或罐车进行物料转移。</w:t>
                  </w:r>
                </w:p>
                <w:p w14:paraId="33CE9F61">
                  <w:pPr>
                    <w:jc w:val="left"/>
                    <w:rPr>
                      <w:rFonts w:ascii="Times New Roman" w:hAnsi="Times New Roman"/>
                      <w:color w:val="auto"/>
                      <w:sz w:val="18"/>
                      <w:szCs w:val="18"/>
                    </w:rPr>
                  </w:pPr>
                  <w:r>
                    <w:rPr>
                      <w:rFonts w:ascii="Times New Roman" w:hAnsi="Times New Roman"/>
                      <w:color w:val="auto"/>
                      <w:sz w:val="18"/>
                      <w:szCs w:val="18"/>
                    </w:rPr>
                    <w:t>6.1.3对挥发性有机液体进行装载时，应符合6.2条规定。</w:t>
                  </w:r>
                </w:p>
              </w:tc>
              <w:tc>
                <w:tcPr>
                  <w:tcW w:w="1383" w:type="pct"/>
                  <w:tcMar>
                    <w:top w:w="0" w:type="dxa"/>
                    <w:left w:w="28" w:type="dxa"/>
                    <w:bottom w:w="0" w:type="dxa"/>
                    <w:right w:w="28" w:type="dxa"/>
                  </w:tcMar>
                  <w:vAlign w:val="center"/>
                </w:tcPr>
                <w:p w14:paraId="18C51080">
                  <w:pPr>
                    <w:jc w:val="center"/>
                    <w:rPr>
                      <w:rFonts w:ascii="Times New Roman" w:hAnsi="Times New Roman"/>
                      <w:color w:val="auto"/>
                      <w:sz w:val="18"/>
                      <w:szCs w:val="18"/>
                    </w:rPr>
                  </w:pPr>
                  <w:r>
                    <w:rPr>
                      <w:rFonts w:ascii="Times New Roman" w:hAnsi="Times New Roman"/>
                      <w:color w:val="auto"/>
                      <w:sz w:val="18"/>
                      <w:szCs w:val="18"/>
                    </w:rPr>
                    <w:t>项目液态VOCs物料全部采用密闭的管道输送；液态VOCs物料进出厂区时均采用密闭罐车或密闭管线输送。</w:t>
                  </w:r>
                </w:p>
                <w:p w14:paraId="5B16C42F">
                  <w:pPr>
                    <w:jc w:val="center"/>
                    <w:rPr>
                      <w:rFonts w:ascii="Times New Roman" w:hAnsi="Times New Roman"/>
                      <w:color w:val="auto"/>
                      <w:sz w:val="18"/>
                      <w:szCs w:val="18"/>
                    </w:rPr>
                  </w:pPr>
                  <w:r>
                    <w:rPr>
                      <w:rFonts w:ascii="Times New Roman" w:hAnsi="Times New Roman"/>
                      <w:color w:val="auto"/>
                      <w:sz w:val="18"/>
                      <w:szCs w:val="18"/>
                    </w:rPr>
                    <w:t>满足要求。</w:t>
                  </w:r>
                </w:p>
              </w:tc>
            </w:tr>
            <w:tr w14:paraId="3B0D17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continue"/>
                  <w:tcMar>
                    <w:top w:w="0" w:type="dxa"/>
                    <w:left w:w="28" w:type="dxa"/>
                    <w:bottom w:w="0" w:type="dxa"/>
                    <w:right w:w="28" w:type="dxa"/>
                  </w:tcMar>
                  <w:vAlign w:val="center"/>
                </w:tcPr>
                <w:p w14:paraId="74685F97">
                  <w:pPr>
                    <w:jc w:val="center"/>
                    <w:rPr>
                      <w:rFonts w:ascii="Times New Roman" w:hAnsi="Times New Roman"/>
                      <w:color w:val="auto"/>
                      <w:sz w:val="18"/>
                      <w:szCs w:val="18"/>
                    </w:rPr>
                  </w:pPr>
                </w:p>
              </w:tc>
              <w:tc>
                <w:tcPr>
                  <w:tcW w:w="3031" w:type="pct"/>
                  <w:tcMar>
                    <w:top w:w="0" w:type="dxa"/>
                    <w:left w:w="28" w:type="dxa"/>
                    <w:bottom w:w="0" w:type="dxa"/>
                    <w:right w:w="28" w:type="dxa"/>
                  </w:tcMar>
                  <w:vAlign w:val="center"/>
                </w:tcPr>
                <w:p w14:paraId="632826C1">
                  <w:pPr>
                    <w:jc w:val="left"/>
                    <w:rPr>
                      <w:rFonts w:ascii="Times New Roman" w:hAnsi="Times New Roman"/>
                      <w:color w:val="auto"/>
                      <w:sz w:val="18"/>
                      <w:szCs w:val="18"/>
                    </w:rPr>
                  </w:pPr>
                  <w:r>
                    <w:rPr>
                      <w:rFonts w:ascii="Times New Roman" w:hAnsi="Times New Roman"/>
                      <w:color w:val="auto"/>
                      <w:sz w:val="18"/>
                      <w:szCs w:val="18"/>
                    </w:rPr>
                    <w:t>6.2挥发性有机液体装载</w:t>
                  </w:r>
                </w:p>
                <w:p w14:paraId="1663A08B">
                  <w:pPr>
                    <w:jc w:val="left"/>
                    <w:rPr>
                      <w:rFonts w:ascii="Times New Roman" w:hAnsi="Times New Roman"/>
                      <w:color w:val="auto"/>
                      <w:sz w:val="18"/>
                      <w:szCs w:val="18"/>
                    </w:rPr>
                  </w:pPr>
                  <w:r>
                    <w:rPr>
                      <w:rFonts w:ascii="Times New Roman" w:hAnsi="Times New Roman"/>
                      <w:color w:val="auto"/>
                      <w:sz w:val="18"/>
                      <w:szCs w:val="18"/>
                    </w:rPr>
                    <w:t>6.2.1装载方式</w:t>
                  </w:r>
                </w:p>
                <w:p w14:paraId="0712B397">
                  <w:pPr>
                    <w:jc w:val="left"/>
                    <w:rPr>
                      <w:rFonts w:ascii="Times New Roman" w:hAnsi="Times New Roman"/>
                      <w:color w:val="auto"/>
                      <w:sz w:val="18"/>
                      <w:szCs w:val="18"/>
                    </w:rPr>
                  </w:pPr>
                  <w:r>
                    <w:rPr>
                      <w:rFonts w:ascii="Times New Roman" w:hAnsi="Times New Roman"/>
                      <w:color w:val="auto"/>
                      <w:sz w:val="18"/>
                      <w:szCs w:val="18"/>
                    </w:rPr>
                    <w:t>挥发性有机液体应采用底部装载方式；若采用顶部浸没式装载，出料管口距离槽（罐）底部高度应小于200mm。</w:t>
                  </w:r>
                </w:p>
                <w:p w14:paraId="73805915">
                  <w:pPr>
                    <w:jc w:val="left"/>
                    <w:rPr>
                      <w:rFonts w:ascii="Times New Roman" w:hAnsi="Times New Roman"/>
                      <w:color w:val="auto"/>
                      <w:sz w:val="18"/>
                      <w:szCs w:val="18"/>
                    </w:rPr>
                  </w:pPr>
                  <w:r>
                    <w:rPr>
                      <w:rFonts w:ascii="Times New Roman" w:hAnsi="Times New Roman"/>
                      <w:color w:val="auto"/>
                      <w:sz w:val="18"/>
                      <w:szCs w:val="18"/>
                    </w:rPr>
                    <w:t>6.2.3装载特别控制要求</w:t>
                  </w:r>
                </w:p>
                <w:p w14:paraId="1DE6616F">
                  <w:pPr>
                    <w:jc w:val="left"/>
                    <w:rPr>
                      <w:rFonts w:ascii="Times New Roman" w:hAnsi="Times New Roman"/>
                      <w:color w:val="auto"/>
                      <w:sz w:val="18"/>
                      <w:szCs w:val="18"/>
                    </w:rPr>
                  </w:pPr>
                  <w:r>
                    <w:rPr>
                      <w:rFonts w:ascii="Times New Roman" w:hAnsi="Times New Roman"/>
                      <w:color w:val="auto"/>
                      <w:sz w:val="18"/>
                      <w:szCs w:val="18"/>
                    </w:rPr>
                    <w:t>装载物料真实蒸气压≥27.6kPa且单一装载设施的年装载量≥500m</w:t>
                  </w:r>
                  <w:r>
                    <w:rPr>
                      <w:rFonts w:ascii="Times New Roman" w:hAnsi="Times New Roman"/>
                      <w:color w:val="auto"/>
                      <w:sz w:val="18"/>
                      <w:szCs w:val="18"/>
                      <w:vertAlign w:val="superscript"/>
                    </w:rPr>
                    <w:t>3</w:t>
                  </w:r>
                  <w:r>
                    <w:rPr>
                      <w:rFonts w:ascii="Times New Roman" w:hAnsi="Times New Roman"/>
                      <w:color w:val="auto"/>
                      <w:sz w:val="18"/>
                      <w:szCs w:val="18"/>
                    </w:rPr>
                    <w:t>，以及装载物料真实蒸气压≥5.2kPa但＜27.6kPa且单一装载设施的年装载量≥2500m</w:t>
                  </w:r>
                  <w:r>
                    <w:rPr>
                      <w:rFonts w:ascii="Times New Roman" w:hAnsi="Times New Roman"/>
                      <w:color w:val="auto"/>
                      <w:sz w:val="18"/>
                      <w:szCs w:val="18"/>
                      <w:vertAlign w:val="superscript"/>
                    </w:rPr>
                    <w:t>3</w:t>
                  </w:r>
                  <w:r>
                    <w:rPr>
                      <w:rFonts w:ascii="Times New Roman" w:hAnsi="Times New Roman"/>
                      <w:color w:val="auto"/>
                      <w:sz w:val="18"/>
                      <w:szCs w:val="18"/>
                    </w:rPr>
                    <w:t>的，装载过程应符合下列规定之一：</w:t>
                  </w:r>
                </w:p>
                <w:p w14:paraId="2A349AE5">
                  <w:pPr>
                    <w:jc w:val="left"/>
                    <w:rPr>
                      <w:rFonts w:ascii="Times New Roman" w:hAnsi="Times New Roman"/>
                      <w:color w:val="auto"/>
                      <w:sz w:val="18"/>
                      <w:szCs w:val="18"/>
                    </w:rPr>
                  </w:pPr>
                  <w:r>
                    <w:rPr>
                      <w:rFonts w:ascii="Times New Roman" w:hAnsi="Times New Roman"/>
                      <w:color w:val="auto"/>
                      <w:sz w:val="18"/>
                      <w:szCs w:val="18"/>
                    </w:rPr>
                    <w:t>a）排放的废气应收集处理并满足相关行业排放标准的要求（无行业排放标准的应满足GB16297的要求），或者处理效率不低于90%；b）排放的废气连接至气相平衡系统。</w:t>
                  </w:r>
                </w:p>
              </w:tc>
              <w:tc>
                <w:tcPr>
                  <w:tcW w:w="1383" w:type="pct"/>
                  <w:tcMar>
                    <w:top w:w="0" w:type="dxa"/>
                    <w:left w:w="28" w:type="dxa"/>
                    <w:bottom w:w="0" w:type="dxa"/>
                    <w:right w:w="28" w:type="dxa"/>
                  </w:tcMar>
                  <w:vAlign w:val="center"/>
                </w:tcPr>
                <w:p w14:paraId="3F27062D">
                  <w:pPr>
                    <w:jc w:val="center"/>
                    <w:rPr>
                      <w:rFonts w:ascii="Times New Roman" w:hAnsi="Times New Roman"/>
                      <w:color w:val="auto"/>
                      <w:sz w:val="18"/>
                      <w:szCs w:val="18"/>
                    </w:rPr>
                  </w:pPr>
                  <w:r>
                    <w:rPr>
                      <w:rFonts w:ascii="Times New Roman" w:hAnsi="Times New Roman"/>
                      <w:color w:val="auto"/>
                      <w:sz w:val="18"/>
                      <w:szCs w:val="18"/>
                    </w:rPr>
                    <w:t>项目采用</w:t>
                  </w:r>
                  <w:r>
                    <w:rPr>
                      <w:rFonts w:hint="eastAsia" w:ascii="Times New Roman" w:hAnsi="Times New Roman"/>
                      <w:color w:val="auto"/>
                      <w:sz w:val="18"/>
                      <w:szCs w:val="18"/>
                    </w:rPr>
                    <w:t>底部装载方</w:t>
                  </w:r>
                  <w:r>
                    <w:rPr>
                      <w:rFonts w:ascii="Times New Roman" w:hAnsi="Times New Roman"/>
                      <w:color w:val="auto"/>
                      <w:sz w:val="18"/>
                      <w:szCs w:val="18"/>
                    </w:rPr>
                    <w:t>式装车，装车废气收集后经</w:t>
                  </w:r>
                  <w:r>
                    <w:rPr>
                      <w:rFonts w:hint="eastAsia" w:ascii="Times New Roman" w:hAnsi="Times New Roman"/>
                      <w:color w:val="auto"/>
                      <w:sz w:val="18"/>
                      <w:szCs w:val="18"/>
                      <w:lang w:val="en-US" w:eastAsia="zh-CN"/>
                    </w:rPr>
                    <w:t>水洗+焚烧</w:t>
                  </w:r>
                  <w:r>
                    <w:rPr>
                      <w:rFonts w:ascii="Times New Roman" w:hAnsi="Times New Roman"/>
                      <w:color w:val="auto"/>
                      <w:sz w:val="18"/>
                      <w:szCs w:val="18"/>
                    </w:rPr>
                    <w:t>处理。</w:t>
                  </w:r>
                </w:p>
                <w:p w14:paraId="5724D505">
                  <w:pPr>
                    <w:jc w:val="center"/>
                    <w:rPr>
                      <w:rFonts w:ascii="Times New Roman" w:hAnsi="Times New Roman"/>
                      <w:color w:val="auto"/>
                      <w:sz w:val="18"/>
                      <w:szCs w:val="18"/>
                    </w:rPr>
                  </w:pPr>
                  <w:r>
                    <w:rPr>
                      <w:rFonts w:ascii="Times New Roman" w:hAnsi="Times New Roman"/>
                      <w:color w:val="auto"/>
                      <w:sz w:val="18"/>
                      <w:szCs w:val="18"/>
                    </w:rPr>
                    <w:t>满足要求。</w:t>
                  </w:r>
                </w:p>
              </w:tc>
            </w:tr>
            <w:tr w14:paraId="5252D3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restart"/>
                  <w:tcMar>
                    <w:top w:w="0" w:type="dxa"/>
                    <w:left w:w="28" w:type="dxa"/>
                    <w:bottom w:w="0" w:type="dxa"/>
                    <w:right w:w="28" w:type="dxa"/>
                  </w:tcMar>
                  <w:vAlign w:val="center"/>
                </w:tcPr>
                <w:p w14:paraId="004B7EEB">
                  <w:pPr>
                    <w:jc w:val="center"/>
                    <w:rPr>
                      <w:rFonts w:ascii="Times New Roman" w:hAnsi="Times New Roman"/>
                      <w:color w:val="auto"/>
                      <w:sz w:val="18"/>
                      <w:szCs w:val="18"/>
                    </w:rPr>
                  </w:pPr>
                  <w:r>
                    <w:rPr>
                      <w:rFonts w:ascii="Times New Roman" w:hAnsi="Times New Roman"/>
                      <w:color w:val="auto"/>
                      <w:sz w:val="18"/>
                      <w:szCs w:val="18"/>
                    </w:rPr>
                    <w:t>8、设备与管线组件VOCs泄漏控制要求</w:t>
                  </w:r>
                </w:p>
              </w:tc>
              <w:tc>
                <w:tcPr>
                  <w:tcW w:w="3031" w:type="pct"/>
                  <w:tcMar>
                    <w:top w:w="0" w:type="dxa"/>
                    <w:left w:w="28" w:type="dxa"/>
                    <w:bottom w:w="0" w:type="dxa"/>
                    <w:right w:w="28" w:type="dxa"/>
                  </w:tcMar>
                  <w:vAlign w:val="center"/>
                </w:tcPr>
                <w:p w14:paraId="6B50A2AF">
                  <w:pPr>
                    <w:jc w:val="left"/>
                    <w:rPr>
                      <w:rFonts w:ascii="Times New Roman" w:hAnsi="Times New Roman"/>
                      <w:color w:val="auto"/>
                      <w:sz w:val="18"/>
                      <w:szCs w:val="18"/>
                    </w:rPr>
                  </w:pPr>
                  <w:r>
                    <w:rPr>
                      <w:rFonts w:ascii="Times New Roman" w:hAnsi="Times New Roman"/>
                      <w:color w:val="auto"/>
                      <w:sz w:val="18"/>
                      <w:szCs w:val="18"/>
                    </w:rPr>
                    <w:t>8.1管控范围</w:t>
                  </w:r>
                </w:p>
                <w:p w14:paraId="0F7DFEF4">
                  <w:pPr>
                    <w:jc w:val="left"/>
                    <w:rPr>
                      <w:rFonts w:ascii="Times New Roman" w:hAnsi="Times New Roman"/>
                      <w:color w:val="auto"/>
                      <w:sz w:val="18"/>
                      <w:szCs w:val="18"/>
                    </w:rPr>
                  </w:pPr>
                  <w:r>
                    <w:rPr>
                      <w:rFonts w:ascii="Times New Roman" w:hAnsi="Times New Roman"/>
                      <w:color w:val="auto"/>
                      <w:sz w:val="18"/>
                      <w:szCs w:val="18"/>
                    </w:rPr>
                    <w:t>企业中载有气态VOCs物料、液态VOCs物料的设备与管线组件的密封点≥2000个，应开展泄漏检测与修复工作。设备与管线组件包括：a）泵；b）压缩机； c）搅拌器（机）；d）阀门；e）开口阀或开口管线；f）法兰及其他连 接件；g）泄压设备；h）取样连接系统；i）其他密封设备。</w:t>
                  </w:r>
                </w:p>
              </w:tc>
              <w:tc>
                <w:tcPr>
                  <w:tcW w:w="1383" w:type="pct"/>
                  <w:tcMar>
                    <w:top w:w="0" w:type="dxa"/>
                    <w:left w:w="28" w:type="dxa"/>
                    <w:bottom w:w="0" w:type="dxa"/>
                    <w:right w:w="28" w:type="dxa"/>
                  </w:tcMar>
                  <w:vAlign w:val="center"/>
                </w:tcPr>
                <w:p w14:paraId="6FAA7D60">
                  <w:pPr>
                    <w:jc w:val="center"/>
                    <w:rPr>
                      <w:rFonts w:ascii="Times New Roman" w:hAnsi="Times New Roman"/>
                      <w:color w:val="auto"/>
                      <w:sz w:val="18"/>
                      <w:szCs w:val="18"/>
                    </w:rPr>
                  </w:pPr>
                  <w:r>
                    <w:rPr>
                      <w:rFonts w:ascii="Times New Roman" w:hAnsi="Times New Roman"/>
                      <w:color w:val="auto"/>
                      <w:sz w:val="18"/>
                      <w:szCs w:val="18"/>
                    </w:rPr>
                    <w:t>项目采用LDAR技术，控制无组织排放。</w:t>
                  </w:r>
                </w:p>
                <w:p w14:paraId="7A98C88D">
                  <w:pPr>
                    <w:jc w:val="center"/>
                    <w:rPr>
                      <w:rFonts w:ascii="Times New Roman" w:hAnsi="Times New Roman"/>
                      <w:color w:val="auto"/>
                      <w:sz w:val="18"/>
                      <w:szCs w:val="18"/>
                    </w:rPr>
                  </w:pPr>
                  <w:r>
                    <w:rPr>
                      <w:rFonts w:ascii="Times New Roman" w:hAnsi="Times New Roman"/>
                      <w:color w:val="auto"/>
                      <w:sz w:val="18"/>
                      <w:szCs w:val="18"/>
                    </w:rPr>
                    <w:t>满足要求。</w:t>
                  </w:r>
                </w:p>
              </w:tc>
            </w:tr>
            <w:tr w14:paraId="6F943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continue"/>
                  <w:tcMar>
                    <w:top w:w="0" w:type="dxa"/>
                    <w:left w:w="28" w:type="dxa"/>
                    <w:bottom w:w="0" w:type="dxa"/>
                    <w:right w:w="28" w:type="dxa"/>
                  </w:tcMar>
                  <w:vAlign w:val="center"/>
                </w:tcPr>
                <w:p w14:paraId="4E761BCA">
                  <w:pPr>
                    <w:jc w:val="center"/>
                    <w:rPr>
                      <w:rFonts w:ascii="Times New Roman" w:hAnsi="Times New Roman"/>
                      <w:color w:val="auto"/>
                      <w:sz w:val="18"/>
                      <w:szCs w:val="18"/>
                    </w:rPr>
                  </w:pPr>
                </w:p>
              </w:tc>
              <w:tc>
                <w:tcPr>
                  <w:tcW w:w="3031" w:type="pct"/>
                  <w:tcMar>
                    <w:top w:w="0" w:type="dxa"/>
                    <w:left w:w="28" w:type="dxa"/>
                    <w:bottom w:w="0" w:type="dxa"/>
                    <w:right w:w="28" w:type="dxa"/>
                  </w:tcMar>
                  <w:vAlign w:val="center"/>
                </w:tcPr>
                <w:p w14:paraId="2414FE55">
                  <w:pPr>
                    <w:jc w:val="left"/>
                    <w:rPr>
                      <w:rFonts w:ascii="Times New Roman" w:hAnsi="Times New Roman"/>
                      <w:color w:val="auto"/>
                      <w:sz w:val="18"/>
                      <w:szCs w:val="18"/>
                    </w:rPr>
                  </w:pPr>
                  <w:r>
                    <w:rPr>
                      <w:rFonts w:ascii="Times New Roman" w:hAnsi="Times New Roman"/>
                      <w:color w:val="auto"/>
                      <w:sz w:val="18"/>
                      <w:szCs w:val="18"/>
                    </w:rPr>
                    <w:t>8.3泄漏检测</w:t>
                  </w:r>
                </w:p>
                <w:p w14:paraId="546DD693">
                  <w:pPr>
                    <w:jc w:val="left"/>
                    <w:rPr>
                      <w:rFonts w:ascii="Times New Roman" w:hAnsi="Times New Roman"/>
                      <w:color w:val="auto"/>
                      <w:sz w:val="18"/>
                      <w:szCs w:val="18"/>
                    </w:rPr>
                  </w:pPr>
                  <w:r>
                    <w:rPr>
                      <w:rFonts w:ascii="Times New Roman" w:hAnsi="Times New Roman"/>
                      <w:color w:val="auto"/>
                      <w:sz w:val="18"/>
                      <w:szCs w:val="18"/>
                    </w:rPr>
                    <w:t>8.3.1企业应按下列频次对设备与管线组件的密封点进行 VOCs 泄漏检测：</w:t>
                  </w:r>
                </w:p>
                <w:p w14:paraId="14CD9B20">
                  <w:pPr>
                    <w:numPr>
                      <w:ilvl w:val="0"/>
                      <w:numId w:val="2"/>
                    </w:numPr>
                    <w:jc w:val="left"/>
                    <w:rPr>
                      <w:rFonts w:ascii="Times New Roman" w:hAnsi="Times New Roman"/>
                      <w:color w:val="auto"/>
                      <w:sz w:val="18"/>
                      <w:szCs w:val="18"/>
                    </w:rPr>
                  </w:pPr>
                  <w:r>
                    <w:rPr>
                      <w:rFonts w:ascii="Times New Roman" w:hAnsi="Times New Roman"/>
                      <w:color w:val="auto"/>
                      <w:sz w:val="18"/>
                      <w:szCs w:val="18"/>
                    </w:rPr>
                    <w:t>对设备与管线组件的密封点每周进行目视观察，检查其密封处是否出现可见泄漏现象。b）泵、压缩机、搅拌器（机）、阀门、开口阀或开口管线、泄压设备、取样连接系统至少每6个月检测一次。c）法兰及其他连接件、其他密封设备至少每12个月检测一次。d）对于直接排放的泄压设备，在非泄压状态下进行泄漏检测。直接排放的泄压设备泄压后，应在泄压之日起5个工作日之内，对泄压设备进行泄漏检测。e）设备与管线组件初次启用或检维修后，应在90d内进行泄漏检测。</w:t>
                  </w:r>
                </w:p>
                <w:p w14:paraId="2EC4C64F">
                  <w:pPr>
                    <w:jc w:val="left"/>
                    <w:rPr>
                      <w:rFonts w:ascii="Times New Roman" w:hAnsi="Times New Roman"/>
                      <w:color w:val="auto"/>
                      <w:sz w:val="18"/>
                      <w:szCs w:val="18"/>
                    </w:rPr>
                  </w:pPr>
                  <w:r>
                    <w:rPr>
                      <w:rFonts w:ascii="Times New Roman" w:hAnsi="Times New Roman"/>
                      <w:color w:val="auto"/>
                      <w:sz w:val="18"/>
                      <w:szCs w:val="18"/>
                    </w:rPr>
                    <w:t>8.4泄漏源修复</w:t>
                  </w:r>
                </w:p>
                <w:p w14:paraId="4DF89A91">
                  <w:pPr>
                    <w:jc w:val="left"/>
                    <w:rPr>
                      <w:rFonts w:ascii="Times New Roman" w:hAnsi="Times New Roman"/>
                      <w:color w:val="auto"/>
                      <w:sz w:val="18"/>
                      <w:szCs w:val="18"/>
                    </w:rPr>
                  </w:pPr>
                  <w:r>
                    <w:rPr>
                      <w:rFonts w:ascii="Times New Roman" w:hAnsi="Times New Roman"/>
                      <w:color w:val="auto"/>
                      <w:sz w:val="18"/>
                      <w:szCs w:val="18"/>
                    </w:rPr>
                    <w:t>8.4.1当检测到泄漏时，对泄漏源应予以标识并及时修复。发现泄漏之日起5d内应进行首次修复，除8.4.2条规定外，应在发现泄漏之日起15d内完成修复。</w:t>
                  </w:r>
                </w:p>
                <w:p w14:paraId="554E8CA8">
                  <w:pPr>
                    <w:jc w:val="left"/>
                    <w:rPr>
                      <w:rFonts w:ascii="Times New Roman" w:hAnsi="Times New Roman"/>
                      <w:color w:val="auto"/>
                      <w:sz w:val="18"/>
                      <w:szCs w:val="18"/>
                    </w:rPr>
                  </w:pPr>
                  <w:r>
                    <w:rPr>
                      <w:rFonts w:ascii="Times New Roman" w:hAnsi="Times New Roman"/>
                      <w:color w:val="auto"/>
                      <w:sz w:val="18"/>
                      <w:szCs w:val="18"/>
                    </w:rPr>
                    <w:t>8.4.2符合下列条件之一的设备与管线组件可延迟修复。企业应将延迟修复方案报生态环境主管部门备案，并于下次停车（工）检修期间完成修复。</w:t>
                  </w:r>
                </w:p>
                <w:p w14:paraId="4176FD05">
                  <w:pPr>
                    <w:jc w:val="left"/>
                    <w:rPr>
                      <w:rFonts w:ascii="Times New Roman" w:hAnsi="Times New Roman"/>
                      <w:color w:val="auto"/>
                      <w:sz w:val="18"/>
                      <w:szCs w:val="18"/>
                    </w:rPr>
                  </w:pPr>
                  <w:r>
                    <w:rPr>
                      <w:rFonts w:ascii="Times New Roman" w:hAnsi="Times New Roman"/>
                      <w:color w:val="auto"/>
                      <w:sz w:val="18"/>
                      <w:szCs w:val="18"/>
                    </w:rPr>
                    <w:t>a）装置停车（工）条件下才能修复；b）立即修复存在安全风险；c）其他特殊情况。</w:t>
                  </w:r>
                </w:p>
              </w:tc>
              <w:tc>
                <w:tcPr>
                  <w:tcW w:w="1383" w:type="pct"/>
                  <w:tcMar>
                    <w:top w:w="0" w:type="dxa"/>
                    <w:left w:w="28" w:type="dxa"/>
                    <w:bottom w:w="0" w:type="dxa"/>
                    <w:right w:w="28" w:type="dxa"/>
                  </w:tcMar>
                  <w:vAlign w:val="center"/>
                </w:tcPr>
                <w:p w14:paraId="0CD5898D">
                  <w:pPr>
                    <w:jc w:val="center"/>
                    <w:rPr>
                      <w:rFonts w:ascii="Times New Roman" w:hAnsi="Times New Roman"/>
                      <w:color w:val="auto"/>
                      <w:sz w:val="18"/>
                      <w:szCs w:val="18"/>
                    </w:rPr>
                  </w:pPr>
                  <w:r>
                    <w:rPr>
                      <w:rFonts w:ascii="Times New Roman" w:hAnsi="Times New Roman"/>
                      <w:color w:val="auto"/>
                      <w:sz w:val="18"/>
                      <w:szCs w:val="18"/>
                    </w:rPr>
                    <w:t>企业运行过程中，参照标准要求进行泄漏检测与修复工作。</w:t>
                  </w:r>
                </w:p>
                <w:p w14:paraId="770AACCD">
                  <w:pPr>
                    <w:jc w:val="center"/>
                    <w:rPr>
                      <w:rFonts w:ascii="Times New Roman" w:hAnsi="Times New Roman"/>
                      <w:color w:val="auto"/>
                      <w:sz w:val="18"/>
                      <w:szCs w:val="18"/>
                    </w:rPr>
                  </w:pPr>
                  <w:r>
                    <w:rPr>
                      <w:rFonts w:ascii="Times New Roman" w:hAnsi="Times New Roman"/>
                      <w:color w:val="auto"/>
                      <w:sz w:val="18"/>
                      <w:szCs w:val="18"/>
                    </w:rPr>
                    <w:t>满足要求。</w:t>
                  </w:r>
                </w:p>
              </w:tc>
            </w:tr>
            <w:tr w14:paraId="7B643F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continue"/>
                  <w:tcMar>
                    <w:top w:w="0" w:type="dxa"/>
                    <w:left w:w="28" w:type="dxa"/>
                    <w:bottom w:w="0" w:type="dxa"/>
                    <w:right w:w="28" w:type="dxa"/>
                  </w:tcMar>
                  <w:vAlign w:val="center"/>
                </w:tcPr>
                <w:p w14:paraId="2450DB9D">
                  <w:pPr>
                    <w:jc w:val="center"/>
                    <w:rPr>
                      <w:rFonts w:ascii="Times New Roman" w:hAnsi="Times New Roman"/>
                      <w:color w:val="auto"/>
                      <w:sz w:val="18"/>
                      <w:szCs w:val="18"/>
                    </w:rPr>
                  </w:pPr>
                </w:p>
              </w:tc>
              <w:tc>
                <w:tcPr>
                  <w:tcW w:w="3031" w:type="pct"/>
                  <w:tcMar>
                    <w:top w:w="0" w:type="dxa"/>
                    <w:left w:w="28" w:type="dxa"/>
                    <w:bottom w:w="0" w:type="dxa"/>
                    <w:right w:w="28" w:type="dxa"/>
                  </w:tcMar>
                  <w:vAlign w:val="center"/>
                </w:tcPr>
                <w:p w14:paraId="4D05D7BF">
                  <w:pPr>
                    <w:jc w:val="left"/>
                    <w:rPr>
                      <w:rFonts w:ascii="Times New Roman" w:hAnsi="Times New Roman"/>
                      <w:color w:val="auto"/>
                      <w:sz w:val="18"/>
                      <w:szCs w:val="18"/>
                    </w:rPr>
                  </w:pPr>
                  <w:r>
                    <w:rPr>
                      <w:rFonts w:ascii="Times New Roman" w:hAnsi="Times New Roman"/>
                      <w:color w:val="auto"/>
                      <w:sz w:val="18"/>
                      <w:szCs w:val="18"/>
                    </w:rPr>
                    <w:t>8.5记录要求</w:t>
                  </w:r>
                </w:p>
                <w:p w14:paraId="74329FB0">
                  <w:pPr>
                    <w:jc w:val="left"/>
                    <w:rPr>
                      <w:rFonts w:ascii="Times New Roman" w:hAnsi="Times New Roman"/>
                      <w:color w:val="auto"/>
                      <w:sz w:val="18"/>
                      <w:szCs w:val="18"/>
                    </w:rPr>
                  </w:pPr>
                  <w:r>
                    <w:rPr>
                      <w:rFonts w:ascii="Times New Roman" w:hAnsi="Times New Roman"/>
                      <w:color w:val="auto"/>
                      <w:sz w:val="18"/>
                      <w:szCs w:val="18"/>
                    </w:rPr>
                    <w:t>泄漏检测应建立台账，记录检测时间、检测仪器读数、修复时间、采取的修复措施、修复后检测仪器读数等。台账保存期限不少于3年。</w:t>
                  </w:r>
                </w:p>
              </w:tc>
              <w:tc>
                <w:tcPr>
                  <w:tcW w:w="1383" w:type="pct"/>
                  <w:tcMar>
                    <w:top w:w="0" w:type="dxa"/>
                    <w:left w:w="28" w:type="dxa"/>
                    <w:bottom w:w="0" w:type="dxa"/>
                    <w:right w:w="28" w:type="dxa"/>
                  </w:tcMar>
                  <w:vAlign w:val="center"/>
                </w:tcPr>
                <w:p w14:paraId="552512F4">
                  <w:pPr>
                    <w:jc w:val="center"/>
                    <w:rPr>
                      <w:rFonts w:ascii="Times New Roman" w:hAnsi="Times New Roman"/>
                      <w:color w:val="auto"/>
                      <w:sz w:val="18"/>
                      <w:szCs w:val="18"/>
                    </w:rPr>
                  </w:pPr>
                  <w:r>
                    <w:rPr>
                      <w:rFonts w:ascii="Times New Roman" w:hAnsi="Times New Roman"/>
                      <w:color w:val="auto"/>
                      <w:sz w:val="18"/>
                      <w:szCs w:val="18"/>
                    </w:rPr>
                    <w:t>企业规范的设置泄漏检测台账。</w:t>
                  </w:r>
                </w:p>
                <w:p w14:paraId="0A5509C3">
                  <w:pPr>
                    <w:jc w:val="center"/>
                    <w:rPr>
                      <w:rFonts w:ascii="Times New Roman" w:hAnsi="Times New Roman"/>
                      <w:color w:val="auto"/>
                      <w:sz w:val="18"/>
                      <w:szCs w:val="18"/>
                    </w:rPr>
                  </w:pPr>
                  <w:r>
                    <w:rPr>
                      <w:rFonts w:ascii="Times New Roman" w:hAnsi="Times New Roman"/>
                      <w:color w:val="auto"/>
                      <w:sz w:val="18"/>
                      <w:szCs w:val="18"/>
                    </w:rPr>
                    <w:t>满足要求。</w:t>
                  </w:r>
                </w:p>
              </w:tc>
            </w:tr>
            <w:tr w14:paraId="1FCA0E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restart"/>
                  <w:tcMar>
                    <w:top w:w="0" w:type="dxa"/>
                    <w:left w:w="28" w:type="dxa"/>
                    <w:bottom w:w="0" w:type="dxa"/>
                    <w:right w:w="28" w:type="dxa"/>
                  </w:tcMar>
                  <w:vAlign w:val="center"/>
                </w:tcPr>
                <w:p w14:paraId="4FE9C965">
                  <w:pPr>
                    <w:jc w:val="center"/>
                    <w:rPr>
                      <w:rFonts w:ascii="Times New Roman" w:hAnsi="Times New Roman"/>
                      <w:color w:val="auto"/>
                      <w:sz w:val="18"/>
                      <w:szCs w:val="18"/>
                    </w:rPr>
                  </w:pPr>
                  <w:r>
                    <w:rPr>
                      <w:rFonts w:ascii="Times New Roman" w:hAnsi="Times New Roman"/>
                      <w:color w:val="auto"/>
                      <w:sz w:val="18"/>
                      <w:szCs w:val="18"/>
                    </w:rPr>
                    <w:t>10、VOCs无组织排放废气收集处理系统要求</w:t>
                  </w:r>
                </w:p>
              </w:tc>
              <w:tc>
                <w:tcPr>
                  <w:tcW w:w="3031" w:type="pct"/>
                  <w:tcMar>
                    <w:top w:w="0" w:type="dxa"/>
                    <w:left w:w="28" w:type="dxa"/>
                    <w:bottom w:w="0" w:type="dxa"/>
                    <w:right w:w="28" w:type="dxa"/>
                  </w:tcMar>
                  <w:vAlign w:val="center"/>
                </w:tcPr>
                <w:p w14:paraId="56E013A9">
                  <w:pPr>
                    <w:jc w:val="left"/>
                    <w:rPr>
                      <w:rFonts w:ascii="Times New Roman" w:hAnsi="Times New Roman"/>
                      <w:color w:val="auto"/>
                      <w:sz w:val="18"/>
                      <w:szCs w:val="18"/>
                    </w:rPr>
                  </w:pPr>
                  <w:r>
                    <w:rPr>
                      <w:rFonts w:ascii="Times New Roman" w:hAnsi="Times New Roman"/>
                      <w:color w:val="auto"/>
                      <w:sz w:val="18"/>
                      <w:szCs w:val="18"/>
                    </w:rPr>
                    <w:t>10.2 废气收集系统要求</w:t>
                  </w:r>
                </w:p>
                <w:p w14:paraId="6D5F30C7">
                  <w:pPr>
                    <w:jc w:val="left"/>
                    <w:rPr>
                      <w:rFonts w:ascii="Times New Roman" w:hAnsi="Times New Roman"/>
                      <w:color w:val="auto"/>
                      <w:sz w:val="18"/>
                      <w:szCs w:val="18"/>
                    </w:rPr>
                  </w:pPr>
                  <w:r>
                    <w:rPr>
                      <w:rFonts w:ascii="Times New Roman" w:hAnsi="Times New Roman"/>
                      <w:color w:val="auto"/>
                      <w:sz w:val="18"/>
                      <w:szCs w:val="18"/>
                    </w:rPr>
                    <w:t>10.2.1 企业应考虑生产工艺、操作方式、废气性质、处理方法等因素，对VOCs废气进行分类收集。</w:t>
                  </w:r>
                </w:p>
                <w:p w14:paraId="77DF4231">
                  <w:pPr>
                    <w:jc w:val="left"/>
                    <w:rPr>
                      <w:rFonts w:ascii="Times New Roman" w:hAnsi="Times New Roman"/>
                      <w:color w:val="auto"/>
                      <w:sz w:val="18"/>
                      <w:szCs w:val="18"/>
                    </w:rPr>
                  </w:pPr>
                  <w:r>
                    <w:rPr>
                      <w:rFonts w:ascii="Times New Roman" w:hAnsi="Times New Roman"/>
                      <w:color w:val="auto"/>
                      <w:sz w:val="18"/>
                      <w:szCs w:val="18"/>
                    </w:rPr>
                    <w:t>10.2.2 废气收集系统排风罩（集气罩）的设置应符合GB/T 16758的规定。采用外部排风罩的，应按GB/T 16758、AQ/T 4274-2016 规定的方法测量控制风速，测量点应选取在距排风罩开口面最远处的VOCs无组织排放位置，控制风速不应低于0.3m/s（行业相关规范有具体规定的，按相关规定执行）。</w:t>
                  </w:r>
                </w:p>
                <w:p w14:paraId="4AFB5467">
                  <w:pPr>
                    <w:jc w:val="left"/>
                    <w:rPr>
                      <w:rFonts w:ascii="Times New Roman" w:hAnsi="Times New Roman"/>
                      <w:color w:val="auto"/>
                      <w:sz w:val="18"/>
                      <w:szCs w:val="18"/>
                    </w:rPr>
                  </w:pPr>
                  <w:r>
                    <w:rPr>
                      <w:rFonts w:ascii="Times New Roman" w:hAnsi="Times New Roman"/>
                      <w:color w:val="auto"/>
                      <w:sz w:val="18"/>
                      <w:szCs w:val="18"/>
                    </w:rPr>
                    <w:t>10.2.3 废气收集系统的输送管道应密闭。废气收集系统应在负压下运行，若处于正压状态，应对输送管道组件的密封点进行泄漏检测，泄漏检测值不应超过500mmol/mol，亦不应有感官可察觉泄漏。泄漏检测频次、修复与记录的要求按照第8章规定执行。</w:t>
                  </w:r>
                </w:p>
              </w:tc>
              <w:tc>
                <w:tcPr>
                  <w:tcW w:w="1383" w:type="pct"/>
                  <w:tcMar>
                    <w:top w:w="0" w:type="dxa"/>
                    <w:left w:w="28" w:type="dxa"/>
                    <w:bottom w:w="0" w:type="dxa"/>
                    <w:right w:w="28" w:type="dxa"/>
                  </w:tcMar>
                  <w:vAlign w:val="center"/>
                </w:tcPr>
                <w:p w14:paraId="26E1BDF9">
                  <w:pPr>
                    <w:jc w:val="center"/>
                    <w:rPr>
                      <w:rFonts w:ascii="Times New Roman" w:hAnsi="Times New Roman"/>
                      <w:color w:val="auto"/>
                      <w:sz w:val="18"/>
                      <w:szCs w:val="18"/>
                    </w:rPr>
                  </w:pPr>
                  <w:r>
                    <w:rPr>
                      <w:rFonts w:ascii="Times New Roman" w:hAnsi="Times New Roman"/>
                      <w:color w:val="auto"/>
                      <w:sz w:val="18"/>
                      <w:szCs w:val="18"/>
                    </w:rPr>
                    <w:t>项目VOCs废气收集均位于密闭环境内，建设单位运行过程针对输送管道采用LDAR技术，防止收集废气泄漏。</w:t>
                  </w:r>
                </w:p>
                <w:p w14:paraId="3D41C908">
                  <w:pPr>
                    <w:jc w:val="center"/>
                    <w:rPr>
                      <w:rFonts w:ascii="Times New Roman" w:hAnsi="Times New Roman"/>
                      <w:color w:val="auto"/>
                      <w:sz w:val="18"/>
                      <w:szCs w:val="18"/>
                    </w:rPr>
                  </w:pPr>
                  <w:r>
                    <w:rPr>
                      <w:rFonts w:ascii="Times New Roman" w:hAnsi="Times New Roman"/>
                      <w:color w:val="auto"/>
                      <w:sz w:val="18"/>
                      <w:szCs w:val="18"/>
                    </w:rPr>
                    <w:t>满足要求。</w:t>
                  </w:r>
                </w:p>
              </w:tc>
            </w:tr>
            <w:tr w14:paraId="57276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vMerge w:val="continue"/>
                  <w:tcMar>
                    <w:top w:w="0" w:type="dxa"/>
                    <w:left w:w="28" w:type="dxa"/>
                    <w:bottom w:w="0" w:type="dxa"/>
                    <w:right w:w="28" w:type="dxa"/>
                  </w:tcMar>
                  <w:vAlign w:val="center"/>
                </w:tcPr>
                <w:p w14:paraId="2587E487">
                  <w:pPr>
                    <w:jc w:val="center"/>
                    <w:rPr>
                      <w:rFonts w:ascii="Times New Roman" w:hAnsi="Times New Roman"/>
                      <w:color w:val="auto"/>
                      <w:sz w:val="18"/>
                      <w:szCs w:val="18"/>
                    </w:rPr>
                  </w:pPr>
                </w:p>
              </w:tc>
              <w:tc>
                <w:tcPr>
                  <w:tcW w:w="3031" w:type="pct"/>
                  <w:tcMar>
                    <w:top w:w="0" w:type="dxa"/>
                    <w:left w:w="28" w:type="dxa"/>
                    <w:bottom w:w="0" w:type="dxa"/>
                    <w:right w:w="28" w:type="dxa"/>
                  </w:tcMar>
                  <w:vAlign w:val="center"/>
                </w:tcPr>
                <w:p w14:paraId="6956D04E">
                  <w:pPr>
                    <w:jc w:val="left"/>
                    <w:rPr>
                      <w:rFonts w:ascii="Times New Roman" w:hAnsi="Times New Roman"/>
                      <w:color w:val="auto"/>
                      <w:sz w:val="18"/>
                      <w:szCs w:val="18"/>
                    </w:rPr>
                  </w:pPr>
                  <w:r>
                    <w:rPr>
                      <w:rFonts w:ascii="Times New Roman" w:hAnsi="Times New Roman"/>
                      <w:color w:val="auto"/>
                      <w:sz w:val="18"/>
                      <w:szCs w:val="18"/>
                    </w:rPr>
                    <w:t>10.3 VOCs排放控制要求</w:t>
                  </w:r>
                </w:p>
                <w:p w14:paraId="42822231">
                  <w:pPr>
                    <w:jc w:val="left"/>
                    <w:rPr>
                      <w:rFonts w:ascii="Times New Roman" w:hAnsi="Times New Roman"/>
                      <w:color w:val="auto"/>
                      <w:sz w:val="18"/>
                      <w:szCs w:val="18"/>
                    </w:rPr>
                  </w:pPr>
                  <w:r>
                    <w:rPr>
                      <w:rFonts w:ascii="Times New Roman" w:hAnsi="Times New Roman"/>
                      <w:color w:val="auto"/>
                      <w:sz w:val="18"/>
                      <w:szCs w:val="18"/>
                    </w:rPr>
                    <w:t>10.3.1 VOCs废气收集处理系统污染物排放应符合GB 16297或相关行业排放标准的规定。</w:t>
                  </w:r>
                </w:p>
                <w:p w14:paraId="1566942F">
                  <w:pPr>
                    <w:jc w:val="left"/>
                    <w:rPr>
                      <w:rFonts w:ascii="Times New Roman" w:hAnsi="Times New Roman"/>
                      <w:color w:val="auto"/>
                      <w:sz w:val="18"/>
                      <w:szCs w:val="18"/>
                    </w:rPr>
                  </w:pPr>
                  <w:r>
                    <w:rPr>
                      <w:rFonts w:ascii="Times New Roman" w:hAnsi="Times New Roman"/>
                      <w:color w:val="auto"/>
                      <w:sz w:val="18"/>
                      <w:szCs w:val="18"/>
                    </w:rPr>
                    <w:t>10.3.2 收集的废气中NMHC初始排放速率≥3kg/h时，应配置VOCs处理设施，处理效率不应低于80%；对于重点地区，收集的废气中NMHC初始排放速率≥2 kg/h 时，应配置VOCs处理设施，处理效率不应低于80%；采用的原辅材料符合国家有关低VOCs含量产品规定的除外。</w:t>
                  </w:r>
                </w:p>
              </w:tc>
              <w:tc>
                <w:tcPr>
                  <w:tcW w:w="1383" w:type="pct"/>
                  <w:tcMar>
                    <w:top w:w="0" w:type="dxa"/>
                    <w:left w:w="28" w:type="dxa"/>
                    <w:bottom w:w="0" w:type="dxa"/>
                    <w:right w:w="28" w:type="dxa"/>
                  </w:tcMar>
                  <w:vAlign w:val="center"/>
                </w:tcPr>
                <w:p w14:paraId="1B4F9582">
                  <w:pPr>
                    <w:jc w:val="center"/>
                    <w:rPr>
                      <w:rFonts w:ascii="Times New Roman" w:hAnsi="Times New Roman"/>
                      <w:color w:val="auto"/>
                      <w:sz w:val="18"/>
                      <w:szCs w:val="18"/>
                    </w:rPr>
                  </w:pPr>
                  <w:r>
                    <w:rPr>
                      <w:rFonts w:ascii="Times New Roman" w:hAnsi="Times New Roman"/>
                      <w:color w:val="auto"/>
                      <w:sz w:val="18"/>
                      <w:szCs w:val="18"/>
                    </w:rPr>
                    <w:t>项目废气均经处理后排放。满足要求。</w:t>
                  </w:r>
                </w:p>
              </w:tc>
            </w:tr>
            <w:tr w14:paraId="2ABD4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tcMar>
                    <w:top w:w="0" w:type="dxa"/>
                    <w:left w:w="28" w:type="dxa"/>
                    <w:bottom w:w="0" w:type="dxa"/>
                    <w:right w:w="28" w:type="dxa"/>
                  </w:tcMar>
                  <w:vAlign w:val="center"/>
                </w:tcPr>
                <w:p w14:paraId="1E6DCCEC">
                  <w:pPr>
                    <w:jc w:val="center"/>
                    <w:rPr>
                      <w:rFonts w:ascii="Times New Roman" w:hAnsi="Times New Roman"/>
                      <w:color w:val="auto"/>
                      <w:sz w:val="18"/>
                      <w:szCs w:val="18"/>
                    </w:rPr>
                  </w:pPr>
                  <w:r>
                    <w:rPr>
                      <w:rFonts w:ascii="Times New Roman" w:hAnsi="Times New Roman"/>
                      <w:color w:val="auto"/>
                      <w:sz w:val="18"/>
                      <w:szCs w:val="18"/>
                    </w:rPr>
                    <w:t>11、企业厂区内及周边污染监控要求</w:t>
                  </w:r>
                </w:p>
              </w:tc>
              <w:tc>
                <w:tcPr>
                  <w:tcW w:w="3031" w:type="pct"/>
                  <w:tcMar>
                    <w:top w:w="0" w:type="dxa"/>
                    <w:left w:w="28" w:type="dxa"/>
                    <w:bottom w:w="0" w:type="dxa"/>
                    <w:right w:w="28" w:type="dxa"/>
                  </w:tcMar>
                  <w:vAlign w:val="center"/>
                </w:tcPr>
                <w:p w14:paraId="755B33A7">
                  <w:pPr>
                    <w:jc w:val="left"/>
                    <w:rPr>
                      <w:rFonts w:ascii="Times New Roman" w:hAnsi="Times New Roman"/>
                      <w:color w:val="auto"/>
                      <w:sz w:val="18"/>
                      <w:szCs w:val="18"/>
                    </w:rPr>
                  </w:pPr>
                  <w:r>
                    <w:rPr>
                      <w:rFonts w:ascii="Times New Roman" w:hAnsi="Times New Roman"/>
                      <w:color w:val="auto"/>
                      <w:sz w:val="18"/>
                      <w:szCs w:val="18"/>
                    </w:rPr>
                    <w:t>11 企业厂区内及周边污染监控要求</w:t>
                  </w:r>
                </w:p>
                <w:p w14:paraId="46D9772B">
                  <w:pPr>
                    <w:jc w:val="left"/>
                    <w:rPr>
                      <w:rFonts w:ascii="Times New Roman" w:hAnsi="Times New Roman"/>
                      <w:color w:val="auto"/>
                      <w:sz w:val="18"/>
                      <w:szCs w:val="18"/>
                    </w:rPr>
                  </w:pPr>
                  <w:r>
                    <w:rPr>
                      <w:rFonts w:ascii="Times New Roman" w:hAnsi="Times New Roman"/>
                      <w:color w:val="auto"/>
                      <w:sz w:val="18"/>
                      <w:szCs w:val="18"/>
                    </w:rPr>
                    <w:t>11.1 企业边界及周边VOCs监控要求执行GB16297或相关行业排放标准的规定。</w:t>
                  </w:r>
                </w:p>
              </w:tc>
              <w:tc>
                <w:tcPr>
                  <w:tcW w:w="1383" w:type="pct"/>
                  <w:tcMar>
                    <w:top w:w="0" w:type="dxa"/>
                    <w:left w:w="28" w:type="dxa"/>
                    <w:bottom w:w="0" w:type="dxa"/>
                    <w:right w:w="28" w:type="dxa"/>
                  </w:tcMar>
                  <w:vAlign w:val="center"/>
                </w:tcPr>
                <w:p w14:paraId="1FBD7CDF">
                  <w:pPr>
                    <w:jc w:val="center"/>
                    <w:rPr>
                      <w:rFonts w:ascii="Times New Roman" w:hAnsi="Times New Roman"/>
                      <w:color w:val="auto"/>
                      <w:sz w:val="18"/>
                      <w:szCs w:val="18"/>
                    </w:rPr>
                  </w:pPr>
                  <w:r>
                    <w:rPr>
                      <w:rFonts w:hint="eastAsia" w:ascii="Times New Roman" w:hAnsi="Times New Roman"/>
                      <w:color w:val="auto"/>
                      <w:sz w:val="18"/>
                      <w:szCs w:val="18"/>
                      <w:lang w:val="en-US" w:eastAsia="zh-CN"/>
                    </w:rPr>
                    <w:t>本次环评已提出厂区内VOCs监测要求</w:t>
                  </w:r>
                  <w:r>
                    <w:rPr>
                      <w:rFonts w:ascii="Times New Roman" w:hAnsi="Times New Roman"/>
                      <w:color w:val="auto"/>
                      <w:sz w:val="18"/>
                      <w:szCs w:val="18"/>
                    </w:rPr>
                    <w:t>。</w:t>
                  </w:r>
                </w:p>
                <w:p w14:paraId="436C3F18">
                  <w:pPr>
                    <w:jc w:val="center"/>
                    <w:rPr>
                      <w:rFonts w:ascii="Times New Roman" w:hAnsi="Times New Roman"/>
                      <w:color w:val="auto"/>
                      <w:sz w:val="18"/>
                      <w:szCs w:val="18"/>
                    </w:rPr>
                  </w:pPr>
                  <w:r>
                    <w:rPr>
                      <w:rFonts w:ascii="Times New Roman" w:hAnsi="Times New Roman"/>
                      <w:color w:val="auto"/>
                      <w:sz w:val="18"/>
                      <w:szCs w:val="18"/>
                    </w:rPr>
                    <w:t>满足要求。</w:t>
                  </w:r>
                </w:p>
              </w:tc>
            </w:tr>
            <w:tr w14:paraId="5E64F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85" w:type="pct"/>
                  <w:tcMar>
                    <w:top w:w="0" w:type="dxa"/>
                    <w:left w:w="28" w:type="dxa"/>
                    <w:bottom w:w="0" w:type="dxa"/>
                    <w:right w:w="28" w:type="dxa"/>
                  </w:tcMar>
                  <w:vAlign w:val="center"/>
                </w:tcPr>
                <w:p w14:paraId="3B06F1F4">
                  <w:pPr>
                    <w:jc w:val="center"/>
                    <w:rPr>
                      <w:rFonts w:ascii="Times New Roman" w:hAnsi="Times New Roman"/>
                      <w:color w:val="auto"/>
                      <w:sz w:val="18"/>
                      <w:szCs w:val="18"/>
                    </w:rPr>
                  </w:pPr>
                  <w:r>
                    <w:rPr>
                      <w:rFonts w:ascii="Times New Roman" w:hAnsi="Times New Roman"/>
                      <w:color w:val="auto"/>
                      <w:sz w:val="18"/>
                      <w:szCs w:val="18"/>
                    </w:rPr>
                    <w:t>12、污染物监测要求</w:t>
                  </w:r>
                </w:p>
              </w:tc>
              <w:tc>
                <w:tcPr>
                  <w:tcW w:w="3031" w:type="pct"/>
                  <w:tcMar>
                    <w:top w:w="0" w:type="dxa"/>
                    <w:left w:w="28" w:type="dxa"/>
                    <w:bottom w:w="0" w:type="dxa"/>
                    <w:right w:w="28" w:type="dxa"/>
                  </w:tcMar>
                  <w:vAlign w:val="center"/>
                </w:tcPr>
                <w:p w14:paraId="147CDFCE">
                  <w:pPr>
                    <w:jc w:val="left"/>
                    <w:rPr>
                      <w:rFonts w:ascii="Times New Roman" w:hAnsi="Times New Roman"/>
                      <w:color w:val="auto"/>
                      <w:sz w:val="18"/>
                      <w:szCs w:val="18"/>
                    </w:rPr>
                  </w:pPr>
                  <w:r>
                    <w:rPr>
                      <w:rFonts w:ascii="Times New Roman" w:hAnsi="Times New Roman"/>
                      <w:color w:val="auto"/>
                      <w:sz w:val="18"/>
                      <w:szCs w:val="18"/>
                    </w:rPr>
                    <w:t>12 污染物监测要求</w:t>
                  </w:r>
                </w:p>
                <w:p w14:paraId="15A2A43A">
                  <w:pPr>
                    <w:jc w:val="left"/>
                    <w:rPr>
                      <w:rFonts w:ascii="Times New Roman" w:hAnsi="Times New Roman"/>
                      <w:color w:val="auto"/>
                      <w:sz w:val="18"/>
                      <w:szCs w:val="18"/>
                    </w:rPr>
                  </w:pPr>
                  <w:r>
                    <w:rPr>
                      <w:rFonts w:ascii="Times New Roman" w:hAnsi="Times New Roman"/>
                      <w:color w:val="auto"/>
                      <w:sz w:val="18"/>
                      <w:szCs w:val="18"/>
                    </w:rPr>
                    <w:t>12.1 企业应按照有关法律、《环境监测管理办法》和HJ819等规定，建立企业监测制度，制订监测方案，对污染物排放状况及其对周边环境质量的影响开展自行监测，保存原始监测记录，并公布监测结果。</w:t>
                  </w:r>
                </w:p>
                <w:p w14:paraId="1B82F600">
                  <w:pPr>
                    <w:jc w:val="left"/>
                    <w:rPr>
                      <w:rFonts w:ascii="Times New Roman" w:hAnsi="Times New Roman"/>
                      <w:color w:val="auto"/>
                      <w:sz w:val="18"/>
                      <w:szCs w:val="18"/>
                    </w:rPr>
                  </w:pPr>
                  <w:r>
                    <w:rPr>
                      <w:rFonts w:ascii="Times New Roman" w:hAnsi="Times New Roman"/>
                      <w:color w:val="auto"/>
                      <w:sz w:val="18"/>
                      <w:szCs w:val="18"/>
                    </w:rPr>
                    <w:t>12.2 新建企业和现有企业安装污染物排放自动监控设备的要求，按有关法律和《污染源自动监控管理办法》等规定执行。</w:t>
                  </w:r>
                </w:p>
                <w:p w14:paraId="0A2428EF">
                  <w:pPr>
                    <w:jc w:val="left"/>
                    <w:rPr>
                      <w:rFonts w:ascii="Times New Roman" w:hAnsi="Times New Roman"/>
                      <w:color w:val="auto"/>
                      <w:sz w:val="18"/>
                      <w:szCs w:val="18"/>
                    </w:rPr>
                  </w:pPr>
                  <w:r>
                    <w:rPr>
                      <w:rFonts w:ascii="Times New Roman" w:hAnsi="Times New Roman"/>
                      <w:color w:val="auto"/>
                      <w:sz w:val="18"/>
                      <w:szCs w:val="18"/>
                    </w:rPr>
                    <w:t>12.3 对于挥发性有机液体储罐、挥发性有机液体装载设施以及废气收集处理系统的VOCs排放，监测采样和测定方法按GB/T16157、HJ/T397、HJ732以及HJ38、HJ1012、HJ1013的规定执行。对于储罐呼吸排气等排放强度周期性波动的污染源，污染物排放监测时段应涵盖其排放强度大的时段。</w:t>
                  </w:r>
                </w:p>
              </w:tc>
              <w:tc>
                <w:tcPr>
                  <w:tcW w:w="1383" w:type="pct"/>
                  <w:tcMar>
                    <w:top w:w="0" w:type="dxa"/>
                    <w:left w:w="28" w:type="dxa"/>
                    <w:bottom w:w="0" w:type="dxa"/>
                    <w:right w:w="28" w:type="dxa"/>
                  </w:tcMar>
                  <w:vAlign w:val="center"/>
                </w:tcPr>
                <w:p w14:paraId="2842FE84">
                  <w:pPr>
                    <w:jc w:val="center"/>
                    <w:rPr>
                      <w:rFonts w:ascii="Times New Roman" w:hAnsi="Times New Roman"/>
                      <w:color w:val="auto"/>
                      <w:sz w:val="18"/>
                      <w:szCs w:val="18"/>
                    </w:rPr>
                  </w:pPr>
                  <w:r>
                    <w:rPr>
                      <w:rFonts w:ascii="Times New Roman" w:hAnsi="Times New Roman"/>
                      <w:color w:val="auto"/>
                      <w:sz w:val="18"/>
                      <w:szCs w:val="18"/>
                    </w:rPr>
                    <w:t>1）本次环评针对项目特点布设了监测方案。2）监测过程中充分考虑项目特点，确保监测时段涵盖排放强度大的时段。</w:t>
                  </w:r>
                </w:p>
                <w:p w14:paraId="2D2ACF71">
                  <w:pPr>
                    <w:jc w:val="center"/>
                    <w:rPr>
                      <w:rFonts w:ascii="Times New Roman" w:hAnsi="Times New Roman"/>
                      <w:color w:val="auto"/>
                      <w:sz w:val="18"/>
                      <w:szCs w:val="18"/>
                    </w:rPr>
                  </w:pPr>
                  <w:r>
                    <w:rPr>
                      <w:rFonts w:ascii="Times New Roman" w:hAnsi="Times New Roman"/>
                      <w:color w:val="auto"/>
                      <w:sz w:val="18"/>
                      <w:szCs w:val="18"/>
                    </w:rPr>
                    <w:t>满足要求。</w:t>
                  </w:r>
                </w:p>
              </w:tc>
            </w:tr>
          </w:tbl>
          <w:p w14:paraId="61B5FBCB">
            <w:pPr>
              <w:pStyle w:val="79"/>
              <w:ind w:firstLine="480"/>
              <w:rPr>
                <w:color w:val="auto"/>
                <w:sz w:val="21"/>
                <w:szCs w:val="21"/>
              </w:rPr>
            </w:pPr>
            <w:r>
              <w:rPr>
                <w:color w:val="auto"/>
                <w:sz w:val="21"/>
                <w:szCs w:val="21"/>
              </w:rPr>
              <w:t>由上表分析可见，项目主要污染防治措施、主要污染物排放能够满足《挥发性有机物无组织排放控制标准》（GB37822-2019）中的要求。建设单位应严格按照标准中的要求进行环保设施建设、例行检测，及时开展修复，并记录台账，制定相应的计划规划，提高自身环境管理水平。</w:t>
            </w:r>
          </w:p>
          <w:p w14:paraId="1E886D2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综上所述，本项目</w:t>
            </w:r>
            <w:r>
              <w:rPr>
                <w:rFonts w:hint="eastAsia"/>
                <w:color w:val="auto"/>
              </w:rPr>
              <w:t>有机废气治理措施从技术角度分析是可行的。</w:t>
            </w:r>
          </w:p>
          <w:p w14:paraId="7048243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eastAsia="宋体"/>
                <w:b/>
                <w:bCs/>
                <w:color w:val="auto"/>
                <w:lang w:val="en-US" w:eastAsia="zh-CN"/>
              </w:rPr>
            </w:pPr>
            <w:r>
              <w:rPr>
                <w:rFonts w:hint="eastAsia"/>
                <w:b/>
                <w:bCs/>
                <w:color w:val="auto"/>
                <w:lang w:val="en-US" w:eastAsia="zh-CN"/>
              </w:rPr>
              <w:t>（三）本项目废气排放情况汇总</w:t>
            </w:r>
          </w:p>
          <w:p w14:paraId="58BDD2E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根据前述，本项目有组织、无组织废气产生及排放量汇总如下：</w:t>
            </w:r>
          </w:p>
          <w:p w14:paraId="3DDBA6C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w:t>
            </w:r>
            <w:r>
              <w:rPr>
                <w:rFonts w:hint="eastAsia"/>
                <w:b/>
                <w:color w:val="auto"/>
                <w:szCs w:val="21"/>
                <w:lang w:val="en-US" w:eastAsia="zh-CN"/>
              </w:rPr>
              <w:t>4-18</w:t>
            </w:r>
            <w:r>
              <w:rPr>
                <w:rFonts w:hint="eastAsia"/>
                <w:b/>
                <w:color w:val="auto"/>
                <w:szCs w:val="21"/>
              </w:rPr>
              <w:t xml:space="preserve">  本项目废气排放情况汇总表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1023"/>
              <w:gridCol w:w="2045"/>
              <w:gridCol w:w="2045"/>
              <w:gridCol w:w="2053"/>
            </w:tblGrid>
            <w:tr w14:paraId="187790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48" w:type="pct"/>
                  <w:gridSpan w:val="2"/>
                  <w:vAlign w:val="center"/>
                </w:tcPr>
                <w:p w14:paraId="5758E624">
                  <w:pPr>
                    <w:spacing w:line="240" w:lineRule="auto"/>
                    <w:jc w:val="center"/>
                    <w:rPr>
                      <w:rFonts w:ascii="Times New Roman" w:hAnsi="Times New Roman"/>
                      <w:color w:val="auto"/>
                      <w:sz w:val="18"/>
                      <w:szCs w:val="18"/>
                    </w:rPr>
                  </w:pPr>
                  <w:r>
                    <w:rPr>
                      <w:rFonts w:ascii="Times New Roman" w:hAnsi="Times New Roman"/>
                      <w:color w:val="auto"/>
                      <w:sz w:val="18"/>
                      <w:szCs w:val="18"/>
                    </w:rPr>
                    <w:t>污染物</w:t>
                  </w:r>
                </w:p>
              </w:tc>
              <w:tc>
                <w:tcPr>
                  <w:tcW w:w="1248" w:type="pct"/>
                  <w:vAlign w:val="center"/>
                </w:tcPr>
                <w:p w14:paraId="7EC34A80">
                  <w:pPr>
                    <w:spacing w:line="240" w:lineRule="auto"/>
                    <w:jc w:val="center"/>
                    <w:rPr>
                      <w:rFonts w:ascii="Times New Roman" w:hAnsi="Times New Roman"/>
                      <w:color w:val="auto"/>
                      <w:sz w:val="18"/>
                      <w:szCs w:val="18"/>
                    </w:rPr>
                  </w:pPr>
                  <w:r>
                    <w:rPr>
                      <w:rFonts w:ascii="Times New Roman" w:hAnsi="Times New Roman"/>
                      <w:color w:val="auto"/>
                      <w:sz w:val="18"/>
                      <w:szCs w:val="18"/>
                    </w:rPr>
                    <w:t>有组织排放量（t/a）</w:t>
                  </w:r>
                </w:p>
              </w:tc>
              <w:tc>
                <w:tcPr>
                  <w:tcW w:w="1248" w:type="pct"/>
                  <w:vAlign w:val="center"/>
                </w:tcPr>
                <w:p w14:paraId="2337D127">
                  <w:pPr>
                    <w:spacing w:line="240" w:lineRule="auto"/>
                    <w:jc w:val="center"/>
                    <w:rPr>
                      <w:rFonts w:ascii="Times New Roman" w:hAnsi="Times New Roman"/>
                      <w:color w:val="auto"/>
                      <w:sz w:val="18"/>
                      <w:szCs w:val="18"/>
                    </w:rPr>
                  </w:pPr>
                  <w:r>
                    <w:rPr>
                      <w:rFonts w:ascii="Times New Roman" w:hAnsi="Times New Roman"/>
                      <w:color w:val="auto"/>
                      <w:sz w:val="18"/>
                      <w:szCs w:val="18"/>
                    </w:rPr>
                    <w:t>无组织排放量（t/a）</w:t>
                  </w:r>
                </w:p>
              </w:tc>
              <w:tc>
                <w:tcPr>
                  <w:tcW w:w="1253" w:type="pct"/>
                  <w:vAlign w:val="center"/>
                </w:tcPr>
                <w:p w14:paraId="4B94C034">
                  <w:pPr>
                    <w:spacing w:line="240" w:lineRule="auto"/>
                    <w:jc w:val="center"/>
                    <w:rPr>
                      <w:rFonts w:ascii="Times New Roman" w:hAnsi="Times New Roman"/>
                      <w:color w:val="auto"/>
                      <w:sz w:val="18"/>
                      <w:szCs w:val="18"/>
                    </w:rPr>
                  </w:pPr>
                  <w:r>
                    <w:rPr>
                      <w:rFonts w:ascii="Times New Roman" w:hAnsi="Times New Roman"/>
                      <w:color w:val="auto"/>
                      <w:sz w:val="18"/>
                      <w:szCs w:val="18"/>
                    </w:rPr>
                    <w:t>合计排放量（t/a）</w:t>
                  </w:r>
                </w:p>
              </w:tc>
            </w:tr>
            <w:tr w14:paraId="139575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48" w:type="pct"/>
                  <w:gridSpan w:val="2"/>
                  <w:vAlign w:val="center"/>
                </w:tcPr>
                <w:p w14:paraId="5F59D099">
                  <w:pPr>
                    <w:spacing w:line="240" w:lineRule="auto"/>
                    <w:jc w:val="center"/>
                    <w:rPr>
                      <w:rFonts w:hint="eastAsia" w:ascii="Times New Roman" w:hAnsi="Times New Roman" w:eastAsia="宋体"/>
                      <w:color w:val="auto"/>
                      <w:sz w:val="18"/>
                      <w:szCs w:val="18"/>
                      <w:lang w:val="en-US" w:eastAsia="zh-CN"/>
                    </w:rPr>
                  </w:pPr>
                  <w:r>
                    <w:rPr>
                      <w:rFonts w:ascii="Times New Roman" w:hAnsi="Times New Roman"/>
                      <w:color w:val="auto"/>
                      <w:sz w:val="18"/>
                      <w:szCs w:val="18"/>
                    </w:rPr>
                    <w:t>VOCs</w:t>
                  </w:r>
                  <w:r>
                    <w:rPr>
                      <w:rFonts w:hint="eastAsia"/>
                      <w:color w:val="auto"/>
                      <w:sz w:val="18"/>
                      <w:szCs w:val="18"/>
                      <w:lang w:val="en-US" w:eastAsia="zh-CN"/>
                    </w:rPr>
                    <w:t>合计</w:t>
                  </w:r>
                </w:p>
              </w:tc>
              <w:tc>
                <w:tcPr>
                  <w:tcW w:w="1248" w:type="pct"/>
                  <w:vAlign w:val="center"/>
                </w:tcPr>
                <w:p w14:paraId="25F020FB">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0.318</w:t>
                  </w:r>
                </w:p>
              </w:tc>
              <w:tc>
                <w:tcPr>
                  <w:tcW w:w="1248" w:type="pct"/>
                  <w:vAlign w:val="center"/>
                </w:tcPr>
                <w:p w14:paraId="6AFD960E">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2.034</w:t>
                  </w:r>
                </w:p>
              </w:tc>
              <w:tc>
                <w:tcPr>
                  <w:tcW w:w="1253" w:type="pct"/>
                  <w:vAlign w:val="center"/>
                </w:tcPr>
                <w:p w14:paraId="04D5B795">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2.352</w:t>
                  </w:r>
                </w:p>
              </w:tc>
            </w:tr>
            <w:tr w14:paraId="342CE7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4" w:type="pct"/>
                  <w:vAlign w:val="center"/>
                </w:tcPr>
                <w:p w14:paraId="77AF5234">
                  <w:pPr>
                    <w:spacing w:line="240" w:lineRule="auto"/>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其中</w:t>
                  </w:r>
                </w:p>
              </w:tc>
              <w:tc>
                <w:tcPr>
                  <w:tcW w:w="624" w:type="pct"/>
                  <w:vAlign w:val="center"/>
                </w:tcPr>
                <w:p w14:paraId="6297269C">
                  <w:pPr>
                    <w:spacing w:line="240" w:lineRule="auto"/>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甲醇</w:t>
                  </w:r>
                </w:p>
              </w:tc>
              <w:tc>
                <w:tcPr>
                  <w:tcW w:w="1248" w:type="pct"/>
                  <w:vAlign w:val="center"/>
                </w:tcPr>
                <w:p w14:paraId="26CCAC2B">
                  <w:pPr>
                    <w:spacing w:line="240" w:lineRule="auto"/>
                    <w:jc w:val="center"/>
                    <w:rPr>
                      <w:rFonts w:hint="default"/>
                      <w:color w:val="auto"/>
                      <w:sz w:val="18"/>
                      <w:szCs w:val="18"/>
                      <w:lang w:val="en-US" w:eastAsia="zh-CN"/>
                    </w:rPr>
                  </w:pPr>
                  <w:r>
                    <w:rPr>
                      <w:rFonts w:hint="eastAsia"/>
                      <w:color w:val="auto"/>
                      <w:sz w:val="18"/>
                      <w:szCs w:val="18"/>
                      <w:lang w:val="en-US" w:eastAsia="zh-CN"/>
                    </w:rPr>
                    <w:t>0.211</w:t>
                  </w:r>
                </w:p>
              </w:tc>
              <w:tc>
                <w:tcPr>
                  <w:tcW w:w="1248" w:type="pct"/>
                  <w:vAlign w:val="center"/>
                </w:tcPr>
                <w:p w14:paraId="112BA619">
                  <w:pPr>
                    <w:spacing w:line="240" w:lineRule="auto"/>
                    <w:jc w:val="center"/>
                    <w:rPr>
                      <w:rFonts w:hint="default"/>
                      <w:color w:val="auto"/>
                      <w:sz w:val="18"/>
                      <w:szCs w:val="18"/>
                      <w:lang w:val="en-US" w:eastAsia="zh-CN"/>
                    </w:rPr>
                  </w:pPr>
                  <w:r>
                    <w:rPr>
                      <w:rFonts w:hint="eastAsia"/>
                      <w:color w:val="auto"/>
                      <w:sz w:val="18"/>
                      <w:szCs w:val="18"/>
                      <w:lang w:val="en-US" w:eastAsia="zh-CN"/>
                    </w:rPr>
                    <w:t>1.284</w:t>
                  </w:r>
                </w:p>
              </w:tc>
              <w:tc>
                <w:tcPr>
                  <w:tcW w:w="1253" w:type="pct"/>
                  <w:vAlign w:val="center"/>
                </w:tcPr>
                <w:p w14:paraId="10A08F06">
                  <w:pPr>
                    <w:spacing w:line="240" w:lineRule="auto"/>
                    <w:jc w:val="center"/>
                    <w:rPr>
                      <w:rFonts w:hint="default"/>
                      <w:color w:val="auto"/>
                      <w:sz w:val="18"/>
                      <w:szCs w:val="18"/>
                      <w:lang w:val="en-US" w:eastAsia="zh-CN"/>
                    </w:rPr>
                  </w:pPr>
                  <w:r>
                    <w:rPr>
                      <w:rFonts w:hint="eastAsia"/>
                      <w:color w:val="auto"/>
                      <w:sz w:val="18"/>
                      <w:szCs w:val="18"/>
                      <w:lang w:val="en-US" w:eastAsia="zh-CN"/>
                    </w:rPr>
                    <w:t>1.495</w:t>
                  </w:r>
                </w:p>
              </w:tc>
            </w:tr>
            <w:tr w14:paraId="1F9DE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48" w:type="pct"/>
                  <w:gridSpan w:val="2"/>
                  <w:vAlign w:val="center"/>
                </w:tcPr>
                <w:p w14:paraId="09E6E0AF">
                  <w:pPr>
                    <w:spacing w:line="240" w:lineRule="auto"/>
                    <w:jc w:val="center"/>
                    <w:rPr>
                      <w:rFonts w:hint="default"/>
                      <w:color w:val="auto"/>
                      <w:sz w:val="18"/>
                      <w:szCs w:val="18"/>
                      <w:lang w:val="en-US" w:eastAsia="zh-CN"/>
                    </w:rPr>
                  </w:pPr>
                  <w:r>
                    <w:rPr>
                      <w:rFonts w:hint="eastAsia"/>
                      <w:color w:val="auto"/>
                      <w:sz w:val="18"/>
                      <w:szCs w:val="18"/>
                      <w:lang w:val="en-US" w:eastAsia="zh-CN"/>
                    </w:rPr>
                    <w:t>NOx</w:t>
                  </w:r>
                </w:p>
              </w:tc>
              <w:tc>
                <w:tcPr>
                  <w:tcW w:w="1248" w:type="pct"/>
                  <w:vAlign w:val="center"/>
                </w:tcPr>
                <w:p w14:paraId="5B3DBA06">
                  <w:pPr>
                    <w:spacing w:line="240" w:lineRule="auto"/>
                    <w:jc w:val="center"/>
                    <w:rPr>
                      <w:rFonts w:hint="default"/>
                      <w:color w:val="auto"/>
                      <w:sz w:val="18"/>
                      <w:szCs w:val="18"/>
                      <w:lang w:val="en-US" w:eastAsia="zh-CN"/>
                    </w:rPr>
                  </w:pPr>
                  <w:r>
                    <w:rPr>
                      <w:rFonts w:hint="eastAsia"/>
                      <w:color w:val="auto"/>
                      <w:sz w:val="18"/>
                      <w:szCs w:val="18"/>
                      <w:lang w:val="en-US" w:eastAsia="zh-CN"/>
                    </w:rPr>
                    <w:t>0.0403</w:t>
                  </w:r>
                </w:p>
              </w:tc>
              <w:tc>
                <w:tcPr>
                  <w:tcW w:w="1248" w:type="pct"/>
                  <w:vAlign w:val="center"/>
                </w:tcPr>
                <w:p w14:paraId="77CBF0C0">
                  <w:pPr>
                    <w:spacing w:line="240" w:lineRule="auto"/>
                    <w:jc w:val="center"/>
                    <w:rPr>
                      <w:rFonts w:hint="default"/>
                      <w:color w:val="auto"/>
                      <w:sz w:val="18"/>
                      <w:szCs w:val="18"/>
                      <w:lang w:val="en-US" w:eastAsia="zh-CN"/>
                    </w:rPr>
                  </w:pPr>
                  <w:r>
                    <w:rPr>
                      <w:rFonts w:hint="eastAsia"/>
                      <w:color w:val="auto"/>
                      <w:sz w:val="18"/>
                      <w:szCs w:val="18"/>
                      <w:lang w:val="en-US" w:eastAsia="zh-CN"/>
                    </w:rPr>
                    <w:t>--</w:t>
                  </w:r>
                </w:p>
              </w:tc>
              <w:tc>
                <w:tcPr>
                  <w:tcW w:w="1253" w:type="pct"/>
                  <w:vAlign w:val="center"/>
                </w:tcPr>
                <w:p w14:paraId="1D60B52F">
                  <w:pPr>
                    <w:spacing w:line="240" w:lineRule="auto"/>
                    <w:jc w:val="center"/>
                    <w:rPr>
                      <w:rFonts w:hint="default"/>
                      <w:color w:val="auto"/>
                      <w:sz w:val="18"/>
                      <w:szCs w:val="18"/>
                      <w:lang w:val="en-US" w:eastAsia="zh-CN"/>
                    </w:rPr>
                  </w:pPr>
                  <w:r>
                    <w:rPr>
                      <w:rFonts w:hint="eastAsia"/>
                      <w:color w:val="auto"/>
                      <w:sz w:val="18"/>
                      <w:szCs w:val="18"/>
                      <w:lang w:val="en-US" w:eastAsia="zh-CN"/>
                    </w:rPr>
                    <w:t>0.0403</w:t>
                  </w:r>
                </w:p>
              </w:tc>
            </w:tr>
          </w:tbl>
          <w:p w14:paraId="5175F7E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（四）“三本账”分析</w:t>
            </w:r>
          </w:p>
          <w:p w14:paraId="44342D23">
            <w:pPr>
              <w:pStyle w:val="79"/>
              <w:spacing w:line="480" w:lineRule="exact"/>
              <w:ind w:firstLine="480"/>
              <w:rPr>
                <w:color w:val="auto"/>
                <w:sz w:val="21"/>
                <w:szCs w:val="21"/>
              </w:rPr>
            </w:pPr>
            <w:r>
              <w:rPr>
                <w:rFonts w:hint="eastAsia"/>
                <w:color w:val="auto"/>
                <w:sz w:val="21"/>
                <w:szCs w:val="21"/>
              </w:rPr>
              <w:t>本项目建后全厂污染物排放“三本账”分析如下：</w:t>
            </w:r>
          </w:p>
          <w:p w14:paraId="76AAB28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highlight w:val="none"/>
              </w:rPr>
            </w:pPr>
            <w:r>
              <w:rPr>
                <w:rFonts w:hint="eastAsia"/>
                <w:b/>
                <w:color w:val="auto"/>
                <w:szCs w:val="21"/>
                <w:highlight w:val="none"/>
              </w:rPr>
              <w:t>表</w:t>
            </w:r>
            <w:r>
              <w:rPr>
                <w:rFonts w:hint="eastAsia"/>
                <w:b/>
                <w:color w:val="auto"/>
                <w:szCs w:val="21"/>
                <w:highlight w:val="none"/>
                <w:lang w:val="en-US" w:eastAsia="zh-CN"/>
              </w:rPr>
              <w:t>4-19</w:t>
            </w:r>
            <w:r>
              <w:rPr>
                <w:rFonts w:hint="eastAsia"/>
                <w:b/>
                <w:color w:val="auto"/>
                <w:szCs w:val="21"/>
                <w:highlight w:val="none"/>
              </w:rPr>
              <w:t xml:space="preserve">  项目建成后全厂污染物排放“三本账”分析表（单位：t/a）</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774"/>
              <w:gridCol w:w="484"/>
              <w:gridCol w:w="484"/>
              <w:gridCol w:w="930"/>
              <w:gridCol w:w="960"/>
              <w:gridCol w:w="810"/>
              <w:gridCol w:w="1020"/>
              <w:gridCol w:w="840"/>
              <w:gridCol w:w="1200"/>
              <w:gridCol w:w="692"/>
            </w:tblGrid>
            <w:tr w14:paraId="128BD4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1742" w:type="dxa"/>
                  <w:gridSpan w:val="3"/>
                  <w:vAlign w:val="center"/>
                </w:tcPr>
                <w:p w14:paraId="035D771F">
                  <w:pPr>
                    <w:pStyle w:val="60"/>
                    <w:rPr>
                      <w:rFonts w:hint="eastAsia"/>
                      <w:color w:val="auto"/>
                      <w:sz w:val="18"/>
                      <w:szCs w:val="18"/>
                      <w:highlight w:val="none"/>
                    </w:rPr>
                  </w:pPr>
                  <w:r>
                    <w:rPr>
                      <w:rFonts w:hint="eastAsia"/>
                      <w:color w:val="auto"/>
                      <w:sz w:val="18"/>
                      <w:szCs w:val="18"/>
                      <w:highlight w:val="none"/>
                    </w:rPr>
                    <w:t>名称</w:t>
                  </w:r>
                </w:p>
              </w:tc>
              <w:tc>
                <w:tcPr>
                  <w:tcW w:w="930" w:type="dxa"/>
                  <w:vAlign w:val="center"/>
                </w:tcPr>
                <w:p w14:paraId="629273BE">
                  <w:pPr>
                    <w:pStyle w:val="60"/>
                    <w:rPr>
                      <w:rFonts w:hint="eastAsia"/>
                      <w:color w:val="auto"/>
                      <w:sz w:val="18"/>
                      <w:szCs w:val="18"/>
                      <w:highlight w:val="none"/>
                    </w:rPr>
                  </w:pPr>
                  <w:r>
                    <w:rPr>
                      <w:rFonts w:hint="eastAsia"/>
                      <w:color w:val="auto"/>
                      <w:sz w:val="18"/>
                      <w:szCs w:val="18"/>
                      <w:highlight w:val="none"/>
                    </w:rPr>
                    <w:t>①现有项目排放量</w:t>
                  </w:r>
                </w:p>
              </w:tc>
              <w:tc>
                <w:tcPr>
                  <w:tcW w:w="960" w:type="dxa"/>
                  <w:vAlign w:val="center"/>
                </w:tcPr>
                <w:p w14:paraId="350EA8CF">
                  <w:pPr>
                    <w:pStyle w:val="60"/>
                    <w:rPr>
                      <w:color w:val="auto"/>
                      <w:sz w:val="18"/>
                      <w:szCs w:val="18"/>
                      <w:highlight w:val="none"/>
                    </w:rPr>
                  </w:pPr>
                  <w:r>
                    <w:rPr>
                      <w:rFonts w:hint="eastAsia"/>
                      <w:color w:val="auto"/>
                      <w:sz w:val="18"/>
                      <w:szCs w:val="18"/>
                      <w:highlight w:val="none"/>
                      <w:lang w:val="en-US" w:eastAsia="zh-CN"/>
                    </w:rPr>
                    <w:t>②</w:t>
                  </w:r>
                  <w:r>
                    <w:rPr>
                      <w:rFonts w:hint="eastAsia"/>
                      <w:color w:val="auto"/>
                      <w:sz w:val="18"/>
                      <w:szCs w:val="18"/>
                      <w:highlight w:val="none"/>
                    </w:rPr>
                    <w:t>现有项目</w:t>
                  </w:r>
                  <w:r>
                    <w:rPr>
                      <w:rFonts w:hint="eastAsia"/>
                      <w:color w:val="auto"/>
                      <w:sz w:val="18"/>
                      <w:szCs w:val="18"/>
                      <w:highlight w:val="none"/>
                      <w:lang w:val="en-US" w:eastAsia="zh-CN"/>
                    </w:rPr>
                    <w:t>许可</w:t>
                  </w:r>
                  <w:r>
                    <w:rPr>
                      <w:rFonts w:hint="eastAsia"/>
                      <w:color w:val="auto"/>
                      <w:sz w:val="18"/>
                      <w:szCs w:val="18"/>
                      <w:highlight w:val="none"/>
                    </w:rPr>
                    <w:t>排放量</w:t>
                  </w:r>
                </w:p>
              </w:tc>
              <w:tc>
                <w:tcPr>
                  <w:tcW w:w="810" w:type="dxa"/>
                  <w:vAlign w:val="center"/>
                </w:tcPr>
                <w:p w14:paraId="207BA8CB">
                  <w:pPr>
                    <w:pStyle w:val="60"/>
                    <w:rPr>
                      <w:color w:val="auto"/>
                      <w:sz w:val="18"/>
                      <w:szCs w:val="18"/>
                      <w:highlight w:val="none"/>
                    </w:rPr>
                  </w:pPr>
                  <w:r>
                    <w:rPr>
                      <w:rFonts w:hint="eastAsia"/>
                      <w:color w:val="auto"/>
                      <w:sz w:val="18"/>
                      <w:szCs w:val="18"/>
                      <w:highlight w:val="none"/>
                      <w:lang w:val="en-US" w:eastAsia="zh-CN"/>
                    </w:rPr>
                    <w:t>③在建</w:t>
                  </w:r>
                  <w:r>
                    <w:rPr>
                      <w:rFonts w:hint="eastAsia"/>
                      <w:color w:val="auto"/>
                      <w:sz w:val="18"/>
                      <w:szCs w:val="18"/>
                      <w:highlight w:val="none"/>
                    </w:rPr>
                    <w:t>项目排放量</w:t>
                  </w:r>
                </w:p>
              </w:tc>
              <w:tc>
                <w:tcPr>
                  <w:tcW w:w="1020" w:type="dxa"/>
                  <w:vAlign w:val="center"/>
                </w:tcPr>
                <w:p w14:paraId="099F8403">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④本项目工程排放量</w:t>
                  </w:r>
                </w:p>
              </w:tc>
              <w:tc>
                <w:tcPr>
                  <w:tcW w:w="840" w:type="dxa"/>
                  <w:vAlign w:val="center"/>
                </w:tcPr>
                <w:p w14:paraId="222ADF4A">
                  <w:pPr>
                    <w:pStyle w:val="60"/>
                    <w:rPr>
                      <w:color w:val="auto"/>
                      <w:sz w:val="18"/>
                      <w:szCs w:val="18"/>
                      <w:highlight w:val="none"/>
                    </w:rPr>
                  </w:pPr>
                  <w:r>
                    <w:rPr>
                      <w:rFonts w:hint="eastAsia"/>
                      <w:color w:val="auto"/>
                      <w:sz w:val="18"/>
                      <w:szCs w:val="18"/>
                      <w:highlight w:val="none"/>
                      <w:lang w:val="en-US" w:eastAsia="zh-CN"/>
                    </w:rPr>
                    <w:t>⑤</w:t>
                  </w:r>
                  <w:r>
                    <w:rPr>
                      <w:rFonts w:hint="eastAsia"/>
                      <w:color w:val="auto"/>
                      <w:sz w:val="18"/>
                      <w:szCs w:val="18"/>
                      <w:highlight w:val="none"/>
                    </w:rPr>
                    <w:t>以新带老削减量</w:t>
                  </w:r>
                </w:p>
              </w:tc>
              <w:tc>
                <w:tcPr>
                  <w:tcW w:w="1200" w:type="dxa"/>
                  <w:vAlign w:val="center"/>
                </w:tcPr>
                <w:p w14:paraId="7DFAC0AA">
                  <w:pPr>
                    <w:pStyle w:val="60"/>
                    <w:rPr>
                      <w:color w:val="auto"/>
                      <w:sz w:val="18"/>
                      <w:szCs w:val="18"/>
                      <w:highlight w:val="none"/>
                    </w:rPr>
                  </w:pPr>
                  <w:r>
                    <w:rPr>
                      <w:rFonts w:hint="eastAsia"/>
                      <w:color w:val="auto"/>
                      <w:sz w:val="18"/>
                      <w:szCs w:val="18"/>
                      <w:highlight w:val="none"/>
                      <w:lang w:val="en-US" w:eastAsia="zh-CN"/>
                    </w:rPr>
                    <w:t>⑥</w:t>
                  </w:r>
                  <w:r>
                    <w:rPr>
                      <w:rFonts w:hint="eastAsia"/>
                      <w:color w:val="auto"/>
                      <w:sz w:val="18"/>
                      <w:szCs w:val="18"/>
                      <w:highlight w:val="none"/>
                    </w:rPr>
                    <w:t>本项目建成后全厂排放量</w:t>
                  </w:r>
                </w:p>
              </w:tc>
              <w:tc>
                <w:tcPr>
                  <w:tcW w:w="692" w:type="dxa"/>
                  <w:vAlign w:val="center"/>
                </w:tcPr>
                <w:p w14:paraId="31A17840">
                  <w:pPr>
                    <w:pStyle w:val="60"/>
                    <w:rPr>
                      <w:color w:val="auto"/>
                      <w:sz w:val="18"/>
                      <w:szCs w:val="18"/>
                      <w:highlight w:val="none"/>
                    </w:rPr>
                  </w:pPr>
                  <w:r>
                    <w:rPr>
                      <w:rFonts w:hint="eastAsia"/>
                      <w:color w:val="auto"/>
                      <w:sz w:val="18"/>
                      <w:szCs w:val="18"/>
                      <w:highlight w:val="none"/>
                      <w:lang w:val="en-US" w:eastAsia="zh-CN"/>
                    </w:rPr>
                    <w:t>⑦</w:t>
                  </w:r>
                  <w:r>
                    <w:rPr>
                      <w:rFonts w:hint="eastAsia"/>
                      <w:color w:val="auto"/>
                      <w:sz w:val="18"/>
                      <w:szCs w:val="18"/>
                      <w:highlight w:val="none"/>
                    </w:rPr>
                    <w:t>变化量</w:t>
                  </w:r>
                </w:p>
              </w:tc>
            </w:tr>
            <w:tr w14:paraId="4BDD72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restart"/>
                  <w:vAlign w:val="center"/>
                </w:tcPr>
                <w:p w14:paraId="5E60FD48">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有组织废气</w:t>
                  </w:r>
                </w:p>
              </w:tc>
              <w:tc>
                <w:tcPr>
                  <w:tcW w:w="968" w:type="dxa"/>
                  <w:gridSpan w:val="2"/>
                  <w:shd w:val="clear" w:color="auto" w:fill="auto"/>
                  <w:vAlign w:val="center"/>
                </w:tcPr>
                <w:p w14:paraId="10C39B21">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VOCs</w:t>
                  </w:r>
                  <w:r>
                    <w:rPr>
                      <w:rFonts w:hint="eastAsia"/>
                      <w:color w:val="auto"/>
                      <w:sz w:val="18"/>
                      <w:szCs w:val="18"/>
                      <w:highlight w:val="none"/>
                      <w:lang w:val="en-US" w:eastAsia="zh-CN"/>
                    </w:rPr>
                    <w:t>小计</w:t>
                  </w:r>
                </w:p>
              </w:tc>
              <w:tc>
                <w:tcPr>
                  <w:tcW w:w="930" w:type="dxa"/>
                  <w:vAlign w:val="center"/>
                </w:tcPr>
                <w:p w14:paraId="4EC5D60F">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6.579</w:t>
                  </w:r>
                </w:p>
              </w:tc>
              <w:tc>
                <w:tcPr>
                  <w:tcW w:w="960" w:type="dxa"/>
                  <w:vAlign w:val="center"/>
                </w:tcPr>
                <w:p w14:paraId="62BD305E">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7.408</w:t>
                  </w:r>
                </w:p>
              </w:tc>
              <w:tc>
                <w:tcPr>
                  <w:tcW w:w="810" w:type="dxa"/>
                  <w:shd w:val="clear" w:color="auto" w:fill="auto"/>
                  <w:vAlign w:val="center"/>
                </w:tcPr>
                <w:p w14:paraId="1563FE79">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40E68C7D">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0.318</w:t>
                  </w:r>
                </w:p>
              </w:tc>
              <w:tc>
                <w:tcPr>
                  <w:tcW w:w="840" w:type="dxa"/>
                  <w:vAlign w:val="center"/>
                </w:tcPr>
                <w:p w14:paraId="45FE6C8A">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0.615</w:t>
                  </w:r>
                </w:p>
              </w:tc>
              <w:tc>
                <w:tcPr>
                  <w:tcW w:w="1200" w:type="dxa"/>
                  <w:vAlign w:val="center"/>
                </w:tcPr>
                <w:p w14:paraId="0D03261C">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6.282</w:t>
                  </w:r>
                </w:p>
              </w:tc>
              <w:tc>
                <w:tcPr>
                  <w:tcW w:w="692" w:type="dxa"/>
                  <w:vAlign w:val="center"/>
                </w:tcPr>
                <w:p w14:paraId="1E102297">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-0.297</w:t>
                  </w:r>
                </w:p>
              </w:tc>
            </w:tr>
            <w:tr w14:paraId="34393F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72A94512">
                  <w:pPr>
                    <w:pStyle w:val="60"/>
                    <w:rPr>
                      <w:color w:val="auto"/>
                      <w:sz w:val="18"/>
                      <w:szCs w:val="18"/>
                      <w:highlight w:val="none"/>
                    </w:rPr>
                  </w:pPr>
                </w:p>
              </w:tc>
              <w:tc>
                <w:tcPr>
                  <w:tcW w:w="484" w:type="dxa"/>
                  <w:vMerge w:val="restart"/>
                  <w:shd w:val="clear" w:color="auto" w:fill="auto"/>
                  <w:vAlign w:val="center"/>
                </w:tcPr>
                <w:p w14:paraId="717A0F77">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其中</w:t>
                  </w:r>
                </w:p>
              </w:tc>
              <w:tc>
                <w:tcPr>
                  <w:tcW w:w="484" w:type="dxa"/>
                  <w:shd w:val="clear" w:color="auto" w:fill="auto"/>
                  <w:vAlign w:val="center"/>
                </w:tcPr>
                <w:p w14:paraId="08B9DFB4">
                  <w:pPr>
                    <w:pStyle w:val="60"/>
                    <w:rPr>
                      <w:rFonts w:hint="eastAsia" w:ascii="Times New Roman" w:hAnsi="Times New Roman" w:eastAsia="宋体" w:cs="Times New Roman"/>
                      <w:color w:val="auto"/>
                      <w:kern w:val="2"/>
                      <w:sz w:val="18"/>
                      <w:szCs w:val="18"/>
                      <w:highlight w:val="none"/>
                      <w:lang w:val="zh-CN" w:eastAsia="zh-CN" w:bidi="ar-SA"/>
                    </w:rPr>
                  </w:pPr>
                  <w:r>
                    <w:rPr>
                      <w:rFonts w:hint="eastAsia"/>
                      <w:color w:val="auto"/>
                      <w:sz w:val="18"/>
                      <w:szCs w:val="18"/>
                      <w:highlight w:val="none"/>
                    </w:rPr>
                    <w:t>甲醇</w:t>
                  </w:r>
                </w:p>
              </w:tc>
              <w:tc>
                <w:tcPr>
                  <w:tcW w:w="930" w:type="dxa"/>
                  <w:vAlign w:val="center"/>
                </w:tcPr>
                <w:p w14:paraId="33A161BC">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2.300</w:t>
                  </w:r>
                </w:p>
              </w:tc>
              <w:tc>
                <w:tcPr>
                  <w:tcW w:w="960" w:type="dxa"/>
                  <w:vAlign w:val="center"/>
                </w:tcPr>
                <w:p w14:paraId="707D90AA">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810" w:type="dxa"/>
                  <w:shd w:val="clear" w:color="auto" w:fill="auto"/>
                  <w:vAlign w:val="center"/>
                </w:tcPr>
                <w:p w14:paraId="5935375B">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5418FDCB">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0.211</w:t>
                  </w:r>
                </w:p>
              </w:tc>
              <w:tc>
                <w:tcPr>
                  <w:tcW w:w="840" w:type="dxa"/>
                  <w:vAlign w:val="center"/>
                </w:tcPr>
                <w:p w14:paraId="0DF90C21">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0.409</w:t>
                  </w:r>
                </w:p>
              </w:tc>
              <w:tc>
                <w:tcPr>
                  <w:tcW w:w="1200" w:type="dxa"/>
                  <w:shd w:val="clear" w:color="auto" w:fill="auto"/>
                  <w:vAlign w:val="center"/>
                </w:tcPr>
                <w:p w14:paraId="22FF1103">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2.102</w:t>
                  </w:r>
                </w:p>
              </w:tc>
              <w:tc>
                <w:tcPr>
                  <w:tcW w:w="692" w:type="dxa"/>
                  <w:vAlign w:val="center"/>
                </w:tcPr>
                <w:p w14:paraId="24F08361">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-0.198</w:t>
                  </w:r>
                </w:p>
              </w:tc>
            </w:tr>
            <w:tr w14:paraId="196ED4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37090E5A">
                  <w:pPr>
                    <w:pStyle w:val="60"/>
                    <w:rPr>
                      <w:rFonts w:hint="eastAsia" w:eastAsia="宋体"/>
                      <w:color w:val="auto"/>
                      <w:sz w:val="18"/>
                      <w:szCs w:val="18"/>
                      <w:highlight w:val="none"/>
                      <w:lang w:eastAsia="zh-CN"/>
                    </w:rPr>
                  </w:pPr>
                </w:p>
              </w:tc>
              <w:tc>
                <w:tcPr>
                  <w:tcW w:w="484" w:type="dxa"/>
                  <w:vMerge w:val="continue"/>
                  <w:shd w:val="clear" w:color="auto" w:fill="auto"/>
                  <w:vAlign w:val="center"/>
                </w:tcPr>
                <w:p w14:paraId="02A72322">
                  <w:pPr>
                    <w:pStyle w:val="60"/>
                    <w:rPr>
                      <w:rFonts w:hint="eastAsia" w:ascii="Times New Roman" w:hAnsi="Times New Roman" w:eastAsia="宋体" w:cs="Times New Roman"/>
                      <w:color w:val="auto"/>
                      <w:kern w:val="2"/>
                      <w:sz w:val="18"/>
                      <w:szCs w:val="18"/>
                      <w:highlight w:val="none"/>
                      <w:lang w:val="en-US" w:eastAsia="zh-CN" w:bidi="ar-SA"/>
                    </w:rPr>
                  </w:pPr>
                </w:p>
              </w:tc>
              <w:tc>
                <w:tcPr>
                  <w:tcW w:w="484" w:type="dxa"/>
                  <w:shd w:val="clear" w:color="auto" w:fill="auto"/>
                  <w:vAlign w:val="center"/>
                </w:tcPr>
                <w:p w14:paraId="7FA407D2">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甲醛</w:t>
                  </w:r>
                </w:p>
              </w:tc>
              <w:tc>
                <w:tcPr>
                  <w:tcW w:w="930" w:type="dxa"/>
                  <w:vAlign w:val="center"/>
                </w:tcPr>
                <w:p w14:paraId="334731DA">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0.314</w:t>
                  </w:r>
                </w:p>
              </w:tc>
              <w:tc>
                <w:tcPr>
                  <w:tcW w:w="960" w:type="dxa"/>
                  <w:vAlign w:val="center"/>
                </w:tcPr>
                <w:p w14:paraId="41966BFB">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810" w:type="dxa"/>
                  <w:shd w:val="clear" w:color="auto" w:fill="auto"/>
                  <w:vAlign w:val="center"/>
                </w:tcPr>
                <w:p w14:paraId="5F158000">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796E08FA">
                  <w:pPr>
                    <w:pStyle w:val="60"/>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40" w:type="dxa"/>
                  <w:vAlign w:val="center"/>
                </w:tcPr>
                <w:p w14:paraId="6882F218">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1200" w:type="dxa"/>
                  <w:shd w:val="clear" w:color="auto" w:fill="auto"/>
                  <w:vAlign w:val="center"/>
                </w:tcPr>
                <w:p w14:paraId="01346388">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0.314</w:t>
                  </w:r>
                </w:p>
              </w:tc>
              <w:tc>
                <w:tcPr>
                  <w:tcW w:w="692" w:type="dxa"/>
                  <w:vAlign w:val="center"/>
                </w:tcPr>
                <w:p w14:paraId="3A05466D">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r>
            <w:tr w14:paraId="6AED9E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4D81AC4A">
                  <w:pPr>
                    <w:pStyle w:val="60"/>
                    <w:rPr>
                      <w:rFonts w:hint="default"/>
                      <w:color w:val="auto"/>
                      <w:sz w:val="18"/>
                      <w:szCs w:val="18"/>
                      <w:highlight w:val="none"/>
                      <w:lang w:val="en-US" w:eastAsia="zh-CN"/>
                    </w:rPr>
                  </w:pPr>
                </w:p>
              </w:tc>
              <w:tc>
                <w:tcPr>
                  <w:tcW w:w="968" w:type="dxa"/>
                  <w:gridSpan w:val="2"/>
                  <w:shd w:val="clear" w:color="auto" w:fill="auto"/>
                  <w:vAlign w:val="center"/>
                </w:tcPr>
                <w:p w14:paraId="7C9F1FF0">
                  <w:pPr>
                    <w:pStyle w:val="6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NOx</w:t>
                  </w:r>
                </w:p>
              </w:tc>
              <w:tc>
                <w:tcPr>
                  <w:tcW w:w="930" w:type="dxa"/>
                  <w:vAlign w:val="center"/>
                </w:tcPr>
                <w:p w14:paraId="4F3FC17D">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0.481</w:t>
                  </w:r>
                </w:p>
              </w:tc>
              <w:tc>
                <w:tcPr>
                  <w:tcW w:w="960" w:type="dxa"/>
                  <w:vAlign w:val="center"/>
                </w:tcPr>
                <w:p w14:paraId="44F2A73E">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2.198</w:t>
                  </w:r>
                </w:p>
              </w:tc>
              <w:tc>
                <w:tcPr>
                  <w:tcW w:w="810" w:type="dxa"/>
                  <w:shd w:val="clear" w:color="auto" w:fill="auto"/>
                  <w:vAlign w:val="center"/>
                </w:tcPr>
                <w:p w14:paraId="27CD98E0">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7B978807">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0.0403</w:t>
                  </w:r>
                </w:p>
              </w:tc>
              <w:tc>
                <w:tcPr>
                  <w:tcW w:w="840" w:type="dxa"/>
                  <w:vAlign w:val="center"/>
                </w:tcPr>
                <w:p w14:paraId="6B8CFF04">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0.0209</w:t>
                  </w:r>
                </w:p>
              </w:tc>
              <w:tc>
                <w:tcPr>
                  <w:tcW w:w="1200" w:type="dxa"/>
                  <w:shd w:val="clear" w:color="auto" w:fill="auto"/>
                  <w:vAlign w:val="center"/>
                </w:tcPr>
                <w:p w14:paraId="2FDD5B0D">
                  <w:pPr>
                    <w:pStyle w:val="6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0.5004</w:t>
                  </w:r>
                </w:p>
              </w:tc>
              <w:tc>
                <w:tcPr>
                  <w:tcW w:w="692" w:type="dxa"/>
                  <w:vAlign w:val="center"/>
                </w:tcPr>
                <w:p w14:paraId="58B96FB1">
                  <w:pPr>
                    <w:pStyle w:val="60"/>
                    <w:rPr>
                      <w:rFonts w:hint="default" w:eastAsia="宋体"/>
                      <w:color w:val="auto"/>
                      <w:sz w:val="18"/>
                      <w:szCs w:val="18"/>
                      <w:highlight w:val="none"/>
                      <w:lang w:val="en-US" w:eastAsia="zh-CN"/>
                    </w:rPr>
                  </w:pPr>
                  <w:r>
                    <w:rPr>
                      <w:rFonts w:hint="eastAsia"/>
                      <w:color w:val="auto"/>
                      <w:sz w:val="18"/>
                      <w:szCs w:val="18"/>
                      <w:highlight w:val="none"/>
                      <w:lang w:val="en-US" w:eastAsia="zh-CN"/>
                    </w:rPr>
                    <w:t>+0.0194</w:t>
                  </w:r>
                </w:p>
              </w:tc>
            </w:tr>
            <w:tr w14:paraId="4BAA26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restart"/>
                  <w:vAlign w:val="center"/>
                </w:tcPr>
                <w:p w14:paraId="45D5F19D">
                  <w:pPr>
                    <w:pStyle w:val="60"/>
                    <w:rPr>
                      <w:rFonts w:hint="default"/>
                      <w:color w:val="auto"/>
                      <w:sz w:val="18"/>
                      <w:szCs w:val="18"/>
                      <w:highlight w:val="none"/>
                      <w:lang w:val="en-US" w:eastAsia="zh-CN"/>
                    </w:rPr>
                  </w:pPr>
                  <w:r>
                    <w:rPr>
                      <w:rFonts w:hint="eastAsia"/>
                      <w:color w:val="auto"/>
                      <w:sz w:val="18"/>
                      <w:szCs w:val="18"/>
                      <w:highlight w:val="none"/>
                      <w:lang w:val="en-US" w:eastAsia="zh-CN"/>
                    </w:rPr>
                    <w:t>无组织废气</w:t>
                  </w:r>
                </w:p>
              </w:tc>
              <w:tc>
                <w:tcPr>
                  <w:tcW w:w="968" w:type="dxa"/>
                  <w:gridSpan w:val="2"/>
                  <w:vAlign w:val="center"/>
                </w:tcPr>
                <w:p w14:paraId="1D9D2E31">
                  <w:pPr>
                    <w:pStyle w:val="60"/>
                    <w:rPr>
                      <w:rFonts w:hint="default"/>
                      <w:color w:val="auto"/>
                      <w:sz w:val="18"/>
                      <w:szCs w:val="18"/>
                      <w:highlight w:val="none"/>
                      <w:lang w:val="en-US" w:eastAsia="zh-CN"/>
                    </w:rPr>
                  </w:pPr>
                  <w:r>
                    <w:rPr>
                      <w:rFonts w:hint="eastAsia"/>
                      <w:color w:val="auto"/>
                      <w:sz w:val="18"/>
                      <w:szCs w:val="18"/>
                      <w:highlight w:val="none"/>
                      <w:lang w:val="en-US" w:eastAsia="zh-CN"/>
                    </w:rPr>
                    <w:t>VOCs小计</w:t>
                  </w:r>
                </w:p>
              </w:tc>
              <w:tc>
                <w:tcPr>
                  <w:tcW w:w="930" w:type="dxa"/>
                  <w:vAlign w:val="center"/>
                </w:tcPr>
                <w:p w14:paraId="4DEB6E48">
                  <w:pPr>
                    <w:pStyle w:val="60"/>
                    <w:rPr>
                      <w:rFonts w:hint="default"/>
                      <w:color w:val="auto"/>
                      <w:sz w:val="18"/>
                      <w:szCs w:val="18"/>
                      <w:highlight w:val="none"/>
                      <w:lang w:val="en-US" w:eastAsia="zh-CN"/>
                    </w:rPr>
                  </w:pPr>
                  <w:r>
                    <w:rPr>
                      <w:rFonts w:hint="eastAsia"/>
                      <w:color w:val="auto"/>
                      <w:sz w:val="18"/>
                      <w:szCs w:val="18"/>
                      <w:highlight w:val="none"/>
                      <w:lang w:val="en-US" w:eastAsia="zh-CN"/>
                    </w:rPr>
                    <w:t>1.142</w:t>
                  </w:r>
                </w:p>
              </w:tc>
              <w:tc>
                <w:tcPr>
                  <w:tcW w:w="960" w:type="dxa"/>
                  <w:vAlign w:val="center"/>
                </w:tcPr>
                <w:p w14:paraId="65A88CFA">
                  <w:pPr>
                    <w:pStyle w:val="60"/>
                    <w:rPr>
                      <w:rFonts w:hint="default"/>
                      <w:color w:val="auto"/>
                      <w:sz w:val="18"/>
                      <w:szCs w:val="18"/>
                      <w:highlight w:val="none"/>
                      <w:lang w:val="en-US" w:eastAsia="zh-CN"/>
                    </w:rPr>
                  </w:pPr>
                  <w:r>
                    <w:rPr>
                      <w:rFonts w:hint="eastAsia"/>
                      <w:color w:val="auto"/>
                      <w:sz w:val="18"/>
                      <w:szCs w:val="18"/>
                      <w:highlight w:val="none"/>
                      <w:lang w:val="en-US" w:eastAsia="zh-CN"/>
                    </w:rPr>
                    <w:t>2.026</w:t>
                  </w:r>
                </w:p>
              </w:tc>
              <w:tc>
                <w:tcPr>
                  <w:tcW w:w="810" w:type="dxa"/>
                  <w:shd w:val="clear" w:color="auto" w:fill="auto"/>
                  <w:vAlign w:val="center"/>
                </w:tcPr>
                <w:p w14:paraId="1D2881D9">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3B5CCC4B">
                  <w:pPr>
                    <w:pStyle w:val="60"/>
                    <w:rPr>
                      <w:rFonts w:hint="default"/>
                      <w:color w:val="auto"/>
                      <w:sz w:val="18"/>
                      <w:szCs w:val="18"/>
                      <w:highlight w:val="none"/>
                      <w:lang w:val="en-US" w:eastAsia="zh-CN"/>
                    </w:rPr>
                  </w:pPr>
                  <w:r>
                    <w:rPr>
                      <w:rFonts w:hint="eastAsia"/>
                      <w:color w:val="auto"/>
                      <w:sz w:val="18"/>
                      <w:szCs w:val="18"/>
                      <w:highlight w:val="none"/>
                      <w:lang w:val="en-US" w:eastAsia="zh-CN"/>
                    </w:rPr>
                    <w:t>2.034</w:t>
                  </w:r>
                </w:p>
              </w:tc>
              <w:tc>
                <w:tcPr>
                  <w:tcW w:w="840" w:type="dxa"/>
                  <w:vAlign w:val="center"/>
                </w:tcPr>
                <w:p w14:paraId="3304CA11">
                  <w:pPr>
                    <w:pStyle w:val="60"/>
                    <w:rPr>
                      <w:rFonts w:hint="default"/>
                      <w:color w:val="auto"/>
                      <w:sz w:val="18"/>
                      <w:szCs w:val="18"/>
                      <w:highlight w:val="none"/>
                      <w:lang w:val="en-US" w:eastAsia="zh-CN"/>
                    </w:rPr>
                  </w:pPr>
                  <w:r>
                    <w:rPr>
                      <w:rFonts w:hint="eastAsia"/>
                      <w:color w:val="auto"/>
                      <w:sz w:val="18"/>
                      <w:szCs w:val="18"/>
                      <w:highlight w:val="none"/>
                      <w:lang w:val="en-US" w:eastAsia="zh-CN"/>
                    </w:rPr>
                    <w:t>0.677</w:t>
                  </w:r>
                </w:p>
              </w:tc>
              <w:tc>
                <w:tcPr>
                  <w:tcW w:w="1200" w:type="dxa"/>
                  <w:shd w:val="clear" w:color="auto" w:fill="auto"/>
                  <w:vAlign w:val="center"/>
                </w:tcPr>
                <w:p w14:paraId="67778D4F">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2.499</w:t>
                  </w:r>
                </w:p>
              </w:tc>
              <w:tc>
                <w:tcPr>
                  <w:tcW w:w="692" w:type="dxa"/>
                  <w:vAlign w:val="center"/>
                </w:tcPr>
                <w:p w14:paraId="7F6EEE11">
                  <w:pPr>
                    <w:pStyle w:val="60"/>
                    <w:rPr>
                      <w:rFonts w:hint="default"/>
                      <w:color w:val="auto"/>
                      <w:sz w:val="18"/>
                      <w:szCs w:val="18"/>
                      <w:highlight w:val="none"/>
                      <w:lang w:val="en-US" w:eastAsia="zh-CN"/>
                    </w:rPr>
                  </w:pPr>
                  <w:r>
                    <w:rPr>
                      <w:rFonts w:hint="eastAsia"/>
                      <w:color w:val="auto"/>
                      <w:sz w:val="18"/>
                      <w:szCs w:val="18"/>
                      <w:highlight w:val="none"/>
                      <w:lang w:val="en-US" w:eastAsia="zh-CN"/>
                    </w:rPr>
                    <w:t>+1.357</w:t>
                  </w:r>
                </w:p>
              </w:tc>
            </w:tr>
            <w:tr w14:paraId="45AB54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7C48BFA3">
                  <w:pPr>
                    <w:pStyle w:val="60"/>
                    <w:rPr>
                      <w:rFonts w:hint="eastAsia"/>
                      <w:color w:val="auto"/>
                      <w:sz w:val="18"/>
                      <w:szCs w:val="18"/>
                      <w:highlight w:val="none"/>
                      <w:lang w:val="en-US" w:eastAsia="zh-CN"/>
                    </w:rPr>
                  </w:pPr>
                </w:p>
              </w:tc>
              <w:tc>
                <w:tcPr>
                  <w:tcW w:w="484" w:type="dxa"/>
                  <w:vMerge w:val="restart"/>
                  <w:vAlign w:val="center"/>
                </w:tcPr>
                <w:p w14:paraId="025FDBB6">
                  <w:pPr>
                    <w:pStyle w:val="60"/>
                    <w:rPr>
                      <w:rFonts w:hint="default"/>
                      <w:color w:val="auto"/>
                      <w:sz w:val="18"/>
                      <w:szCs w:val="18"/>
                      <w:highlight w:val="none"/>
                      <w:lang w:val="en-US" w:eastAsia="zh-CN"/>
                    </w:rPr>
                  </w:pPr>
                  <w:r>
                    <w:rPr>
                      <w:rFonts w:hint="eastAsia"/>
                      <w:color w:val="auto"/>
                      <w:sz w:val="18"/>
                      <w:szCs w:val="18"/>
                      <w:highlight w:val="none"/>
                      <w:lang w:val="en-US" w:eastAsia="zh-CN"/>
                    </w:rPr>
                    <w:t>其中</w:t>
                  </w:r>
                </w:p>
              </w:tc>
              <w:tc>
                <w:tcPr>
                  <w:tcW w:w="484" w:type="dxa"/>
                  <w:vAlign w:val="center"/>
                </w:tcPr>
                <w:p w14:paraId="4B2EE33B">
                  <w:pPr>
                    <w:pStyle w:val="60"/>
                    <w:rPr>
                      <w:rFonts w:hint="default"/>
                      <w:color w:val="auto"/>
                      <w:sz w:val="18"/>
                      <w:szCs w:val="18"/>
                      <w:highlight w:val="none"/>
                      <w:lang w:val="en-US" w:eastAsia="zh-CN"/>
                    </w:rPr>
                  </w:pPr>
                  <w:r>
                    <w:rPr>
                      <w:rFonts w:hint="eastAsia"/>
                      <w:color w:val="auto"/>
                      <w:sz w:val="18"/>
                      <w:szCs w:val="18"/>
                      <w:highlight w:val="none"/>
                      <w:lang w:val="en-US" w:eastAsia="zh-CN"/>
                    </w:rPr>
                    <w:t>甲醇</w:t>
                  </w:r>
                </w:p>
              </w:tc>
              <w:tc>
                <w:tcPr>
                  <w:tcW w:w="930" w:type="dxa"/>
                  <w:vAlign w:val="center"/>
                </w:tcPr>
                <w:p w14:paraId="4EDFFC79">
                  <w:pPr>
                    <w:pStyle w:val="60"/>
                    <w:rPr>
                      <w:rFonts w:hint="default"/>
                      <w:color w:val="auto"/>
                      <w:sz w:val="18"/>
                      <w:szCs w:val="18"/>
                      <w:highlight w:val="none"/>
                      <w:lang w:val="en-US" w:eastAsia="zh-CN"/>
                    </w:rPr>
                  </w:pPr>
                  <w:r>
                    <w:rPr>
                      <w:rFonts w:hint="eastAsia"/>
                      <w:color w:val="auto"/>
                      <w:sz w:val="18"/>
                      <w:szCs w:val="18"/>
                      <w:highlight w:val="none"/>
                      <w:lang w:val="en-US" w:eastAsia="zh-CN"/>
                    </w:rPr>
                    <w:t>0.572</w:t>
                  </w:r>
                </w:p>
              </w:tc>
              <w:tc>
                <w:tcPr>
                  <w:tcW w:w="960" w:type="dxa"/>
                  <w:vAlign w:val="center"/>
                </w:tcPr>
                <w:p w14:paraId="10108589">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10" w:type="dxa"/>
                  <w:shd w:val="clear" w:color="auto" w:fill="auto"/>
                  <w:vAlign w:val="center"/>
                </w:tcPr>
                <w:p w14:paraId="6FA10E89">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108C6DFB">
                  <w:pPr>
                    <w:pStyle w:val="60"/>
                    <w:rPr>
                      <w:rFonts w:hint="default"/>
                      <w:color w:val="auto"/>
                      <w:sz w:val="18"/>
                      <w:szCs w:val="18"/>
                      <w:highlight w:val="none"/>
                      <w:lang w:val="en-US" w:eastAsia="zh-CN"/>
                    </w:rPr>
                  </w:pPr>
                  <w:r>
                    <w:rPr>
                      <w:rFonts w:hint="eastAsia"/>
                      <w:color w:val="auto"/>
                      <w:sz w:val="18"/>
                      <w:szCs w:val="18"/>
                      <w:highlight w:val="none"/>
                      <w:lang w:val="en-US" w:eastAsia="zh-CN"/>
                    </w:rPr>
                    <w:t>1.495</w:t>
                  </w:r>
                </w:p>
              </w:tc>
              <w:tc>
                <w:tcPr>
                  <w:tcW w:w="840" w:type="dxa"/>
                  <w:vAlign w:val="center"/>
                </w:tcPr>
                <w:p w14:paraId="4ECE0E29">
                  <w:pPr>
                    <w:pStyle w:val="60"/>
                    <w:rPr>
                      <w:rFonts w:hint="default"/>
                      <w:color w:val="auto"/>
                      <w:sz w:val="18"/>
                      <w:szCs w:val="18"/>
                      <w:highlight w:val="none"/>
                      <w:lang w:val="en-US" w:eastAsia="zh-CN"/>
                    </w:rPr>
                  </w:pPr>
                  <w:r>
                    <w:rPr>
                      <w:rFonts w:hint="eastAsia"/>
                      <w:color w:val="auto"/>
                      <w:sz w:val="18"/>
                      <w:szCs w:val="18"/>
                      <w:highlight w:val="none"/>
                      <w:lang w:val="en-US" w:eastAsia="zh-CN"/>
                    </w:rPr>
                    <w:t>0.542</w:t>
                  </w:r>
                </w:p>
              </w:tc>
              <w:tc>
                <w:tcPr>
                  <w:tcW w:w="1200" w:type="dxa"/>
                  <w:shd w:val="clear" w:color="auto" w:fill="auto"/>
                  <w:vAlign w:val="center"/>
                </w:tcPr>
                <w:p w14:paraId="294A5E67">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1.314</w:t>
                  </w:r>
                </w:p>
              </w:tc>
              <w:tc>
                <w:tcPr>
                  <w:tcW w:w="692" w:type="dxa"/>
                  <w:vAlign w:val="center"/>
                </w:tcPr>
                <w:p w14:paraId="0F4AD314">
                  <w:pPr>
                    <w:pStyle w:val="60"/>
                    <w:rPr>
                      <w:rFonts w:hint="default"/>
                      <w:color w:val="auto"/>
                      <w:sz w:val="18"/>
                      <w:szCs w:val="18"/>
                      <w:highlight w:val="none"/>
                      <w:lang w:val="en-US" w:eastAsia="zh-CN"/>
                    </w:rPr>
                  </w:pPr>
                  <w:r>
                    <w:rPr>
                      <w:rFonts w:hint="eastAsia"/>
                      <w:color w:val="auto"/>
                      <w:sz w:val="18"/>
                      <w:szCs w:val="18"/>
                      <w:highlight w:val="none"/>
                      <w:lang w:val="en-US" w:eastAsia="zh-CN"/>
                    </w:rPr>
                    <w:t>+0.742</w:t>
                  </w:r>
                </w:p>
              </w:tc>
            </w:tr>
            <w:tr w14:paraId="4A2D35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551D75B4">
                  <w:pPr>
                    <w:pStyle w:val="60"/>
                    <w:rPr>
                      <w:rFonts w:hint="eastAsia"/>
                      <w:color w:val="auto"/>
                      <w:sz w:val="18"/>
                      <w:szCs w:val="18"/>
                      <w:highlight w:val="none"/>
                      <w:lang w:val="en-US" w:eastAsia="zh-CN"/>
                    </w:rPr>
                  </w:pPr>
                </w:p>
              </w:tc>
              <w:tc>
                <w:tcPr>
                  <w:tcW w:w="484" w:type="dxa"/>
                  <w:vMerge w:val="continue"/>
                  <w:vAlign w:val="center"/>
                </w:tcPr>
                <w:p w14:paraId="031C724D">
                  <w:pPr>
                    <w:pStyle w:val="60"/>
                    <w:rPr>
                      <w:rFonts w:hint="eastAsia"/>
                      <w:color w:val="auto"/>
                      <w:sz w:val="18"/>
                      <w:szCs w:val="18"/>
                      <w:highlight w:val="none"/>
                      <w:lang w:val="en-US" w:eastAsia="zh-CN"/>
                    </w:rPr>
                  </w:pPr>
                </w:p>
              </w:tc>
              <w:tc>
                <w:tcPr>
                  <w:tcW w:w="484" w:type="dxa"/>
                  <w:vAlign w:val="center"/>
                </w:tcPr>
                <w:p w14:paraId="1ADF3889">
                  <w:pPr>
                    <w:pStyle w:val="60"/>
                    <w:rPr>
                      <w:rFonts w:hint="default"/>
                      <w:color w:val="auto"/>
                      <w:sz w:val="18"/>
                      <w:szCs w:val="18"/>
                      <w:highlight w:val="none"/>
                      <w:lang w:val="en-US" w:eastAsia="zh-CN"/>
                    </w:rPr>
                  </w:pPr>
                  <w:r>
                    <w:rPr>
                      <w:rFonts w:hint="eastAsia"/>
                      <w:color w:val="auto"/>
                      <w:sz w:val="18"/>
                      <w:szCs w:val="18"/>
                      <w:highlight w:val="none"/>
                      <w:lang w:val="en-US" w:eastAsia="zh-CN"/>
                    </w:rPr>
                    <w:t>甲醛</w:t>
                  </w:r>
                </w:p>
              </w:tc>
              <w:tc>
                <w:tcPr>
                  <w:tcW w:w="930" w:type="dxa"/>
                  <w:vAlign w:val="center"/>
                </w:tcPr>
                <w:p w14:paraId="77A7174D">
                  <w:pPr>
                    <w:pStyle w:val="60"/>
                    <w:rPr>
                      <w:rFonts w:hint="default"/>
                      <w:color w:val="auto"/>
                      <w:sz w:val="18"/>
                      <w:szCs w:val="18"/>
                      <w:highlight w:val="none"/>
                      <w:lang w:val="en-US" w:eastAsia="zh-CN"/>
                    </w:rPr>
                  </w:pPr>
                  <w:r>
                    <w:rPr>
                      <w:rFonts w:hint="eastAsia"/>
                      <w:color w:val="auto"/>
                      <w:sz w:val="18"/>
                      <w:szCs w:val="18"/>
                      <w:highlight w:val="none"/>
                      <w:lang w:val="en-US" w:eastAsia="zh-CN"/>
                    </w:rPr>
                    <w:t>0.456</w:t>
                  </w:r>
                </w:p>
              </w:tc>
              <w:tc>
                <w:tcPr>
                  <w:tcW w:w="960" w:type="dxa"/>
                  <w:vAlign w:val="center"/>
                </w:tcPr>
                <w:p w14:paraId="32BA004C">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10" w:type="dxa"/>
                  <w:shd w:val="clear" w:color="auto" w:fill="auto"/>
                  <w:vAlign w:val="center"/>
                </w:tcPr>
                <w:p w14:paraId="505953E9">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1020" w:type="dxa"/>
                  <w:vAlign w:val="center"/>
                </w:tcPr>
                <w:p w14:paraId="1ABE0FC0">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40" w:type="dxa"/>
                  <w:vAlign w:val="center"/>
                </w:tcPr>
                <w:p w14:paraId="1CEA4AAB">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1200" w:type="dxa"/>
                  <w:shd w:val="clear" w:color="auto" w:fill="auto"/>
                  <w:vAlign w:val="center"/>
                </w:tcPr>
                <w:p w14:paraId="3CD182ED">
                  <w:pPr>
                    <w:pStyle w:val="6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92" w:type="dxa"/>
                  <w:vAlign w:val="center"/>
                </w:tcPr>
                <w:p w14:paraId="32E68035">
                  <w:pPr>
                    <w:pStyle w:val="60"/>
                    <w:rPr>
                      <w:rFonts w:hint="default"/>
                      <w:color w:val="auto"/>
                      <w:sz w:val="18"/>
                      <w:szCs w:val="18"/>
                      <w:highlight w:val="none"/>
                      <w:lang w:val="en-US" w:eastAsia="zh-CN"/>
                    </w:rPr>
                  </w:pPr>
                  <w:r>
                    <w:rPr>
                      <w:rFonts w:hint="eastAsia"/>
                      <w:color w:val="auto"/>
                      <w:sz w:val="18"/>
                      <w:szCs w:val="18"/>
                      <w:highlight w:val="none"/>
                      <w:lang w:val="en-US" w:eastAsia="zh-CN"/>
                    </w:rPr>
                    <w:t>/</w:t>
                  </w:r>
                </w:p>
              </w:tc>
            </w:tr>
            <w:tr w14:paraId="52312C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restart"/>
                  <w:vAlign w:val="center"/>
                </w:tcPr>
                <w:p w14:paraId="36975571">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合计</w:t>
                  </w:r>
                </w:p>
              </w:tc>
              <w:tc>
                <w:tcPr>
                  <w:tcW w:w="968" w:type="dxa"/>
                  <w:gridSpan w:val="2"/>
                  <w:vAlign w:val="center"/>
                </w:tcPr>
                <w:p w14:paraId="4877265C">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VOCs合计</w:t>
                  </w:r>
                </w:p>
              </w:tc>
              <w:tc>
                <w:tcPr>
                  <w:tcW w:w="930" w:type="dxa"/>
                  <w:vAlign w:val="center"/>
                </w:tcPr>
                <w:p w14:paraId="605D1844">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7.721</w:t>
                  </w:r>
                </w:p>
              </w:tc>
              <w:tc>
                <w:tcPr>
                  <w:tcW w:w="960" w:type="dxa"/>
                  <w:vAlign w:val="center"/>
                </w:tcPr>
                <w:p w14:paraId="3D5D2134">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9.434</w:t>
                  </w:r>
                </w:p>
              </w:tc>
              <w:tc>
                <w:tcPr>
                  <w:tcW w:w="810" w:type="dxa"/>
                  <w:shd w:val="clear" w:color="auto" w:fill="auto"/>
                  <w:vAlign w:val="center"/>
                </w:tcPr>
                <w:p w14:paraId="64BD6D2E">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1020" w:type="dxa"/>
                  <w:vAlign w:val="center"/>
                </w:tcPr>
                <w:p w14:paraId="0110C8D2">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2.352</w:t>
                  </w:r>
                </w:p>
              </w:tc>
              <w:tc>
                <w:tcPr>
                  <w:tcW w:w="840" w:type="dxa"/>
                  <w:vAlign w:val="center"/>
                </w:tcPr>
                <w:p w14:paraId="6F238548">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1.292</w:t>
                  </w:r>
                </w:p>
              </w:tc>
              <w:tc>
                <w:tcPr>
                  <w:tcW w:w="1200" w:type="dxa"/>
                  <w:shd w:val="clear" w:color="auto" w:fill="auto"/>
                  <w:vAlign w:val="center"/>
                </w:tcPr>
                <w:p w14:paraId="648B65C0">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8.781</w:t>
                  </w:r>
                </w:p>
              </w:tc>
              <w:tc>
                <w:tcPr>
                  <w:tcW w:w="692" w:type="dxa"/>
                  <w:vAlign w:val="center"/>
                </w:tcPr>
                <w:p w14:paraId="3C25E694">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+1.060</w:t>
                  </w:r>
                </w:p>
              </w:tc>
            </w:tr>
            <w:tr w14:paraId="5219D9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300CB8FA">
                  <w:pPr>
                    <w:pStyle w:val="60"/>
                    <w:rPr>
                      <w:rFonts w:hint="eastAsia"/>
                      <w:b/>
                      <w:bCs/>
                      <w:color w:val="auto"/>
                      <w:sz w:val="18"/>
                      <w:szCs w:val="18"/>
                      <w:highlight w:val="none"/>
                      <w:lang w:val="en-US" w:eastAsia="zh-CN"/>
                    </w:rPr>
                  </w:pPr>
                </w:p>
              </w:tc>
              <w:tc>
                <w:tcPr>
                  <w:tcW w:w="484" w:type="dxa"/>
                  <w:vMerge w:val="restart"/>
                  <w:vAlign w:val="center"/>
                </w:tcPr>
                <w:p w14:paraId="6C50795A">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其中</w:t>
                  </w:r>
                </w:p>
              </w:tc>
              <w:tc>
                <w:tcPr>
                  <w:tcW w:w="484" w:type="dxa"/>
                  <w:vAlign w:val="center"/>
                </w:tcPr>
                <w:p w14:paraId="7479519C">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甲醇</w:t>
                  </w:r>
                </w:p>
              </w:tc>
              <w:tc>
                <w:tcPr>
                  <w:tcW w:w="930" w:type="dxa"/>
                  <w:vAlign w:val="center"/>
                </w:tcPr>
                <w:p w14:paraId="6C867F11">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2.872</w:t>
                  </w:r>
                </w:p>
              </w:tc>
              <w:tc>
                <w:tcPr>
                  <w:tcW w:w="960" w:type="dxa"/>
                  <w:vAlign w:val="center"/>
                </w:tcPr>
                <w:p w14:paraId="2ED0A566">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w:t>
                  </w:r>
                </w:p>
              </w:tc>
              <w:tc>
                <w:tcPr>
                  <w:tcW w:w="810" w:type="dxa"/>
                  <w:shd w:val="clear" w:color="auto" w:fill="auto"/>
                  <w:vAlign w:val="center"/>
                </w:tcPr>
                <w:p w14:paraId="531C1F31">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1020" w:type="dxa"/>
                  <w:vAlign w:val="center"/>
                </w:tcPr>
                <w:p w14:paraId="1A7C5597">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1.580</w:t>
                  </w:r>
                </w:p>
              </w:tc>
              <w:tc>
                <w:tcPr>
                  <w:tcW w:w="840" w:type="dxa"/>
                  <w:vAlign w:val="center"/>
                </w:tcPr>
                <w:p w14:paraId="5CC6F269">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0.951</w:t>
                  </w:r>
                </w:p>
              </w:tc>
              <w:tc>
                <w:tcPr>
                  <w:tcW w:w="1200" w:type="dxa"/>
                  <w:shd w:val="clear" w:color="auto" w:fill="auto"/>
                  <w:vAlign w:val="center"/>
                </w:tcPr>
                <w:p w14:paraId="367FB8BB">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3.416</w:t>
                  </w:r>
                </w:p>
              </w:tc>
              <w:tc>
                <w:tcPr>
                  <w:tcW w:w="692" w:type="dxa"/>
                  <w:vAlign w:val="center"/>
                </w:tcPr>
                <w:p w14:paraId="4BEEBC48">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+0.544</w:t>
                  </w:r>
                </w:p>
              </w:tc>
            </w:tr>
            <w:tr w14:paraId="6ACB27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72951306">
                  <w:pPr>
                    <w:pStyle w:val="60"/>
                    <w:rPr>
                      <w:rFonts w:hint="eastAsia"/>
                      <w:b/>
                      <w:bCs/>
                      <w:color w:val="auto"/>
                      <w:sz w:val="18"/>
                      <w:szCs w:val="18"/>
                      <w:highlight w:val="none"/>
                      <w:lang w:val="en-US" w:eastAsia="zh-CN"/>
                    </w:rPr>
                  </w:pPr>
                </w:p>
              </w:tc>
              <w:tc>
                <w:tcPr>
                  <w:tcW w:w="484" w:type="dxa"/>
                  <w:vMerge w:val="continue"/>
                  <w:vAlign w:val="center"/>
                </w:tcPr>
                <w:p w14:paraId="6DFB6E66">
                  <w:pPr>
                    <w:pStyle w:val="60"/>
                    <w:rPr>
                      <w:rFonts w:hint="eastAsia"/>
                      <w:b/>
                      <w:bCs/>
                      <w:color w:val="auto"/>
                      <w:sz w:val="18"/>
                      <w:szCs w:val="18"/>
                      <w:highlight w:val="none"/>
                      <w:lang w:val="en-US" w:eastAsia="zh-CN"/>
                    </w:rPr>
                  </w:pPr>
                </w:p>
              </w:tc>
              <w:tc>
                <w:tcPr>
                  <w:tcW w:w="484" w:type="dxa"/>
                  <w:vAlign w:val="center"/>
                </w:tcPr>
                <w:p w14:paraId="4431EB61">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甲醛</w:t>
                  </w:r>
                </w:p>
              </w:tc>
              <w:tc>
                <w:tcPr>
                  <w:tcW w:w="930" w:type="dxa"/>
                  <w:vAlign w:val="center"/>
                </w:tcPr>
                <w:p w14:paraId="149BCF63">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0.770</w:t>
                  </w:r>
                </w:p>
              </w:tc>
              <w:tc>
                <w:tcPr>
                  <w:tcW w:w="960" w:type="dxa"/>
                  <w:vAlign w:val="center"/>
                </w:tcPr>
                <w:p w14:paraId="113B9CC8">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w:t>
                  </w:r>
                </w:p>
              </w:tc>
              <w:tc>
                <w:tcPr>
                  <w:tcW w:w="810" w:type="dxa"/>
                  <w:shd w:val="clear" w:color="auto" w:fill="auto"/>
                  <w:vAlign w:val="center"/>
                </w:tcPr>
                <w:p w14:paraId="618B10A5">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1020" w:type="dxa"/>
                  <w:vAlign w:val="center"/>
                </w:tcPr>
                <w:p w14:paraId="0B2BE48F">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w:t>
                  </w:r>
                </w:p>
              </w:tc>
              <w:tc>
                <w:tcPr>
                  <w:tcW w:w="840" w:type="dxa"/>
                  <w:vAlign w:val="center"/>
                </w:tcPr>
                <w:p w14:paraId="7D77F282">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w:t>
                  </w:r>
                </w:p>
              </w:tc>
              <w:tc>
                <w:tcPr>
                  <w:tcW w:w="1200" w:type="dxa"/>
                  <w:shd w:val="clear" w:color="auto" w:fill="auto"/>
                  <w:vAlign w:val="center"/>
                </w:tcPr>
                <w:p w14:paraId="3AA95B63">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692" w:type="dxa"/>
                  <w:vAlign w:val="center"/>
                </w:tcPr>
                <w:p w14:paraId="029B9C9F">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w:t>
                  </w:r>
                </w:p>
              </w:tc>
            </w:tr>
            <w:tr w14:paraId="24F28A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774" w:type="dxa"/>
                  <w:vMerge w:val="continue"/>
                  <w:vAlign w:val="center"/>
                </w:tcPr>
                <w:p w14:paraId="1F4EBA43">
                  <w:pPr>
                    <w:pStyle w:val="60"/>
                    <w:rPr>
                      <w:rFonts w:hint="eastAsia"/>
                      <w:b/>
                      <w:bCs/>
                      <w:color w:val="auto"/>
                      <w:sz w:val="18"/>
                      <w:szCs w:val="18"/>
                      <w:highlight w:val="none"/>
                      <w:lang w:val="en-US" w:eastAsia="zh-CN"/>
                    </w:rPr>
                  </w:pPr>
                </w:p>
              </w:tc>
              <w:tc>
                <w:tcPr>
                  <w:tcW w:w="968" w:type="dxa"/>
                  <w:gridSpan w:val="2"/>
                  <w:vAlign w:val="center"/>
                </w:tcPr>
                <w:p w14:paraId="3CE32448">
                  <w:pPr>
                    <w:pStyle w:val="60"/>
                    <w:rPr>
                      <w:rFonts w:hint="eastAsia"/>
                      <w:b/>
                      <w:bCs/>
                      <w:color w:val="auto"/>
                      <w:sz w:val="18"/>
                      <w:szCs w:val="18"/>
                      <w:highlight w:val="none"/>
                      <w:lang w:val="en-US" w:eastAsia="zh-CN"/>
                    </w:rPr>
                  </w:pPr>
                  <w:r>
                    <w:rPr>
                      <w:rFonts w:hint="eastAsia"/>
                      <w:b/>
                      <w:bCs/>
                      <w:color w:val="auto"/>
                      <w:sz w:val="18"/>
                      <w:szCs w:val="18"/>
                      <w:highlight w:val="none"/>
                      <w:lang w:val="en-US" w:eastAsia="zh-CN"/>
                    </w:rPr>
                    <w:t>NOx</w:t>
                  </w:r>
                </w:p>
              </w:tc>
              <w:tc>
                <w:tcPr>
                  <w:tcW w:w="930" w:type="dxa"/>
                  <w:vAlign w:val="center"/>
                </w:tcPr>
                <w:p w14:paraId="1897D77F">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0.481</w:t>
                  </w:r>
                </w:p>
              </w:tc>
              <w:tc>
                <w:tcPr>
                  <w:tcW w:w="960" w:type="dxa"/>
                  <w:vAlign w:val="center"/>
                </w:tcPr>
                <w:p w14:paraId="6CF533CB">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2.198</w:t>
                  </w:r>
                </w:p>
              </w:tc>
              <w:tc>
                <w:tcPr>
                  <w:tcW w:w="810" w:type="dxa"/>
                  <w:shd w:val="clear" w:color="auto" w:fill="auto"/>
                  <w:vAlign w:val="center"/>
                </w:tcPr>
                <w:p w14:paraId="6538062E">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1020" w:type="dxa"/>
                  <w:vAlign w:val="center"/>
                </w:tcPr>
                <w:p w14:paraId="59011CEA">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0.0403</w:t>
                  </w:r>
                </w:p>
              </w:tc>
              <w:tc>
                <w:tcPr>
                  <w:tcW w:w="840" w:type="dxa"/>
                  <w:vAlign w:val="center"/>
                </w:tcPr>
                <w:p w14:paraId="5F71916E">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0.0209</w:t>
                  </w:r>
                </w:p>
              </w:tc>
              <w:tc>
                <w:tcPr>
                  <w:tcW w:w="1200" w:type="dxa"/>
                  <w:shd w:val="clear" w:color="auto" w:fill="auto"/>
                  <w:vAlign w:val="center"/>
                </w:tcPr>
                <w:p w14:paraId="7B9797C2">
                  <w:pPr>
                    <w:pStyle w:val="60"/>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0.5004</w:t>
                  </w:r>
                </w:p>
              </w:tc>
              <w:tc>
                <w:tcPr>
                  <w:tcW w:w="692" w:type="dxa"/>
                  <w:vAlign w:val="center"/>
                </w:tcPr>
                <w:p w14:paraId="32BC1FB2">
                  <w:pPr>
                    <w:pStyle w:val="60"/>
                    <w:rPr>
                      <w:rFonts w:hint="default"/>
                      <w:b/>
                      <w:bCs/>
                      <w:color w:val="auto"/>
                      <w:sz w:val="18"/>
                      <w:szCs w:val="18"/>
                      <w:highlight w:val="none"/>
                      <w:lang w:val="en-US" w:eastAsia="zh-CN"/>
                    </w:rPr>
                  </w:pPr>
                  <w:r>
                    <w:rPr>
                      <w:rFonts w:hint="eastAsia"/>
                      <w:b/>
                      <w:bCs/>
                      <w:color w:val="auto"/>
                      <w:sz w:val="18"/>
                      <w:szCs w:val="18"/>
                      <w:highlight w:val="none"/>
                      <w:lang w:val="en-US" w:eastAsia="zh-CN"/>
                    </w:rPr>
                    <w:t>+0.0194</w:t>
                  </w:r>
                </w:p>
              </w:tc>
            </w:tr>
            <w:tr w14:paraId="5F99AE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2" w:hRule="atLeast"/>
                <w:jc w:val="center"/>
              </w:trPr>
              <w:tc>
                <w:tcPr>
                  <w:tcW w:w="8194" w:type="dxa"/>
                  <w:gridSpan w:val="10"/>
                  <w:vAlign w:val="center"/>
                </w:tcPr>
                <w:p w14:paraId="721E6B41">
                  <w:pPr>
                    <w:pStyle w:val="60"/>
                    <w:jc w:val="both"/>
                    <w:rPr>
                      <w:rFonts w:hint="eastAsia"/>
                      <w:color w:val="auto"/>
                      <w:sz w:val="18"/>
                      <w:szCs w:val="18"/>
                      <w:highlight w:val="none"/>
                      <w:lang w:val="en-US" w:eastAsia="zh-CN"/>
                    </w:rPr>
                  </w:pPr>
                  <w:r>
                    <w:rPr>
                      <w:rFonts w:hint="eastAsia"/>
                      <w:color w:val="auto"/>
                      <w:sz w:val="18"/>
                      <w:szCs w:val="18"/>
                      <w:highlight w:val="none"/>
                      <w:lang w:val="en-US" w:eastAsia="zh-CN"/>
                    </w:rPr>
                    <w:t>备注：①根据前述，本次评价范围为本次新增2座甲醇原料罐、1座叔丁醇产品罐、甲醇自动化定量卸车设施、叔丁醇自动化定量装车设施，以及现有1座甲醇原料罐、1座叔丁醇产品暂存罐和叔丁醇卸车设施。故本次有组织“以新带老”量考虑现有甲醇原料罐、叔丁醇产品暂存罐及叔丁醇产品灌装废气，根据现有项目有组织废气核算，该部分替代量为：VOCs0.615t/a、甲醇0.409t/a；无组织“以新带老”考虑现有甲醇原料罐、叔丁醇产品暂存罐及装卸车区动静密封点泄漏量，根据现有项目无组织废气核算，该部分替代量为：VOCs0.677t/a、甲醇0.542t/a。综上，合计“以新带老”量为：VOCs1.292t/a、甲醇0.951t/a。</w:t>
                  </w:r>
                </w:p>
                <w:p w14:paraId="6F537D0B">
                  <w:pPr>
                    <w:pStyle w:val="60"/>
                    <w:ind w:firstLine="540" w:firstLineChars="300"/>
                    <w:jc w:val="both"/>
                    <w:rPr>
                      <w:rFonts w:hint="eastAsia"/>
                      <w:color w:val="auto"/>
                      <w:sz w:val="18"/>
                      <w:szCs w:val="18"/>
                      <w:highlight w:val="none"/>
                      <w:lang w:val="en-US" w:eastAsia="zh-CN"/>
                    </w:rPr>
                  </w:pPr>
                  <w:r>
                    <w:rPr>
                      <w:rFonts w:hint="eastAsia"/>
                      <w:color w:val="auto"/>
                      <w:sz w:val="18"/>
                      <w:szCs w:val="18"/>
                      <w:highlight w:val="none"/>
                      <w:lang w:val="en-US" w:eastAsia="zh-CN"/>
                    </w:rPr>
                    <w:t>②现有项目无组织VOCs许可排放量来自山东诚光工贸有限公司排污许可证填报数据。</w:t>
                  </w:r>
                </w:p>
                <w:p w14:paraId="1A6CCE5E">
                  <w:pPr>
                    <w:pStyle w:val="60"/>
                    <w:ind w:firstLine="540" w:firstLineChars="300"/>
                    <w:jc w:val="both"/>
                    <w:rPr>
                      <w:rFonts w:hint="default"/>
                      <w:color w:val="auto"/>
                      <w:sz w:val="18"/>
                      <w:szCs w:val="18"/>
                      <w:highlight w:val="none"/>
                      <w:lang w:val="en-US" w:eastAsia="zh-CN"/>
                    </w:rPr>
                  </w:pPr>
                  <w:r>
                    <w:rPr>
                      <w:rFonts w:hint="eastAsia"/>
                      <w:color w:val="auto"/>
                      <w:sz w:val="18"/>
                      <w:szCs w:val="18"/>
                      <w:highlight w:val="none"/>
                      <w:lang w:val="en-US" w:eastAsia="zh-CN"/>
                    </w:rPr>
                    <w:t>③NOx“以新带老”量考虑现有甲醇原料罐、叔丁醇产品暂存罐及叔丁醇产品灌装废气单独去尾气炉焚烧时的产生量（计算公式参照本项目废气量核算）。</w:t>
                  </w:r>
                </w:p>
              </w:tc>
            </w:tr>
          </w:tbl>
          <w:p w14:paraId="787EF0A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（五）非正常工况</w:t>
            </w:r>
          </w:p>
          <w:p w14:paraId="5ECC7D03">
            <w:pPr>
              <w:keepNext w:val="0"/>
              <w:keepLines w:val="0"/>
              <w:pageBreakBefore w:val="0"/>
              <w:widowControl w:val="0"/>
              <w:kinsoku/>
              <w:wordWrap/>
              <w:overflowPunct/>
              <w:topLinePunct w:val="0"/>
              <w:autoSpaceDE/>
              <w:autoSpaceDN/>
              <w:bidi w:val="0"/>
              <w:spacing w:line="440" w:lineRule="exact"/>
              <w:ind w:firstLine="420" w:firstLineChars="200"/>
              <w:textAlignment w:val="auto"/>
              <w:rPr>
                <w:color w:val="auto"/>
              </w:rPr>
            </w:pPr>
            <w:r>
              <w:rPr>
                <w:color w:val="auto"/>
              </w:rPr>
              <w:t>本项目设计采用的生产工艺属于国内较先进、成熟的生产工艺。根据该项目实际情况，结合国内同类项目的运行情况，确定以下非正常状况：</w:t>
            </w:r>
          </w:p>
          <w:p w14:paraId="2071E9F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rPr>
            </w:pPr>
            <w:r>
              <w:rPr>
                <w:rFonts w:hint="eastAsia"/>
                <w:color w:val="auto"/>
              </w:rPr>
              <w:t>1）停电或设备故障</w:t>
            </w:r>
          </w:p>
          <w:p w14:paraId="468CE89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rPr>
            </w:pPr>
            <w:r>
              <w:rPr>
                <w:color w:val="auto"/>
              </w:rPr>
              <w:t>在生产过程中，停电或某一设备发生故障，可导致整个工序临时停工。在临时停工过程中，各设备停止运行，待故障排除后，恢复正常生产。</w:t>
            </w:r>
            <w:r>
              <w:rPr>
                <w:rFonts w:hint="eastAsia"/>
                <w:color w:val="auto"/>
              </w:rPr>
              <w:t>因此，停电或某一设备发生故障等非正常工况对项目生产影响及周围环境影响很小。</w:t>
            </w:r>
          </w:p>
          <w:p w14:paraId="7DFEB9B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rPr>
            </w:pPr>
            <w:r>
              <w:rPr>
                <w:color w:val="auto"/>
              </w:rPr>
              <w:t>2）环保设施发生故障</w:t>
            </w:r>
          </w:p>
          <w:p w14:paraId="7A8FBF8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rPr>
            </w:pPr>
            <w:r>
              <w:rPr>
                <w:color w:val="auto"/>
              </w:rPr>
              <w:t>环保</w:t>
            </w:r>
            <w:r>
              <w:rPr>
                <w:rFonts w:hint="eastAsia"/>
                <w:color w:val="auto"/>
              </w:rPr>
              <w:t>设施</w:t>
            </w:r>
            <w:r>
              <w:rPr>
                <w:color w:val="auto"/>
              </w:rPr>
              <w:t>出现故障时，会使污染物处理效率下降或者根本得不到处理而排入环境中，增加污染物排放量及对外环境的影响。</w:t>
            </w:r>
          </w:p>
          <w:p w14:paraId="6FFC0D0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rPr>
            </w:pPr>
            <w:r>
              <w:rPr>
                <w:rFonts w:hint="eastAsia"/>
                <w:color w:val="auto"/>
              </w:rPr>
              <w:t>就本项目而言，主要考虑污染治理设施出现故障时的非正常工况。非正常工况发生时，会使污染物处理效率下降或者根本得不到处理而排入环境中，导致污染物在一段时间内排放量增加，本次环评按“废气治理设施发生故障，处理效率为0”情形进行估算，则非正常工况下的废气排放情况如下：</w:t>
            </w:r>
          </w:p>
          <w:p w14:paraId="50A8493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表4-</w:t>
            </w:r>
            <w:r>
              <w:rPr>
                <w:rFonts w:hint="eastAsia"/>
                <w:b/>
                <w:color w:val="auto"/>
                <w:szCs w:val="21"/>
                <w:lang w:val="en-US" w:eastAsia="zh-CN"/>
              </w:rPr>
              <w:t>20</w:t>
            </w:r>
            <w:r>
              <w:rPr>
                <w:rFonts w:hint="eastAsia"/>
                <w:b/>
                <w:color w:val="auto"/>
                <w:szCs w:val="21"/>
              </w:rPr>
              <w:t xml:space="preserve">  非正常工况废气排放情况一览表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5"/>
              <w:gridCol w:w="625"/>
              <w:gridCol w:w="864"/>
              <w:gridCol w:w="810"/>
              <w:gridCol w:w="825"/>
              <w:gridCol w:w="615"/>
              <w:gridCol w:w="630"/>
              <w:gridCol w:w="555"/>
              <w:gridCol w:w="570"/>
              <w:gridCol w:w="1975"/>
            </w:tblGrid>
            <w:tr w14:paraId="163C7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restart"/>
                  <w:tcBorders>
                    <w:tl2br w:val="nil"/>
                    <w:tr2bl w:val="nil"/>
                  </w:tcBorders>
                  <w:noWrap w:val="0"/>
                  <w:vAlign w:val="center"/>
                </w:tcPr>
                <w:p w14:paraId="7A5D7234">
                  <w:pPr>
                    <w:pStyle w:val="60"/>
                    <w:rPr>
                      <w:color w:val="auto"/>
                      <w:kern w:val="2"/>
                      <w:sz w:val="18"/>
                      <w:szCs w:val="18"/>
                    </w:rPr>
                  </w:pPr>
                  <w:r>
                    <w:rPr>
                      <w:color w:val="auto"/>
                      <w:kern w:val="2"/>
                      <w:sz w:val="18"/>
                      <w:szCs w:val="18"/>
                    </w:rPr>
                    <w:t>排气筒</w:t>
                  </w:r>
                </w:p>
              </w:tc>
              <w:tc>
                <w:tcPr>
                  <w:tcW w:w="381" w:type="pct"/>
                  <w:vMerge w:val="restart"/>
                  <w:tcBorders>
                    <w:tl2br w:val="nil"/>
                    <w:tr2bl w:val="nil"/>
                  </w:tcBorders>
                  <w:noWrap w:val="0"/>
                  <w:vAlign w:val="center"/>
                </w:tcPr>
                <w:p w14:paraId="055E0E6D">
                  <w:pPr>
                    <w:pStyle w:val="60"/>
                    <w:rPr>
                      <w:color w:val="auto"/>
                      <w:kern w:val="2"/>
                      <w:sz w:val="18"/>
                      <w:szCs w:val="18"/>
                    </w:rPr>
                  </w:pPr>
                  <w:r>
                    <w:rPr>
                      <w:color w:val="auto"/>
                      <w:kern w:val="2"/>
                      <w:sz w:val="18"/>
                      <w:szCs w:val="18"/>
                    </w:rPr>
                    <w:t>污染物</w:t>
                  </w:r>
                </w:p>
              </w:tc>
              <w:tc>
                <w:tcPr>
                  <w:tcW w:w="527" w:type="pct"/>
                  <w:vMerge w:val="restart"/>
                  <w:tcBorders>
                    <w:tl2br w:val="nil"/>
                    <w:tr2bl w:val="nil"/>
                  </w:tcBorders>
                  <w:noWrap w:val="0"/>
                  <w:tcMar>
                    <w:top w:w="0" w:type="dxa"/>
                    <w:left w:w="0" w:type="dxa"/>
                    <w:bottom w:w="0" w:type="dxa"/>
                    <w:right w:w="0" w:type="dxa"/>
                  </w:tcMar>
                  <w:vAlign w:val="center"/>
                </w:tcPr>
                <w:p w14:paraId="39072659">
                  <w:pPr>
                    <w:pStyle w:val="60"/>
                    <w:rPr>
                      <w:color w:val="auto"/>
                      <w:kern w:val="2"/>
                      <w:sz w:val="18"/>
                      <w:szCs w:val="18"/>
                    </w:rPr>
                  </w:pPr>
                  <w:r>
                    <w:rPr>
                      <w:color w:val="auto"/>
                      <w:kern w:val="2"/>
                      <w:sz w:val="18"/>
                      <w:szCs w:val="18"/>
                    </w:rPr>
                    <w:t>非正常排放原因</w:t>
                  </w:r>
                </w:p>
              </w:tc>
              <w:tc>
                <w:tcPr>
                  <w:tcW w:w="494" w:type="pct"/>
                  <w:vMerge w:val="restart"/>
                  <w:tcBorders>
                    <w:tl2br w:val="nil"/>
                    <w:tr2bl w:val="nil"/>
                  </w:tcBorders>
                  <w:noWrap w:val="0"/>
                  <w:vAlign w:val="center"/>
                </w:tcPr>
                <w:p w14:paraId="7563A660">
                  <w:pPr>
                    <w:pStyle w:val="60"/>
                    <w:rPr>
                      <w:color w:val="auto"/>
                      <w:kern w:val="2"/>
                      <w:sz w:val="18"/>
                      <w:szCs w:val="18"/>
                    </w:rPr>
                  </w:pPr>
                  <w:r>
                    <w:rPr>
                      <w:color w:val="auto"/>
                      <w:kern w:val="2"/>
                      <w:sz w:val="18"/>
                      <w:szCs w:val="18"/>
                    </w:rPr>
                    <w:t>排放浓度(mg/m</w:t>
                  </w:r>
                  <w:r>
                    <w:rPr>
                      <w:color w:val="auto"/>
                      <w:kern w:val="2"/>
                      <w:sz w:val="18"/>
                      <w:szCs w:val="18"/>
                      <w:vertAlign w:val="superscript"/>
                    </w:rPr>
                    <w:t>3</w:t>
                  </w:r>
                  <w:r>
                    <w:rPr>
                      <w:color w:val="auto"/>
                      <w:kern w:val="2"/>
                      <w:sz w:val="18"/>
                      <w:szCs w:val="18"/>
                    </w:rPr>
                    <w:t>)</w:t>
                  </w:r>
                </w:p>
              </w:tc>
              <w:tc>
                <w:tcPr>
                  <w:tcW w:w="503" w:type="pct"/>
                  <w:vMerge w:val="restart"/>
                  <w:tcBorders>
                    <w:tl2br w:val="nil"/>
                    <w:tr2bl w:val="nil"/>
                  </w:tcBorders>
                  <w:noWrap w:val="0"/>
                  <w:vAlign w:val="center"/>
                </w:tcPr>
                <w:p w14:paraId="58BD2C6F">
                  <w:pPr>
                    <w:pStyle w:val="60"/>
                    <w:rPr>
                      <w:color w:val="auto"/>
                      <w:kern w:val="2"/>
                      <w:sz w:val="18"/>
                      <w:szCs w:val="18"/>
                    </w:rPr>
                  </w:pPr>
                  <w:r>
                    <w:rPr>
                      <w:color w:val="auto"/>
                      <w:kern w:val="2"/>
                      <w:sz w:val="18"/>
                      <w:szCs w:val="18"/>
                    </w:rPr>
                    <w:t>排放速率</w:t>
                  </w:r>
                </w:p>
                <w:p w14:paraId="0F3C3A53">
                  <w:pPr>
                    <w:pStyle w:val="60"/>
                    <w:rPr>
                      <w:color w:val="auto"/>
                      <w:kern w:val="2"/>
                      <w:sz w:val="18"/>
                      <w:szCs w:val="18"/>
                    </w:rPr>
                  </w:pPr>
                  <w:r>
                    <w:rPr>
                      <w:color w:val="auto"/>
                      <w:kern w:val="2"/>
                      <w:sz w:val="18"/>
                      <w:szCs w:val="18"/>
                    </w:rPr>
                    <w:t>(kg/h)</w:t>
                  </w:r>
                </w:p>
              </w:tc>
              <w:tc>
                <w:tcPr>
                  <w:tcW w:w="375" w:type="pct"/>
                  <w:vMerge w:val="restart"/>
                  <w:tcBorders>
                    <w:tl2br w:val="nil"/>
                    <w:tr2bl w:val="nil"/>
                  </w:tcBorders>
                  <w:noWrap w:val="0"/>
                  <w:vAlign w:val="center"/>
                </w:tcPr>
                <w:p w14:paraId="634C2B5F">
                  <w:pPr>
                    <w:pStyle w:val="60"/>
                    <w:rPr>
                      <w:color w:val="auto"/>
                      <w:kern w:val="2"/>
                      <w:sz w:val="18"/>
                      <w:szCs w:val="18"/>
                    </w:rPr>
                  </w:pPr>
                  <w:r>
                    <w:rPr>
                      <w:color w:val="auto"/>
                      <w:kern w:val="2"/>
                      <w:sz w:val="18"/>
                      <w:szCs w:val="18"/>
                    </w:rPr>
                    <w:t>单次持续时间</w:t>
                  </w:r>
                </w:p>
              </w:tc>
              <w:tc>
                <w:tcPr>
                  <w:tcW w:w="384" w:type="pct"/>
                  <w:vMerge w:val="restart"/>
                  <w:tcBorders>
                    <w:tl2br w:val="nil"/>
                    <w:tr2bl w:val="nil"/>
                  </w:tcBorders>
                  <w:noWrap w:val="0"/>
                  <w:vAlign w:val="center"/>
                </w:tcPr>
                <w:p w14:paraId="17DE7909">
                  <w:pPr>
                    <w:pStyle w:val="60"/>
                    <w:rPr>
                      <w:color w:val="auto"/>
                      <w:kern w:val="2"/>
                      <w:sz w:val="18"/>
                      <w:szCs w:val="18"/>
                    </w:rPr>
                  </w:pPr>
                  <w:r>
                    <w:rPr>
                      <w:color w:val="auto"/>
                      <w:kern w:val="2"/>
                      <w:sz w:val="18"/>
                      <w:szCs w:val="18"/>
                    </w:rPr>
                    <w:t>年发生频次</w:t>
                  </w:r>
                </w:p>
              </w:tc>
              <w:tc>
                <w:tcPr>
                  <w:tcW w:w="686" w:type="pct"/>
                  <w:gridSpan w:val="2"/>
                  <w:tcBorders>
                    <w:tl2br w:val="nil"/>
                    <w:tr2bl w:val="nil"/>
                  </w:tcBorders>
                  <w:noWrap w:val="0"/>
                  <w:vAlign w:val="center"/>
                </w:tcPr>
                <w:p w14:paraId="6D95452A">
                  <w:pPr>
                    <w:pStyle w:val="60"/>
                    <w:rPr>
                      <w:color w:val="auto"/>
                      <w:kern w:val="2"/>
                      <w:sz w:val="18"/>
                      <w:szCs w:val="18"/>
                    </w:rPr>
                  </w:pPr>
                  <w:r>
                    <w:rPr>
                      <w:color w:val="auto"/>
                      <w:kern w:val="2"/>
                      <w:sz w:val="18"/>
                      <w:szCs w:val="18"/>
                    </w:rPr>
                    <w:t>排放标准</w:t>
                  </w:r>
                </w:p>
              </w:tc>
              <w:tc>
                <w:tcPr>
                  <w:tcW w:w="1205" w:type="pct"/>
                  <w:vMerge w:val="restart"/>
                  <w:tcBorders>
                    <w:tl2br w:val="nil"/>
                    <w:tr2bl w:val="nil"/>
                  </w:tcBorders>
                  <w:noWrap w:val="0"/>
                  <w:vAlign w:val="center"/>
                </w:tcPr>
                <w:p w14:paraId="2C6AE342">
                  <w:pPr>
                    <w:pStyle w:val="60"/>
                    <w:rPr>
                      <w:color w:val="auto"/>
                      <w:kern w:val="2"/>
                      <w:sz w:val="18"/>
                      <w:szCs w:val="18"/>
                    </w:rPr>
                  </w:pPr>
                  <w:r>
                    <w:rPr>
                      <w:color w:val="auto"/>
                      <w:kern w:val="2"/>
                      <w:sz w:val="18"/>
                      <w:szCs w:val="18"/>
                    </w:rPr>
                    <w:t>应对措施</w:t>
                  </w:r>
                </w:p>
              </w:tc>
            </w:tr>
            <w:tr w14:paraId="76313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continue"/>
                  <w:tcBorders>
                    <w:tl2br w:val="nil"/>
                    <w:tr2bl w:val="nil"/>
                  </w:tcBorders>
                  <w:noWrap w:val="0"/>
                  <w:vAlign w:val="center"/>
                </w:tcPr>
                <w:p w14:paraId="5F62DFEC">
                  <w:pPr>
                    <w:pStyle w:val="60"/>
                    <w:rPr>
                      <w:color w:val="auto"/>
                      <w:kern w:val="2"/>
                      <w:sz w:val="18"/>
                      <w:szCs w:val="18"/>
                    </w:rPr>
                  </w:pPr>
                </w:p>
              </w:tc>
              <w:tc>
                <w:tcPr>
                  <w:tcW w:w="381" w:type="pct"/>
                  <w:vMerge w:val="continue"/>
                  <w:tcBorders>
                    <w:tl2br w:val="nil"/>
                    <w:tr2bl w:val="nil"/>
                  </w:tcBorders>
                  <w:noWrap w:val="0"/>
                  <w:vAlign w:val="center"/>
                </w:tcPr>
                <w:p w14:paraId="55BDAB75">
                  <w:pPr>
                    <w:pStyle w:val="60"/>
                    <w:rPr>
                      <w:color w:val="auto"/>
                      <w:kern w:val="2"/>
                      <w:sz w:val="18"/>
                      <w:szCs w:val="18"/>
                    </w:rPr>
                  </w:pPr>
                </w:p>
              </w:tc>
              <w:tc>
                <w:tcPr>
                  <w:tcW w:w="527" w:type="pct"/>
                  <w:vMerge w:val="continue"/>
                  <w:tcBorders>
                    <w:tl2br w:val="nil"/>
                    <w:tr2bl w:val="nil"/>
                  </w:tcBorders>
                  <w:noWrap w:val="0"/>
                  <w:tcMar>
                    <w:top w:w="0" w:type="dxa"/>
                    <w:left w:w="0" w:type="dxa"/>
                    <w:bottom w:w="0" w:type="dxa"/>
                    <w:right w:w="0" w:type="dxa"/>
                  </w:tcMar>
                  <w:vAlign w:val="center"/>
                </w:tcPr>
                <w:p w14:paraId="3ABC3B9B">
                  <w:pPr>
                    <w:pStyle w:val="60"/>
                    <w:rPr>
                      <w:color w:val="auto"/>
                      <w:kern w:val="2"/>
                      <w:sz w:val="18"/>
                      <w:szCs w:val="18"/>
                    </w:rPr>
                  </w:pPr>
                </w:p>
              </w:tc>
              <w:tc>
                <w:tcPr>
                  <w:tcW w:w="494" w:type="pct"/>
                  <w:vMerge w:val="continue"/>
                  <w:tcBorders>
                    <w:tl2br w:val="nil"/>
                    <w:tr2bl w:val="nil"/>
                  </w:tcBorders>
                  <w:noWrap w:val="0"/>
                  <w:vAlign w:val="center"/>
                </w:tcPr>
                <w:p w14:paraId="4BE00B9A">
                  <w:pPr>
                    <w:pStyle w:val="60"/>
                    <w:rPr>
                      <w:color w:val="auto"/>
                      <w:kern w:val="2"/>
                      <w:sz w:val="18"/>
                      <w:szCs w:val="18"/>
                    </w:rPr>
                  </w:pPr>
                </w:p>
              </w:tc>
              <w:tc>
                <w:tcPr>
                  <w:tcW w:w="503" w:type="pct"/>
                  <w:vMerge w:val="continue"/>
                  <w:tcBorders>
                    <w:tl2br w:val="nil"/>
                    <w:tr2bl w:val="nil"/>
                  </w:tcBorders>
                  <w:noWrap w:val="0"/>
                  <w:vAlign w:val="center"/>
                </w:tcPr>
                <w:p w14:paraId="70785F35">
                  <w:pPr>
                    <w:pStyle w:val="60"/>
                    <w:rPr>
                      <w:color w:val="auto"/>
                      <w:kern w:val="2"/>
                      <w:sz w:val="18"/>
                      <w:szCs w:val="18"/>
                    </w:rPr>
                  </w:pPr>
                </w:p>
              </w:tc>
              <w:tc>
                <w:tcPr>
                  <w:tcW w:w="375" w:type="pct"/>
                  <w:vMerge w:val="continue"/>
                  <w:tcBorders>
                    <w:tl2br w:val="nil"/>
                    <w:tr2bl w:val="nil"/>
                  </w:tcBorders>
                  <w:noWrap w:val="0"/>
                  <w:vAlign w:val="center"/>
                </w:tcPr>
                <w:p w14:paraId="4E587BEC">
                  <w:pPr>
                    <w:pStyle w:val="60"/>
                    <w:rPr>
                      <w:color w:val="auto"/>
                      <w:kern w:val="2"/>
                      <w:sz w:val="18"/>
                      <w:szCs w:val="18"/>
                    </w:rPr>
                  </w:pPr>
                </w:p>
              </w:tc>
              <w:tc>
                <w:tcPr>
                  <w:tcW w:w="384" w:type="pct"/>
                  <w:vMerge w:val="continue"/>
                  <w:tcBorders>
                    <w:tl2br w:val="nil"/>
                    <w:tr2bl w:val="nil"/>
                  </w:tcBorders>
                  <w:noWrap w:val="0"/>
                  <w:vAlign w:val="center"/>
                </w:tcPr>
                <w:p w14:paraId="04E012A5">
                  <w:pPr>
                    <w:pStyle w:val="60"/>
                    <w:rPr>
                      <w:color w:val="auto"/>
                      <w:kern w:val="2"/>
                      <w:sz w:val="18"/>
                      <w:szCs w:val="18"/>
                    </w:rPr>
                  </w:pPr>
                </w:p>
              </w:tc>
              <w:tc>
                <w:tcPr>
                  <w:tcW w:w="338" w:type="pct"/>
                  <w:tcBorders>
                    <w:tl2br w:val="nil"/>
                    <w:tr2bl w:val="nil"/>
                  </w:tcBorders>
                  <w:noWrap w:val="0"/>
                  <w:vAlign w:val="center"/>
                </w:tcPr>
                <w:p w14:paraId="48DBC817">
                  <w:pPr>
                    <w:pStyle w:val="60"/>
                    <w:rPr>
                      <w:color w:val="auto"/>
                      <w:kern w:val="2"/>
                      <w:sz w:val="18"/>
                      <w:szCs w:val="18"/>
                    </w:rPr>
                  </w:pPr>
                  <w:r>
                    <w:rPr>
                      <w:rFonts w:hint="eastAsia"/>
                      <w:color w:val="auto"/>
                      <w:kern w:val="2"/>
                      <w:sz w:val="18"/>
                      <w:szCs w:val="18"/>
                    </w:rPr>
                    <w:t>浓度</w:t>
                  </w:r>
                  <w:r>
                    <w:rPr>
                      <w:color w:val="auto"/>
                      <w:kern w:val="2"/>
                      <w:sz w:val="18"/>
                      <w:szCs w:val="18"/>
                    </w:rPr>
                    <w:t>mg/m</w:t>
                  </w:r>
                  <w:r>
                    <w:rPr>
                      <w:color w:val="auto"/>
                      <w:kern w:val="2"/>
                      <w:sz w:val="18"/>
                      <w:szCs w:val="18"/>
                      <w:vertAlign w:val="superscript"/>
                    </w:rPr>
                    <w:t>3</w:t>
                  </w:r>
                </w:p>
              </w:tc>
              <w:tc>
                <w:tcPr>
                  <w:tcW w:w="347" w:type="pct"/>
                  <w:tcBorders>
                    <w:tl2br w:val="nil"/>
                    <w:tr2bl w:val="nil"/>
                  </w:tcBorders>
                  <w:noWrap w:val="0"/>
                  <w:vAlign w:val="center"/>
                </w:tcPr>
                <w:p w14:paraId="03558F7C">
                  <w:pPr>
                    <w:pStyle w:val="60"/>
                    <w:rPr>
                      <w:color w:val="auto"/>
                      <w:kern w:val="2"/>
                      <w:sz w:val="18"/>
                      <w:szCs w:val="18"/>
                    </w:rPr>
                  </w:pPr>
                  <w:r>
                    <w:rPr>
                      <w:rFonts w:hint="eastAsia"/>
                      <w:color w:val="auto"/>
                      <w:kern w:val="2"/>
                      <w:sz w:val="18"/>
                      <w:szCs w:val="18"/>
                    </w:rPr>
                    <w:t>速率</w:t>
                  </w:r>
                </w:p>
                <w:p w14:paraId="4213C2F8">
                  <w:pPr>
                    <w:pStyle w:val="60"/>
                    <w:rPr>
                      <w:rFonts w:hint="eastAsia"/>
                      <w:color w:val="auto"/>
                      <w:kern w:val="2"/>
                      <w:sz w:val="18"/>
                      <w:szCs w:val="18"/>
                    </w:rPr>
                  </w:pPr>
                  <w:r>
                    <w:rPr>
                      <w:rFonts w:hint="eastAsia"/>
                      <w:color w:val="auto"/>
                      <w:kern w:val="2"/>
                      <w:sz w:val="18"/>
                      <w:szCs w:val="18"/>
                    </w:rPr>
                    <w:t>kg</w:t>
                  </w:r>
                  <w:r>
                    <w:rPr>
                      <w:color w:val="auto"/>
                      <w:kern w:val="2"/>
                      <w:sz w:val="18"/>
                      <w:szCs w:val="18"/>
                    </w:rPr>
                    <w:t>/</w:t>
                  </w:r>
                  <w:r>
                    <w:rPr>
                      <w:rFonts w:hint="eastAsia"/>
                      <w:color w:val="auto"/>
                      <w:kern w:val="2"/>
                      <w:sz w:val="18"/>
                      <w:szCs w:val="18"/>
                    </w:rPr>
                    <w:t>h</w:t>
                  </w:r>
                </w:p>
              </w:tc>
              <w:tc>
                <w:tcPr>
                  <w:tcW w:w="1205" w:type="pct"/>
                  <w:vMerge w:val="continue"/>
                  <w:tcBorders>
                    <w:tl2br w:val="nil"/>
                    <w:tr2bl w:val="nil"/>
                  </w:tcBorders>
                  <w:noWrap w:val="0"/>
                  <w:vAlign w:val="center"/>
                </w:tcPr>
                <w:p w14:paraId="0900FD23">
                  <w:pPr>
                    <w:pStyle w:val="60"/>
                    <w:rPr>
                      <w:color w:val="auto"/>
                      <w:kern w:val="2"/>
                      <w:sz w:val="18"/>
                      <w:szCs w:val="18"/>
                    </w:rPr>
                  </w:pPr>
                </w:p>
              </w:tc>
            </w:tr>
            <w:tr w14:paraId="06192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restart"/>
                  <w:tcBorders>
                    <w:tl2br w:val="nil"/>
                    <w:tr2bl w:val="nil"/>
                  </w:tcBorders>
                  <w:noWrap w:val="0"/>
                  <w:vAlign w:val="center"/>
                </w:tcPr>
                <w:p w14:paraId="39C10A3A">
                  <w:pPr>
                    <w:pStyle w:val="60"/>
                    <w:rPr>
                      <w:rFonts w:hint="eastAsia" w:eastAsia="宋体"/>
                      <w:color w:val="auto"/>
                      <w:kern w:val="2"/>
                      <w:sz w:val="18"/>
                      <w:szCs w:val="18"/>
                      <w:lang w:val="en-US" w:eastAsia="zh-CN"/>
                    </w:rPr>
                  </w:pPr>
                  <w:r>
                    <w:rPr>
                      <w:color w:val="auto"/>
                      <w:kern w:val="2"/>
                      <w:sz w:val="18"/>
                      <w:szCs w:val="18"/>
                    </w:rPr>
                    <w:t>DA00</w:t>
                  </w:r>
                  <w:r>
                    <w:rPr>
                      <w:rFonts w:hint="eastAsia"/>
                      <w:color w:val="auto"/>
                      <w:kern w:val="2"/>
                      <w:sz w:val="18"/>
                      <w:szCs w:val="18"/>
                      <w:lang w:val="en-US" w:eastAsia="zh-CN"/>
                    </w:rPr>
                    <w:t>1</w:t>
                  </w:r>
                </w:p>
              </w:tc>
              <w:tc>
                <w:tcPr>
                  <w:tcW w:w="381" w:type="pct"/>
                  <w:tcBorders>
                    <w:tl2br w:val="nil"/>
                    <w:tr2bl w:val="nil"/>
                  </w:tcBorders>
                  <w:noWrap w:val="0"/>
                  <w:vAlign w:val="center"/>
                </w:tcPr>
                <w:p w14:paraId="3F24B211">
                  <w:pPr>
                    <w:pStyle w:val="60"/>
                    <w:rPr>
                      <w:rFonts w:hint="default" w:eastAsia="宋体"/>
                      <w:color w:val="auto"/>
                      <w:kern w:val="2"/>
                      <w:sz w:val="18"/>
                      <w:szCs w:val="18"/>
                      <w:lang w:val="en-US" w:eastAsia="zh-CN"/>
                    </w:rPr>
                  </w:pPr>
                  <w:r>
                    <w:rPr>
                      <w:rFonts w:hint="eastAsia"/>
                      <w:color w:val="auto"/>
                      <w:sz w:val="18"/>
                      <w:szCs w:val="18"/>
                      <w:lang w:val="en-US" w:eastAsia="zh-CN"/>
                    </w:rPr>
                    <w:t>VOCs</w:t>
                  </w:r>
                </w:p>
              </w:tc>
              <w:tc>
                <w:tcPr>
                  <w:tcW w:w="527" w:type="pct"/>
                  <w:vMerge w:val="restart"/>
                  <w:tcBorders>
                    <w:tl2br w:val="nil"/>
                    <w:tr2bl w:val="nil"/>
                  </w:tcBorders>
                  <w:noWrap w:val="0"/>
                  <w:tcMar>
                    <w:top w:w="0" w:type="dxa"/>
                    <w:left w:w="0" w:type="dxa"/>
                    <w:bottom w:w="0" w:type="dxa"/>
                    <w:right w:w="0" w:type="dxa"/>
                  </w:tcMar>
                  <w:vAlign w:val="center"/>
                </w:tcPr>
                <w:p w14:paraId="6F5FCF93">
                  <w:pPr>
                    <w:pStyle w:val="60"/>
                    <w:rPr>
                      <w:rFonts w:hint="default" w:eastAsia="宋体"/>
                      <w:color w:val="auto"/>
                      <w:kern w:val="2"/>
                      <w:sz w:val="18"/>
                      <w:szCs w:val="18"/>
                      <w:lang w:val="en-US" w:eastAsia="zh-CN"/>
                    </w:rPr>
                  </w:pPr>
                  <w:r>
                    <w:rPr>
                      <w:rFonts w:hint="eastAsia"/>
                      <w:color w:val="auto"/>
                      <w:kern w:val="2"/>
                      <w:sz w:val="18"/>
                      <w:szCs w:val="18"/>
                      <w:lang w:val="en-US" w:eastAsia="zh-CN"/>
                    </w:rPr>
                    <w:t>1#尾气炉故障</w:t>
                  </w:r>
                </w:p>
              </w:tc>
              <w:tc>
                <w:tcPr>
                  <w:tcW w:w="494" w:type="pct"/>
                  <w:tcBorders>
                    <w:tl2br w:val="nil"/>
                    <w:tr2bl w:val="nil"/>
                  </w:tcBorders>
                  <w:noWrap w:val="0"/>
                  <w:vAlign w:val="center"/>
                </w:tcPr>
                <w:p w14:paraId="0B33BAB1">
                  <w:pPr>
                    <w:keepNext w:val="0"/>
                    <w:keepLines w:val="0"/>
                    <w:widowControl/>
                    <w:suppressLineNumbers w:val="0"/>
                    <w:jc w:val="center"/>
                    <w:textAlignment w:val="center"/>
                    <w:rPr>
                      <w:rFonts w:hint="default" w:eastAsia="宋体"/>
                      <w:color w:val="auto"/>
                      <w:kern w:val="2"/>
                      <w:sz w:val="18"/>
                      <w:szCs w:val="18"/>
                      <w:lang w:val="en-US" w:eastAsia="zh-CN"/>
                    </w:rPr>
                  </w:pPr>
                  <w:r>
                    <w:rPr>
                      <w:rFonts w:hint="eastAsia"/>
                      <w:color w:val="auto"/>
                      <w:kern w:val="2"/>
                      <w:sz w:val="18"/>
                      <w:szCs w:val="18"/>
                      <w:lang w:val="en-US" w:eastAsia="zh-CN"/>
                    </w:rPr>
                    <w:t>1006.6</w:t>
                  </w:r>
                </w:p>
              </w:tc>
              <w:tc>
                <w:tcPr>
                  <w:tcW w:w="503" w:type="pct"/>
                  <w:tcBorders>
                    <w:tl2br w:val="nil"/>
                    <w:tr2bl w:val="nil"/>
                  </w:tcBorders>
                  <w:noWrap w:val="0"/>
                  <w:vAlign w:val="center"/>
                </w:tcPr>
                <w:p w14:paraId="5650BE45">
                  <w:pPr>
                    <w:keepNext w:val="0"/>
                    <w:keepLines w:val="0"/>
                    <w:widowControl/>
                    <w:suppressLineNumbers w:val="0"/>
                    <w:jc w:val="center"/>
                    <w:textAlignment w:val="center"/>
                    <w:rPr>
                      <w:rFonts w:hint="default" w:eastAsia="宋体"/>
                      <w:color w:val="auto"/>
                      <w:kern w:val="2"/>
                      <w:sz w:val="18"/>
                      <w:szCs w:val="18"/>
                      <w:lang w:val="en-US" w:eastAsia="zh-CN"/>
                    </w:rPr>
                  </w:pPr>
                  <w:r>
                    <w:rPr>
                      <w:rFonts w:hint="eastAsia"/>
                      <w:color w:val="auto"/>
                      <w:kern w:val="2"/>
                      <w:sz w:val="18"/>
                      <w:szCs w:val="18"/>
                      <w:lang w:val="en-US" w:eastAsia="zh-CN"/>
                    </w:rPr>
                    <w:t>0.534</w:t>
                  </w:r>
                </w:p>
              </w:tc>
              <w:tc>
                <w:tcPr>
                  <w:tcW w:w="375" w:type="pct"/>
                  <w:tcBorders>
                    <w:tl2br w:val="nil"/>
                    <w:tr2bl w:val="nil"/>
                  </w:tcBorders>
                  <w:noWrap w:val="0"/>
                  <w:vAlign w:val="center"/>
                </w:tcPr>
                <w:p w14:paraId="355A428B">
                  <w:pPr>
                    <w:pStyle w:val="60"/>
                    <w:rPr>
                      <w:color w:val="auto"/>
                      <w:kern w:val="2"/>
                      <w:sz w:val="18"/>
                      <w:szCs w:val="18"/>
                    </w:rPr>
                  </w:pPr>
                  <w:r>
                    <w:rPr>
                      <w:color w:val="auto"/>
                      <w:kern w:val="2"/>
                      <w:sz w:val="18"/>
                      <w:szCs w:val="18"/>
                    </w:rPr>
                    <w:t>1h</w:t>
                  </w:r>
                </w:p>
              </w:tc>
              <w:tc>
                <w:tcPr>
                  <w:tcW w:w="384" w:type="pct"/>
                  <w:tcBorders>
                    <w:tl2br w:val="nil"/>
                    <w:tr2bl w:val="nil"/>
                  </w:tcBorders>
                  <w:noWrap w:val="0"/>
                  <w:vAlign w:val="center"/>
                </w:tcPr>
                <w:p w14:paraId="2D6AE40C">
                  <w:pPr>
                    <w:pStyle w:val="60"/>
                    <w:rPr>
                      <w:color w:val="auto"/>
                      <w:kern w:val="2"/>
                      <w:sz w:val="18"/>
                      <w:szCs w:val="18"/>
                    </w:rPr>
                  </w:pPr>
                  <w:r>
                    <w:rPr>
                      <w:color w:val="auto"/>
                      <w:kern w:val="2"/>
                      <w:sz w:val="18"/>
                      <w:szCs w:val="18"/>
                    </w:rPr>
                    <w:t>1次</w:t>
                  </w:r>
                </w:p>
              </w:tc>
              <w:tc>
                <w:tcPr>
                  <w:tcW w:w="338" w:type="pct"/>
                  <w:tcBorders>
                    <w:tl2br w:val="nil"/>
                    <w:tr2bl w:val="nil"/>
                  </w:tcBorders>
                  <w:noWrap w:val="0"/>
                  <w:vAlign w:val="center"/>
                </w:tcPr>
                <w:p w14:paraId="5B33F916">
                  <w:pPr>
                    <w:pStyle w:val="60"/>
                    <w:rPr>
                      <w:rFonts w:hint="default" w:eastAsia="宋体"/>
                      <w:color w:val="auto"/>
                      <w:kern w:val="2"/>
                      <w:sz w:val="18"/>
                      <w:szCs w:val="18"/>
                      <w:lang w:val="en-US" w:eastAsia="zh-CN"/>
                    </w:rPr>
                  </w:pPr>
                  <w:r>
                    <w:rPr>
                      <w:rFonts w:hint="eastAsia"/>
                      <w:color w:val="auto"/>
                      <w:kern w:val="2"/>
                      <w:sz w:val="18"/>
                      <w:szCs w:val="18"/>
                      <w:lang w:val="en-US" w:eastAsia="zh-CN"/>
                    </w:rPr>
                    <w:t>60</w:t>
                  </w:r>
                </w:p>
              </w:tc>
              <w:tc>
                <w:tcPr>
                  <w:tcW w:w="347" w:type="pct"/>
                  <w:tcBorders>
                    <w:tl2br w:val="nil"/>
                    <w:tr2bl w:val="nil"/>
                  </w:tcBorders>
                  <w:noWrap w:val="0"/>
                  <w:vAlign w:val="center"/>
                </w:tcPr>
                <w:p w14:paraId="1D1E816D">
                  <w:pPr>
                    <w:pStyle w:val="60"/>
                    <w:rPr>
                      <w:rFonts w:hint="default" w:eastAsia="宋体"/>
                      <w:color w:val="auto"/>
                      <w:kern w:val="2"/>
                      <w:sz w:val="18"/>
                      <w:szCs w:val="18"/>
                      <w:lang w:val="en-US" w:eastAsia="zh-CN"/>
                    </w:rPr>
                  </w:pPr>
                  <w:r>
                    <w:rPr>
                      <w:rFonts w:hint="eastAsia"/>
                      <w:color w:val="auto"/>
                      <w:kern w:val="2"/>
                      <w:sz w:val="18"/>
                      <w:szCs w:val="18"/>
                      <w:lang w:val="en-US" w:eastAsia="zh-CN"/>
                    </w:rPr>
                    <w:t>3.0</w:t>
                  </w:r>
                </w:p>
              </w:tc>
              <w:tc>
                <w:tcPr>
                  <w:tcW w:w="1205" w:type="pct"/>
                  <w:vMerge w:val="restart"/>
                  <w:tcBorders>
                    <w:tl2br w:val="nil"/>
                    <w:tr2bl w:val="nil"/>
                  </w:tcBorders>
                  <w:noWrap w:val="0"/>
                  <w:vAlign w:val="center"/>
                </w:tcPr>
                <w:p w14:paraId="78CA1132">
                  <w:pPr>
                    <w:pStyle w:val="60"/>
                    <w:rPr>
                      <w:color w:val="auto"/>
                      <w:kern w:val="2"/>
                      <w:sz w:val="18"/>
                      <w:szCs w:val="18"/>
                    </w:rPr>
                  </w:pPr>
                  <w:r>
                    <w:rPr>
                      <w:rFonts w:hint="eastAsia"/>
                      <w:color w:val="auto"/>
                      <w:kern w:val="2"/>
                      <w:sz w:val="18"/>
                      <w:szCs w:val="18"/>
                    </w:rPr>
                    <w:t>加强设备管理，定期检修维护，降低环保设备故障发生频次；环保治设施发生故障时，相应工序应立即采取停产措施。</w:t>
                  </w:r>
                </w:p>
              </w:tc>
            </w:tr>
            <w:tr w14:paraId="42116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continue"/>
                  <w:tcBorders>
                    <w:tl2br w:val="nil"/>
                    <w:tr2bl w:val="nil"/>
                  </w:tcBorders>
                  <w:noWrap w:val="0"/>
                  <w:vAlign w:val="center"/>
                </w:tcPr>
                <w:p w14:paraId="070766F2">
                  <w:pPr>
                    <w:pStyle w:val="60"/>
                    <w:rPr>
                      <w:rFonts w:hint="default" w:eastAsia="宋体"/>
                      <w:color w:val="auto"/>
                      <w:kern w:val="2"/>
                      <w:sz w:val="18"/>
                      <w:szCs w:val="18"/>
                      <w:lang w:val="en-US" w:eastAsia="zh-CN"/>
                    </w:rPr>
                  </w:pPr>
                </w:p>
              </w:tc>
              <w:tc>
                <w:tcPr>
                  <w:tcW w:w="381" w:type="pct"/>
                  <w:tcBorders>
                    <w:tl2br w:val="nil"/>
                    <w:tr2bl w:val="nil"/>
                  </w:tcBorders>
                  <w:noWrap w:val="0"/>
                  <w:vAlign w:val="center"/>
                </w:tcPr>
                <w:p w14:paraId="6CFA17A9">
                  <w:pPr>
                    <w:pStyle w:val="60"/>
                    <w:rPr>
                      <w:rFonts w:hint="default"/>
                      <w:color w:val="auto"/>
                      <w:sz w:val="18"/>
                      <w:szCs w:val="18"/>
                      <w:lang w:val="en-US" w:eastAsia="zh-CN"/>
                    </w:rPr>
                  </w:pPr>
                  <w:r>
                    <w:rPr>
                      <w:rFonts w:hint="eastAsia"/>
                      <w:color w:val="auto"/>
                      <w:sz w:val="18"/>
                      <w:szCs w:val="18"/>
                      <w:lang w:val="en-US" w:eastAsia="zh-CN"/>
                    </w:rPr>
                    <w:t>甲醇</w:t>
                  </w:r>
                </w:p>
              </w:tc>
              <w:tc>
                <w:tcPr>
                  <w:tcW w:w="527" w:type="pct"/>
                  <w:vMerge w:val="continue"/>
                  <w:tcBorders>
                    <w:tl2br w:val="nil"/>
                    <w:tr2bl w:val="nil"/>
                  </w:tcBorders>
                  <w:noWrap w:val="0"/>
                  <w:tcMar>
                    <w:top w:w="0" w:type="dxa"/>
                    <w:left w:w="0" w:type="dxa"/>
                    <w:bottom w:w="0" w:type="dxa"/>
                    <w:right w:w="0" w:type="dxa"/>
                  </w:tcMar>
                  <w:vAlign w:val="center"/>
                </w:tcPr>
                <w:p w14:paraId="52B3D77C">
                  <w:pPr>
                    <w:pStyle w:val="60"/>
                    <w:rPr>
                      <w:rFonts w:hint="eastAsia"/>
                      <w:color w:val="auto"/>
                      <w:kern w:val="2"/>
                      <w:sz w:val="18"/>
                      <w:szCs w:val="18"/>
                      <w:lang w:val="en-US" w:eastAsia="zh-CN"/>
                    </w:rPr>
                  </w:pPr>
                </w:p>
              </w:tc>
              <w:tc>
                <w:tcPr>
                  <w:tcW w:w="494" w:type="pct"/>
                  <w:tcBorders>
                    <w:tl2br w:val="nil"/>
                    <w:tr2bl w:val="nil"/>
                  </w:tcBorders>
                  <w:noWrap w:val="0"/>
                  <w:vAlign w:val="center"/>
                </w:tcPr>
                <w:p w14:paraId="6B2C26CB">
                  <w:pPr>
                    <w:keepNext w:val="0"/>
                    <w:keepLines w:val="0"/>
                    <w:widowControl/>
                    <w:suppressLineNumbers w:val="0"/>
                    <w:jc w:val="center"/>
                    <w:textAlignment w:val="center"/>
                    <w:rPr>
                      <w:rFonts w:hint="default"/>
                      <w:color w:val="auto"/>
                      <w:kern w:val="2"/>
                      <w:sz w:val="18"/>
                      <w:szCs w:val="18"/>
                      <w:lang w:val="en-US" w:eastAsia="zh-CN"/>
                    </w:rPr>
                  </w:pPr>
                  <w:r>
                    <w:rPr>
                      <w:rFonts w:hint="eastAsia"/>
                      <w:color w:val="auto"/>
                      <w:kern w:val="2"/>
                      <w:sz w:val="18"/>
                      <w:szCs w:val="18"/>
                      <w:lang w:val="en-US" w:eastAsia="zh-CN"/>
                    </w:rPr>
                    <w:t>455</w:t>
                  </w:r>
                </w:p>
              </w:tc>
              <w:tc>
                <w:tcPr>
                  <w:tcW w:w="503" w:type="pct"/>
                  <w:tcBorders>
                    <w:tl2br w:val="nil"/>
                    <w:tr2bl w:val="nil"/>
                  </w:tcBorders>
                  <w:noWrap w:val="0"/>
                  <w:vAlign w:val="center"/>
                </w:tcPr>
                <w:p w14:paraId="42C5D3A9">
                  <w:pPr>
                    <w:keepNext w:val="0"/>
                    <w:keepLines w:val="0"/>
                    <w:widowControl/>
                    <w:suppressLineNumbers w:val="0"/>
                    <w:jc w:val="center"/>
                    <w:textAlignment w:val="center"/>
                    <w:rPr>
                      <w:rFonts w:hint="default"/>
                      <w:color w:val="auto"/>
                      <w:kern w:val="2"/>
                      <w:sz w:val="18"/>
                      <w:szCs w:val="18"/>
                      <w:lang w:val="en-US" w:eastAsia="zh-CN"/>
                    </w:rPr>
                  </w:pPr>
                  <w:r>
                    <w:rPr>
                      <w:rFonts w:hint="eastAsia"/>
                      <w:color w:val="auto"/>
                      <w:kern w:val="2"/>
                      <w:sz w:val="18"/>
                      <w:szCs w:val="18"/>
                      <w:lang w:val="en-US" w:eastAsia="zh-CN"/>
                    </w:rPr>
                    <w:t>0.241</w:t>
                  </w:r>
                </w:p>
              </w:tc>
              <w:tc>
                <w:tcPr>
                  <w:tcW w:w="375" w:type="pct"/>
                  <w:tcBorders>
                    <w:tl2br w:val="nil"/>
                    <w:tr2bl w:val="nil"/>
                  </w:tcBorders>
                  <w:shd w:val="clear" w:color="auto" w:fill="auto"/>
                  <w:noWrap w:val="0"/>
                  <w:vAlign w:val="center"/>
                </w:tcPr>
                <w:p w14:paraId="6C29B641">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1h</w:t>
                  </w:r>
                </w:p>
              </w:tc>
              <w:tc>
                <w:tcPr>
                  <w:tcW w:w="384" w:type="pct"/>
                  <w:tcBorders>
                    <w:tl2br w:val="nil"/>
                    <w:tr2bl w:val="nil"/>
                  </w:tcBorders>
                  <w:shd w:val="clear" w:color="auto" w:fill="auto"/>
                  <w:noWrap w:val="0"/>
                  <w:vAlign w:val="center"/>
                </w:tcPr>
                <w:p w14:paraId="32688A1C">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1次</w:t>
                  </w:r>
                </w:p>
              </w:tc>
              <w:tc>
                <w:tcPr>
                  <w:tcW w:w="338" w:type="pct"/>
                  <w:tcBorders>
                    <w:tl2br w:val="nil"/>
                    <w:tr2bl w:val="nil"/>
                  </w:tcBorders>
                  <w:noWrap w:val="0"/>
                  <w:vAlign w:val="center"/>
                </w:tcPr>
                <w:p w14:paraId="74DB5556">
                  <w:pPr>
                    <w:pStyle w:val="60"/>
                    <w:rPr>
                      <w:rFonts w:hint="default"/>
                      <w:color w:val="auto"/>
                      <w:kern w:val="2"/>
                      <w:sz w:val="18"/>
                      <w:szCs w:val="18"/>
                      <w:lang w:val="en-US" w:eastAsia="zh-CN"/>
                    </w:rPr>
                  </w:pPr>
                  <w:r>
                    <w:rPr>
                      <w:rFonts w:hint="eastAsia"/>
                      <w:color w:val="auto"/>
                      <w:kern w:val="2"/>
                      <w:sz w:val="18"/>
                      <w:szCs w:val="18"/>
                      <w:lang w:val="en-US" w:eastAsia="zh-CN"/>
                    </w:rPr>
                    <w:t>50</w:t>
                  </w:r>
                </w:p>
              </w:tc>
              <w:tc>
                <w:tcPr>
                  <w:tcW w:w="347" w:type="pct"/>
                  <w:tcBorders>
                    <w:tl2br w:val="nil"/>
                    <w:tr2bl w:val="nil"/>
                  </w:tcBorders>
                  <w:noWrap w:val="0"/>
                  <w:vAlign w:val="center"/>
                </w:tcPr>
                <w:p w14:paraId="2BBDD9C6">
                  <w:pPr>
                    <w:pStyle w:val="60"/>
                    <w:rPr>
                      <w:rFonts w:hint="default"/>
                      <w:color w:val="auto"/>
                      <w:kern w:val="2"/>
                      <w:sz w:val="18"/>
                      <w:szCs w:val="18"/>
                      <w:lang w:val="en-US" w:eastAsia="zh-CN"/>
                    </w:rPr>
                  </w:pPr>
                  <w:r>
                    <w:rPr>
                      <w:rFonts w:hint="eastAsia"/>
                      <w:color w:val="auto"/>
                      <w:kern w:val="2"/>
                      <w:sz w:val="18"/>
                      <w:szCs w:val="18"/>
                      <w:lang w:val="en-US" w:eastAsia="zh-CN"/>
                    </w:rPr>
                    <w:t>--</w:t>
                  </w:r>
                </w:p>
              </w:tc>
              <w:tc>
                <w:tcPr>
                  <w:tcW w:w="1205" w:type="pct"/>
                  <w:vMerge w:val="continue"/>
                  <w:tcBorders>
                    <w:tl2br w:val="nil"/>
                    <w:tr2bl w:val="nil"/>
                  </w:tcBorders>
                  <w:noWrap w:val="0"/>
                  <w:vAlign w:val="center"/>
                </w:tcPr>
                <w:p w14:paraId="473ACB74">
                  <w:pPr>
                    <w:pStyle w:val="60"/>
                    <w:rPr>
                      <w:rFonts w:hint="eastAsia"/>
                      <w:color w:val="auto"/>
                      <w:kern w:val="2"/>
                      <w:sz w:val="18"/>
                      <w:szCs w:val="18"/>
                    </w:rPr>
                  </w:pPr>
                </w:p>
              </w:tc>
            </w:tr>
            <w:tr w14:paraId="2060B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continue"/>
                  <w:tcBorders>
                    <w:tl2br w:val="nil"/>
                    <w:tr2bl w:val="nil"/>
                  </w:tcBorders>
                  <w:noWrap w:val="0"/>
                  <w:vAlign w:val="center"/>
                </w:tcPr>
                <w:p w14:paraId="2B6B5B5D">
                  <w:pPr>
                    <w:pStyle w:val="60"/>
                    <w:rPr>
                      <w:rFonts w:hint="default" w:eastAsia="宋体"/>
                      <w:color w:val="auto"/>
                      <w:kern w:val="2"/>
                      <w:sz w:val="18"/>
                      <w:szCs w:val="18"/>
                      <w:lang w:val="en-US" w:eastAsia="zh-CN"/>
                    </w:rPr>
                  </w:pPr>
                </w:p>
              </w:tc>
              <w:tc>
                <w:tcPr>
                  <w:tcW w:w="381" w:type="pct"/>
                  <w:tcBorders>
                    <w:tl2br w:val="nil"/>
                    <w:tr2bl w:val="nil"/>
                  </w:tcBorders>
                  <w:noWrap w:val="0"/>
                  <w:vAlign w:val="center"/>
                </w:tcPr>
                <w:p w14:paraId="53BC15B8">
                  <w:pPr>
                    <w:pStyle w:val="60"/>
                    <w:rPr>
                      <w:rFonts w:hint="default"/>
                      <w:color w:val="auto"/>
                      <w:sz w:val="18"/>
                      <w:szCs w:val="18"/>
                      <w:lang w:val="en-US" w:eastAsia="zh-CN"/>
                    </w:rPr>
                  </w:pPr>
                  <w:r>
                    <w:rPr>
                      <w:rFonts w:hint="eastAsia"/>
                      <w:color w:val="auto"/>
                      <w:sz w:val="18"/>
                      <w:szCs w:val="18"/>
                      <w:lang w:val="en-US" w:eastAsia="zh-CN"/>
                    </w:rPr>
                    <w:t>NOx</w:t>
                  </w:r>
                </w:p>
              </w:tc>
              <w:tc>
                <w:tcPr>
                  <w:tcW w:w="527" w:type="pct"/>
                  <w:vMerge w:val="continue"/>
                  <w:tcBorders>
                    <w:tl2br w:val="nil"/>
                    <w:tr2bl w:val="nil"/>
                  </w:tcBorders>
                  <w:noWrap w:val="0"/>
                  <w:tcMar>
                    <w:top w:w="0" w:type="dxa"/>
                    <w:left w:w="0" w:type="dxa"/>
                    <w:bottom w:w="0" w:type="dxa"/>
                    <w:right w:w="0" w:type="dxa"/>
                  </w:tcMar>
                  <w:vAlign w:val="center"/>
                </w:tcPr>
                <w:p w14:paraId="758A4BC5">
                  <w:pPr>
                    <w:pStyle w:val="60"/>
                    <w:rPr>
                      <w:rFonts w:hint="eastAsia"/>
                      <w:color w:val="auto"/>
                      <w:kern w:val="2"/>
                      <w:sz w:val="18"/>
                      <w:szCs w:val="18"/>
                      <w:lang w:val="en-US" w:eastAsia="zh-CN"/>
                    </w:rPr>
                  </w:pPr>
                </w:p>
              </w:tc>
              <w:tc>
                <w:tcPr>
                  <w:tcW w:w="494" w:type="pct"/>
                  <w:tcBorders>
                    <w:tl2br w:val="nil"/>
                    <w:tr2bl w:val="nil"/>
                  </w:tcBorders>
                  <w:noWrap w:val="0"/>
                  <w:vAlign w:val="center"/>
                </w:tcPr>
                <w:p w14:paraId="02A442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94</w:t>
                  </w:r>
                </w:p>
              </w:tc>
              <w:tc>
                <w:tcPr>
                  <w:tcW w:w="503" w:type="pct"/>
                  <w:tcBorders>
                    <w:tl2br w:val="nil"/>
                    <w:tr2bl w:val="nil"/>
                  </w:tcBorders>
                  <w:noWrap w:val="0"/>
                  <w:vAlign w:val="center"/>
                </w:tcPr>
                <w:p w14:paraId="27E140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0.05</w:t>
                  </w:r>
                </w:p>
              </w:tc>
              <w:tc>
                <w:tcPr>
                  <w:tcW w:w="375" w:type="pct"/>
                  <w:tcBorders>
                    <w:tl2br w:val="nil"/>
                    <w:tr2bl w:val="nil"/>
                  </w:tcBorders>
                  <w:shd w:val="clear" w:color="auto" w:fill="auto"/>
                  <w:noWrap w:val="0"/>
                  <w:vAlign w:val="center"/>
                </w:tcPr>
                <w:p w14:paraId="638D52FE">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1h</w:t>
                  </w:r>
                </w:p>
              </w:tc>
              <w:tc>
                <w:tcPr>
                  <w:tcW w:w="384" w:type="pct"/>
                  <w:tcBorders>
                    <w:tl2br w:val="nil"/>
                    <w:tr2bl w:val="nil"/>
                  </w:tcBorders>
                  <w:shd w:val="clear" w:color="auto" w:fill="auto"/>
                  <w:noWrap w:val="0"/>
                  <w:vAlign w:val="center"/>
                </w:tcPr>
                <w:p w14:paraId="1D397EA7">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1次</w:t>
                  </w:r>
                </w:p>
              </w:tc>
              <w:tc>
                <w:tcPr>
                  <w:tcW w:w="338" w:type="pct"/>
                  <w:tcBorders>
                    <w:tl2br w:val="nil"/>
                    <w:tr2bl w:val="nil"/>
                  </w:tcBorders>
                  <w:noWrap w:val="0"/>
                  <w:vAlign w:val="center"/>
                </w:tcPr>
                <w:p w14:paraId="6EB6BBE7">
                  <w:pPr>
                    <w:pStyle w:val="60"/>
                    <w:rPr>
                      <w:rFonts w:hint="default"/>
                      <w:color w:val="auto"/>
                      <w:kern w:val="2"/>
                      <w:sz w:val="18"/>
                      <w:szCs w:val="18"/>
                      <w:lang w:val="en-US" w:eastAsia="zh-CN"/>
                    </w:rPr>
                  </w:pPr>
                  <w:r>
                    <w:rPr>
                      <w:rFonts w:hint="eastAsia"/>
                      <w:color w:val="auto"/>
                      <w:kern w:val="2"/>
                      <w:sz w:val="18"/>
                      <w:szCs w:val="18"/>
                      <w:lang w:val="en-US" w:eastAsia="zh-CN"/>
                    </w:rPr>
                    <w:t>100</w:t>
                  </w:r>
                </w:p>
              </w:tc>
              <w:tc>
                <w:tcPr>
                  <w:tcW w:w="347" w:type="pct"/>
                  <w:tcBorders>
                    <w:tl2br w:val="nil"/>
                    <w:tr2bl w:val="nil"/>
                  </w:tcBorders>
                  <w:noWrap w:val="0"/>
                  <w:vAlign w:val="center"/>
                </w:tcPr>
                <w:p w14:paraId="3FE932CD">
                  <w:pPr>
                    <w:pStyle w:val="60"/>
                    <w:rPr>
                      <w:rFonts w:hint="default"/>
                      <w:color w:val="auto"/>
                      <w:kern w:val="2"/>
                      <w:sz w:val="18"/>
                      <w:szCs w:val="18"/>
                      <w:lang w:val="en-US" w:eastAsia="zh-CN"/>
                    </w:rPr>
                  </w:pPr>
                  <w:r>
                    <w:rPr>
                      <w:rFonts w:hint="eastAsia"/>
                      <w:color w:val="auto"/>
                      <w:kern w:val="2"/>
                      <w:sz w:val="18"/>
                      <w:szCs w:val="18"/>
                      <w:lang w:val="en-US" w:eastAsia="zh-CN"/>
                    </w:rPr>
                    <w:t>--</w:t>
                  </w:r>
                </w:p>
              </w:tc>
              <w:tc>
                <w:tcPr>
                  <w:tcW w:w="1205" w:type="pct"/>
                  <w:vMerge w:val="continue"/>
                  <w:tcBorders>
                    <w:tl2br w:val="nil"/>
                    <w:tr2bl w:val="nil"/>
                  </w:tcBorders>
                  <w:noWrap w:val="0"/>
                  <w:vAlign w:val="center"/>
                </w:tcPr>
                <w:p w14:paraId="22BE907A">
                  <w:pPr>
                    <w:pStyle w:val="60"/>
                    <w:rPr>
                      <w:rFonts w:hint="eastAsia"/>
                      <w:color w:val="auto"/>
                      <w:kern w:val="2"/>
                      <w:sz w:val="18"/>
                      <w:szCs w:val="18"/>
                    </w:rPr>
                  </w:pPr>
                </w:p>
              </w:tc>
            </w:tr>
            <w:tr w14:paraId="41A97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restart"/>
                  <w:tcBorders>
                    <w:tl2br w:val="nil"/>
                    <w:tr2bl w:val="nil"/>
                  </w:tcBorders>
                  <w:shd w:val="clear" w:color="auto" w:fill="auto"/>
                  <w:noWrap w:val="0"/>
                  <w:vAlign w:val="center"/>
                </w:tcPr>
                <w:p w14:paraId="453564F6">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DA002</w:t>
                  </w:r>
                </w:p>
              </w:tc>
              <w:tc>
                <w:tcPr>
                  <w:tcW w:w="381" w:type="pct"/>
                  <w:tcBorders>
                    <w:tl2br w:val="nil"/>
                    <w:tr2bl w:val="nil"/>
                  </w:tcBorders>
                  <w:shd w:val="clear" w:color="auto" w:fill="auto"/>
                  <w:noWrap w:val="0"/>
                  <w:vAlign w:val="center"/>
                </w:tcPr>
                <w:p w14:paraId="2D48AF3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VOCs</w:t>
                  </w:r>
                </w:p>
              </w:tc>
              <w:tc>
                <w:tcPr>
                  <w:tcW w:w="527" w:type="pct"/>
                  <w:vMerge w:val="restart"/>
                  <w:tcBorders>
                    <w:tl2br w:val="nil"/>
                    <w:tr2bl w:val="nil"/>
                  </w:tcBorders>
                  <w:noWrap w:val="0"/>
                  <w:tcMar>
                    <w:top w:w="0" w:type="dxa"/>
                    <w:left w:w="0" w:type="dxa"/>
                    <w:bottom w:w="0" w:type="dxa"/>
                    <w:right w:w="0" w:type="dxa"/>
                  </w:tcMar>
                  <w:vAlign w:val="center"/>
                </w:tcPr>
                <w:p w14:paraId="5550ECBF">
                  <w:pPr>
                    <w:pStyle w:val="60"/>
                    <w:rPr>
                      <w:rFonts w:hint="eastAsia"/>
                      <w:color w:val="auto"/>
                      <w:kern w:val="2"/>
                      <w:sz w:val="18"/>
                      <w:szCs w:val="18"/>
                      <w:lang w:val="en-US" w:eastAsia="zh-CN"/>
                    </w:rPr>
                  </w:pPr>
                  <w:r>
                    <w:rPr>
                      <w:rFonts w:hint="eastAsia"/>
                      <w:color w:val="auto"/>
                      <w:kern w:val="2"/>
                      <w:sz w:val="18"/>
                      <w:szCs w:val="18"/>
                      <w:lang w:val="en-US" w:eastAsia="zh-CN"/>
                    </w:rPr>
                    <w:t>2#尾气炉故障</w:t>
                  </w:r>
                </w:p>
              </w:tc>
              <w:tc>
                <w:tcPr>
                  <w:tcW w:w="494" w:type="pct"/>
                  <w:tcBorders>
                    <w:tl2br w:val="nil"/>
                    <w:tr2bl w:val="nil"/>
                  </w:tcBorders>
                  <w:shd w:val="clear" w:color="auto" w:fill="auto"/>
                  <w:noWrap w:val="0"/>
                  <w:vAlign w:val="center"/>
                </w:tcPr>
                <w:p w14:paraId="1B1EFE9A">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1006.6</w:t>
                  </w:r>
                </w:p>
              </w:tc>
              <w:tc>
                <w:tcPr>
                  <w:tcW w:w="503" w:type="pct"/>
                  <w:tcBorders>
                    <w:tl2br w:val="nil"/>
                    <w:tr2bl w:val="nil"/>
                  </w:tcBorders>
                  <w:noWrap w:val="0"/>
                  <w:vAlign w:val="center"/>
                </w:tcPr>
                <w:p w14:paraId="59FF2D79">
                  <w:pPr>
                    <w:keepNext w:val="0"/>
                    <w:keepLines w:val="0"/>
                    <w:widowControl/>
                    <w:suppressLineNumbers w:val="0"/>
                    <w:jc w:val="center"/>
                    <w:textAlignment w:val="center"/>
                    <w:rPr>
                      <w:rFonts w:hint="default"/>
                      <w:color w:val="auto"/>
                      <w:kern w:val="2"/>
                      <w:sz w:val="18"/>
                      <w:szCs w:val="18"/>
                      <w:lang w:val="en-US" w:eastAsia="zh-CN"/>
                    </w:rPr>
                  </w:pPr>
                  <w:r>
                    <w:rPr>
                      <w:rFonts w:hint="eastAsia"/>
                      <w:color w:val="auto"/>
                      <w:kern w:val="2"/>
                      <w:sz w:val="18"/>
                      <w:szCs w:val="18"/>
                      <w:lang w:val="en-US" w:eastAsia="zh-CN"/>
                    </w:rPr>
                    <w:t>0.534</w:t>
                  </w:r>
                </w:p>
              </w:tc>
              <w:tc>
                <w:tcPr>
                  <w:tcW w:w="375" w:type="pct"/>
                  <w:tcBorders>
                    <w:tl2br w:val="nil"/>
                    <w:tr2bl w:val="nil"/>
                  </w:tcBorders>
                  <w:shd w:val="clear" w:color="auto" w:fill="auto"/>
                  <w:noWrap w:val="0"/>
                  <w:vAlign w:val="center"/>
                </w:tcPr>
                <w:p w14:paraId="389B31D6">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1h</w:t>
                  </w:r>
                </w:p>
              </w:tc>
              <w:tc>
                <w:tcPr>
                  <w:tcW w:w="384" w:type="pct"/>
                  <w:tcBorders>
                    <w:tl2br w:val="nil"/>
                    <w:tr2bl w:val="nil"/>
                  </w:tcBorders>
                  <w:shd w:val="clear" w:color="auto" w:fill="auto"/>
                  <w:noWrap w:val="0"/>
                  <w:vAlign w:val="center"/>
                </w:tcPr>
                <w:p w14:paraId="16ADF1B2">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1次</w:t>
                  </w:r>
                </w:p>
              </w:tc>
              <w:tc>
                <w:tcPr>
                  <w:tcW w:w="338" w:type="pct"/>
                  <w:tcBorders>
                    <w:tl2br w:val="nil"/>
                    <w:tr2bl w:val="nil"/>
                  </w:tcBorders>
                  <w:shd w:val="clear" w:color="auto" w:fill="auto"/>
                  <w:noWrap w:val="0"/>
                  <w:vAlign w:val="center"/>
                </w:tcPr>
                <w:p w14:paraId="6AE0FB1A">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60</w:t>
                  </w:r>
                </w:p>
              </w:tc>
              <w:tc>
                <w:tcPr>
                  <w:tcW w:w="347" w:type="pct"/>
                  <w:tcBorders>
                    <w:tl2br w:val="nil"/>
                    <w:tr2bl w:val="nil"/>
                  </w:tcBorders>
                  <w:shd w:val="clear" w:color="auto" w:fill="auto"/>
                  <w:noWrap w:val="0"/>
                  <w:vAlign w:val="center"/>
                </w:tcPr>
                <w:p w14:paraId="3906B90F">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3.0</w:t>
                  </w:r>
                </w:p>
              </w:tc>
              <w:tc>
                <w:tcPr>
                  <w:tcW w:w="1205" w:type="pct"/>
                  <w:vMerge w:val="continue"/>
                  <w:tcBorders>
                    <w:tl2br w:val="nil"/>
                    <w:tr2bl w:val="nil"/>
                  </w:tcBorders>
                  <w:noWrap w:val="0"/>
                  <w:vAlign w:val="center"/>
                </w:tcPr>
                <w:p w14:paraId="2938A9E3">
                  <w:pPr>
                    <w:pStyle w:val="60"/>
                    <w:rPr>
                      <w:rFonts w:hint="eastAsia"/>
                      <w:color w:val="auto"/>
                      <w:kern w:val="2"/>
                      <w:sz w:val="18"/>
                      <w:szCs w:val="18"/>
                    </w:rPr>
                  </w:pPr>
                </w:p>
              </w:tc>
            </w:tr>
            <w:tr w14:paraId="50258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continue"/>
                  <w:tcBorders>
                    <w:tl2br w:val="nil"/>
                    <w:tr2bl w:val="nil"/>
                  </w:tcBorders>
                  <w:noWrap w:val="0"/>
                  <w:vAlign w:val="center"/>
                </w:tcPr>
                <w:p w14:paraId="78150CAF">
                  <w:pPr>
                    <w:pStyle w:val="60"/>
                    <w:rPr>
                      <w:rFonts w:hint="eastAsia"/>
                      <w:color w:val="auto"/>
                      <w:kern w:val="2"/>
                      <w:sz w:val="18"/>
                      <w:szCs w:val="18"/>
                      <w:lang w:val="en-US" w:eastAsia="zh-CN"/>
                    </w:rPr>
                  </w:pPr>
                </w:p>
              </w:tc>
              <w:tc>
                <w:tcPr>
                  <w:tcW w:w="381" w:type="pct"/>
                  <w:tcBorders>
                    <w:tl2br w:val="nil"/>
                    <w:tr2bl w:val="nil"/>
                  </w:tcBorders>
                  <w:noWrap w:val="0"/>
                  <w:vAlign w:val="center"/>
                </w:tcPr>
                <w:p w14:paraId="009D0D9B">
                  <w:pPr>
                    <w:pStyle w:val="60"/>
                    <w:rPr>
                      <w:rFonts w:hint="default"/>
                      <w:color w:val="auto"/>
                      <w:sz w:val="18"/>
                      <w:szCs w:val="18"/>
                      <w:lang w:val="en-US" w:eastAsia="zh-CN"/>
                    </w:rPr>
                  </w:pPr>
                  <w:r>
                    <w:rPr>
                      <w:rFonts w:hint="eastAsia"/>
                      <w:color w:val="auto"/>
                      <w:sz w:val="18"/>
                      <w:szCs w:val="18"/>
                      <w:lang w:val="en-US" w:eastAsia="zh-CN"/>
                    </w:rPr>
                    <w:t>甲醇</w:t>
                  </w:r>
                </w:p>
              </w:tc>
              <w:tc>
                <w:tcPr>
                  <w:tcW w:w="527" w:type="pct"/>
                  <w:vMerge w:val="continue"/>
                  <w:tcBorders>
                    <w:tl2br w:val="nil"/>
                    <w:tr2bl w:val="nil"/>
                  </w:tcBorders>
                  <w:noWrap w:val="0"/>
                  <w:tcMar>
                    <w:top w:w="0" w:type="dxa"/>
                    <w:left w:w="0" w:type="dxa"/>
                    <w:bottom w:w="0" w:type="dxa"/>
                    <w:right w:w="0" w:type="dxa"/>
                  </w:tcMar>
                  <w:vAlign w:val="center"/>
                </w:tcPr>
                <w:p w14:paraId="22BFCFDA">
                  <w:pPr>
                    <w:pStyle w:val="60"/>
                    <w:rPr>
                      <w:rFonts w:hint="eastAsia"/>
                      <w:color w:val="auto"/>
                      <w:kern w:val="2"/>
                      <w:sz w:val="18"/>
                      <w:szCs w:val="18"/>
                      <w:lang w:val="en-US" w:eastAsia="zh-CN"/>
                    </w:rPr>
                  </w:pPr>
                </w:p>
              </w:tc>
              <w:tc>
                <w:tcPr>
                  <w:tcW w:w="494" w:type="pct"/>
                  <w:tcBorders>
                    <w:tl2br w:val="nil"/>
                    <w:tr2bl w:val="nil"/>
                  </w:tcBorders>
                  <w:shd w:val="clear" w:color="auto" w:fill="auto"/>
                  <w:noWrap w:val="0"/>
                  <w:vAlign w:val="center"/>
                </w:tcPr>
                <w:p w14:paraId="359A3E60">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455</w:t>
                  </w:r>
                </w:p>
              </w:tc>
              <w:tc>
                <w:tcPr>
                  <w:tcW w:w="503" w:type="pct"/>
                  <w:tcBorders>
                    <w:tl2br w:val="nil"/>
                    <w:tr2bl w:val="nil"/>
                  </w:tcBorders>
                  <w:noWrap w:val="0"/>
                  <w:vAlign w:val="center"/>
                </w:tcPr>
                <w:p w14:paraId="52AC86C3">
                  <w:pPr>
                    <w:keepNext w:val="0"/>
                    <w:keepLines w:val="0"/>
                    <w:widowControl/>
                    <w:suppressLineNumbers w:val="0"/>
                    <w:jc w:val="center"/>
                    <w:textAlignment w:val="center"/>
                    <w:rPr>
                      <w:rFonts w:hint="default"/>
                      <w:color w:val="auto"/>
                      <w:kern w:val="2"/>
                      <w:sz w:val="18"/>
                      <w:szCs w:val="18"/>
                      <w:lang w:val="en-US" w:eastAsia="zh-CN"/>
                    </w:rPr>
                  </w:pPr>
                  <w:r>
                    <w:rPr>
                      <w:rFonts w:hint="eastAsia"/>
                      <w:color w:val="auto"/>
                      <w:kern w:val="2"/>
                      <w:sz w:val="18"/>
                      <w:szCs w:val="18"/>
                      <w:lang w:val="en-US" w:eastAsia="zh-CN"/>
                    </w:rPr>
                    <w:t>0.241</w:t>
                  </w:r>
                </w:p>
              </w:tc>
              <w:tc>
                <w:tcPr>
                  <w:tcW w:w="375" w:type="pct"/>
                  <w:tcBorders>
                    <w:tl2br w:val="nil"/>
                    <w:tr2bl w:val="nil"/>
                  </w:tcBorders>
                  <w:shd w:val="clear" w:color="auto" w:fill="auto"/>
                  <w:noWrap w:val="0"/>
                  <w:vAlign w:val="center"/>
                </w:tcPr>
                <w:p w14:paraId="35D7BD1E">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1h</w:t>
                  </w:r>
                </w:p>
              </w:tc>
              <w:tc>
                <w:tcPr>
                  <w:tcW w:w="384" w:type="pct"/>
                  <w:tcBorders>
                    <w:tl2br w:val="nil"/>
                    <w:tr2bl w:val="nil"/>
                  </w:tcBorders>
                  <w:shd w:val="clear" w:color="auto" w:fill="auto"/>
                  <w:noWrap w:val="0"/>
                  <w:vAlign w:val="center"/>
                </w:tcPr>
                <w:p w14:paraId="467A1C0E">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1次</w:t>
                  </w:r>
                </w:p>
              </w:tc>
              <w:tc>
                <w:tcPr>
                  <w:tcW w:w="338" w:type="pct"/>
                  <w:tcBorders>
                    <w:tl2br w:val="nil"/>
                    <w:tr2bl w:val="nil"/>
                  </w:tcBorders>
                  <w:shd w:val="clear" w:color="auto" w:fill="auto"/>
                  <w:noWrap w:val="0"/>
                  <w:vAlign w:val="center"/>
                </w:tcPr>
                <w:p w14:paraId="1DE632FB">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50</w:t>
                  </w:r>
                </w:p>
              </w:tc>
              <w:tc>
                <w:tcPr>
                  <w:tcW w:w="347" w:type="pct"/>
                  <w:tcBorders>
                    <w:tl2br w:val="nil"/>
                    <w:tr2bl w:val="nil"/>
                  </w:tcBorders>
                  <w:shd w:val="clear" w:color="auto" w:fill="auto"/>
                  <w:noWrap w:val="0"/>
                  <w:vAlign w:val="center"/>
                </w:tcPr>
                <w:p w14:paraId="6F90E18D">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w:t>
                  </w:r>
                </w:p>
              </w:tc>
              <w:tc>
                <w:tcPr>
                  <w:tcW w:w="1205" w:type="pct"/>
                  <w:vMerge w:val="continue"/>
                  <w:tcBorders>
                    <w:tl2br w:val="nil"/>
                    <w:tr2bl w:val="nil"/>
                  </w:tcBorders>
                  <w:noWrap w:val="0"/>
                  <w:vAlign w:val="center"/>
                </w:tcPr>
                <w:p w14:paraId="1F2DE1EE">
                  <w:pPr>
                    <w:pStyle w:val="60"/>
                    <w:rPr>
                      <w:rFonts w:hint="eastAsia"/>
                      <w:color w:val="auto"/>
                      <w:kern w:val="2"/>
                      <w:sz w:val="18"/>
                      <w:szCs w:val="18"/>
                    </w:rPr>
                  </w:pPr>
                </w:p>
              </w:tc>
            </w:tr>
            <w:tr w14:paraId="6EAA8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2" w:type="pct"/>
                  <w:vMerge w:val="continue"/>
                  <w:tcBorders>
                    <w:tl2br w:val="nil"/>
                    <w:tr2bl w:val="nil"/>
                  </w:tcBorders>
                  <w:noWrap w:val="0"/>
                  <w:vAlign w:val="center"/>
                </w:tcPr>
                <w:p w14:paraId="321E2E5E">
                  <w:pPr>
                    <w:pStyle w:val="60"/>
                    <w:rPr>
                      <w:rFonts w:hint="eastAsia"/>
                      <w:color w:val="auto"/>
                      <w:kern w:val="2"/>
                      <w:sz w:val="18"/>
                      <w:szCs w:val="18"/>
                      <w:lang w:val="en-US" w:eastAsia="zh-CN"/>
                    </w:rPr>
                  </w:pPr>
                </w:p>
              </w:tc>
              <w:tc>
                <w:tcPr>
                  <w:tcW w:w="381" w:type="pct"/>
                  <w:tcBorders>
                    <w:tl2br w:val="nil"/>
                    <w:tr2bl w:val="nil"/>
                  </w:tcBorders>
                  <w:noWrap w:val="0"/>
                  <w:vAlign w:val="center"/>
                </w:tcPr>
                <w:p w14:paraId="14C3846D">
                  <w:pPr>
                    <w:pStyle w:val="60"/>
                    <w:rPr>
                      <w:rFonts w:hint="eastAsia"/>
                      <w:color w:val="auto"/>
                      <w:sz w:val="18"/>
                      <w:szCs w:val="18"/>
                      <w:lang w:val="en-US" w:eastAsia="zh-CN"/>
                    </w:rPr>
                  </w:pPr>
                  <w:r>
                    <w:rPr>
                      <w:rFonts w:hint="eastAsia"/>
                      <w:color w:val="auto"/>
                      <w:sz w:val="18"/>
                      <w:szCs w:val="18"/>
                      <w:lang w:val="en-US" w:eastAsia="zh-CN"/>
                    </w:rPr>
                    <w:t>NOx</w:t>
                  </w:r>
                </w:p>
              </w:tc>
              <w:tc>
                <w:tcPr>
                  <w:tcW w:w="527" w:type="pct"/>
                  <w:vMerge w:val="continue"/>
                  <w:tcBorders>
                    <w:tl2br w:val="nil"/>
                    <w:tr2bl w:val="nil"/>
                  </w:tcBorders>
                  <w:noWrap w:val="0"/>
                  <w:tcMar>
                    <w:top w:w="0" w:type="dxa"/>
                    <w:left w:w="0" w:type="dxa"/>
                    <w:bottom w:w="0" w:type="dxa"/>
                    <w:right w:w="0" w:type="dxa"/>
                  </w:tcMar>
                  <w:vAlign w:val="center"/>
                </w:tcPr>
                <w:p w14:paraId="786134C5">
                  <w:pPr>
                    <w:pStyle w:val="60"/>
                    <w:rPr>
                      <w:rFonts w:hint="eastAsia"/>
                      <w:color w:val="auto"/>
                      <w:kern w:val="2"/>
                      <w:sz w:val="18"/>
                      <w:szCs w:val="18"/>
                      <w:lang w:val="en-US" w:eastAsia="zh-CN"/>
                    </w:rPr>
                  </w:pPr>
                </w:p>
              </w:tc>
              <w:tc>
                <w:tcPr>
                  <w:tcW w:w="494" w:type="pct"/>
                  <w:tcBorders>
                    <w:tl2br w:val="nil"/>
                    <w:tr2bl w:val="nil"/>
                  </w:tcBorders>
                  <w:noWrap w:val="0"/>
                  <w:vAlign w:val="center"/>
                </w:tcPr>
                <w:p w14:paraId="617CB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80</w:t>
                  </w:r>
                </w:p>
              </w:tc>
              <w:tc>
                <w:tcPr>
                  <w:tcW w:w="503" w:type="pct"/>
                  <w:tcBorders>
                    <w:tl2br w:val="nil"/>
                    <w:tr2bl w:val="nil"/>
                  </w:tcBorders>
                  <w:noWrap w:val="0"/>
                  <w:vAlign w:val="center"/>
                </w:tcPr>
                <w:p w14:paraId="356E4E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0.042</w:t>
                  </w:r>
                </w:p>
              </w:tc>
              <w:tc>
                <w:tcPr>
                  <w:tcW w:w="375" w:type="pct"/>
                  <w:tcBorders>
                    <w:tl2br w:val="nil"/>
                    <w:tr2bl w:val="nil"/>
                  </w:tcBorders>
                  <w:shd w:val="clear" w:color="auto" w:fill="auto"/>
                  <w:noWrap w:val="0"/>
                  <w:vAlign w:val="center"/>
                </w:tcPr>
                <w:p w14:paraId="5B9DA8B5">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1h</w:t>
                  </w:r>
                </w:p>
              </w:tc>
              <w:tc>
                <w:tcPr>
                  <w:tcW w:w="384" w:type="pct"/>
                  <w:tcBorders>
                    <w:tl2br w:val="nil"/>
                    <w:tr2bl w:val="nil"/>
                  </w:tcBorders>
                  <w:shd w:val="clear" w:color="auto" w:fill="auto"/>
                  <w:noWrap w:val="0"/>
                  <w:vAlign w:val="center"/>
                </w:tcPr>
                <w:p w14:paraId="7C3948D4">
                  <w:pPr>
                    <w:pStyle w:val="60"/>
                    <w:rPr>
                      <w:rFonts w:ascii="Times New Roman" w:hAnsi="Times New Roman" w:eastAsia="宋体" w:cs="Times New Roman"/>
                      <w:color w:val="auto"/>
                      <w:kern w:val="2"/>
                      <w:sz w:val="18"/>
                      <w:szCs w:val="18"/>
                      <w:lang w:val="zh-CN" w:eastAsia="zh-CN" w:bidi="ar-SA"/>
                    </w:rPr>
                  </w:pPr>
                  <w:r>
                    <w:rPr>
                      <w:color w:val="auto"/>
                      <w:kern w:val="2"/>
                      <w:sz w:val="18"/>
                      <w:szCs w:val="18"/>
                    </w:rPr>
                    <w:t>1次</w:t>
                  </w:r>
                </w:p>
              </w:tc>
              <w:tc>
                <w:tcPr>
                  <w:tcW w:w="338" w:type="pct"/>
                  <w:tcBorders>
                    <w:tl2br w:val="nil"/>
                    <w:tr2bl w:val="nil"/>
                  </w:tcBorders>
                  <w:shd w:val="clear" w:color="auto" w:fill="auto"/>
                  <w:noWrap w:val="0"/>
                  <w:vAlign w:val="center"/>
                </w:tcPr>
                <w:p w14:paraId="3A994F57">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100</w:t>
                  </w:r>
                </w:p>
              </w:tc>
              <w:tc>
                <w:tcPr>
                  <w:tcW w:w="347" w:type="pct"/>
                  <w:tcBorders>
                    <w:tl2br w:val="nil"/>
                    <w:tr2bl w:val="nil"/>
                  </w:tcBorders>
                  <w:shd w:val="clear" w:color="auto" w:fill="auto"/>
                  <w:noWrap w:val="0"/>
                  <w:vAlign w:val="center"/>
                </w:tcPr>
                <w:p w14:paraId="31D59A72">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w:t>
                  </w:r>
                </w:p>
              </w:tc>
              <w:tc>
                <w:tcPr>
                  <w:tcW w:w="1205" w:type="pct"/>
                  <w:vMerge w:val="continue"/>
                  <w:tcBorders>
                    <w:tl2br w:val="nil"/>
                    <w:tr2bl w:val="nil"/>
                  </w:tcBorders>
                  <w:noWrap w:val="0"/>
                  <w:vAlign w:val="center"/>
                </w:tcPr>
                <w:p w14:paraId="2CF5DA94">
                  <w:pPr>
                    <w:pStyle w:val="60"/>
                    <w:rPr>
                      <w:rFonts w:hint="eastAsia"/>
                      <w:color w:val="auto"/>
                      <w:kern w:val="2"/>
                      <w:sz w:val="18"/>
                      <w:szCs w:val="18"/>
                    </w:rPr>
                  </w:pPr>
                </w:p>
              </w:tc>
            </w:tr>
          </w:tbl>
          <w:p w14:paraId="4F64523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bCs/>
                <w:color w:val="auto"/>
                <w:lang w:val="en-US" w:eastAsia="zh-CN"/>
              </w:rPr>
            </w:pPr>
            <w:r>
              <w:rPr>
                <w:color w:val="auto"/>
              </w:rPr>
              <w:t>由上表可知，本项目废气处理措施非正常工况下，</w:t>
            </w:r>
            <w:r>
              <w:rPr>
                <w:rFonts w:hint="eastAsia"/>
                <w:color w:val="auto"/>
              </w:rPr>
              <w:t>DA00</w:t>
            </w:r>
            <w:r>
              <w:rPr>
                <w:rFonts w:hint="eastAsia"/>
                <w:color w:val="auto"/>
                <w:lang w:val="en-US" w:eastAsia="zh-CN"/>
              </w:rPr>
              <w:t>1及DA002</w:t>
            </w:r>
            <w:r>
              <w:rPr>
                <w:rFonts w:hint="eastAsia"/>
                <w:color w:val="auto"/>
              </w:rPr>
              <w:t>排气筒各项污染物的排放浓度及排放量明显增大，</w:t>
            </w:r>
            <w:r>
              <w:rPr>
                <w:rFonts w:hint="eastAsia"/>
                <w:color w:val="auto"/>
                <w:lang w:val="en-US" w:eastAsia="zh-CN"/>
              </w:rPr>
              <w:t>且VOCs、甲醇存在严重超标现象，</w:t>
            </w:r>
            <w:r>
              <w:rPr>
                <w:rFonts w:hint="eastAsia"/>
                <w:color w:val="auto"/>
              </w:rPr>
              <w:t>对环境的污染加重。为避免此类情况的发生，</w:t>
            </w:r>
            <w:r>
              <w:rPr>
                <w:color w:val="auto"/>
              </w:rPr>
              <w:t>企业应加强环保设施的检修工作，确保环保设施有效运行，防止非正常工况现象发生。</w:t>
            </w:r>
          </w:p>
          <w:p w14:paraId="75183D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（七）监测计划</w:t>
            </w:r>
          </w:p>
          <w:p w14:paraId="3FBAD00C">
            <w:pPr>
              <w:pStyle w:val="11"/>
              <w:keepNext w:val="0"/>
              <w:keepLines w:val="0"/>
              <w:pageBreakBefore w:val="0"/>
              <w:widowControl/>
              <w:kinsoku/>
              <w:wordWrap/>
              <w:overflowPunct/>
              <w:topLinePunct w:val="0"/>
              <w:autoSpaceDE/>
              <w:autoSpaceDN/>
              <w:bidi w:val="0"/>
              <w:adjustRightInd/>
              <w:snapToGrid/>
              <w:spacing w:before="0" w:after="0" w:line="440" w:lineRule="exact"/>
              <w:ind w:firstLine="420" w:firstLineChars="200"/>
              <w:textAlignment w:val="auto"/>
              <w:rPr>
                <w:rFonts w:hint="default" w:ascii="Times New Roman"/>
                <w:color w:val="auto"/>
                <w:sz w:val="21"/>
                <w:lang w:val="en-US" w:eastAsia="zh-CN"/>
              </w:rPr>
            </w:pPr>
            <w:r>
              <w:rPr>
                <w:rFonts w:hint="eastAsia" w:ascii="Times New Roman"/>
                <w:color w:val="auto"/>
                <w:sz w:val="21"/>
                <w:lang w:val="en-US" w:eastAsia="zh-CN"/>
              </w:rPr>
              <w:t>根据</w:t>
            </w:r>
            <w:r>
              <w:rPr>
                <w:rFonts w:hint="eastAsia" w:ascii="Times New Roman"/>
                <w:color w:val="auto"/>
                <w:sz w:val="21"/>
              </w:rPr>
              <w:t>《排污单位自行监测技术指南总则》（H</w:t>
            </w:r>
            <w:r>
              <w:rPr>
                <w:rFonts w:ascii="Times New Roman"/>
                <w:color w:val="auto"/>
                <w:sz w:val="21"/>
              </w:rPr>
              <w:t>J819-2017</w:t>
            </w:r>
            <w:r>
              <w:rPr>
                <w:rFonts w:hint="eastAsia" w:ascii="Times New Roman"/>
                <w:color w:val="auto"/>
                <w:sz w:val="21"/>
              </w:rPr>
              <w:t>）</w:t>
            </w:r>
            <w:r>
              <w:rPr>
                <w:rFonts w:hint="eastAsia" w:ascii="Times New Roman"/>
                <w:color w:val="auto"/>
                <w:sz w:val="21"/>
                <w:lang w:val="en-US" w:eastAsia="zh-CN"/>
              </w:rPr>
              <w:t>及《排污单位自行监测技术指南 石油化学工业》（HJ947-2018）等自行监测要求，本项目废气排放监测计划如下表：</w:t>
            </w:r>
          </w:p>
          <w:p w14:paraId="32AB6F41">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b/>
                <w:color w:val="auto"/>
                <w:szCs w:val="21"/>
              </w:rPr>
            </w:pPr>
            <w:r>
              <w:rPr>
                <w:rFonts w:hint="eastAsia"/>
                <w:b/>
                <w:color w:val="auto"/>
                <w:szCs w:val="21"/>
              </w:rPr>
              <w:t>表4-</w:t>
            </w:r>
            <w:r>
              <w:rPr>
                <w:rFonts w:hint="eastAsia"/>
                <w:b/>
                <w:color w:val="auto"/>
                <w:szCs w:val="21"/>
                <w:lang w:val="en-US" w:eastAsia="zh-CN"/>
              </w:rPr>
              <w:t>21</w:t>
            </w:r>
            <w:r>
              <w:rPr>
                <w:rFonts w:hint="eastAsia"/>
                <w:b/>
                <w:color w:val="auto"/>
                <w:szCs w:val="21"/>
              </w:rPr>
              <w:t xml:space="preserve">  废气监测方案一览表</w:t>
            </w:r>
          </w:p>
          <w:tbl>
            <w:tblPr>
              <w:tblStyle w:val="22"/>
              <w:tblW w:w="5000" w:type="pct"/>
              <w:tblInd w:w="6"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26"/>
              <w:gridCol w:w="2077"/>
              <w:gridCol w:w="1217"/>
              <w:gridCol w:w="1085"/>
              <w:gridCol w:w="3189"/>
            </w:tblGrid>
            <w:tr w14:paraId="4F3EB2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tcBorders>
                    <w:tl2br w:val="nil"/>
                    <w:tr2bl w:val="nil"/>
                  </w:tcBorders>
                  <w:noWrap w:val="0"/>
                  <w:vAlign w:val="center"/>
                </w:tcPr>
                <w:p w14:paraId="385B7A5A">
                  <w:pPr>
                    <w:pStyle w:val="60"/>
                    <w:rPr>
                      <w:color w:val="auto"/>
                      <w:kern w:val="2"/>
                      <w:sz w:val="18"/>
                      <w:szCs w:val="18"/>
                    </w:rPr>
                  </w:pPr>
                  <w:r>
                    <w:rPr>
                      <w:rFonts w:hint="eastAsia"/>
                      <w:color w:val="auto"/>
                      <w:kern w:val="2"/>
                      <w:sz w:val="18"/>
                      <w:szCs w:val="18"/>
                    </w:rPr>
                    <w:t>排放形式</w:t>
                  </w:r>
                </w:p>
              </w:tc>
              <w:tc>
                <w:tcPr>
                  <w:tcW w:w="1267" w:type="pct"/>
                  <w:tcBorders>
                    <w:tl2br w:val="nil"/>
                    <w:tr2bl w:val="nil"/>
                  </w:tcBorders>
                  <w:noWrap w:val="0"/>
                  <w:vAlign w:val="center"/>
                </w:tcPr>
                <w:p w14:paraId="15665306">
                  <w:pPr>
                    <w:pStyle w:val="60"/>
                    <w:rPr>
                      <w:color w:val="auto"/>
                      <w:kern w:val="2"/>
                      <w:sz w:val="18"/>
                      <w:szCs w:val="18"/>
                    </w:rPr>
                  </w:pPr>
                  <w:r>
                    <w:rPr>
                      <w:rFonts w:hint="eastAsia"/>
                      <w:color w:val="auto"/>
                      <w:kern w:val="2"/>
                      <w:sz w:val="18"/>
                      <w:szCs w:val="18"/>
                    </w:rPr>
                    <w:t>监测点位</w:t>
                  </w:r>
                </w:p>
              </w:tc>
              <w:tc>
                <w:tcPr>
                  <w:tcW w:w="742" w:type="pct"/>
                  <w:tcBorders>
                    <w:tl2br w:val="nil"/>
                    <w:tr2bl w:val="nil"/>
                  </w:tcBorders>
                  <w:noWrap w:val="0"/>
                  <w:vAlign w:val="center"/>
                </w:tcPr>
                <w:p w14:paraId="2C4E0E6F">
                  <w:pPr>
                    <w:pStyle w:val="60"/>
                    <w:rPr>
                      <w:color w:val="auto"/>
                      <w:kern w:val="2"/>
                      <w:sz w:val="18"/>
                      <w:szCs w:val="18"/>
                    </w:rPr>
                  </w:pPr>
                  <w:r>
                    <w:rPr>
                      <w:rFonts w:hint="eastAsia"/>
                      <w:color w:val="auto"/>
                      <w:kern w:val="2"/>
                      <w:sz w:val="18"/>
                      <w:szCs w:val="18"/>
                    </w:rPr>
                    <w:t>监测指标</w:t>
                  </w:r>
                </w:p>
              </w:tc>
              <w:tc>
                <w:tcPr>
                  <w:tcW w:w="662" w:type="pct"/>
                  <w:tcBorders>
                    <w:tl2br w:val="nil"/>
                    <w:tr2bl w:val="nil"/>
                  </w:tcBorders>
                  <w:noWrap w:val="0"/>
                  <w:vAlign w:val="center"/>
                </w:tcPr>
                <w:p w14:paraId="380EDFC7">
                  <w:pPr>
                    <w:pStyle w:val="60"/>
                    <w:rPr>
                      <w:color w:val="auto"/>
                      <w:kern w:val="2"/>
                      <w:sz w:val="18"/>
                      <w:szCs w:val="18"/>
                    </w:rPr>
                  </w:pPr>
                  <w:r>
                    <w:rPr>
                      <w:rFonts w:hint="eastAsia"/>
                      <w:color w:val="auto"/>
                      <w:kern w:val="2"/>
                      <w:sz w:val="18"/>
                      <w:szCs w:val="18"/>
                    </w:rPr>
                    <w:t>监测频次</w:t>
                  </w:r>
                </w:p>
              </w:tc>
              <w:tc>
                <w:tcPr>
                  <w:tcW w:w="1945" w:type="pct"/>
                  <w:tcBorders>
                    <w:tl2br w:val="nil"/>
                    <w:tr2bl w:val="nil"/>
                  </w:tcBorders>
                  <w:noWrap w:val="0"/>
                  <w:vAlign w:val="center"/>
                </w:tcPr>
                <w:p w14:paraId="33FDCDC6">
                  <w:pPr>
                    <w:pStyle w:val="60"/>
                    <w:rPr>
                      <w:rFonts w:hint="eastAsia" w:eastAsia="宋体"/>
                      <w:color w:val="auto"/>
                      <w:kern w:val="2"/>
                      <w:sz w:val="18"/>
                      <w:szCs w:val="18"/>
                      <w:lang w:val="en-US" w:eastAsia="zh-CN"/>
                    </w:rPr>
                  </w:pPr>
                  <w:r>
                    <w:rPr>
                      <w:rFonts w:hint="eastAsia"/>
                      <w:color w:val="auto"/>
                      <w:kern w:val="2"/>
                      <w:sz w:val="18"/>
                      <w:szCs w:val="18"/>
                      <w:lang w:val="en-US" w:eastAsia="zh-CN"/>
                    </w:rPr>
                    <w:t>备注</w:t>
                  </w:r>
                </w:p>
              </w:tc>
            </w:tr>
            <w:tr w14:paraId="002B20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restart"/>
                  <w:tcBorders>
                    <w:tl2br w:val="nil"/>
                    <w:tr2bl w:val="nil"/>
                  </w:tcBorders>
                  <w:noWrap w:val="0"/>
                  <w:vAlign w:val="center"/>
                </w:tcPr>
                <w:p w14:paraId="49B76AE8">
                  <w:pPr>
                    <w:pStyle w:val="60"/>
                    <w:rPr>
                      <w:color w:val="auto"/>
                      <w:kern w:val="2"/>
                      <w:sz w:val="18"/>
                      <w:szCs w:val="18"/>
                    </w:rPr>
                  </w:pPr>
                  <w:r>
                    <w:rPr>
                      <w:rFonts w:hint="eastAsia"/>
                      <w:color w:val="auto"/>
                      <w:kern w:val="2"/>
                      <w:sz w:val="18"/>
                      <w:szCs w:val="18"/>
                    </w:rPr>
                    <w:t>有组织</w:t>
                  </w:r>
                </w:p>
              </w:tc>
              <w:tc>
                <w:tcPr>
                  <w:tcW w:w="1267" w:type="pct"/>
                  <w:vMerge w:val="restart"/>
                  <w:tcBorders>
                    <w:tl2br w:val="nil"/>
                    <w:tr2bl w:val="nil"/>
                  </w:tcBorders>
                  <w:noWrap w:val="0"/>
                  <w:vAlign w:val="center"/>
                </w:tcPr>
                <w:p w14:paraId="7F0A23D9">
                  <w:pPr>
                    <w:pStyle w:val="60"/>
                    <w:rPr>
                      <w:rFonts w:hint="default" w:eastAsia="宋体"/>
                      <w:color w:val="auto"/>
                      <w:kern w:val="2"/>
                      <w:sz w:val="18"/>
                      <w:szCs w:val="18"/>
                      <w:lang w:val="en-US" w:eastAsia="zh-CN"/>
                    </w:rPr>
                  </w:pPr>
                  <w:r>
                    <w:rPr>
                      <w:rFonts w:hint="eastAsia"/>
                      <w:color w:val="auto"/>
                      <w:kern w:val="2"/>
                      <w:sz w:val="18"/>
                      <w:szCs w:val="18"/>
                      <w:lang w:val="en-US" w:eastAsia="zh-CN"/>
                    </w:rPr>
                    <w:t>DA001</w:t>
                  </w:r>
                </w:p>
              </w:tc>
              <w:tc>
                <w:tcPr>
                  <w:tcW w:w="742" w:type="pct"/>
                  <w:tcBorders>
                    <w:tl2br w:val="nil"/>
                    <w:tr2bl w:val="nil"/>
                  </w:tcBorders>
                  <w:noWrap w:val="0"/>
                  <w:vAlign w:val="center"/>
                </w:tcPr>
                <w:p w14:paraId="588DBD22">
                  <w:pPr>
                    <w:pStyle w:val="60"/>
                    <w:rPr>
                      <w:rFonts w:hint="default" w:eastAsia="宋体"/>
                      <w:color w:val="auto"/>
                      <w:kern w:val="2"/>
                      <w:sz w:val="18"/>
                      <w:szCs w:val="18"/>
                      <w:lang w:val="en-US" w:eastAsia="zh-CN"/>
                    </w:rPr>
                  </w:pPr>
                  <w:r>
                    <w:rPr>
                      <w:rFonts w:hint="eastAsia"/>
                      <w:color w:val="auto"/>
                      <w:kern w:val="2"/>
                      <w:sz w:val="18"/>
                      <w:szCs w:val="18"/>
                      <w:lang w:val="en-US" w:eastAsia="zh-CN"/>
                    </w:rPr>
                    <w:t>VOCs</w:t>
                  </w:r>
                </w:p>
              </w:tc>
              <w:tc>
                <w:tcPr>
                  <w:tcW w:w="662" w:type="pct"/>
                  <w:tcBorders>
                    <w:tl2br w:val="nil"/>
                    <w:tr2bl w:val="nil"/>
                  </w:tcBorders>
                  <w:noWrap w:val="0"/>
                  <w:vAlign w:val="center"/>
                </w:tcPr>
                <w:p w14:paraId="655E67AC">
                  <w:pPr>
                    <w:pStyle w:val="60"/>
                    <w:rPr>
                      <w:rFonts w:hint="eastAsia" w:eastAsia="宋体"/>
                      <w:color w:val="auto"/>
                      <w:kern w:val="2"/>
                      <w:sz w:val="18"/>
                      <w:szCs w:val="18"/>
                      <w:lang w:val="en-US" w:eastAsia="zh-CN"/>
                    </w:rPr>
                  </w:pPr>
                  <w:r>
                    <w:rPr>
                      <w:rFonts w:hint="eastAsia"/>
                      <w:color w:val="auto"/>
                      <w:kern w:val="2"/>
                      <w:sz w:val="18"/>
                      <w:szCs w:val="18"/>
                      <w:lang w:val="en-US" w:eastAsia="zh-CN"/>
                    </w:rPr>
                    <w:t>自动监测</w:t>
                  </w:r>
                </w:p>
              </w:tc>
              <w:tc>
                <w:tcPr>
                  <w:tcW w:w="1945" w:type="pct"/>
                  <w:vMerge w:val="restart"/>
                  <w:tcBorders>
                    <w:tl2br w:val="nil"/>
                    <w:tr2bl w:val="nil"/>
                  </w:tcBorders>
                  <w:noWrap w:val="0"/>
                  <w:vAlign w:val="center"/>
                </w:tcPr>
                <w:p w14:paraId="170E4E34">
                  <w:pPr>
                    <w:pStyle w:val="60"/>
                    <w:rPr>
                      <w:rFonts w:hint="eastAsia"/>
                      <w:color w:val="auto"/>
                      <w:kern w:val="2"/>
                      <w:sz w:val="18"/>
                      <w:szCs w:val="18"/>
                    </w:rPr>
                  </w:pPr>
                  <w:r>
                    <w:rPr>
                      <w:rFonts w:hint="eastAsia"/>
                      <w:color w:val="auto"/>
                      <w:kern w:val="2"/>
                      <w:sz w:val="18"/>
                      <w:szCs w:val="18"/>
                      <w:lang w:val="en-US" w:eastAsia="zh-CN"/>
                    </w:rPr>
                    <w:t>①</w:t>
                  </w:r>
                  <w:r>
                    <w:rPr>
                      <w:rFonts w:hint="eastAsia"/>
                      <w:color w:val="auto"/>
                      <w:kern w:val="2"/>
                      <w:sz w:val="18"/>
                      <w:szCs w:val="18"/>
                    </w:rPr>
                    <w:t>监测时应同步监测烟气参数（烟气流速、流量、温度、含氧量）；</w:t>
                  </w:r>
                </w:p>
                <w:p w14:paraId="268FBBA2">
                  <w:pPr>
                    <w:pStyle w:val="60"/>
                    <w:rPr>
                      <w:color w:val="auto"/>
                      <w:kern w:val="2"/>
                      <w:sz w:val="18"/>
                      <w:szCs w:val="18"/>
                    </w:rPr>
                  </w:pPr>
                  <w:r>
                    <w:rPr>
                      <w:rFonts w:hint="eastAsia"/>
                      <w:color w:val="auto"/>
                      <w:kern w:val="2"/>
                      <w:sz w:val="18"/>
                      <w:szCs w:val="18"/>
                      <w:lang w:val="en-US" w:eastAsia="zh-CN"/>
                    </w:rPr>
                    <w:t>②</w:t>
                  </w:r>
                  <w:r>
                    <w:rPr>
                      <w:rFonts w:hint="eastAsia"/>
                      <w:color w:val="auto"/>
                      <w:kern w:val="2"/>
                      <w:sz w:val="18"/>
                      <w:szCs w:val="18"/>
                    </w:rPr>
                    <w:t>非正常情况下随时监测；留取永久监测口</w:t>
                  </w:r>
                </w:p>
              </w:tc>
            </w:tr>
            <w:tr w14:paraId="157523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noWrap w:val="0"/>
                  <w:vAlign w:val="center"/>
                </w:tcPr>
                <w:p w14:paraId="25CC5F8A">
                  <w:pPr>
                    <w:pStyle w:val="60"/>
                    <w:rPr>
                      <w:rFonts w:hint="eastAsia"/>
                      <w:color w:val="auto"/>
                      <w:kern w:val="2"/>
                      <w:sz w:val="18"/>
                      <w:szCs w:val="18"/>
                    </w:rPr>
                  </w:pPr>
                </w:p>
              </w:tc>
              <w:tc>
                <w:tcPr>
                  <w:tcW w:w="1267" w:type="pct"/>
                  <w:vMerge w:val="continue"/>
                  <w:tcBorders>
                    <w:tl2br w:val="nil"/>
                    <w:tr2bl w:val="nil"/>
                  </w:tcBorders>
                  <w:noWrap w:val="0"/>
                  <w:vAlign w:val="center"/>
                </w:tcPr>
                <w:p w14:paraId="65F8E0A2">
                  <w:pPr>
                    <w:pStyle w:val="60"/>
                    <w:rPr>
                      <w:rFonts w:hint="eastAsia"/>
                      <w:color w:val="auto"/>
                      <w:kern w:val="2"/>
                      <w:sz w:val="18"/>
                      <w:szCs w:val="18"/>
                      <w:lang w:val="en-US" w:eastAsia="zh-CN"/>
                    </w:rPr>
                  </w:pPr>
                </w:p>
              </w:tc>
              <w:tc>
                <w:tcPr>
                  <w:tcW w:w="742" w:type="pct"/>
                  <w:tcBorders>
                    <w:tl2br w:val="nil"/>
                    <w:tr2bl w:val="nil"/>
                  </w:tcBorders>
                  <w:noWrap w:val="0"/>
                  <w:vAlign w:val="center"/>
                </w:tcPr>
                <w:p w14:paraId="1EAC1143">
                  <w:pPr>
                    <w:pStyle w:val="60"/>
                    <w:rPr>
                      <w:rFonts w:hint="default"/>
                      <w:color w:val="auto"/>
                      <w:kern w:val="2"/>
                      <w:sz w:val="18"/>
                      <w:szCs w:val="18"/>
                      <w:lang w:val="en-US" w:eastAsia="zh-CN"/>
                    </w:rPr>
                  </w:pPr>
                  <w:r>
                    <w:rPr>
                      <w:rFonts w:hint="eastAsia"/>
                      <w:color w:val="auto"/>
                      <w:kern w:val="2"/>
                      <w:sz w:val="18"/>
                      <w:szCs w:val="18"/>
                      <w:lang w:val="en-US" w:eastAsia="zh-CN"/>
                    </w:rPr>
                    <w:t>NOx</w:t>
                  </w:r>
                </w:p>
              </w:tc>
              <w:tc>
                <w:tcPr>
                  <w:tcW w:w="662" w:type="pct"/>
                  <w:tcBorders>
                    <w:tl2br w:val="nil"/>
                    <w:tr2bl w:val="nil"/>
                  </w:tcBorders>
                  <w:noWrap w:val="0"/>
                  <w:vAlign w:val="center"/>
                </w:tcPr>
                <w:p w14:paraId="6938396A">
                  <w:pPr>
                    <w:pStyle w:val="60"/>
                    <w:rPr>
                      <w:rFonts w:hint="default"/>
                      <w:color w:val="auto"/>
                      <w:kern w:val="2"/>
                      <w:sz w:val="18"/>
                      <w:szCs w:val="18"/>
                      <w:lang w:val="en-US" w:eastAsia="zh-CN"/>
                    </w:rPr>
                  </w:pPr>
                  <w:r>
                    <w:rPr>
                      <w:rFonts w:hint="eastAsia"/>
                      <w:color w:val="auto"/>
                      <w:kern w:val="2"/>
                      <w:sz w:val="18"/>
                      <w:szCs w:val="18"/>
                      <w:lang w:val="en-US" w:eastAsia="zh-CN"/>
                    </w:rPr>
                    <w:t>每月一次</w:t>
                  </w:r>
                </w:p>
              </w:tc>
              <w:tc>
                <w:tcPr>
                  <w:tcW w:w="1945" w:type="pct"/>
                  <w:vMerge w:val="continue"/>
                  <w:tcBorders>
                    <w:tl2br w:val="nil"/>
                    <w:tr2bl w:val="nil"/>
                  </w:tcBorders>
                  <w:noWrap w:val="0"/>
                  <w:vAlign w:val="center"/>
                </w:tcPr>
                <w:p w14:paraId="289F4530">
                  <w:pPr>
                    <w:pStyle w:val="60"/>
                    <w:rPr>
                      <w:rFonts w:hint="eastAsia"/>
                      <w:color w:val="auto"/>
                      <w:kern w:val="2"/>
                      <w:sz w:val="18"/>
                      <w:szCs w:val="18"/>
                      <w:lang w:val="en-US" w:eastAsia="zh-CN"/>
                    </w:rPr>
                  </w:pPr>
                </w:p>
              </w:tc>
            </w:tr>
            <w:tr w14:paraId="4C2483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noWrap w:val="0"/>
                  <w:vAlign w:val="center"/>
                </w:tcPr>
                <w:p w14:paraId="172B6E17">
                  <w:pPr>
                    <w:pStyle w:val="60"/>
                    <w:rPr>
                      <w:rFonts w:hint="eastAsia"/>
                      <w:color w:val="auto"/>
                      <w:kern w:val="2"/>
                      <w:sz w:val="18"/>
                      <w:szCs w:val="18"/>
                    </w:rPr>
                  </w:pPr>
                </w:p>
              </w:tc>
              <w:tc>
                <w:tcPr>
                  <w:tcW w:w="1267" w:type="pct"/>
                  <w:vMerge w:val="continue"/>
                  <w:tcBorders>
                    <w:tl2br w:val="nil"/>
                    <w:tr2bl w:val="nil"/>
                  </w:tcBorders>
                  <w:noWrap w:val="0"/>
                  <w:vAlign w:val="center"/>
                </w:tcPr>
                <w:p w14:paraId="467AB7D8">
                  <w:pPr>
                    <w:pStyle w:val="60"/>
                    <w:rPr>
                      <w:rFonts w:hint="eastAsia"/>
                      <w:color w:val="auto"/>
                      <w:kern w:val="2"/>
                      <w:sz w:val="18"/>
                      <w:szCs w:val="18"/>
                    </w:rPr>
                  </w:pPr>
                </w:p>
              </w:tc>
              <w:tc>
                <w:tcPr>
                  <w:tcW w:w="742" w:type="pct"/>
                  <w:tcBorders>
                    <w:tl2br w:val="nil"/>
                    <w:tr2bl w:val="nil"/>
                  </w:tcBorders>
                  <w:noWrap w:val="0"/>
                  <w:vAlign w:val="center"/>
                </w:tcPr>
                <w:p w14:paraId="2A0DC02D">
                  <w:pPr>
                    <w:pStyle w:val="60"/>
                    <w:rPr>
                      <w:rFonts w:hint="default"/>
                      <w:color w:val="auto"/>
                      <w:kern w:val="2"/>
                      <w:sz w:val="18"/>
                      <w:szCs w:val="18"/>
                      <w:lang w:val="en-US" w:eastAsia="zh-CN"/>
                    </w:rPr>
                  </w:pPr>
                  <w:r>
                    <w:rPr>
                      <w:rFonts w:hint="eastAsia"/>
                      <w:color w:val="auto"/>
                      <w:kern w:val="2"/>
                      <w:sz w:val="18"/>
                      <w:szCs w:val="18"/>
                      <w:lang w:val="en-US" w:eastAsia="zh-CN"/>
                    </w:rPr>
                    <w:t>甲醇</w:t>
                  </w:r>
                </w:p>
              </w:tc>
              <w:tc>
                <w:tcPr>
                  <w:tcW w:w="662" w:type="pct"/>
                  <w:tcBorders>
                    <w:tl2br w:val="nil"/>
                    <w:tr2bl w:val="nil"/>
                  </w:tcBorders>
                  <w:noWrap w:val="0"/>
                  <w:vAlign w:val="center"/>
                </w:tcPr>
                <w:p w14:paraId="2EDE0B03">
                  <w:pPr>
                    <w:pStyle w:val="60"/>
                    <w:rPr>
                      <w:rFonts w:hint="default"/>
                      <w:color w:val="auto"/>
                      <w:kern w:val="2"/>
                      <w:sz w:val="18"/>
                      <w:szCs w:val="18"/>
                      <w:lang w:val="en-US" w:eastAsia="zh-CN"/>
                    </w:rPr>
                  </w:pPr>
                  <w:r>
                    <w:rPr>
                      <w:rFonts w:hint="eastAsia"/>
                      <w:color w:val="auto"/>
                      <w:kern w:val="2"/>
                      <w:sz w:val="18"/>
                      <w:szCs w:val="18"/>
                      <w:lang w:val="en-US" w:eastAsia="zh-CN"/>
                    </w:rPr>
                    <w:t>半年一次</w:t>
                  </w:r>
                </w:p>
              </w:tc>
              <w:tc>
                <w:tcPr>
                  <w:tcW w:w="1945" w:type="pct"/>
                  <w:vMerge w:val="continue"/>
                  <w:tcBorders>
                    <w:tl2br w:val="nil"/>
                    <w:tr2bl w:val="nil"/>
                  </w:tcBorders>
                  <w:noWrap w:val="0"/>
                  <w:vAlign w:val="center"/>
                </w:tcPr>
                <w:p w14:paraId="4E758D72">
                  <w:pPr>
                    <w:pStyle w:val="60"/>
                    <w:rPr>
                      <w:rFonts w:hint="eastAsia"/>
                      <w:color w:val="auto"/>
                      <w:kern w:val="2"/>
                      <w:sz w:val="18"/>
                      <w:szCs w:val="18"/>
                      <w:lang w:val="en-US" w:eastAsia="zh-CN"/>
                    </w:rPr>
                  </w:pPr>
                </w:p>
              </w:tc>
            </w:tr>
            <w:tr w14:paraId="3FE72A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noWrap w:val="0"/>
                  <w:vAlign w:val="center"/>
                </w:tcPr>
                <w:p w14:paraId="2189DC76">
                  <w:pPr>
                    <w:pStyle w:val="60"/>
                    <w:rPr>
                      <w:rFonts w:hint="eastAsia"/>
                      <w:color w:val="auto"/>
                      <w:kern w:val="2"/>
                      <w:sz w:val="18"/>
                      <w:szCs w:val="18"/>
                    </w:rPr>
                  </w:pPr>
                </w:p>
              </w:tc>
              <w:tc>
                <w:tcPr>
                  <w:tcW w:w="1267" w:type="pct"/>
                  <w:vMerge w:val="restart"/>
                  <w:tcBorders>
                    <w:tl2br w:val="nil"/>
                    <w:tr2bl w:val="nil"/>
                  </w:tcBorders>
                  <w:noWrap w:val="0"/>
                  <w:vAlign w:val="center"/>
                </w:tcPr>
                <w:p w14:paraId="18D3E488">
                  <w:pPr>
                    <w:pStyle w:val="60"/>
                    <w:rPr>
                      <w:rFonts w:hint="default" w:eastAsia="宋体"/>
                      <w:color w:val="auto"/>
                      <w:kern w:val="2"/>
                      <w:sz w:val="18"/>
                      <w:szCs w:val="18"/>
                      <w:lang w:val="en-US" w:eastAsia="zh-CN"/>
                    </w:rPr>
                  </w:pPr>
                  <w:r>
                    <w:rPr>
                      <w:rFonts w:hint="eastAsia"/>
                      <w:color w:val="auto"/>
                      <w:kern w:val="2"/>
                      <w:sz w:val="18"/>
                      <w:szCs w:val="18"/>
                      <w:lang w:val="en-US" w:eastAsia="zh-CN"/>
                    </w:rPr>
                    <w:t>DA002</w:t>
                  </w:r>
                </w:p>
              </w:tc>
              <w:tc>
                <w:tcPr>
                  <w:tcW w:w="742" w:type="pct"/>
                  <w:tcBorders>
                    <w:tl2br w:val="nil"/>
                    <w:tr2bl w:val="nil"/>
                  </w:tcBorders>
                  <w:shd w:val="clear" w:color="auto" w:fill="auto"/>
                  <w:noWrap w:val="0"/>
                  <w:vAlign w:val="center"/>
                </w:tcPr>
                <w:p w14:paraId="428E1D04">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VOCs</w:t>
                  </w:r>
                </w:p>
              </w:tc>
              <w:tc>
                <w:tcPr>
                  <w:tcW w:w="662" w:type="pct"/>
                  <w:tcBorders>
                    <w:tl2br w:val="nil"/>
                    <w:tr2bl w:val="nil"/>
                  </w:tcBorders>
                  <w:noWrap w:val="0"/>
                  <w:vAlign w:val="center"/>
                </w:tcPr>
                <w:p w14:paraId="6F395476">
                  <w:pPr>
                    <w:pStyle w:val="60"/>
                    <w:rPr>
                      <w:rFonts w:hint="eastAsia"/>
                      <w:color w:val="auto"/>
                      <w:kern w:val="2"/>
                      <w:sz w:val="18"/>
                      <w:szCs w:val="18"/>
                      <w:lang w:val="en-US" w:eastAsia="zh-CN"/>
                    </w:rPr>
                  </w:pPr>
                  <w:r>
                    <w:rPr>
                      <w:rFonts w:hint="eastAsia"/>
                      <w:color w:val="auto"/>
                      <w:kern w:val="2"/>
                      <w:sz w:val="18"/>
                      <w:szCs w:val="18"/>
                      <w:lang w:val="en-US" w:eastAsia="zh-CN"/>
                    </w:rPr>
                    <w:t>每月一</w:t>
                  </w:r>
                  <w:r>
                    <w:rPr>
                      <w:rFonts w:hint="eastAsia"/>
                      <w:color w:val="auto"/>
                      <w:kern w:val="2"/>
                      <w:sz w:val="18"/>
                      <w:szCs w:val="18"/>
                    </w:rPr>
                    <w:t>次</w:t>
                  </w:r>
                </w:p>
              </w:tc>
              <w:tc>
                <w:tcPr>
                  <w:tcW w:w="1945" w:type="pct"/>
                  <w:vMerge w:val="continue"/>
                  <w:tcBorders>
                    <w:tl2br w:val="nil"/>
                    <w:tr2bl w:val="nil"/>
                  </w:tcBorders>
                  <w:noWrap w:val="0"/>
                  <w:vAlign w:val="center"/>
                </w:tcPr>
                <w:p w14:paraId="23189111">
                  <w:pPr>
                    <w:pStyle w:val="60"/>
                    <w:rPr>
                      <w:rFonts w:hint="eastAsia"/>
                      <w:color w:val="auto"/>
                      <w:kern w:val="2"/>
                      <w:sz w:val="18"/>
                      <w:szCs w:val="18"/>
                      <w:lang w:val="en-US" w:eastAsia="zh-CN"/>
                    </w:rPr>
                  </w:pPr>
                </w:p>
              </w:tc>
            </w:tr>
            <w:tr w14:paraId="6836D1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noWrap w:val="0"/>
                  <w:vAlign w:val="center"/>
                </w:tcPr>
                <w:p w14:paraId="6D2C1BD7">
                  <w:pPr>
                    <w:pStyle w:val="60"/>
                    <w:rPr>
                      <w:rFonts w:hint="eastAsia"/>
                      <w:color w:val="auto"/>
                      <w:kern w:val="2"/>
                      <w:sz w:val="18"/>
                      <w:szCs w:val="18"/>
                    </w:rPr>
                  </w:pPr>
                </w:p>
              </w:tc>
              <w:tc>
                <w:tcPr>
                  <w:tcW w:w="1267" w:type="pct"/>
                  <w:vMerge w:val="continue"/>
                  <w:tcBorders>
                    <w:tl2br w:val="nil"/>
                    <w:tr2bl w:val="nil"/>
                  </w:tcBorders>
                  <w:noWrap w:val="0"/>
                  <w:vAlign w:val="center"/>
                </w:tcPr>
                <w:p w14:paraId="721E534C">
                  <w:pPr>
                    <w:pStyle w:val="60"/>
                    <w:rPr>
                      <w:rFonts w:hint="eastAsia"/>
                      <w:color w:val="auto"/>
                      <w:kern w:val="2"/>
                      <w:sz w:val="18"/>
                      <w:szCs w:val="18"/>
                      <w:lang w:val="en-US" w:eastAsia="zh-CN"/>
                    </w:rPr>
                  </w:pPr>
                </w:p>
              </w:tc>
              <w:tc>
                <w:tcPr>
                  <w:tcW w:w="742" w:type="pct"/>
                  <w:tcBorders>
                    <w:tl2br w:val="nil"/>
                    <w:tr2bl w:val="nil"/>
                  </w:tcBorders>
                  <w:shd w:val="clear" w:color="auto" w:fill="auto"/>
                  <w:noWrap w:val="0"/>
                  <w:vAlign w:val="center"/>
                </w:tcPr>
                <w:p w14:paraId="1B41DF93">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NOx</w:t>
                  </w:r>
                </w:p>
              </w:tc>
              <w:tc>
                <w:tcPr>
                  <w:tcW w:w="662" w:type="pct"/>
                  <w:tcBorders>
                    <w:tl2br w:val="nil"/>
                    <w:tr2bl w:val="nil"/>
                  </w:tcBorders>
                  <w:shd w:val="clear" w:color="auto" w:fill="auto"/>
                  <w:noWrap w:val="0"/>
                  <w:vAlign w:val="center"/>
                </w:tcPr>
                <w:p w14:paraId="77952E25">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每月一次</w:t>
                  </w:r>
                </w:p>
              </w:tc>
              <w:tc>
                <w:tcPr>
                  <w:tcW w:w="1945" w:type="pct"/>
                  <w:vMerge w:val="continue"/>
                  <w:tcBorders>
                    <w:tl2br w:val="nil"/>
                    <w:tr2bl w:val="nil"/>
                  </w:tcBorders>
                  <w:noWrap w:val="0"/>
                  <w:vAlign w:val="center"/>
                </w:tcPr>
                <w:p w14:paraId="61308CB5">
                  <w:pPr>
                    <w:pStyle w:val="60"/>
                    <w:rPr>
                      <w:rFonts w:hint="eastAsia"/>
                      <w:color w:val="auto"/>
                      <w:kern w:val="2"/>
                      <w:sz w:val="18"/>
                      <w:szCs w:val="18"/>
                      <w:lang w:val="en-US" w:eastAsia="zh-CN"/>
                    </w:rPr>
                  </w:pPr>
                </w:p>
              </w:tc>
            </w:tr>
            <w:tr w14:paraId="2669DF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shd w:val="clear" w:color="auto" w:fill="auto"/>
                  <w:noWrap w:val="0"/>
                  <w:vAlign w:val="center"/>
                </w:tcPr>
                <w:p w14:paraId="3A168341">
                  <w:pPr>
                    <w:pStyle w:val="60"/>
                    <w:rPr>
                      <w:rFonts w:hint="eastAsia"/>
                      <w:color w:val="auto"/>
                      <w:kern w:val="2"/>
                      <w:sz w:val="18"/>
                      <w:szCs w:val="18"/>
                    </w:rPr>
                  </w:pPr>
                </w:p>
              </w:tc>
              <w:tc>
                <w:tcPr>
                  <w:tcW w:w="1267" w:type="pct"/>
                  <w:vMerge w:val="continue"/>
                  <w:tcBorders>
                    <w:tl2br w:val="nil"/>
                    <w:tr2bl w:val="nil"/>
                  </w:tcBorders>
                  <w:shd w:val="clear" w:color="auto" w:fill="auto"/>
                  <w:noWrap w:val="0"/>
                  <w:vAlign w:val="center"/>
                </w:tcPr>
                <w:p w14:paraId="31F81F52">
                  <w:pPr>
                    <w:pStyle w:val="60"/>
                    <w:rPr>
                      <w:rFonts w:hint="eastAsia"/>
                      <w:color w:val="auto"/>
                      <w:kern w:val="2"/>
                      <w:sz w:val="18"/>
                      <w:szCs w:val="18"/>
                    </w:rPr>
                  </w:pPr>
                </w:p>
              </w:tc>
              <w:tc>
                <w:tcPr>
                  <w:tcW w:w="742" w:type="pct"/>
                  <w:tcBorders>
                    <w:tl2br w:val="nil"/>
                    <w:tr2bl w:val="nil"/>
                  </w:tcBorders>
                  <w:shd w:val="clear" w:color="auto" w:fill="auto"/>
                  <w:noWrap w:val="0"/>
                  <w:vAlign w:val="center"/>
                </w:tcPr>
                <w:p w14:paraId="627211E7">
                  <w:pPr>
                    <w:pStyle w:val="60"/>
                    <w:rPr>
                      <w:rFonts w:hint="default"/>
                      <w:color w:val="auto"/>
                      <w:kern w:val="2"/>
                      <w:sz w:val="18"/>
                      <w:szCs w:val="18"/>
                      <w:lang w:val="en-US" w:eastAsia="zh-CN"/>
                    </w:rPr>
                  </w:pPr>
                  <w:r>
                    <w:rPr>
                      <w:rFonts w:hint="eastAsia"/>
                      <w:color w:val="auto"/>
                      <w:kern w:val="2"/>
                      <w:sz w:val="18"/>
                      <w:szCs w:val="18"/>
                      <w:lang w:val="en-US" w:eastAsia="zh-CN"/>
                    </w:rPr>
                    <w:t>甲醇</w:t>
                  </w:r>
                </w:p>
              </w:tc>
              <w:tc>
                <w:tcPr>
                  <w:tcW w:w="662" w:type="pct"/>
                  <w:tcBorders>
                    <w:tl2br w:val="nil"/>
                    <w:tr2bl w:val="nil"/>
                  </w:tcBorders>
                  <w:shd w:val="clear" w:color="auto" w:fill="auto"/>
                  <w:noWrap w:val="0"/>
                  <w:vAlign w:val="center"/>
                </w:tcPr>
                <w:p w14:paraId="03A52163">
                  <w:pPr>
                    <w:pStyle w:val="60"/>
                    <w:rPr>
                      <w:rFonts w:hint="eastAsia"/>
                      <w:color w:val="auto"/>
                      <w:kern w:val="2"/>
                      <w:sz w:val="18"/>
                      <w:szCs w:val="18"/>
                      <w:lang w:val="en-US" w:eastAsia="zh-CN"/>
                    </w:rPr>
                  </w:pPr>
                  <w:r>
                    <w:rPr>
                      <w:rFonts w:hint="eastAsia"/>
                      <w:color w:val="auto"/>
                      <w:kern w:val="2"/>
                      <w:sz w:val="18"/>
                      <w:szCs w:val="18"/>
                      <w:lang w:val="en-US" w:eastAsia="zh-CN"/>
                    </w:rPr>
                    <w:t>半年一次</w:t>
                  </w:r>
                </w:p>
              </w:tc>
              <w:tc>
                <w:tcPr>
                  <w:tcW w:w="1945" w:type="pct"/>
                  <w:vMerge w:val="continue"/>
                  <w:tcBorders>
                    <w:tl2br w:val="nil"/>
                    <w:tr2bl w:val="nil"/>
                  </w:tcBorders>
                  <w:shd w:val="clear" w:color="auto" w:fill="auto"/>
                  <w:noWrap w:val="0"/>
                  <w:vAlign w:val="center"/>
                </w:tcPr>
                <w:p w14:paraId="10B522BE">
                  <w:pPr>
                    <w:pStyle w:val="60"/>
                    <w:rPr>
                      <w:rFonts w:hint="eastAsia"/>
                      <w:color w:val="auto"/>
                      <w:kern w:val="2"/>
                      <w:sz w:val="18"/>
                      <w:szCs w:val="18"/>
                      <w:lang w:val="en-US" w:eastAsia="zh-CN"/>
                    </w:rPr>
                  </w:pPr>
                </w:p>
              </w:tc>
            </w:tr>
            <w:tr w14:paraId="5A4652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restart"/>
                  <w:tcBorders>
                    <w:tl2br w:val="nil"/>
                    <w:tr2bl w:val="nil"/>
                  </w:tcBorders>
                  <w:shd w:val="clear" w:color="auto" w:fill="auto"/>
                  <w:noWrap w:val="0"/>
                  <w:vAlign w:val="center"/>
                </w:tcPr>
                <w:p w14:paraId="02A801DD">
                  <w:pPr>
                    <w:pStyle w:val="60"/>
                    <w:rPr>
                      <w:rFonts w:hint="eastAsia" w:ascii="Times New Roman" w:hAnsi="Times New Roman" w:eastAsia="宋体" w:cs="Times New Roman"/>
                      <w:color w:val="auto"/>
                      <w:kern w:val="2"/>
                      <w:sz w:val="18"/>
                      <w:szCs w:val="18"/>
                      <w:lang w:val="zh-CN" w:eastAsia="zh-CN" w:bidi="ar-SA"/>
                    </w:rPr>
                  </w:pPr>
                  <w:r>
                    <w:rPr>
                      <w:rFonts w:hint="eastAsia"/>
                      <w:color w:val="auto"/>
                      <w:kern w:val="2"/>
                      <w:sz w:val="18"/>
                      <w:szCs w:val="18"/>
                    </w:rPr>
                    <w:t>无组织</w:t>
                  </w:r>
                </w:p>
              </w:tc>
              <w:tc>
                <w:tcPr>
                  <w:tcW w:w="1267" w:type="pct"/>
                  <w:tcBorders>
                    <w:tl2br w:val="nil"/>
                    <w:tr2bl w:val="nil"/>
                  </w:tcBorders>
                  <w:shd w:val="clear" w:color="auto" w:fill="auto"/>
                  <w:noWrap w:val="0"/>
                  <w:vAlign w:val="center"/>
                </w:tcPr>
                <w:p w14:paraId="5EE62C51">
                  <w:pPr>
                    <w:pStyle w:val="60"/>
                    <w:rPr>
                      <w:rFonts w:hint="eastAsia" w:ascii="Times New Roman" w:hAnsi="Times New Roman" w:eastAsia="宋体" w:cs="Times New Roman"/>
                      <w:color w:val="auto"/>
                      <w:kern w:val="2"/>
                      <w:sz w:val="18"/>
                      <w:szCs w:val="18"/>
                      <w:lang w:val="zh-CN" w:eastAsia="zh-CN" w:bidi="ar-SA"/>
                    </w:rPr>
                  </w:pPr>
                  <w:r>
                    <w:rPr>
                      <w:rFonts w:hint="eastAsia"/>
                      <w:color w:val="auto"/>
                      <w:kern w:val="2"/>
                      <w:sz w:val="18"/>
                      <w:szCs w:val="18"/>
                    </w:rPr>
                    <w:t>厂界</w:t>
                  </w:r>
                </w:p>
              </w:tc>
              <w:tc>
                <w:tcPr>
                  <w:tcW w:w="742" w:type="pct"/>
                  <w:tcBorders>
                    <w:tl2br w:val="nil"/>
                    <w:tr2bl w:val="nil"/>
                  </w:tcBorders>
                  <w:shd w:val="clear" w:color="auto" w:fill="auto"/>
                  <w:noWrap w:val="0"/>
                  <w:vAlign w:val="center"/>
                </w:tcPr>
                <w:p w14:paraId="6FF5BFBE">
                  <w:pPr>
                    <w:pStyle w:val="60"/>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VOCs、甲醇</w:t>
                  </w:r>
                </w:p>
              </w:tc>
              <w:tc>
                <w:tcPr>
                  <w:tcW w:w="662" w:type="pct"/>
                  <w:tcBorders>
                    <w:tl2br w:val="nil"/>
                    <w:tr2bl w:val="nil"/>
                  </w:tcBorders>
                  <w:shd w:val="clear" w:color="auto" w:fill="auto"/>
                  <w:noWrap w:val="0"/>
                  <w:vAlign w:val="center"/>
                </w:tcPr>
                <w:p w14:paraId="357BE30F">
                  <w:pPr>
                    <w:pStyle w:val="60"/>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每半年1次</w:t>
                  </w:r>
                </w:p>
              </w:tc>
              <w:tc>
                <w:tcPr>
                  <w:tcW w:w="1945" w:type="pct"/>
                  <w:tcBorders>
                    <w:tl2br w:val="nil"/>
                    <w:tr2bl w:val="nil"/>
                  </w:tcBorders>
                  <w:shd w:val="clear" w:color="auto" w:fill="auto"/>
                  <w:noWrap w:val="0"/>
                  <w:vAlign w:val="center"/>
                </w:tcPr>
                <w:p w14:paraId="30EF9455">
                  <w:pPr>
                    <w:pStyle w:val="60"/>
                    <w:rPr>
                      <w:rFonts w:hint="default" w:eastAsia="宋体"/>
                      <w:color w:val="auto"/>
                      <w:kern w:val="2"/>
                      <w:sz w:val="18"/>
                      <w:szCs w:val="18"/>
                      <w:lang w:val="en-US" w:eastAsia="zh-CN"/>
                    </w:rPr>
                  </w:pPr>
                  <w:r>
                    <w:rPr>
                      <w:rFonts w:hint="default" w:eastAsia="宋体"/>
                      <w:color w:val="auto"/>
                      <w:kern w:val="2"/>
                      <w:sz w:val="18"/>
                      <w:szCs w:val="18"/>
                      <w:lang w:val="en-US" w:eastAsia="zh-CN"/>
                    </w:rPr>
                    <w:t>①监测时同步监测气象参数；②非正常情况下随时监测</w:t>
                  </w:r>
                </w:p>
              </w:tc>
            </w:tr>
            <w:tr w14:paraId="1EC584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shd w:val="clear" w:color="auto" w:fill="auto"/>
                  <w:noWrap w:val="0"/>
                  <w:vAlign w:val="center"/>
                </w:tcPr>
                <w:p w14:paraId="6FBF7D13">
                  <w:pPr>
                    <w:pStyle w:val="60"/>
                    <w:rPr>
                      <w:rFonts w:hint="eastAsia"/>
                      <w:color w:val="auto"/>
                      <w:kern w:val="2"/>
                      <w:sz w:val="18"/>
                      <w:szCs w:val="18"/>
                    </w:rPr>
                  </w:pPr>
                </w:p>
              </w:tc>
              <w:tc>
                <w:tcPr>
                  <w:tcW w:w="1267" w:type="pct"/>
                  <w:tcBorders>
                    <w:tl2br w:val="nil"/>
                    <w:tr2bl w:val="nil"/>
                  </w:tcBorders>
                  <w:shd w:val="clear" w:color="auto" w:fill="auto"/>
                  <w:noWrap w:val="0"/>
                  <w:vAlign w:val="center"/>
                </w:tcPr>
                <w:p w14:paraId="2A05AEF1">
                  <w:pPr>
                    <w:pStyle w:val="60"/>
                    <w:rPr>
                      <w:rFonts w:hint="default" w:eastAsia="宋体"/>
                      <w:color w:val="auto"/>
                      <w:kern w:val="2"/>
                      <w:sz w:val="18"/>
                      <w:szCs w:val="18"/>
                      <w:lang w:val="en-US" w:eastAsia="zh-CN"/>
                    </w:rPr>
                  </w:pPr>
                  <w:r>
                    <w:rPr>
                      <w:rFonts w:hint="eastAsia"/>
                      <w:color w:val="auto"/>
                      <w:kern w:val="2"/>
                      <w:sz w:val="18"/>
                      <w:szCs w:val="18"/>
                      <w:lang w:val="en-US" w:eastAsia="zh-CN"/>
                    </w:rPr>
                    <w:t>厂区内</w:t>
                  </w:r>
                </w:p>
              </w:tc>
              <w:tc>
                <w:tcPr>
                  <w:tcW w:w="742" w:type="pct"/>
                  <w:tcBorders>
                    <w:tl2br w:val="nil"/>
                    <w:tr2bl w:val="nil"/>
                  </w:tcBorders>
                  <w:shd w:val="clear" w:color="auto" w:fill="auto"/>
                  <w:noWrap w:val="0"/>
                  <w:vAlign w:val="center"/>
                </w:tcPr>
                <w:p w14:paraId="66B858A8">
                  <w:pPr>
                    <w:pStyle w:val="60"/>
                    <w:rPr>
                      <w:rFonts w:hint="default"/>
                      <w:color w:val="auto"/>
                      <w:kern w:val="2"/>
                      <w:sz w:val="18"/>
                      <w:szCs w:val="18"/>
                      <w:lang w:val="en-US" w:eastAsia="zh-CN"/>
                    </w:rPr>
                  </w:pPr>
                  <w:r>
                    <w:rPr>
                      <w:rFonts w:hint="eastAsia"/>
                      <w:color w:val="auto"/>
                      <w:kern w:val="2"/>
                      <w:sz w:val="18"/>
                      <w:szCs w:val="18"/>
                      <w:lang w:val="en-US" w:eastAsia="zh-CN"/>
                    </w:rPr>
                    <w:t>NMHC</w:t>
                  </w:r>
                </w:p>
              </w:tc>
              <w:tc>
                <w:tcPr>
                  <w:tcW w:w="662" w:type="pct"/>
                  <w:tcBorders>
                    <w:tl2br w:val="nil"/>
                    <w:tr2bl w:val="nil"/>
                  </w:tcBorders>
                  <w:shd w:val="clear" w:color="auto" w:fill="auto"/>
                  <w:noWrap w:val="0"/>
                  <w:vAlign w:val="center"/>
                </w:tcPr>
                <w:p w14:paraId="6C7A3B4F">
                  <w:pPr>
                    <w:pStyle w:val="60"/>
                    <w:rPr>
                      <w:rFonts w:hint="eastAsia"/>
                      <w:color w:val="auto"/>
                      <w:kern w:val="2"/>
                      <w:sz w:val="18"/>
                      <w:szCs w:val="18"/>
                      <w:lang w:val="en-US" w:eastAsia="zh-CN"/>
                    </w:rPr>
                  </w:pPr>
                  <w:r>
                    <w:rPr>
                      <w:rFonts w:hint="eastAsia"/>
                      <w:color w:val="auto"/>
                      <w:kern w:val="2"/>
                      <w:sz w:val="18"/>
                      <w:szCs w:val="18"/>
                      <w:lang w:val="en-US" w:eastAsia="zh-CN"/>
                    </w:rPr>
                    <w:t>每半年1次</w:t>
                  </w:r>
                </w:p>
              </w:tc>
              <w:tc>
                <w:tcPr>
                  <w:tcW w:w="1945" w:type="pct"/>
                  <w:tcBorders>
                    <w:tl2br w:val="nil"/>
                    <w:tr2bl w:val="nil"/>
                  </w:tcBorders>
                  <w:shd w:val="clear" w:color="auto" w:fill="auto"/>
                  <w:noWrap w:val="0"/>
                  <w:vAlign w:val="center"/>
                </w:tcPr>
                <w:p w14:paraId="7530EC76">
                  <w:pPr>
                    <w:pStyle w:val="60"/>
                    <w:rPr>
                      <w:rFonts w:hint="default"/>
                      <w:color w:val="auto"/>
                      <w:kern w:val="2"/>
                      <w:sz w:val="18"/>
                      <w:szCs w:val="18"/>
                      <w:lang w:val="en-US" w:eastAsia="zh-CN"/>
                    </w:rPr>
                  </w:pPr>
                  <w:r>
                    <w:rPr>
                      <w:rFonts w:hint="eastAsia"/>
                      <w:color w:val="auto"/>
                      <w:kern w:val="2"/>
                      <w:sz w:val="18"/>
                      <w:szCs w:val="18"/>
                      <w:lang w:val="en-US" w:eastAsia="zh-CN"/>
                    </w:rPr>
                    <w:t>/</w:t>
                  </w:r>
                </w:p>
              </w:tc>
            </w:tr>
            <w:tr w14:paraId="0CA0C6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shd w:val="clear" w:color="auto" w:fill="auto"/>
                  <w:noWrap w:val="0"/>
                  <w:vAlign w:val="center"/>
                </w:tcPr>
                <w:p w14:paraId="1588F048">
                  <w:pPr>
                    <w:pStyle w:val="60"/>
                    <w:rPr>
                      <w:rFonts w:hint="eastAsia"/>
                      <w:color w:val="auto"/>
                      <w:kern w:val="2"/>
                      <w:sz w:val="18"/>
                      <w:szCs w:val="18"/>
                    </w:rPr>
                  </w:pPr>
                </w:p>
              </w:tc>
              <w:tc>
                <w:tcPr>
                  <w:tcW w:w="1267" w:type="pct"/>
                  <w:tcBorders>
                    <w:tl2br w:val="nil"/>
                    <w:tr2bl w:val="nil"/>
                  </w:tcBorders>
                  <w:shd w:val="clear" w:color="auto" w:fill="auto"/>
                  <w:noWrap w:val="0"/>
                  <w:vAlign w:val="center"/>
                </w:tcPr>
                <w:p w14:paraId="51F72F9C">
                  <w:pPr>
                    <w:pStyle w:val="60"/>
                    <w:rPr>
                      <w:rFonts w:hint="eastAsia"/>
                      <w:color w:val="auto"/>
                      <w:kern w:val="2"/>
                      <w:sz w:val="18"/>
                      <w:szCs w:val="18"/>
                      <w:lang w:val="zh-CN" w:eastAsia="zh-CN"/>
                    </w:rPr>
                  </w:pPr>
                  <w:r>
                    <w:rPr>
                      <w:rFonts w:hint="eastAsia"/>
                      <w:color w:val="auto"/>
                      <w:kern w:val="2"/>
                      <w:sz w:val="18"/>
                      <w:szCs w:val="18"/>
                    </w:rPr>
                    <w:t>泵、压缩机、阀门、开口阀或开口管线、气体/蒸气泄压设备、取样连接系统</w:t>
                  </w:r>
                </w:p>
              </w:tc>
              <w:tc>
                <w:tcPr>
                  <w:tcW w:w="742" w:type="pct"/>
                  <w:tcBorders>
                    <w:tl2br w:val="nil"/>
                    <w:tr2bl w:val="nil"/>
                  </w:tcBorders>
                  <w:shd w:val="clear" w:color="auto" w:fill="auto"/>
                  <w:noWrap w:val="0"/>
                  <w:vAlign w:val="center"/>
                </w:tcPr>
                <w:p w14:paraId="01E4A42C">
                  <w:pPr>
                    <w:pStyle w:val="60"/>
                    <w:rPr>
                      <w:rFonts w:hint="eastAsia"/>
                      <w:color w:val="auto"/>
                      <w:kern w:val="2"/>
                      <w:sz w:val="18"/>
                      <w:szCs w:val="18"/>
                      <w:lang w:val="en-US" w:eastAsia="zh-CN"/>
                    </w:rPr>
                  </w:pPr>
                  <w:r>
                    <w:rPr>
                      <w:rFonts w:hint="eastAsia"/>
                      <w:color w:val="auto"/>
                      <w:kern w:val="2"/>
                      <w:sz w:val="18"/>
                      <w:szCs w:val="18"/>
                    </w:rPr>
                    <w:t>VOCs</w:t>
                  </w:r>
                </w:p>
              </w:tc>
              <w:tc>
                <w:tcPr>
                  <w:tcW w:w="662" w:type="pct"/>
                  <w:tcBorders>
                    <w:tl2br w:val="nil"/>
                    <w:tr2bl w:val="nil"/>
                  </w:tcBorders>
                  <w:shd w:val="clear" w:color="auto" w:fill="auto"/>
                  <w:noWrap w:val="0"/>
                  <w:vAlign w:val="center"/>
                </w:tcPr>
                <w:p w14:paraId="324FCB57">
                  <w:pPr>
                    <w:pStyle w:val="60"/>
                    <w:rPr>
                      <w:rFonts w:hint="eastAsia"/>
                      <w:color w:val="auto"/>
                      <w:kern w:val="2"/>
                      <w:sz w:val="18"/>
                      <w:szCs w:val="18"/>
                      <w:lang w:val="en-US" w:eastAsia="zh-CN"/>
                    </w:rPr>
                  </w:pPr>
                  <w:r>
                    <w:rPr>
                      <w:rFonts w:hint="eastAsia"/>
                      <w:color w:val="auto"/>
                      <w:kern w:val="2"/>
                      <w:sz w:val="18"/>
                      <w:szCs w:val="18"/>
                    </w:rPr>
                    <w:t>季度</w:t>
                  </w:r>
                </w:p>
              </w:tc>
              <w:tc>
                <w:tcPr>
                  <w:tcW w:w="1945" w:type="pct"/>
                  <w:vMerge w:val="restart"/>
                  <w:tcBorders>
                    <w:tl2br w:val="nil"/>
                    <w:tr2bl w:val="nil"/>
                  </w:tcBorders>
                  <w:shd w:val="clear" w:color="auto" w:fill="auto"/>
                  <w:noWrap w:val="0"/>
                  <w:vAlign w:val="center"/>
                </w:tcPr>
                <w:p w14:paraId="65516F0A">
                  <w:pPr>
                    <w:pStyle w:val="60"/>
                    <w:rPr>
                      <w:rFonts w:hint="eastAsia"/>
                      <w:color w:val="auto"/>
                      <w:kern w:val="2"/>
                      <w:sz w:val="18"/>
                      <w:szCs w:val="18"/>
                      <w:lang w:val="en-US" w:eastAsia="zh-CN"/>
                    </w:rPr>
                  </w:pPr>
                  <w:r>
                    <w:rPr>
                      <w:rFonts w:hint="eastAsia"/>
                      <w:color w:val="auto"/>
                      <w:kern w:val="2"/>
                      <w:sz w:val="18"/>
                      <w:szCs w:val="18"/>
                      <w:lang w:val="en-US" w:eastAsia="zh-CN"/>
                    </w:rPr>
                    <w:t>对于设备与管线组件密封点泄漏检测，若同一密封点连续三个周期检测无泄漏情况，则检测周期可延长一倍，但在后续监测中该检测点位一旦检测出现泄漏情况，则监测频次按原规定执行。</w:t>
                  </w:r>
                </w:p>
              </w:tc>
            </w:tr>
            <w:tr w14:paraId="7BDCED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1" w:type="pct"/>
                  <w:vMerge w:val="continue"/>
                  <w:tcBorders>
                    <w:tl2br w:val="nil"/>
                    <w:tr2bl w:val="nil"/>
                  </w:tcBorders>
                  <w:shd w:val="clear" w:color="auto" w:fill="auto"/>
                  <w:noWrap w:val="0"/>
                  <w:vAlign w:val="center"/>
                </w:tcPr>
                <w:p w14:paraId="55CD2FBE">
                  <w:pPr>
                    <w:pStyle w:val="60"/>
                    <w:rPr>
                      <w:rFonts w:hint="eastAsia" w:ascii="Times New Roman" w:hAnsi="Times New Roman" w:eastAsia="宋体" w:cs="Times New Roman"/>
                      <w:color w:val="auto"/>
                      <w:kern w:val="2"/>
                      <w:sz w:val="18"/>
                      <w:szCs w:val="18"/>
                      <w:lang w:val="zh-CN" w:eastAsia="zh-CN" w:bidi="ar-SA"/>
                    </w:rPr>
                  </w:pPr>
                </w:p>
              </w:tc>
              <w:tc>
                <w:tcPr>
                  <w:tcW w:w="1267" w:type="pct"/>
                  <w:tcBorders>
                    <w:tl2br w:val="nil"/>
                    <w:tr2bl w:val="nil"/>
                  </w:tcBorders>
                  <w:shd w:val="clear" w:color="auto" w:fill="auto"/>
                  <w:noWrap w:val="0"/>
                  <w:vAlign w:val="center"/>
                </w:tcPr>
                <w:p w14:paraId="33CD52C8">
                  <w:pPr>
                    <w:pStyle w:val="60"/>
                    <w:rPr>
                      <w:rFonts w:hint="eastAsia"/>
                      <w:color w:val="auto"/>
                      <w:kern w:val="2"/>
                      <w:sz w:val="18"/>
                      <w:szCs w:val="18"/>
                      <w:lang w:val="zh-CN" w:eastAsia="zh-CN"/>
                    </w:rPr>
                  </w:pPr>
                  <w:r>
                    <w:rPr>
                      <w:rFonts w:hint="eastAsia"/>
                      <w:color w:val="auto"/>
                      <w:kern w:val="2"/>
                      <w:sz w:val="18"/>
                      <w:szCs w:val="18"/>
                    </w:rPr>
                    <w:t>法兰及其他连接件、其他密封设备</w:t>
                  </w:r>
                </w:p>
              </w:tc>
              <w:tc>
                <w:tcPr>
                  <w:tcW w:w="742" w:type="pct"/>
                  <w:tcBorders>
                    <w:tl2br w:val="nil"/>
                    <w:tr2bl w:val="nil"/>
                  </w:tcBorders>
                  <w:shd w:val="clear" w:color="auto" w:fill="auto"/>
                  <w:noWrap w:val="0"/>
                  <w:vAlign w:val="center"/>
                </w:tcPr>
                <w:p w14:paraId="7DE076A4">
                  <w:pPr>
                    <w:pStyle w:val="60"/>
                    <w:rPr>
                      <w:rFonts w:hint="eastAsia"/>
                      <w:color w:val="auto"/>
                      <w:kern w:val="2"/>
                      <w:sz w:val="18"/>
                      <w:szCs w:val="18"/>
                      <w:lang w:val="en-US" w:eastAsia="zh-CN"/>
                    </w:rPr>
                  </w:pPr>
                  <w:r>
                    <w:rPr>
                      <w:rFonts w:hint="eastAsia"/>
                      <w:color w:val="auto"/>
                      <w:kern w:val="2"/>
                      <w:sz w:val="18"/>
                      <w:szCs w:val="18"/>
                    </w:rPr>
                    <w:t>VOCs</w:t>
                  </w:r>
                </w:p>
              </w:tc>
              <w:tc>
                <w:tcPr>
                  <w:tcW w:w="662" w:type="pct"/>
                  <w:tcBorders>
                    <w:tl2br w:val="nil"/>
                    <w:tr2bl w:val="nil"/>
                  </w:tcBorders>
                  <w:shd w:val="clear" w:color="auto" w:fill="auto"/>
                  <w:noWrap w:val="0"/>
                  <w:vAlign w:val="center"/>
                </w:tcPr>
                <w:p w14:paraId="477EE1C9">
                  <w:pPr>
                    <w:pStyle w:val="60"/>
                    <w:rPr>
                      <w:rFonts w:hint="eastAsia"/>
                      <w:color w:val="auto"/>
                      <w:kern w:val="2"/>
                      <w:sz w:val="18"/>
                      <w:szCs w:val="18"/>
                      <w:lang w:val="en-US" w:eastAsia="zh-CN"/>
                    </w:rPr>
                  </w:pPr>
                  <w:r>
                    <w:rPr>
                      <w:rFonts w:hint="eastAsia"/>
                      <w:color w:val="auto"/>
                      <w:kern w:val="2"/>
                      <w:sz w:val="18"/>
                      <w:szCs w:val="18"/>
                    </w:rPr>
                    <w:t>半年</w:t>
                  </w:r>
                </w:p>
              </w:tc>
              <w:tc>
                <w:tcPr>
                  <w:tcW w:w="1945" w:type="pct"/>
                  <w:vMerge w:val="continue"/>
                  <w:tcBorders>
                    <w:tl2br w:val="nil"/>
                    <w:tr2bl w:val="nil"/>
                  </w:tcBorders>
                  <w:shd w:val="clear" w:color="auto" w:fill="auto"/>
                  <w:noWrap w:val="0"/>
                  <w:vAlign w:val="center"/>
                </w:tcPr>
                <w:p w14:paraId="5055B1D3">
                  <w:pPr>
                    <w:pStyle w:val="60"/>
                    <w:rPr>
                      <w:rFonts w:hint="eastAsia"/>
                      <w:color w:val="auto"/>
                      <w:kern w:val="2"/>
                      <w:sz w:val="18"/>
                      <w:szCs w:val="18"/>
                      <w:lang w:val="en-US" w:eastAsia="zh-CN"/>
                    </w:rPr>
                  </w:pPr>
                </w:p>
              </w:tc>
            </w:tr>
          </w:tbl>
          <w:p w14:paraId="101AE53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default"/>
                <w:b/>
                <w:bCs/>
                <w:color w:val="auto"/>
                <w:lang w:val="en-US" w:eastAsia="zh-CN"/>
              </w:rPr>
            </w:pPr>
            <w:r>
              <w:rPr>
                <w:rFonts w:hint="eastAsia"/>
                <w:b/>
                <w:bCs/>
                <w:color w:val="auto"/>
                <w:lang w:val="en-US" w:eastAsia="zh-CN"/>
              </w:rPr>
              <w:t>7、结论</w:t>
            </w:r>
          </w:p>
          <w:p w14:paraId="7C83638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b/>
                <w:bCs/>
                <w:color w:val="auto"/>
                <w:lang w:val="en-US" w:eastAsia="zh-CN"/>
              </w:rPr>
            </w:pPr>
            <w:r>
              <w:rPr>
                <w:rFonts w:hint="eastAsia"/>
                <w:color w:val="auto"/>
              </w:rPr>
              <w:t>本项目位于环境空气不达标区，周围500m范围内存在大气环境敏感目标。本项目营运期废气主要为</w:t>
            </w:r>
            <w:r>
              <w:rPr>
                <w:rFonts w:hint="eastAsia"/>
                <w:color w:val="auto"/>
                <w:lang w:val="en-US" w:eastAsia="zh-CN"/>
              </w:rPr>
              <w:t>储罐呼吸废气、装卸车废气及设备动静密封点泄漏废气</w:t>
            </w:r>
            <w:r>
              <w:rPr>
                <w:rFonts w:hint="eastAsia"/>
                <w:color w:val="auto"/>
              </w:rPr>
              <w:t>，在采取各项环保治理设施后项目废气能够实现达标排放，对环境空气的影响能够控制在允许范围之内，对周围环境影响较小。故项目建设后大气环境影响可接受。</w:t>
            </w:r>
          </w:p>
          <w:p w14:paraId="4FFFDC5C">
            <w:pPr>
              <w:adjustRightInd w:val="0"/>
              <w:snapToGrid w:val="0"/>
              <w:spacing w:line="440" w:lineRule="exact"/>
              <w:rPr>
                <w:b/>
                <w:bCs/>
                <w:color w:val="auto"/>
              </w:rPr>
            </w:pPr>
            <w:r>
              <w:rPr>
                <w:b/>
                <w:bCs/>
                <w:color w:val="auto"/>
              </w:rPr>
              <w:t>二、废水</w:t>
            </w:r>
          </w:p>
          <w:p w14:paraId="7D856364">
            <w:pPr>
              <w:adjustRightInd w:val="0"/>
              <w:snapToGrid w:val="0"/>
              <w:spacing w:line="440" w:lineRule="exact"/>
              <w:ind w:firstLine="422" w:firstLineChars="200"/>
              <w:rPr>
                <w:rFonts w:hint="default"/>
                <w:b/>
                <w:bCs/>
                <w:color w:val="auto"/>
                <w:szCs w:val="21"/>
                <w:lang w:val="en-US" w:eastAsia="zh-CN"/>
              </w:rPr>
            </w:pPr>
            <w:r>
              <w:rPr>
                <w:rFonts w:hint="eastAsia"/>
                <w:b/>
                <w:bCs/>
                <w:color w:val="auto"/>
                <w:szCs w:val="21"/>
                <w:lang w:val="en-US" w:eastAsia="zh-CN"/>
              </w:rPr>
              <w:t>（一）废水产生及排放情况</w:t>
            </w:r>
          </w:p>
          <w:p w14:paraId="706F44D6">
            <w:pPr>
              <w:adjustRightInd w:val="0"/>
              <w:snapToGrid w:val="0"/>
              <w:spacing w:line="440" w:lineRule="exact"/>
              <w:ind w:firstLine="420" w:firstLineChars="200"/>
              <w:rPr>
                <w:rFonts w:hint="default" w:ascii="Times New Roman" w:hAnsi="Times New Roman" w:eastAsia="宋体" w:cs="Times New Roman"/>
                <w:color w:val="auto"/>
                <w:lang w:val="en-US" w:eastAsia="zh-CN"/>
              </w:rPr>
            </w:pPr>
            <w:r>
              <w:rPr>
                <w:rFonts w:hint="eastAsia"/>
                <w:color w:val="auto"/>
                <w:szCs w:val="21"/>
                <w:lang w:val="en-US" w:eastAsia="zh-CN"/>
              </w:rPr>
              <w:t>根据前述，本项目职工定员全部从现有员工中调配，无新增生活污水排放。</w:t>
            </w:r>
            <w:r>
              <w:rPr>
                <w:rFonts w:hint="eastAsia"/>
                <w:color w:val="auto"/>
                <w:lang w:val="en-US" w:eastAsia="zh-CN"/>
              </w:rPr>
              <w:t>水洗塔依托现有，水洗塔废水定期排出后回用于甲醛生产装置，无新增水洗废水产生。</w:t>
            </w:r>
            <w:r>
              <w:rPr>
                <w:rFonts w:hint="eastAsia"/>
                <w:color w:val="auto"/>
                <w:szCs w:val="21"/>
                <w:lang w:val="en-US" w:eastAsia="zh-CN"/>
              </w:rPr>
              <w:t>运营期废水主要为初期雨水。收集后送东厂区现有污水处理设施（处理工艺为：絮凝沉淀+间接加热蒸发）处理，蒸发处理产生的蒸气经管线输送至现有甲醛吸收塔，进入甲醛吸收工序，回用于甲醛生产，不外排。</w:t>
            </w:r>
          </w:p>
          <w:p w14:paraId="4CAFEAD4">
            <w:pPr>
              <w:adjustRightInd w:val="0"/>
              <w:snapToGrid w:val="0"/>
              <w:spacing w:line="440" w:lineRule="exact"/>
              <w:ind w:firstLine="422" w:firstLineChars="200"/>
              <w:rPr>
                <w:rFonts w:hint="default"/>
                <w:b/>
                <w:bCs/>
                <w:color w:val="auto"/>
                <w:szCs w:val="21"/>
                <w:lang w:val="en-US" w:eastAsia="zh-CN"/>
              </w:rPr>
            </w:pPr>
            <w:r>
              <w:rPr>
                <w:rFonts w:hint="eastAsia"/>
                <w:b/>
                <w:bCs/>
                <w:color w:val="auto"/>
                <w:szCs w:val="21"/>
                <w:lang w:val="en-US" w:eastAsia="zh-CN"/>
              </w:rPr>
              <w:t>（二）废水处理可行性分析</w:t>
            </w:r>
          </w:p>
          <w:p w14:paraId="077FEF8D">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1、废水产生情况</w:t>
            </w:r>
          </w:p>
          <w:p w14:paraId="4B954F59">
            <w:pPr>
              <w:adjustRightInd w:val="0"/>
              <w:snapToGrid w:val="0"/>
              <w:spacing w:line="440" w:lineRule="exact"/>
              <w:ind w:firstLine="420" w:firstLineChars="200"/>
              <w:rPr>
                <w:rFonts w:hint="eastAsia"/>
                <w:color w:val="auto"/>
                <w:szCs w:val="21"/>
                <w:lang w:val="en-US" w:eastAsia="zh-CN"/>
              </w:rPr>
            </w:pPr>
            <w:r>
              <w:rPr>
                <w:rFonts w:hint="eastAsia"/>
                <w:color w:val="auto"/>
                <w:lang w:val="en-US" w:eastAsia="zh-CN"/>
              </w:rPr>
              <w:t>根据前述，本项目废水主要为初期雨水，产生总量约为285.7m</w:t>
            </w:r>
            <w:r>
              <w:rPr>
                <w:rFonts w:hint="eastAsia"/>
                <w:color w:val="auto"/>
                <w:vertAlign w:val="superscript"/>
                <w:lang w:val="en-US" w:eastAsia="zh-CN"/>
              </w:rPr>
              <w:t>3</w:t>
            </w:r>
            <w:r>
              <w:rPr>
                <w:rFonts w:hint="eastAsia"/>
                <w:color w:val="auto"/>
                <w:lang w:val="en-US" w:eastAsia="zh-CN"/>
              </w:rPr>
              <w:t>/a（0.78m</w:t>
            </w:r>
            <w:r>
              <w:rPr>
                <w:rFonts w:hint="eastAsia"/>
                <w:color w:val="auto"/>
                <w:vertAlign w:val="superscript"/>
                <w:lang w:val="en-US" w:eastAsia="zh-CN"/>
              </w:rPr>
              <w:t>3</w:t>
            </w:r>
            <w:r>
              <w:rPr>
                <w:rFonts w:hint="eastAsia"/>
                <w:color w:val="auto"/>
                <w:lang w:val="en-US" w:eastAsia="zh-CN"/>
              </w:rPr>
              <w:t>/d），主要污染物为</w:t>
            </w:r>
            <w:r>
              <w:rPr>
                <w:rFonts w:hint="eastAsia"/>
                <w:color w:val="auto"/>
              </w:rPr>
              <w:t>COD、</w:t>
            </w:r>
            <w:r>
              <w:rPr>
                <w:rFonts w:hint="eastAsia"/>
                <w:color w:val="auto"/>
                <w:lang w:val="en-US" w:eastAsia="zh-CN"/>
              </w:rPr>
              <w:t>氨氮</w:t>
            </w:r>
            <w:r>
              <w:rPr>
                <w:rFonts w:hint="eastAsia"/>
                <w:color w:val="auto"/>
              </w:rPr>
              <w:t>、SS、</w:t>
            </w:r>
            <w:r>
              <w:rPr>
                <w:rFonts w:hint="eastAsia"/>
                <w:color w:val="auto"/>
                <w:lang w:val="en-US" w:eastAsia="zh-CN"/>
              </w:rPr>
              <w:t>石油类等</w:t>
            </w:r>
            <w:r>
              <w:rPr>
                <w:rFonts w:hint="eastAsia"/>
                <w:color w:val="auto"/>
              </w:rPr>
              <w:t>。</w:t>
            </w:r>
          </w:p>
          <w:p w14:paraId="52FE8C76">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2、处理能力可行性分析</w:t>
            </w:r>
          </w:p>
          <w:p w14:paraId="2D0AC832">
            <w:pPr>
              <w:adjustRightInd w:val="0"/>
              <w:snapToGrid w:val="0"/>
              <w:spacing w:line="440" w:lineRule="exact"/>
              <w:ind w:firstLine="420" w:firstLineChars="200"/>
              <w:rPr>
                <w:rFonts w:hint="default" w:eastAsia="宋体"/>
                <w:color w:val="auto"/>
                <w:szCs w:val="21"/>
                <w:lang w:val="en-US" w:eastAsia="zh-CN"/>
              </w:rPr>
            </w:pPr>
            <w:r>
              <w:rPr>
                <w:rFonts w:hint="eastAsia"/>
                <w:color w:val="auto"/>
              </w:rPr>
              <w:t>根据现有项目环评及批复</w:t>
            </w:r>
            <w:r>
              <w:rPr>
                <w:rFonts w:hint="eastAsia"/>
                <w:color w:val="auto"/>
                <w:lang w:val="en-US" w:eastAsia="zh-CN"/>
              </w:rPr>
              <w:t>意见</w:t>
            </w:r>
            <w:r>
              <w:rPr>
                <w:rFonts w:hint="eastAsia"/>
                <w:color w:val="auto"/>
                <w:lang w:eastAsia="zh-CN"/>
              </w:rPr>
              <w:t>，</w:t>
            </w:r>
            <w:r>
              <w:rPr>
                <w:rFonts w:hint="eastAsia"/>
                <w:color w:val="auto"/>
                <w:lang w:val="en-US" w:eastAsia="zh-CN"/>
              </w:rPr>
              <w:t>现有项目进入废水处理设施的废水量约为3586.01m</w:t>
            </w:r>
            <w:r>
              <w:rPr>
                <w:rFonts w:hint="eastAsia"/>
                <w:color w:val="auto"/>
                <w:vertAlign w:val="superscript"/>
                <w:lang w:val="en-US" w:eastAsia="zh-CN"/>
              </w:rPr>
              <w:t>3</w:t>
            </w:r>
            <w:r>
              <w:rPr>
                <w:rFonts w:hint="eastAsia"/>
                <w:color w:val="auto"/>
                <w:lang w:val="en-US" w:eastAsia="zh-CN"/>
              </w:rPr>
              <w:t>/a（9.8m</w:t>
            </w:r>
            <w:r>
              <w:rPr>
                <w:rFonts w:hint="eastAsia"/>
                <w:color w:val="auto"/>
                <w:vertAlign w:val="superscript"/>
                <w:lang w:val="en-US" w:eastAsia="zh-CN"/>
              </w:rPr>
              <w:t>3</w:t>
            </w:r>
            <w:r>
              <w:rPr>
                <w:rFonts w:hint="eastAsia"/>
                <w:color w:val="auto"/>
                <w:lang w:val="en-US" w:eastAsia="zh-CN"/>
              </w:rPr>
              <w:t>/d），</w:t>
            </w:r>
            <w:r>
              <w:rPr>
                <w:rFonts w:hint="eastAsia"/>
                <w:color w:val="auto"/>
                <w:szCs w:val="21"/>
                <w:lang w:val="en-US" w:eastAsia="zh-CN"/>
              </w:rPr>
              <w:t>东厂区现有废水处理设施（处理工艺为：</w:t>
            </w:r>
            <w:r>
              <w:rPr>
                <w:color w:val="auto"/>
              </w:rPr>
              <w:t>絮凝沉淀+</w:t>
            </w:r>
            <w:r>
              <w:rPr>
                <w:rFonts w:hint="eastAsia"/>
                <w:color w:val="auto"/>
              </w:rPr>
              <w:t>间接加热</w:t>
            </w:r>
            <w:r>
              <w:rPr>
                <w:color w:val="auto"/>
              </w:rPr>
              <w:t>蒸发</w:t>
            </w:r>
            <w:r>
              <w:rPr>
                <w:rFonts w:hint="eastAsia"/>
                <w:color w:val="auto"/>
                <w:szCs w:val="21"/>
                <w:lang w:val="en-US" w:eastAsia="zh-CN"/>
              </w:rPr>
              <w:t>）处理规模为20m</w:t>
            </w:r>
            <w:r>
              <w:rPr>
                <w:rFonts w:hint="eastAsia"/>
                <w:color w:val="auto"/>
                <w:szCs w:val="21"/>
                <w:vertAlign w:val="superscript"/>
                <w:lang w:val="en-US" w:eastAsia="zh-CN"/>
              </w:rPr>
              <w:t>3</w:t>
            </w:r>
            <w:r>
              <w:rPr>
                <w:rFonts w:hint="eastAsia"/>
                <w:color w:val="auto"/>
                <w:szCs w:val="21"/>
                <w:lang w:val="en-US" w:eastAsia="zh-CN"/>
              </w:rPr>
              <w:t>/d，现有废水处理设施储能能力完全能够满足本项目废水处理要求。</w:t>
            </w:r>
          </w:p>
          <w:p w14:paraId="4A4B1AF4">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3、污水站工艺介绍</w:t>
            </w:r>
          </w:p>
          <w:p w14:paraId="092DEA19">
            <w:pPr>
              <w:adjustRightInd w:val="0"/>
              <w:snapToGrid w:val="0"/>
              <w:spacing w:line="440" w:lineRule="exact"/>
              <w:ind w:firstLine="420" w:firstLineChars="200"/>
              <w:rPr>
                <w:rFonts w:hint="eastAsia" w:eastAsia="宋体"/>
                <w:color w:val="auto"/>
                <w:szCs w:val="21"/>
                <w:lang w:val="en-US" w:eastAsia="zh-CN"/>
              </w:rPr>
            </w:pPr>
            <w:r>
              <w:rPr>
                <w:rFonts w:hint="eastAsia"/>
                <w:color w:val="auto"/>
                <w:szCs w:val="21"/>
                <w:lang w:val="en-US" w:eastAsia="zh-CN"/>
              </w:rPr>
              <w:t>①絮凝沉淀：</w:t>
            </w:r>
            <w:r>
              <w:rPr>
                <w:rFonts w:hint="eastAsia"/>
                <w:color w:val="auto"/>
              </w:rPr>
              <w:t>：废水经</w:t>
            </w:r>
            <w:r>
              <w:rPr>
                <w:rFonts w:hint="eastAsia"/>
                <w:color w:val="auto"/>
                <w:lang w:val="en-US" w:eastAsia="zh-CN"/>
              </w:rPr>
              <w:t>管道收集</w:t>
            </w:r>
            <w:r>
              <w:rPr>
                <w:rFonts w:hint="eastAsia"/>
                <w:color w:val="auto"/>
              </w:rPr>
              <w:t>后送入絮凝沉淀池，装置设置加药泵自动投加预先配置好的药剂（PAM、PAC等），使沉淀颗粒絮凝凝聚</w:t>
            </w:r>
            <w:r>
              <w:rPr>
                <w:rFonts w:hint="eastAsia"/>
                <w:color w:val="auto"/>
                <w:lang w:eastAsia="zh-CN"/>
              </w:rPr>
              <w:t>。</w:t>
            </w:r>
          </w:p>
          <w:p w14:paraId="5E843462">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②间接加热蒸发：</w:t>
            </w:r>
            <w:r>
              <w:rPr>
                <w:color w:val="auto"/>
              </w:rPr>
              <w:t>经絮凝沉淀处理后，用潜水泵取上层清水打入密闭池内，密闭池内设置加热盘管，盘管长度约500m，用0.2MPa蒸汽盘管对池子中的清水加热，至全部汽化成气态，用引风机将气体送入甲醛吸收塔，进入甲醛吸收工序，不外排</w:t>
            </w:r>
            <w:r>
              <w:rPr>
                <w:rFonts w:hint="eastAsia"/>
                <w:color w:val="auto"/>
                <w:lang w:eastAsia="zh-CN"/>
              </w:rPr>
              <w:t>；</w:t>
            </w:r>
            <w:r>
              <w:rPr>
                <w:rFonts w:hint="eastAsia"/>
                <w:color w:val="auto"/>
                <w:lang w:val="en-US" w:eastAsia="zh-CN"/>
              </w:rPr>
              <w:t>剩余固相作为危险废物收集后暂存于危废暂存间，定期委托处置。</w:t>
            </w:r>
          </w:p>
          <w:p w14:paraId="469608FC">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4、处理工艺可行性分析</w:t>
            </w:r>
          </w:p>
          <w:p w14:paraId="1716A6D1">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根据前述，本项目废水主要为初期雨水。主要污染物为COD、氨氮、SS、石油类等。厂区污水站采用“絮凝沉淀+间接加热蒸发”的处理工艺，具体工艺原理如下：</w:t>
            </w:r>
          </w:p>
          <w:p w14:paraId="18DB8DBD">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①混凝沉淀</w:t>
            </w:r>
          </w:p>
          <w:p w14:paraId="49131FC2">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通过添加混凝剂使废水中的悬浮物和胶体颗粒聚集成较大的颗粒，然后通过沉淀池进行固液分离，去除大部分污染物。</w:t>
            </w:r>
          </w:p>
          <w:p w14:paraId="717F9614">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②间接加热蒸发</w:t>
            </w:r>
          </w:p>
          <w:p w14:paraId="7E4D3192">
            <w:pPr>
              <w:adjustRightInd w:val="0"/>
              <w:snapToGrid w:val="0"/>
              <w:spacing w:line="440" w:lineRule="exact"/>
              <w:ind w:firstLine="420" w:firstLineChars="200"/>
              <w:rPr>
                <w:rFonts w:hint="default"/>
                <w:color w:val="auto"/>
                <w:szCs w:val="21"/>
                <w:lang w:val="en-US" w:eastAsia="zh-CN"/>
              </w:rPr>
            </w:pPr>
            <w:r>
              <w:rPr>
                <w:rFonts w:hint="eastAsia"/>
                <w:color w:val="auto"/>
                <w:szCs w:val="21"/>
                <w:lang w:val="en-US" w:eastAsia="zh-CN"/>
              </w:rPr>
              <w:t>利用加热汽化原理，将废水加热至汽化状态，蒸汽经风机送入甲醛吸收塔回用，可减少部分甲醛吸收塔新鲜水的用量。废水中盐分以结晶的形式从水中分离出来，作为危废委托处置。</w:t>
            </w:r>
          </w:p>
          <w:p w14:paraId="169552BE">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综上所述，本项目采取的污水处理工艺经济可行、技术合理，对废水中各类污染物有很好的去除效果。</w:t>
            </w:r>
          </w:p>
          <w:p w14:paraId="34C5E250">
            <w:pPr>
              <w:adjustRightInd w:val="0"/>
              <w:snapToGrid w:val="0"/>
              <w:spacing w:line="440" w:lineRule="exact"/>
              <w:ind w:firstLine="420" w:firstLineChars="200"/>
              <w:rPr>
                <w:rFonts w:hint="eastAsia"/>
                <w:color w:val="auto"/>
                <w:szCs w:val="21"/>
                <w:lang w:val="en-US" w:eastAsia="zh-CN"/>
              </w:rPr>
            </w:pPr>
            <w:r>
              <w:rPr>
                <w:rFonts w:hint="eastAsia"/>
                <w:color w:val="auto"/>
                <w:szCs w:val="21"/>
                <w:lang w:val="en-US" w:eastAsia="zh-CN"/>
              </w:rPr>
              <w:t>因此，本项目初期雨水经厂内废水处理设施处理后蒸汽全部回用于现有甲醛吸收塔，不外排，同时加强项目厂区内废水处理设施、污水管线等的防渗，项目对周围水环境影响很小。</w:t>
            </w:r>
          </w:p>
          <w:p w14:paraId="61A345E5">
            <w:pPr>
              <w:adjustRightInd w:val="0"/>
              <w:snapToGrid w:val="0"/>
              <w:spacing w:line="440" w:lineRule="exact"/>
              <w:rPr>
                <w:b/>
                <w:bCs/>
                <w:color w:val="auto"/>
              </w:rPr>
            </w:pPr>
            <w:r>
              <w:rPr>
                <w:b/>
                <w:bCs/>
                <w:color w:val="auto"/>
              </w:rPr>
              <w:t>三、噪声</w:t>
            </w:r>
          </w:p>
          <w:p w14:paraId="5D2B5E15">
            <w:pPr>
              <w:spacing w:line="440" w:lineRule="exact"/>
              <w:ind w:firstLine="422" w:firstLineChars="200"/>
              <w:rPr>
                <w:b/>
                <w:bCs/>
                <w:color w:val="auto"/>
              </w:rPr>
            </w:pPr>
            <w:r>
              <w:rPr>
                <w:rFonts w:hint="eastAsia"/>
                <w:b/>
                <w:bCs/>
                <w:color w:val="auto"/>
              </w:rPr>
              <w:t>1、噪声源强</w:t>
            </w:r>
          </w:p>
          <w:p w14:paraId="794A2DFF">
            <w:pPr>
              <w:spacing w:line="440" w:lineRule="exact"/>
              <w:ind w:firstLine="420" w:firstLineChars="200"/>
              <w:rPr>
                <w:rFonts w:hint="eastAsia"/>
                <w:color w:val="auto"/>
                <w:lang w:val="en-US" w:eastAsia="zh-CN"/>
              </w:rPr>
            </w:pPr>
            <w:r>
              <w:rPr>
                <w:rFonts w:hint="eastAsia"/>
                <w:color w:val="auto"/>
                <w:lang w:val="en-US" w:eastAsia="zh-CN"/>
              </w:rPr>
              <w:t>根据前述，本项目新增噪声源主要为真空泵等机械设备运转产生的噪声，噪声强度为80～95dB(A)。采取的噪声防治措施有：</w:t>
            </w:r>
          </w:p>
          <w:p w14:paraId="310D9272">
            <w:pPr>
              <w:spacing w:line="440" w:lineRule="exact"/>
              <w:ind w:firstLine="420" w:firstLineChars="200"/>
              <w:rPr>
                <w:rFonts w:hint="eastAsia"/>
                <w:color w:val="auto"/>
                <w:lang w:val="en-US" w:eastAsia="zh-CN"/>
              </w:rPr>
            </w:pPr>
            <w:r>
              <w:rPr>
                <w:rFonts w:hint="eastAsia"/>
                <w:color w:val="auto"/>
                <w:lang w:val="en-US" w:eastAsia="zh-CN"/>
              </w:rPr>
              <w:t>①选用低噪声设备：在满足项目生产工艺的前提下，尽可能选择先进、噪声低的生产设备，从源头降低噪声。</w:t>
            </w:r>
          </w:p>
          <w:p w14:paraId="694F6F55">
            <w:pPr>
              <w:spacing w:line="440" w:lineRule="exact"/>
              <w:ind w:firstLine="420" w:firstLineChars="200"/>
              <w:rPr>
                <w:rFonts w:hint="eastAsia"/>
                <w:color w:val="auto"/>
                <w:lang w:val="en-US" w:eastAsia="zh-CN"/>
              </w:rPr>
            </w:pPr>
            <w:r>
              <w:rPr>
                <w:rFonts w:hint="eastAsia"/>
                <w:color w:val="auto"/>
                <w:lang w:val="en-US" w:eastAsia="zh-CN"/>
              </w:rPr>
              <w:t>②设备在安装时，根据设备的自重及振动特性采用合适的隔振垫，以减轻由于设备自身振动引起的结构传声对周围环境产生的影响。</w:t>
            </w:r>
          </w:p>
          <w:p w14:paraId="48B84CF7">
            <w:pPr>
              <w:spacing w:line="440" w:lineRule="exact"/>
              <w:ind w:firstLine="420" w:firstLineChars="200"/>
              <w:rPr>
                <w:rFonts w:hint="eastAsia"/>
                <w:color w:val="auto"/>
                <w:lang w:val="en-US" w:eastAsia="zh-CN"/>
              </w:rPr>
            </w:pPr>
            <w:r>
              <w:rPr>
                <w:rFonts w:hint="eastAsia"/>
                <w:color w:val="auto"/>
                <w:lang w:val="en-US" w:eastAsia="zh-CN"/>
              </w:rPr>
              <w:t>③加强设备的维护，确保设备处于良好的运转状态，杜绝因设备不正常运转时产生的高噪声现象。</w:t>
            </w:r>
          </w:p>
          <w:p w14:paraId="19329F27">
            <w:pPr>
              <w:spacing w:line="440" w:lineRule="exact"/>
              <w:ind w:firstLine="420" w:firstLineChars="200"/>
              <w:rPr>
                <w:rFonts w:hint="eastAsia"/>
                <w:color w:val="auto"/>
                <w:lang w:val="en-US" w:eastAsia="zh-CN"/>
              </w:rPr>
            </w:pPr>
            <w:r>
              <w:rPr>
                <w:rFonts w:hint="eastAsia"/>
                <w:color w:val="auto"/>
                <w:lang w:val="en-US" w:eastAsia="zh-CN"/>
              </w:rPr>
              <w:t>项目噪声源调查情况见下表：</w:t>
            </w:r>
          </w:p>
          <w:p w14:paraId="298A085B">
            <w:pPr>
              <w:pStyle w:val="87"/>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宋体"/>
                <w:color w:val="auto"/>
              </w:rPr>
            </w:pPr>
            <w:r>
              <w:rPr>
                <w:rFonts w:hint="eastAsia" w:ascii="Times New Roman" w:hAnsi="Times New Roman" w:eastAsia="宋体" w:cs="宋体"/>
                <w:color w:val="auto"/>
              </w:rPr>
              <w:t>表4-</w:t>
            </w:r>
            <w:r>
              <w:rPr>
                <w:rFonts w:hint="eastAsia" w:ascii="Times New Roman" w:hAnsi="Times New Roman" w:eastAsia="宋体" w:cs="宋体"/>
                <w:color w:val="auto"/>
                <w:lang w:val="en-US" w:eastAsia="zh-CN"/>
              </w:rPr>
              <w:t>2</w:t>
            </w:r>
            <w:r>
              <w:rPr>
                <w:rFonts w:hint="eastAsia" w:cs="宋体"/>
                <w:color w:val="auto"/>
                <w:lang w:val="en-US" w:eastAsia="zh-CN"/>
              </w:rPr>
              <w:t>3</w:t>
            </w:r>
            <w:r>
              <w:rPr>
                <w:rFonts w:hint="eastAsia" w:ascii="Times New Roman" w:hAnsi="Times New Roman" w:eastAsia="宋体" w:cs="宋体"/>
                <w:color w:val="auto"/>
              </w:rPr>
              <w:t xml:space="preserve">  </w:t>
            </w:r>
            <w:r>
              <w:rPr>
                <w:rFonts w:hint="eastAsia" w:ascii="Times New Roman" w:hAnsi="Times New Roman" w:eastAsia="宋体" w:cs="宋体"/>
                <w:color w:val="auto"/>
                <w:lang w:val="en-US" w:eastAsia="zh-CN"/>
              </w:rPr>
              <w:t>本</w:t>
            </w:r>
            <w:r>
              <w:rPr>
                <w:rFonts w:hint="eastAsia" w:ascii="Times New Roman" w:hAnsi="Times New Roman" w:eastAsia="宋体" w:cs="宋体"/>
                <w:color w:val="auto"/>
              </w:rPr>
              <w:t>项目噪声源强调查清单（室外声源）</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27"/>
              <w:gridCol w:w="1198"/>
              <w:gridCol w:w="1050"/>
              <w:gridCol w:w="513"/>
              <w:gridCol w:w="513"/>
              <w:gridCol w:w="514"/>
              <w:gridCol w:w="773"/>
              <w:gridCol w:w="529"/>
              <w:gridCol w:w="529"/>
              <w:gridCol w:w="529"/>
              <w:gridCol w:w="517"/>
            </w:tblGrid>
            <w:tr w14:paraId="6C705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vMerge w:val="restart"/>
                  <w:noWrap w:val="0"/>
                  <w:tcMar>
                    <w:top w:w="0" w:type="dxa"/>
                    <w:left w:w="28" w:type="dxa"/>
                    <w:bottom w:w="0" w:type="dxa"/>
                    <w:right w:w="28" w:type="dxa"/>
                  </w:tcMar>
                  <w:vAlign w:val="center"/>
                </w:tcPr>
                <w:p w14:paraId="6DA64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噪声源</w:t>
                  </w:r>
                  <w:r>
                    <w:rPr>
                      <w:b/>
                      <w:color w:val="auto"/>
                      <w:sz w:val="18"/>
                      <w:szCs w:val="18"/>
                    </w:rPr>
                    <w:t>名称</w:t>
                  </w:r>
                </w:p>
              </w:tc>
              <w:tc>
                <w:tcPr>
                  <w:tcW w:w="731" w:type="pct"/>
                  <w:vMerge w:val="restart"/>
                  <w:noWrap w:val="0"/>
                  <w:tcMar>
                    <w:top w:w="0" w:type="dxa"/>
                    <w:left w:w="28" w:type="dxa"/>
                    <w:bottom w:w="0" w:type="dxa"/>
                    <w:right w:w="28" w:type="dxa"/>
                  </w:tcMar>
                  <w:vAlign w:val="center"/>
                </w:tcPr>
                <w:p w14:paraId="09328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b/>
                      <w:color w:val="auto"/>
                      <w:sz w:val="18"/>
                      <w:szCs w:val="18"/>
                    </w:rPr>
                    <w:t>距设备1m处声压级/dB(A)</w:t>
                  </w:r>
                </w:p>
              </w:tc>
              <w:tc>
                <w:tcPr>
                  <w:tcW w:w="641" w:type="pct"/>
                  <w:vMerge w:val="restart"/>
                  <w:noWrap w:val="0"/>
                  <w:tcMar>
                    <w:top w:w="0" w:type="dxa"/>
                    <w:left w:w="28" w:type="dxa"/>
                    <w:bottom w:w="0" w:type="dxa"/>
                    <w:right w:w="28" w:type="dxa"/>
                  </w:tcMar>
                  <w:vAlign w:val="center"/>
                </w:tcPr>
                <w:p w14:paraId="77324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b/>
                      <w:color w:val="auto"/>
                      <w:sz w:val="18"/>
                      <w:szCs w:val="18"/>
                    </w:rPr>
                    <w:t>降噪措施</w:t>
                  </w:r>
                </w:p>
              </w:tc>
              <w:tc>
                <w:tcPr>
                  <w:tcW w:w="940" w:type="pct"/>
                  <w:gridSpan w:val="3"/>
                  <w:noWrap w:val="0"/>
                  <w:tcMar>
                    <w:top w:w="0" w:type="dxa"/>
                    <w:left w:w="28" w:type="dxa"/>
                    <w:bottom w:w="0" w:type="dxa"/>
                    <w:right w:w="28" w:type="dxa"/>
                  </w:tcMar>
                  <w:vAlign w:val="center"/>
                </w:tcPr>
                <w:p w14:paraId="7930E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空间相对位置/m</w:t>
                  </w:r>
                </w:p>
              </w:tc>
              <w:tc>
                <w:tcPr>
                  <w:tcW w:w="472" w:type="pct"/>
                  <w:vMerge w:val="restart"/>
                  <w:noWrap w:val="0"/>
                  <w:tcMar>
                    <w:top w:w="0" w:type="dxa"/>
                    <w:left w:w="28" w:type="dxa"/>
                    <w:bottom w:w="0" w:type="dxa"/>
                    <w:right w:w="28" w:type="dxa"/>
                  </w:tcMar>
                  <w:vAlign w:val="center"/>
                </w:tcPr>
                <w:p w14:paraId="2B5E4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b/>
                      <w:color w:val="auto"/>
                      <w:sz w:val="18"/>
                      <w:szCs w:val="18"/>
                    </w:rPr>
                    <w:t>持续时间</w:t>
                  </w:r>
                  <w:r>
                    <w:rPr>
                      <w:rFonts w:hint="eastAsia"/>
                      <w:b/>
                      <w:color w:val="auto"/>
                      <w:sz w:val="18"/>
                      <w:szCs w:val="18"/>
                    </w:rPr>
                    <w:t>/（</w:t>
                  </w:r>
                  <w:r>
                    <w:rPr>
                      <w:b/>
                      <w:color w:val="auto"/>
                      <w:sz w:val="18"/>
                      <w:szCs w:val="18"/>
                    </w:rPr>
                    <w:t>h/a</w:t>
                  </w:r>
                  <w:r>
                    <w:rPr>
                      <w:rFonts w:hint="eastAsia"/>
                      <w:b/>
                      <w:color w:val="auto"/>
                      <w:sz w:val="18"/>
                      <w:szCs w:val="18"/>
                    </w:rPr>
                    <w:t>）</w:t>
                  </w:r>
                </w:p>
              </w:tc>
              <w:tc>
                <w:tcPr>
                  <w:tcW w:w="1281" w:type="pct"/>
                  <w:gridSpan w:val="4"/>
                  <w:noWrap w:val="0"/>
                  <w:vAlign w:val="center"/>
                </w:tcPr>
                <w:p w14:paraId="5AE3DF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距厂界距离/m</w:t>
                  </w:r>
                </w:p>
              </w:tc>
            </w:tr>
            <w:tr w14:paraId="1681B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vMerge w:val="continue"/>
                  <w:noWrap w:val="0"/>
                  <w:tcMar>
                    <w:top w:w="0" w:type="dxa"/>
                    <w:left w:w="28" w:type="dxa"/>
                    <w:bottom w:w="0" w:type="dxa"/>
                    <w:right w:w="28" w:type="dxa"/>
                  </w:tcMar>
                  <w:vAlign w:val="center"/>
                </w:tcPr>
                <w:p w14:paraId="177D8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p>
              </w:tc>
              <w:tc>
                <w:tcPr>
                  <w:tcW w:w="731" w:type="pct"/>
                  <w:vMerge w:val="continue"/>
                  <w:noWrap w:val="0"/>
                  <w:tcMar>
                    <w:top w:w="0" w:type="dxa"/>
                    <w:left w:w="28" w:type="dxa"/>
                    <w:bottom w:w="0" w:type="dxa"/>
                    <w:right w:w="28" w:type="dxa"/>
                  </w:tcMar>
                  <w:vAlign w:val="center"/>
                </w:tcPr>
                <w:p w14:paraId="7F8FB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p>
              </w:tc>
              <w:tc>
                <w:tcPr>
                  <w:tcW w:w="641" w:type="pct"/>
                  <w:vMerge w:val="continue"/>
                  <w:noWrap w:val="0"/>
                  <w:tcMar>
                    <w:top w:w="0" w:type="dxa"/>
                    <w:left w:w="28" w:type="dxa"/>
                    <w:bottom w:w="0" w:type="dxa"/>
                    <w:right w:w="28" w:type="dxa"/>
                  </w:tcMar>
                  <w:vAlign w:val="center"/>
                </w:tcPr>
                <w:p w14:paraId="35253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p>
              </w:tc>
              <w:tc>
                <w:tcPr>
                  <w:tcW w:w="313" w:type="pct"/>
                  <w:noWrap w:val="0"/>
                  <w:tcMar>
                    <w:top w:w="0" w:type="dxa"/>
                    <w:left w:w="28" w:type="dxa"/>
                    <w:bottom w:w="0" w:type="dxa"/>
                    <w:right w:w="28" w:type="dxa"/>
                  </w:tcMar>
                  <w:vAlign w:val="center"/>
                </w:tcPr>
                <w:p w14:paraId="62A8E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18"/>
                      <w:szCs w:val="18"/>
                    </w:rPr>
                  </w:pPr>
                  <w:r>
                    <w:rPr>
                      <w:rFonts w:hint="eastAsia"/>
                      <w:bCs/>
                      <w:color w:val="auto"/>
                      <w:sz w:val="18"/>
                      <w:szCs w:val="18"/>
                    </w:rPr>
                    <w:t>X</w:t>
                  </w:r>
                </w:p>
              </w:tc>
              <w:tc>
                <w:tcPr>
                  <w:tcW w:w="313" w:type="pct"/>
                  <w:noWrap w:val="0"/>
                  <w:vAlign w:val="center"/>
                </w:tcPr>
                <w:p w14:paraId="352B4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18"/>
                      <w:szCs w:val="18"/>
                    </w:rPr>
                  </w:pPr>
                  <w:r>
                    <w:rPr>
                      <w:rFonts w:hint="eastAsia"/>
                      <w:bCs/>
                      <w:color w:val="auto"/>
                      <w:sz w:val="18"/>
                      <w:szCs w:val="18"/>
                    </w:rPr>
                    <w:t>Y</w:t>
                  </w:r>
                </w:p>
              </w:tc>
              <w:tc>
                <w:tcPr>
                  <w:tcW w:w="313" w:type="pct"/>
                  <w:noWrap w:val="0"/>
                  <w:vAlign w:val="center"/>
                </w:tcPr>
                <w:p w14:paraId="41517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18"/>
                      <w:szCs w:val="18"/>
                    </w:rPr>
                  </w:pPr>
                  <w:r>
                    <w:rPr>
                      <w:rFonts w:hint="eastAsia"/>
                      <w:bCs/>
                      <w:color w:val="auto"/>
                      <w:sz w:val="18"/>
                      <w:szCs w:val="18"/>
                    </w:rPr>
                    <w:t>Z</w:t>
                  </w:r>
                </w:p>
              </w:tc>
              <w:tc>
                <w:tcPr>
                  <w:tcW w:w="472" w:type="pct"/>
                  <w:vMerge w:val="continue"/>
                  <w:noWrap w:val="0"/>
                  <w:tcMar>
                    <w:top w:w="0" w:type="dxa"/>
                    <w:left w:w="28" w:type="dxa"/>
                    <w:bottom w:w="0" w:type="dxa"/>
                    <w:right w:w="28" w:type="dxa"/>
                  </w:tcMar>
                  <w:vAlign w:val="center"/>
                </w:tcPr>
                <w:p w14:paraId="6A044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p>
              </w:tc>
              <w:tc>
                <w:tcPr>
                  <w:tcW w:w="323" w:type="pct"/>
                  <w:noWrap w:val="0"/>
                  <w:vAlign w:val="center"/>
                </w:tcPr>
                <w:p w14:paraId="73A31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东</w:t>
                  </w:r>
                </w:p>
              </w:tc>
              <w:tc>
                <w:tcPr>
                  <w:tcW w:w="323" w:type="pct"/>
                  <w:noWrap w:val="0"/>
                  <w:vAlign w:val="center"/>
                </w:tcPr>
                <w:p w14:paraId="72BF7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南</w:t>
                  </w:r>
                </w:p>
              </w:tc>
              <w:tc>
                <w:tcPr>
                  <w:tcW w:w="323" w:type="pct"/>
                  <w:noWrap w:val="0"/>
                  <w:vAlign w:val="center"/>
                </w:tcPr>
                <w:p w14:paraId="2BB0E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西</w:t>
                  </w:r>
                </w:p>
              </w:tc>
              <w:tc>
                <w:tcPr>
                  <w:tcW w:w="312" w:type="pct"/>
                  <w:noWrap w:val="0"/>
                  <w:vAlign w:val="center"/>
                </w:tcPr>
                <w:p w14:paraId="6F07F6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18"/>
                      <w:szCs w:val="18"/>
                    </w:rPr>
                  </w:pPr>
                  <w:r>
                    <w:rPr>
                      <w:rFonts w:hint="eastAsia"/>
                      <w:b/>
                      <w:color w:val="auto"/>
                      <w:sz w:val="18"/>
                      <w:szCs w:val="18"/>
                    </w:rPr>
                    <w:t>北</w:t>
                  </w:r>
                </w:p>
              </w:tc>
            </w:tr>
            <w:tr w14:paraId="44CEC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noWrap w:val="0"/>
                  <w:tcMar>
                    <w:top w:w="0" w:type="dxa"/>
                    <w:left w:w="28" w:type="dxa"/>
                    <w:bottom w:w="0" w:type="dxa"/>
                    <w:right w:w="28" w:type="dxa"/>
                  </w:tcMar>
                  <w:vAlign w:val="center"/>
                </w:tcPr>
                <w:p w14:paraId="272D3D8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甲醇卸车泵</w:t>
                  </w:r>
                </w:p>
              </w:tc>
              <w:tc>
                <w:tcPr>
                  <w:tcW w:w="731" w:type="pct"/>
                  <w:noWrap w:val="0"/>
                  <w:tcMar>
                    <w:top w:w="0" w:type="dxa"/>
                    <w:left w:w="28" w:type="dxa"/>
                    <w:bottom w:w="0" w:type="dxa"/>
                    <w:right w:w="28" w:type="dxa"/>
                  </w:tcMar>
                  <w:vAlign w:val="center"/>
                </w:tcPr>
                <w:p w14:paraId="0F2C4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90</w:t>
                  </w:r>
                </w:p>
              </w:tc>
              <w:tc>
                <w:tcPr>
                  <w:tcW w:w="641" w:type="pct"/>
                  <w:vMerge w:val="restart"/>
                  <w:noWrap w:val="0"/>
                  <w:tcMar>
                    <w:top w:w="0" w:type="dxa"/>
                    <w:left w:w="28" w:type="dxa"/>
                    <w:bottom w:w="0" w:type="dxa"/>
                    <w:right w:w="28" w:type="dxa"/>
                  </w:tcMar>
                  <w:vAlign w:val="center"/>
                </w:tcPr>
                <w:p w14:paraId="5915C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选用低噪声设备；</w:t>
                  </w:r>
                  <w:r>
                    <w:rPr>
                      <w:color w:val="auto"/>
                      <w:sz w:val="18"/>
                      <w:szCs w:val="18"/>
                    </w:rPr>
                    <w:t>基础减振</w:t>
                  </w:r>
                  <w:r>
                    <w:rPr>
                      <w:rFonts w:hint="eastAsia"/>
                      <w:color w:val="auto"/>
                      <w:sz w:val="18"/>
                      <w:szCs w:val="18"/>
                    </w:rPr>
                    <w:t>；安装隔声罩壳</w:t>
                  </w:r>
                </w:p>
              </w:tc>
              <w:tc>
                <w:tcPr>
                  <w:tcW w:w="313" w:type="pct"/>
                  <w:noWrap w:val="0"/>
                  <w:tcMar>
                    <w:top w:w="0" w:type="dxa"/>
                    <w:left w:w="28" w:type="dxa"/>
                    <w:bottom w:w="0" w:type="dxa"/>
                    <w:right w:w="28" w:type="dxa"/>
                  </w:tcMar>
                  <w:vAlign w:val="center"/>
                </w:tcPr>
                <w:p w14:paraId="1894A5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5</w:t>
                  </w:r>
                </w:p>
              </w:tc>
              <w:tc>
                <w:tcPr>
                  <w:tcW w:w="313" w:type="pct"/>
                  <w:noWrap w:val="0"/>
                  <w:vAlign w:val="center"/>
                </w:tcPr>
                <w:p w14:paraId="3CCB9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eastAsia="宋体"/>
                      <w:color w:val="auto"/>
                      <w:sz w:val="18"/>
                      <w:szCs w:val="18"/>
                      <w:lang w:val="en-US" w:eastAsia="zh-CN"/>
                    </w:rPr>
                    <w:t>5</w:t>
                  </w:r>
                </w:p>
              </w:tc>
              <w:tc>
                <w:tcPr>
                  <w:tcW w:w="313" w:type="pct"/>
                  <w:noWrap w:val="0"/>
                  <w:vAlign w:val="center"/>
                </w:tcPr>
                <w:p w14:paraId="30E69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0.5</w:t>
                  </w:r>
                </w:p>
              </w:tc>
              <w:tc>
                <w:tcPr>
                  <w:tcW w:w="472" w:type="pct"/>
                  <w:noWrap w:val="0"/>
                  <w:tcMar>
                    <w:top w:w="0" w:type="dxa"/>
                    <w:left w:w="28" w:type="dxa"/>
                    <w:bottom w:w="0" w:type="dxa"/>
                    <w:right w:w="28" w:type="dxa"/>
                  </w:tcMar>
                  <w:vAlign w:val="center"/>
                </w:tcPr>
                <w:p w14:paraId="104BD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8760</w:t>
                  </w:r>
                </w:p>
              </w:tc>
              <w:tc>
                <w:tcPr>
                  <w:tcW w:w="323" w:type="pct"/>
                  <w:noWrap w:val="0"/>
                  <w:vAlign w:val="center"/>
                </w:tcPr>
                <w:p w14:paraId="1DC56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30</w:t>
                  </w:r>
                </w:p>
              </w:tc>
              <w:tc>
                <w:tcPr>
                  <w:tcW w:w="323" w:type="pct"/>
                  <w:noWrap w:val="0"/>
                  <w:vAlign w:val="center"/>
                </w:tcPr>
                <w:p w14:paraId="01627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323" w:type="pct"/>
                  <w:noWrap w:val="0"/>
                  <w:vAlign w:val="center"/>
                </w:tcPr>
                <w:p w14:paraId="2750B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5</w:t>
                  </w:r>
                </w:p>
              </w:tc>
              <w:tc>
                <w:tcPr>
                  <w:tcW w:w="312" w:type="pct"/>
                  <w:noWrap w:val="0"/>
                  <w:vAlign w:val="center"/>
                </w:tcPr>
                <w:p w14:paraId="6FF42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95</w:t>
                  </w:r>
                </w:p>
              </w:tc>
            </w:tr>
            <w:tr w14:paraId="5226E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noWrap w:val="0"/>
                  <w:tcMar>
                    <w:top w:w="0" w:type="dxa"/>
                    <w:left w:w="28" w:type="dxa"/>
                    <w:bottom w:w="0" w:type="dxa"/>
                    <w:right w:w="28" w:type="dxa"/>
                  </w:tcMar>
                  <w:vAlign w:val="center"/>
                </w:tcPr>
                <w:p w14:paraId="6E8593D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eastAsia="宋体"/>
                      <w:color w:val="auto"/>
                      <w:sz w:val="18"/>
                      <w:szCs w:val="18"/>
                      <w:lang w:val="en-US" w:eastAsia="zh-CN"/>
                    </w:rPr>
                  </w:pPr>
                  <w:r>
                    <w:rPr>
                      <w:rFonts w:hint="eastAsia"/>
                      <w:color w:val="auto"/>
                      <w:sz w:val="18"/>
                      <w:szCs w:val="18"/>
                      <w:lang w:val="en-US" w:eastAsia="zh-CN"/>
                    </w:rPr>
                    <w:t>甲醇卸车泵</w:t>
                  </w:r>
                </w:p>
              </w:tc>
              <w:tc>
                <w:tcPr>
                  <w:tcW w:w="731" w:type="pct"/>
                  <w:noWrap w:val="0"/>
                  <w:tcMar>
                    <w:top w:w="0" w:type="dxa"/>
                    <w:left w:w="28" w:type="dxa"/>
                    <w:bottom w:w="0" w:type="dxa"/>
                    <w:right w:w="28" w:type="dxa"/>
                  </w:tcMar>
                  <w:vAlign w:val="center"/>
                </w:tcPr>
                <w:p w14:paraId="44EF9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90</w:t>
                  </w:r>
                </w:p>
              </w:tc>
              <w:tc>
                <w:tcPr>
                  <w:tcW w:w="641" w:type="pct"/>
                  <w:vMerge w:val="continue"/>
                  <w:noWrap w:val="0"/>
                  <w:tcMar>
                    <w:top w:w="0" w:type="dxa"/>
                    <w:left w:w="28" w:type="dxa"/>
                    <w:bottom w:w="0" w:type="dxa"/>
                    <w:right w:w="28" w:type="dxa"/>
                  </w:tcMar>
                  <w:vAlign w:val="center"/>
                </w:tcPr>
                <w:p w14:paraId="6D947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p>
              </w:tc>
              <w:tc>
                <w:tcPr>
                  <w:tcW w:w="313" w:type="pct"/>
                  <w:noWrap w:val="0"/>
                  <w:tcMar>
                    <w:top w:w="0" w:type="dxa"/>
                    <w:left w:w="28" w:type="dxa"/>
                    <w:bottom w:w="0" w:type="dxa"/>
                    <w:right w:w="28" w:type="dxa"/>
                  </w:tcMar>
                  <w:vAlign w:val="center"/>
                </w:tcPr>
                <w:p w14:paraId="5FCB7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6</w:t>
                  </w:r>
                </w:p>
              </w:tc>
              <w:tc>
                <w:tcPr>
                  <w:tcW w:w="313" w:type="pct"/>
                  <w:noWrap w:val="0"/>
                  <w:vAlign w:val="center"/>
                </w:tcPr>
                <w:p w14:paraId="6D132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5</w:t>
                  </w:r>
                </w:p>
              </w:tc>
              <w:tc>
                <w:tcPr>
                  <w:tcW w:w="313" w:type="pct"/>
                  <w:noWrap w:val="0"/>
                  <w:vAlign w:val="center"/>
                </w:tcPr>
                <w:p w14:paraId="1CB54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0.5</w:t>
                  </w:r>
                </w:p>
              </w:tc>
              <w:tc>
                <w:tcPr>
                  <w:tcW w:w="472" w:type="pct"/>
                  <w:noWrap w:val="0"/>
                  <w:tcMar>
                    <w:top w:w="0" w:type="dxa"/>
                    <w:left w:w="28" w:type="dxa"/>
                    <w:bottom w:w="0" w:type="dxa"/>
                    <w:right w:w="28" w:type="dxa"/>
                  </w:tcMar>
                  <w:vAlign w:val="center"/>
                </w:tcPr>
                <w:p w14:paraId="12429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8760</w:t>
                  </w:r>
                </w:p>
              </w:tc>
              <w:tc>
                <w:tcPr>
                  <w:tcW w:w="323" w:type="pct"/>
                  <w:noWrap w:val="0"/>
                  <w:vAlign w:val="center"/>
                </w:tcPr>
                <w:p w14:paraId="16107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29</w:t>
                  </w:r>
                </w:p>
              </w:tc>
              <w:tc>
                <w:tcPr>
                  <w:tcW w:w="323" w:type="pct"/>
                  <w:noWrap w:val="0"/>
                  <w:vAlign w:val="center"/>
                </w:tcPr>
                <w:p w14:paraId="42DE8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323" w:type="pct"/>
                  <w:noWrap w:val="0"/>
                  <w:vAlign w:val="center"/>
                </w:tcPr>
                <w:p w14:paraId="0000F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6</w:t>
                  </w:r>
                </w:p>
              </w:tc>
              <w:tc>
                <w:tcPr>
                  <w:tcW w:w="312" w:type="pct"/>
                  <w:noWrap w:val="0"/>
                  <w:vAlign w:val="center"/>
                </w:tcPr>
                <w:p w14:paraId="04B5D1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95</w:t>
                  </w:r>
                </w:p>
              </w:tc>
            </w:tr>
            <w:tr w14:paraId="74150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noWrap w:val="0"/>
                  <w:tcMar>
                    <w:top w:w="0" w:type="dxa"/>
                    <w:left w:w="28" w:type="dxa"/>
                    <w:bottom w:w="0" w:type="dxa"/>
                    <w:right w:w="28" w:type="dxa"/>
                  </w:tcMar>
                  <w:vAlign w:val="center"/>
                </w:tcPr>
                <w:p w14:paraId="779A3BE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eastAsia="宋体"/>
                      <w:color w:val="auto"/>
                      <w:sz w:val="18"/>
                      <w:szCs w:val="18"/>
                      <w:lang w:val="en-US" w:eastAsia="zh-CN"/>
                    </w:rPr>
                  </w:pPr>
                  <w:r>
                    <w:rPr>
                      <w:rFonts w:hint="eastAsia"/>
                      <w:color w:val="auto"/>
                      <w:sz w:val="18"/>
                      <w:szCs w:val="18"/>
                      <w:lang w:val="en-US" w:eastAsia="zh-CN"/>
                    </w:rPr>
                    <w:t>叔丁醇装车泵</w:t>
                  </w:r>
                </w:p>
              </w:tc>
              <w:tc>
                <w:tcPr>
                  <w:tcW w:w="731" w:type="pct"/>
                  <w:noWrap w:val="0"/>
                  <w:tcMar>
                    <w:top w:w="0" w:type="dxa"/>
                    <w:left w:w="28" w:type="dxa"/>
                    <w:bottom w:w="0" w:type="dxa"/>
                    <w:right w:w="28" w:type="dxa"/>
                  </w:tcMar>
                  <w:vAlign w:val="center"/>
                </w:tcPr>
                <w:p w14:paraId="46E62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90</w:t>
                  </w:r>
                </w:p>
              </w:tc>
              <w:tc>
                <w:tcPr>
                  <w:tcW w:w="641" w:type="pct"/>
                  <w:vMerge w:val="continue"/>
                  <w:noWrap w:val="0"/>
                  <w:tcMar>
                    <w:top w:w="0" w:type="dxa"/>
                    <w:left w:w="28" w:type="dxa"/>
                    <w:bottom w:w="0" w:type="dxa"/>
                    <w:right w:w="28" w:type="dxa"/>
                  </w:tcMar>
                  <w:vAlign w:val="center"/>
                </w:tcPr>
                <w:p w14:paraId="7F190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p>
              </w:tc>
              <w:tc>
                <w:tcPr>
                  <w:tcW w:w="313" w:type="pct"/>
                  <w:noWrap w:val="0"/>
                  <w:tcMar>
                    <w:top w:w="0" w:type="dxa"/>
                    <w:left w:w="28" w:type="dxa"/>
                    <w:bottom w:w="0" w:type="dxa"/>
                    <w:right w:w="28" w:type="dxa"/>
                  </w:tcMar>
                  <w:vAlign w:val="center"/>
                </w:tcPr>
                <w:p w14:paraId="254C0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2"/>
                      <w:sz w:val="18"/>
                      <w:szCs w:val="18"/>
                      <w:lang w:val="en-US" w:eastAsia="zh-CN" w:bidi="ar-SA"/>
                    </w:rPr>
                  </w:pPr>
                  <w:r>
                    <w:rPr>
                      <w:rFonts w:hint="eastAsia"/>
                      <w:color w:val="auto"/>
                      <w:sz w:val="18"/>
                      <w:szCs w:val="18"/>
                      <w:lang w:val="en-US" w:eastAsia="zh-CN"/>
                    </w:rPr>
                    <w:t>7</w:t>
                  </w:r>
                </w:p>
              </w:tc>
              <w:tc>
                <w:tcPr>
                  <w:tcW w:w="313" w:type="pct"/>
                  <w:noWrap w:val="0"/>
                  <w:vAlign w:val="center"/>
                </w:tcPr>
                <w:p w14:paraId="0642C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2"/>
                      <w:sz w:val="18"/>
                      <w:szCs w:val="18"/>
                      <w:lang w:val="en-US" w:eastAsia="zh-CN" w:bidi="ar-SA"/>
                    </w:rPr>
                  </w:pPr>
                  <w:r>
                    <w:rPr>
                      <w:rFonts w:hint="eastAsia"/>
                      <w:color w:val="auto"/>
                      <w:sz w:val="18"/>
                      <w:szCs w:val="18"/>
                      <w:lang w:val="en-US" w:eastAsia="zh-CN"/>
                    </w:rPr>
                    <w:t>5</w:t>
                  </w:r>
                </w:p>
              </w:tc>
              <w:tc>
                <w:tcPr>
                  <w:tcW w:w="313" w:type="pct"/>
                  <w:noWrap w:val="0"/>
                  <w:vAlign w:val="center"/>
                </w:tcPr>
                <w:p w14:paraId="6C613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0.5</w:t>
                  </w:r>
                </w:p>
              </w:tc>
              <w:tc>
                <w:tcPr>
                  <w:tcW w:w="472" w:type="pct"/>
                  <w:noWrap w:val="0"/>
                  <w:tcMar>
                    <w:top w:w="0" w:type="dxa"/>
                    <w:left w:w="28" w:type="dxa"/>
                    <w:bottom w:w="0" w:type="dxa"/>
                    <w:right w:w="28" w:type="dxa"/>
                  </w:tcMar>
                  <w:vAlign w:val="center"/>
                </w:tcPr>
                <w:p w14:paraId="30DC7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8760</w:t>
                  </w:r>
                </w:p>
              </w:tc>
              <w:tc>
                <w:tcPr>
                  <w:tcW w:w="323" w:type="pct"/>
                  <w:noWrap w:val="0"/>
                  <w:vAlign w:val="center"/>
                </w:tcPr>
                <w:p w14:paraId="2BCA9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28</w:t>
                  </w:r>
                </w:p>
              </w:tc>
              <w:tc>
                <w:tcPr>
                  <w:tcW w:w="323" w:type="pct"/>
                  <w:noWrap w:val="0"/>
                  <w:vAlign w:val="center"/>
                </w:tcPr>
                <w:p w14:paraId="7C944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323" w:type="pct"/>
                  <w:noWrap w:val="0"/>
                  <w:vAlign w:val="center"/>
                </w:tcPr>
                <w:p w14:paraId="62D8B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7</w:t>
                  </w:r>
                </w:p>
              </w:tc>
              <w:tc>
                <w:tcPr>
                  <w:tcW w:w="312" w:type="pct"/>
                  <w:noWrap w:val="0"/>
                  <w:vAlign w:val="center"/>
                </w:tcPr>
                <w:p w14:paraId="7A14E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95</w:t>
                  </w:r>
                </w:p>
              </w:tc>
            </w:tr>
            <w:tr w14:paraId="1586B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2" w:type="pct"/>
                  <w:noWrap w:val="0"/>
                  <w:tcMar>
                    <w:top w:w="0" w:type="dxa"/>
                    <w:left w:w="28" w:type="dxa"/>
                    <w:bottom w:w="0" w:type="dxa"/>
                    <w:right w:w="28" w:type="dxa"/>
                  </w:tcMar>
                  <w:vAlign w:val="center"/>
                </w:tcPr>
                <w:p w14:paraId="3BCE9C6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eastAsia="宋体"/>
                      <w:color w:val="auto"/>
                      <w:sz w:val="18"/>
                      <w:szCs w:val="18"/>
                      <w:lang w:val="en-US" w:eastAsia="zh-CN"/>
                    </w:rPr>
                  </w:pPr>
                  <w:r>
                    <w:rPr>
                      <w:rFonts w:hint="eastAsia"/>
                      <w:color w:val="auto"/>
                      <w:sz w:val="18"/>
                      <w:szCs w:val="18"/>
                      <w:lang w:val="en-US" w:eastAsia="zh-CN"/>
                    </w:rPr>
                    <w:t>叔丁醇装车泵</w:t>
                  </w:r>
                </w:p>
              </w:tc>
              <w:tc>
                <w:tcPr>
                  <w:tcW w:w="731" w:type="pct"/>
                  <w:noWrap w:val="0"/>
                  <w:tcMar>
                    <w:top w:w="0" w:type="dxa"/>
                    <w:left w:w="28" w:type="dxa"/>
                    <w:bottom w:w="0" w:type="dxa"/>
                    <w:right w:w="28" w:type="dxa"/>
                  </w:tcMar>
                  <w:vAlign w:val="center"/>
                </w:tcPr>
                <w:p w14:paraId="1C401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90</w:t>
                  </w:r>
                </w:p>
              </w:tc>
              <w:tc>
                <w:tcPr>
                  <w:tcW w:w="641" w:type="pct"/>
                  <w:vMerge w:val="continue"/>
                  <w:noWrap w:val="0"/>
                  <w:tcMar>
                    <w:top w:w="0" w:type="dxa"/>
                    <w:left w:w="28" w:type="dxa"/>
                    <w:bottom w:w="0" w:type="dxa"/>
                    <w:right w:w="28" w:type="dxa"/>
                  </w:tcMar>
                  <w:vAlign w:val="center"/>
                </w:tcPr>
                <w:p w14:paraId="71C1F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p>
              </w:tc>
              <w:tc>
                <w:tcPr>
                  <w:tcW w:w="313" w:type="pct"/>
                  <w:noWrap w:val="0"/>
                  <w:tcMar>
                    <w:top w:w="0" w:type="dxa"/>
                    <w:left w:w="28" w:type="dxa"/>
                    <w:bottom w:w="0" w:type="dxa"/>
                    <w:right w:w="28" w:type="dxa"/>
                  </w:tcMar>
                  <w:vAlign w:val="center"/>
                </w:tcPr>
                <w:p w14:paraId="1C301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w:t>
                  </w:r>
                </w:p>
              </w:tc>
              <w:tc>
                <w:tcPr>
                  <w:tcW w:w="313" w:type="pct"/>
                  <w:noWrap w:val="0"/>
                  <w:vAlign w:val="center"/>
                </w:tcPr>
                <w:p w14:paraId="04700D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5</w:t>
                  </w:r>
                </w:p>
              </w:tc>
              <w:tc>
                <w:tcPr>
                  <w:tcW w:w="313" w:type="pct"/>
                  <w:noWrap w:val="0"/>
                  <w:vAlign w:val="center"/>
                </w:tcPr>
                <w:p w14:paraId="2B641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18"/>
                      <w:szCs w:val="18"/>
                    </w:rPr>
                  </w:pPr>
                  <w:r>
                    <w:rPr>
                      <w:rFonts w:hint="eastAsia"/>
                      <w:color w:val="auto"/>
                      <w:sz w:val="18"/>
                      <w:szCs w:val="18"/>
                    </w:rPr>
                    <w:t>0.5</w:t>
                  </w:r>
                </w:p>
              </w:tc>
              <w:tc>
                <w:tcPr>
                  <w:tcW w:w="472" w:type="pct"/>
                  <w:noWrap w:val="0"/>
                  <w:tcMar>
                    <w:top w:w="0" w:type="dxa"/>
                    <w:left w:w="28" w:type="dxa"/>
                    <w:bottom w:w="0" w:type="dxa"/>
                    <w:right w:w="28" w:type="dxa"/>
                  </w:tcMar>
                  <w:vAlign w:val="center"/>
                </w:tcPr>
                <w:p w14:paraId="68F1C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8760</w:t>
                  </w:r>
                </w:p>
              </w:tc>
              <w:tc>
                <w:tcPr>
                  <w:tcW w:w="323" w:type="pct"/>
                  <w:noWrap w:val="0"/>
                  <w:vAlign w:val="center"/>
                </w:tcPr>
                <w:p w14:paraId="25104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27</w:t>
                  </w:r>
                </w:p>
              </w:tc>
              <w:tc>
                <w:tcPr>
                  <w:tcW w:w="323" w:type="pct"/>
                  <w:noWrap w:val="0"/>
                  <w:vAlign w:val="center"/>
                </w:tcPr>
                <w:p w14:paraId="293441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323" w:type="pct"/>
                  <w:noWrap w:val="0"/>
                  <w:vAlign w:val="center"/>
                </w:tcPr>
                <w:p w14:paraId="7A35B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8</w:t>
                  </w:r>
                </w:p>
              </w:tc>
              <w:tc>
                <w:tcPr>
                  <w:tcW w:w="312" w:type="pct"/>
                  <w:noWrap w:val="0"/>
                  <w:vAlign w:val="center"/>
                </w:tcPr>
                <w:p w14:paraId="6CEDF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95</w:t>
                  </w:r>
                </w:p>
              </w:tc>
            </w:tr>
            <w:tr w14:paraId="0A473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1"/>
                  <w:noWrap w:val="0"/>
                  <w:tcMar>
                    <w:top w:w="0" w:type="dxa"/>
                    <w:left w:w="28" w:type="dxa"/>
                    <w:bottom w:w="0" w:type="dxa"/>
                    <w:right w:w="28" w:type="dxa"/>
                  </w:tcMar>
                  <w:vAlign w:val="center"/>
                </w:tcPr>
                <w:p w14:paraId="42350C4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18"/>
                      <w:szCs w:val="18"/>
                    </w:rPr>
                  </w:pPr>
                  <w:r>
                    <w:rPr>
                      <w:color w:val="auto"/>
                      <w:sz w:val="18"/>
                      <w:szCs w:val="18"/>
                    </w:rPr>
                    <w:t>备注：空间相对位置中（X,Y）以</w:t>
                  </w:r>
                  <w:r>
                    <w:rPr>
                      <w:rFonts w:hint="eastAsia"/>
                      <w:color w:val="auto"/>
                      <w:sz w:val="18"/>
                      <w:szCs w:val="18"/>
                      <w:lang w:val="en-US" w:eastAsia="zh-CN"/>
                    </w:rPr>
                    <w:t>西厂区西南角</w:t>
                  </w:r>
                  <w:r>
                    <w:rPr>
                      <w:color w:val="auto"/>
                      <w:sz w:val="18"/>
                      <w:szCs w:val="18"/>
                    </w:rPr>
                    <w:t>为（0,0）点，Z为相对于厂区地面高度。</w:t>
                  </w:r>
                </w:p>
              </w:tc>
            </w:tr>
          </w:tbl>
          <w:p w14:paraId="025EE6DF">
            <w:pPr>
              <w:keepNext w:val="0"/>
              <w:keepLines w:val="0"/>
              <w:pageBreakBefore/>
              <w:widowControl/>
              <w:kinsoku/>
              <w:wordWrap/>
              <w:overflowPunct/>
              <w:topLinePunct w:val="0"/>
              <w:autoSpaceDE/>
              <w:autoSpaceDN/>
              <w:bidi w:val="0"/>
              <w:adjustRightInd/>
              <w:snapToGrid/>
              <w:spacing w:before="157" w:beforeLines="50"/>
              <w:ind w:firstLine="382"/>
              <w:textAlignment w:val="auto"/>
              <w:rPr>
                <w:rFonts w:hint="eastAsia"/>
                <w:b/>
                <w:bCs/>
                <w:color w:val="auto"/>
                <w:spacing w:val="-10"/>
                <w:szCs w:val="21"/>
                <w:lang w:val="en-US" w:eastAsia="zh-CN"/>
              </w:rPr>
            </w:pPr>
          </w:p>
          <w:p w14:paraId="384E70FD">
            <w:pPr>
              <w:keepNext w:val="0"/>
              <w:keepLines w:val="0"/>
              <w:pageBreakBefore/>
              <w:widowControl/>
              <w:kinsoku/>
              <w:wordWrap/>
              <w:overflowPunct/>
              <w:topLinePunct w:val="0"/>
              <w:autoSpaceDE/>
              <w:autoSpaceDN/>
              <w:bidi w:val="0"/>
              <w:adjustRightInd/>
              <w:snapToGrid/>
              <w:spacing w:before="157" w:beforeLines="50"/>
              <w:ind w:firstLine="382"/>
              <w:textAlignment w:val="auto"/>
              <w:rPr>
                <w:bCs/>
                <w:color w:val="auto"/>
                <w:spacing w:val="-10"/>
                <w:szCs w:val="21"/>
              </w:rPr>
            </w:pPr>
            <w:r>
              <w:rPr>
                <w:rFonts w:hint="eastAsia"/>
                <w:b/>
                <w:bCs/>
                <w:color w:val="auto"/>
                <w:spacing w:val="-10"/>
                <w:szCs w:val="21"/>
                <w:lang w:val="en-US" w:eastAsia="zh-CN"/>
              </w:rPr>
              <w:t>2</w:t>
            </w:r>
            <w:r>
              <w:rPr>
                <w:rFonts w:hint="eastAsia"/>
                <w:b/>
                <w:bCs/>
                <w:color w:val="auto"/>
                <w:spacing w:val="-10"/>
                <w:szCs w:val="21"/>
              </w:rPr>
              <w:t>、</w:t>
            </w:r>
            <w:r>
              <w:rPr>
                <w:b/>
                <w:bCs/>
                <w:color w:val="auto"/>
                <w:spacing w:val="-10"/>
                <w:szCs w:val="21"/>
              </w:rPr>
              <w:t>声环境影响分析</w:t>
            </w:r>
          </w:p>
          <w:p w14:paraId="7C1A7D09">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rFonts w:hint="eastAsia"/>
                <w:color w:val="auto"/>
                <w:szCs w:val="21"/>
              </w:rPr>
              <w:t>噪声影响预测分析</w:t>
            </w:r>
          </w:p>
          <w:p w14:paraId="644ADDE9">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color w:val="auto"/>
                <w:szCs w:val="21"/>
              </w:rPr>
              <w:t>1</w:t>
            </w:r>
            <w:r>
              <w:rPr>
                <w:rFonts w:hint="eastAsia"/>
                <w:color w:val="auto"/>
                <w:szCs w:val="21"/>
              </w:rPr>
              <w:t>）预测模式</w:t>
            </w:r>
          </w:p>
          <w:p w14:paraId="13EA7D72">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按照《环境影响评价技术导则 声环境》（HJ2.4-2021）中推荐的模式进行预测，用A声级计算，预测模式如下：</w:t>
            </w:r>
          </w:p>
          <w:p w14:paraId="7C754A80">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①室外声源在预测点的声压级计算：</w:t>
            </w:r>
          </w:p>
          <w:p w14:paraId="1619E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Cs w:val="21"/>
              </w:rPr>
            </w:pPr>
            <w:r>
              <w:rPr>
                <w:color w:val="auto"/>
              </w:rPr>
              <w:drawing>
                <wp:inline distT="0" distB="0" distL="114300" distR="114300">
                  <wp:extent cx="3449955" cy="361315"/>
                  <wp:effectExtent l="0" t="0" r="17145" b="63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4"/>
                          <a:srcRect r="19370"/>
                          <a:stretch>
                            <a:fillRect/>
                          </a:stretch>
                        </pic:blipFill>
                        <pic:spPr>
                          <a:xfrm>
                            <a:off x="0" y="0"/>
                            <a:ext cx="3449955" cy="361315"/>
                          </a:xfrm>
                          <a:prstGeom prst="rect">
                            <a:avLst/>
                          </a:prstGeom>
                          <a:noFill/>
                          <a:ln>
                            <a:noFill/>
                          </a:ln>
                        </pic:spPr>
                      </pic:pic>
                    </a:graphicData>
                  </a:graphic>
                </wp:inline>
              </w:drawing>
            </w:r>
          </w:p>
          <w:p w14:paraId="6371582F">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式中：L</w:t>
            </w:r>
            <w:r>
              <w:rPr>
                <w:rFonts w:hint="eastAsia"/>
                <w:color w:val="auto"/>
                <w:szCs w:val="21"/>
                <w:vertAlign w:val="subscript"/>
              </w:rPr>
              <w:t>p</w:t>
            </w:r>
            <w:r>
              <w:rPr>
                <w:rFonts w:hint="eastAsia"/>
                <w:color w:val="auto"/>
                <w:szCs w:val="21"/>
              </w:rPr>
              <w:t>（r）——预测点处的声压级，dB；</w:t>
            </w:r>
          </w:p>
          <w:p w14:paraId="126563B7">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L</w:t>
            </w:r>
            <w:r>
              <w:rPr>
                <w:rFonts w:hint="eastAsia"/>
                <w:color w:val="auto"/>
                <w:szCs w:val="21"/>
                <w:vertAlign w:val="subscript"/>
              </w:rPr>
              <w:t>p</w:t>
            </w:r>
            <w:r>
              <w:rPr>
                <w:rFonts w:hint="eastAsia"/>
                <w:color w:val="auto"/>
                <w:szCs w:val="21"/>
              </w:rPr>
              <w:t>（r</w:t>
            </w:r>
            <w:r>
              <w:rPr>
                <w:rFonts w:hint="eastAsia"/>
                <w:color w:val="auto"/>
                <w:szCs w:val="21"/>
                <w:vertAlign w:val="subscript"/>
              </w:rPr>
              <w:t>0</w:t>
            </w:r>
            <w:r>
              <w:rPr>
                <w:rFonts w:hint="eastAsia"/>
                <w:color w:val="auto"/>
                <w:szCs w:val="21"/>
              </w:rPr>
              <w:t xml:space="preserve">）——参考位置ro处声压级，dB； </w:t>
            </w:r>
          </w:p>
          <w:p w14:paraId="3B8DA244">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A</w:t>
            </w:r>
            <w:r>
              <w:rPr>
                <w:rFonts w:hint="eastAsia"/>
                <w:color w:val="auto"/>
                <w:szCs w:val="21"/>
                <w:vertAlign w:val="subscript"/>
              </w:rPr>
              <w:t>div</w:t>
            </w:r>
            <w:r>
              <w:rPr>
                <w:rFonts w:hint="eastAsia"/>
                <w:color w:val="auto"/>
                <w:szCs w:val="21"/>
              </w:rPr>
              <w:t xml:space="preserve">——几何发散引起的衰减，dB； </w:t>
            </w:r>
          </w:p>
          <w:p w14:paraId="1E150D86">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A</w:t>
            </w:r>
            <w:r>
              <w:rPr>
                <w:rFonts w:hint="eastAsia"/>
                <w:color w:val="auto"/>
                <w:szCs w:val="21"/>
                <w:vertAlign w:val="subscript"/>
              </w:rPr>
              <w:t>bar</w:t>
            </w:r>
            <w:r>
              <w:rPr>
                <w:rFonts w:hint="eastAsia"/>
                <w:color w:val="auto"/>
                <w:szCs w:val="21"/>
              </w:rPr>
              <w:t xml:space="preserve">——障碍物屏蔽引起的衰减，dB； </w:t>
            </w:r>
          </w:p>
          <w:p w14:paraId="0E2C79FD">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A</w:t>
            </w:r>
            <w:r>
              <w:rPr>
                <w:rFonts w:hint="eastAsia"/>
                <w:color w:val="auto"/>
                <w:szCs w:val="21"/>
                <w:vertAlign w:val="subscript"/>
              </w:rPr>
              <w:t>atm</w:t>
            </w:r>
            <w:r>
              <w:rPr>
                <w:rFonts w:hint="eastAsia"/>
                <w:color w:val="auto"/>
                <w:szCs w:val="21"/>
              </w:rPr>
              <w:t xml:space="preserve">——大气吸收引起的衰减，dB； </w:t>
            </w:r>
          </w:p>
          <w:p w14:paraId="2E2F2A97">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A</w:t>
            </w:r>
            <w:r>
              <w:rPr>
                <w:rFonts w:hint="eastAsia"/>
                <w:color w:val="auto"/>
                <w:szCs w:val="21"/>
                <w:vertAlign w:val="subscript"/>
              </w:rPr>
              <w:t>gr</w:t>
            </w:r>
            <w:r>
              <w:rPr>
                <w:rFonts w:hint="eastAsia"/>
                <w:color w:val="auto"/>
                <w:szCs w:val="21"/>
              </w:rPr>
              <w:t xml:space="preserve">——地面效应引起的衰减，dB； </w:t>
            </w:r>
          </w:p>
          <w:p w14:paraId="0D94AB28">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A</w:t>
            </w:r>
            <w:r>
              <w:rPr>
                <w:rFonts w:hint="eastAsia"/>
                <w:color w:val="auto"/>
                <w:szCs w:val="21"/>
                <w:vertAlign w:val="subscript"/>
              </w:rPr>
              <w:t>misc</w:t>
            </w:r>
            <w:r>
              <w:rPr>
                <w:rFonts w:hint="eastAsia"/>
                <w:color w:val="auto"/>
                <w:szCs w:val="21"/>
              </w:rPr>
              <w:t>——其他多方面效应引起的衰减，dB。</w:t>
            </w:r>
          </w:p>
          <w:p w14:paraId="3008E3CE">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②室内声源在预测点的声压级计算：</w:t>
            </w:r>
          </w:p>
          <w:p w14:paraId="1CFD43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a、首先计算某个室内声源在靠近围护结构处的声压级：</w:t>
            </w:r>
          </w:p>
          <w:p w14:paraId="6CF67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Cs w:val="21"/>
              </w:rPr>
            </w:pPr>
            <w:r>
              <w:rPr>
                <w:color w:val="auto"/>
              </w:rPr>
              <w:drawing>
                <wp:inline distT="0" distB="0" distL="114300" distR="114300">
                  <wp:extent cx="1561465" cy="461645"/>
                  <wp:effectExtent l="0" t="0" r="635" b="1460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35"/>
                          <a:srcRect r="30075"/>
                          <a:stretch>
                            <a:fillRect/>
                          </a:stretch>
                        </pic:blipFill>
                        <pic:spPr>
                          <a:xfrm>
                            <a:off x="0" y="0"/>
                            <a:ext cx="1561465" cy="461645"/>
                          </a:xfrm>
                          <a:prstGeom prst="rect">
                            <a:avLst/>
                          </a:prstGeom>
                          <a:noFill/>
                          <a:ln>
                            <a:noFill/>
                          </a:ln>
                        </pic:spPr>
                      </pic:pic>
                    </a:graphicData>
                  </a:graphic>
                </wp:inline>
              </w:drawing>
            </w:r>
          </w:p>
          <w:p w14:paraId="725B6EC0">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式中：L</w:t>
            </w:r>
            <w:r>
              <w:rPr>
                <w:rFonts w:hint="eastAsia"/>
                <w:color w:val="auto"/>
                <w:szCs w:val="21"/>
                <w:vertAlign w:val="subscript"/>
              </w:rPr>
              <w:t>p1</w:t>
            </w:r>
            <w:r>
              <w:rPr>
                <w:rFonts w:hint="eastAsia"/>
                <w:color w:val="auto"/>
                <w:szCs w:val="21"/>
              </w:rPr>
              <w:t>——靠近开口处（或窗户）室内某倍频带的声压级或A声级；</w:t>
            </w:r>
          </w:p>
          <w:p w14:paraId="106866B9">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L</w:t>
            </w:r>
            <w:r>
              <w:rPr>
                <w:rFonts w:hint="eastAsia"/>
                <w:color w:val="auto"/>
                <w:szCs w:val="21"/>
                <w:vertAlign w:val="subscript"/>
              </w:rPr>
              <w:t>w</w:t>
            </w:r>
            <w:r>
              <w:rPr>
                <w:rFonts w:hint="eastAsia"/>
                <w:color w:val="auto"/>
                <w:szCs w:val="21"/>
              </w:rPr>
              <w:t xml:space="preserve">——点声源声功率级（A计权或倍频带），dB； </w:t>
            </w:r>
          </w:p>
          <w:p w14:paraId="3E580179">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r——声源与靠近围护结构某点处的距离，m；</w:t>
            </w:r>
          </w:p>
          <w:p w14:paraId="1AB4AB59">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R——房间常数；R=Sa/（1-a），S为房间内表面积，m</w:t>
            </w:r>
            <w:r>
              <w:rPr>
                <w:rFonts w:hint="eastAsia"/>
                <w:color w:val="auto"/>
                <w:szCs w:val="21"/>
                <w:vertAlign w:val="superscript"/>
              </w:rPr>
              <w:t>2</w:t>
            </w:r>
            <w:r>
              <w:rPr>
                <w:rFonts w:hint="eastAsia"/>
                <w:color w:val="auto"/>
                <w:szCs w:val="21"/>
              </w:rPr>
              <w:t>，a为平均吸声系数；</w:t>
            </w:r>
          </w:p>
          <w:p w14:paraId="6EA293D6">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Q——指向性因数；通常对无指向性声源，当声源放在房间中心时，Q=1，；当放在一面墙的中心时，Q=2；当放在两面墙夹角处时，Q=4；当放在三面墙夹角处时，Q=8。</w:t>
            </w:r>
          </w:p>
          <w:p w14:paraId="6C23ACD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b、计算所有室内声源在围护结构处产生的i倍频带叠加声压级：</w:t>
            </w:r>
          </w:p>
          <w:p w14:paraId="32298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Cs w:val="21"/>
              </w:rPr>
            </w:pPr>
            <w:r>
              <w:rPr>
                <w:rFonts w:hint="eastAsia"/>
                <w:color w:val="auto"/>
                <w:szCs w:val="21"/>
              </w:rPr>
              <w:drawing>
                <wp:inline distT="0" distB="0" distL="114300" distR="114300">
                  <wp:extent cx="1466215" cy="422910"/>
                  <wp:effectExtent l="0" t="0" r="635" b="1524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6"/>
                          <a:stretch>
                            <a:fillRect/>
                          </a:stretch>
                        </pic:blipFill>
                        <pic:spPr>
                          <a:xfrm>
                            <a:off x="0" y="0"/>
                            <a:ext cx="1466215" cy="422910"/>
                          </a:xfrm>
                          <a:prstGeom prst="rect">
                            <a:avLst/>
                          </a:prstGeom>
                          <a:noFill/>
                          <a:ln>
                            <a:noFill/>
                          </a:ln>
                        </pic:spPr>
                      </pic:pic>
                    </a:graphicData>
                  </a:graphic>
                </wp:inline>
              </w:drawing>
            </w:r>
          </w:p>
          <w:p w14:paraId="5544CEA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式中：L</w:t>
            </w:r>
            <w:r>
              <w:rPr>
                <w:rFonts w:hint="eastAsia"/>
                <w:color w:val="auto"/>
                <w:szCs w:val="21"/>
                <w:vertAlign w:val="subscript"/>
              </w:rPr>
              <w:t>pli</w:t>
            </w:r>
            <w:r>
              <w:rPr>
                <w:rFonts w:hint="eastAsia"/>
                <w:color w:val="auto"/>
                <w:szCs w:val="21"/>
              </w:rPr>
              <w:t>（T）——靠近围护结构处室外N个声源i倍频带的叠加声压级，dB；</w:t>
            </w:r>
          </w:p>
          <w:p w14:paraId="3A82286C">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L</w:t>
            </w:r>
            <w:r>
              <w:rPr>
                <w:rFonts w:hint="eastAsia"/>
                <w:color w:val="auto"/>
                <w:szCs w:val="21"/>
                <w:vertAlign w:val="subscript"/>
              </w:rPr>
              <w:t>p1ij</w:t>
            </w:r>
            <w:r>
              <w:rPr>
                <w:rFonts w:hint="eastAsia"/>
                <w:color w:val="auto"/>
                <w:szCs w:val="21"/>
              </w:rPr>
              <w:t>——室内j声源i倍频带的声压级，dB；</w:t>
            </w:r>
          </w:p>
          <w:p w14:paraId="1A1ABC44">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N——室内声源总数。</w:t>
            </w:r>
          </w:p>
          <w:p w14:paraId="3D1EE5A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c、将室外声源的声压级和透过面积换算成等效的室外声源，计算出中心位置位于透声面积（S）处的等效声源的倍频带声功率级。</w:t>
            </w:r>
          </w:p>
          <w:p w14:paraId="249E012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color w:val="auto"/>
                <w:szCs w:val="21"/>
              </w:rPr>
            </w:pPr>
            <w:r>
              <w:rPr>
                <w:rFonts w:hint="eastAsia"/>
                <w:color w:val="auto"/>
                <w:szCs w:val="21"/>
              </w:rPr>
              <w:t>L</w:t>
            </w:r>
            <w:r>
              <w:rPr>
                <w:rFonts w:hint="eastAsia"/>
                <w:color w:val="auto"/>
                <w:szCs w:val="21"/>
                <w:vertAlign w:val="subscript"/>
              </w:rPr>
              <w:t>w</w:t>
            </w:r>
            <w:r>
              <w:rPr>
                <w:rFonts w:hint="eastAsia"/>
                <w:color w:val="auto"/>
                <w:szCs w:val="21"/>
              </w:rPr>
              <w:t>＝L</w:t>
            </w:r>
            <w:r>
              <w:rPr>
                <w:rFonts w:hint="eastAsia"/>
                <w:color w:val="auto"/>
                <w:szCs w:val="21"/>
                <w:vertAlign w:val="subscript"/>
              </w:rPr>
              <w:t>p2</w:t>
            </w:r>
            <w:r>
              <w:rPr>
                <w:rFonts w:hint="eastAsia"/>
                <w:color w:val="auto"/>
                <w:szCs w:val="21"/>
              </w:rPr>
              <w:t>（T）+10lgS</w:t>
            </w:r>
          </w:p>
          <w:p w14:paraId="53085842">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式中：L</w:t>
            </w:r>
            <w:r>
              <w:rPr>
                <w:rFonts w:hint="eastAsia"/>
                <w:color w:val="auto"/>
                <w:szCs w:val="21"/>
                <w:vertAlign w:val="subscript"/>
              </w:rPr>
              <w:t>w</w:t>
            </w:r>
            <w:r>
              <w:rPr>
                <w:rFonts w:hint="eastAsia"/>
                <w:color w:val="auto"/>
                <w:szCs w:val="21"/>
              </w:rPr>
              <w:t>——中心位置位于透声面积（S）处的等效声源的倍频带声功率级，dB；</w:t>
            </w:r>
          </w:p>
          <w:p w14:paraId="2F7D19B2">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L</w:t>
            </w:r>
            <w:r>
              <w:rPr>
                <w:rFonts w:hint="eastAsia"/>
                <w:color w:val="auto"/>
                <w:szCs w:val="21"/>
                <w:vertAlign w:val="subscript"/>
              </w:rPr>
              <w:t>p2</w:t>
            </w:r>
            <w:r>
              <w:rPr>
                <w:rFonts w:hint="eastAsia"/>
                <w:color w:val="auto"/>
                <w:szCs w:val="21"/>
              </w:rPr>
              <w:t>（T）——靠近围护结构处室外声源的声压级，dB；</w:t>
            </w:r>
          </w:p>
          <w:p w14:paraId="27D9C934">
            <w:pPr>
              <w:keepNext w:val="0"/>
              <w:keepLines w:val="0"/>
              <w:pageBreakBefore w:val="0"/>
              <w:widowControl w:val="0"/>
              <w:kinsoku/>
              <w:wordWrap/>
              <w:overflowPunct/>
              <w:topLinePunct w:val="0"/>
              <w:autoSpaceDE/>
              <w:autoSpaceDN/>
              <w:bidi w:val="0"/>
              <w:adjustRightInd/>
              <w:snapToGrid/>
              <w:spacing w:line="440" w:lineRule="exact"/>
              <w:ind w:firstLine="1050" w:firstLineChars="500"/>
              <w:textAlignment w:val="auto"/>
              <w:rPr>
                <w:color w:val="auto"/>
                <w:szCs w:val="21"/>
              </w:rPr>
            </w:pPr>
            <w:r>
              <w:rPr>
                <w:rFonts w:hint="eastAsia"/>
                <w:color w:val="auto"/>
                <w:szCs w:val="21"/>
              </w:rPr>
              <w:t>S—透声面积，m</w:t>
            </w:r>
            <w:r>
              <w:rPr>
                <w:rFonts w:hint="eastAsia"/>
                <w:color w:val="auto"/>
                <w:szCs w:val="21"/>
                <w:vertAlign w:val="superscript"/>
              </w:rPr>
              <w:t>2</w:t>
            </w:r>
            <w:r>
              <w:rPr>
                <w:rFonts w:hint="eastAsia"/>
                <w:color w:val="auto"/>
                <w:szCs w:val="21"/>
              </w:rPr>
              <w:t>；</w:t>
            </w:r>
          </w:p>
          <w:p w14:paraId="00EFD88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rPr>
            </w:pPr>
            <w:r>
              <w:rPr>
                <w:rFonts w:hint="eastAsia"/>
                <w:color w:val="auto"/>
                <w:szCs w:val="21"/>
              </w:rPr>
              <w:t>③总声级的计算：</w:t>
            </w:r>
          </w:p>
          <w:p w14:paraId="56F859B0">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rPr>
            </w:pPr>
            <w:r>
              <w:rPr>
                <w:rFonts w:hint="eastAsia"/>
                <w:color w:val="auto"/>
                <w:szCs w:val="21"/>
              </w:rPr>
              <w:t>设第i个室外声源在预测点产生的 A声级为L</w:t>
            </w:r>
            <w:r>
              <w:rPr>
                <w:rFonts w:hint="eastAsia"/>
                <w:color w:val="auto"/>
                <w:szCs w:val="21"/>
                <w:vertAlign w:val="subscript"/>
              </w:rPr>
              <w:t>Ai</w:t>
            </w:r>
            <w:r>
              <w:rPr>
                <w:rFonts w:hint="eastAsia"/>
                <w:color w:val="auto"/>
                <w:szCs w:val="21"/>
              </w:rPr>
              <w:t>，在T时间内该声源工作时间为t</w:t>
            </w:r>
            <w:r>
              <w:rPr>
                <w:rFonts w:hint="eastAsia"/>
                <w:color w:val="auto"/>
                <w:szCs w:val="21"/>
                <w:vertAlign w:val="subscript"/>
              </w:rPr>
              <w:t>i</w:t>
            </w:r>
            <w:r>
              <w:rPr>
                <w:rFonts w:hint="eastAsia"/>
                <w:color w:val="auto"/>
                <w:szCs w:val="21"/>
              </w:rPr>
              <w:t>；第j个等效室外声源在预测点产生的A声级为 L</w:t>
            </w:r>
            <w:r>
              <w:rPr>
                <w:rFonts w:hint="eastAsia"/>
                <w:color w:val="auto"/>
                <w:szCs w:val="21"/>
                <w:vertAlign w:val="subscript"/>
              </w:rPr>
              <w:t>Aj</w:t>
            </w:r>
            <w:r>
              <w:rPr>
                <w:rFonts w:hint="eastAsia"/>
                <w:color w:val="auto"/>
                <w:szCs w:val="21"/>
              </w:rPr>
              <w:t>，在T时间内该声源工作时间为t</w:t>
            </w:r>
            <w:r>
              <w:rPr>
                <w:rFonts w:hint="eastAsia"/>
                <w:color w:val="auto"/>
                <w:szCs w:val="21"/>
                <w:vertAlign w:val="subscript"/>
              </w:rPr>
              <w:t>j</w:t>
            </w:r>
            <w:r>
              <w:rPr>
                <w:rFonts w:hint="eastAsia"/>
                <w:color w:val="auto"/>
                <w:szCs w:val="21"/>
              </w:rPr>
              <w:t>，则预测点的总有效声级为：</w:t>
            </w:r>
          </w:p>
          <w:p w14:paraId="03FF2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Cs w:val="21"/>
              </w:rPr>
            </w:pPr>
            <w:r>
              <w:rPr>
                <w:color w:val="auto"/>
              </w:rPr>
              <w:drawing>
                <wp:inline distT="0" distB="0" distL="114300" distR="114300">
                  <wp:extent cx="2133600" cy="462280"/>
                  <wp:effectExtent l="0" t="0" r="0" b="1397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7"/>
                          <a:srcRect r="23233"/>
                          <a:stretch>
                            <a:fillRect/>
                          </a:stretch>
                        </pic:blipFill>
                        <pic:spPr>
                          <a:xfrm>
                            <a:off x="0" y="0"/>
                            <a:ext cx="2133600" cy="462280"/>
                          </a:xfrm>
                          <a:prstGeom prst="rect">
                            <a:avLst/>
                          </a:prstGeom>
                          <a:noFill/>
                          <a:ln>
                            <a:noFill/>
                          </a:ln>
                        </pic:spPr>
                      </pic:pic>
                    </a:graphicData>
                  </a:graphic>
                </wp:inline>
              </w:drawing>
            </w:r>
          </w:p>
          <w:p w14:paraId="34A6786C">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式中：t</w:t>
            </w:r>
            <w:r>
              <w:rPr>
                <w:rFonts w:hint="eastAsia"/>
                <w:color w:val="auto"/>
                <w:szCs w:val="21"/>
                <w:vertAlign w:val="subscript"/>
              </w:rPr>
              <w:t>j</w:t>
            </w:r>
            <w:r>
              <w:rPr>
                <w:rFonts w:hint="eastAsia"/>
                <w:color w:val="auto"/>
                <w:szCs w:val="21"/>
              </w:rPr>
              <w:t>——在T时间内j声源工作时间，s；</w:t>
            </w:r>
          </w:p>
          <w:p w14:paraId="24F28D9E">
            <w:pPr>
              <w:keepNext w:val="0"/>
              <w:keepLines w:val="0"/>
              <w:pageBreakBefore w:val="0"/>
              <w:widowControl w:val="0"/>
              <w:kinsoku/>
              <w:wordWrap/>
              <w:overflowPunct/>
              <w:topLinePunct w:val="0"/>
              <w:autoSpaceDE/>
              <w:autoSpaceDN/>
              <w:bidi w:val="0"/>
              <w:adjustRightInd/>
              <w:snapToGrid/>
              <w:spacing w:line="430" w:lineRule="exact"/>
              <w:ind w:firstLine="1050" w:firstLineChars="500"/>
              <w:textAlignment w:val="auto"/>
              <w:rPr>
                <w:color w:val="auto"/>
                <w:szCs w:val="21"/>
              </w:rPr>
            </w:pPr>
            <w:r>
              <w:rPr>
                <w:rFonts w:hint="eastAsia"/>
                <w:color w:val="auto"/>
                <w:szCs w:val="21"/>
              </w:rPr>
              <w:t>t</w:t>
            </w:r>
            <w:r>
              <w:rPr>
                <w:rFonts w:hint="eastAsia"/>
                <w:color w:val="auto"/>
                <w:szCs w:val="21"/>
                <w:vertAlign w:val="subscript"/>
              </w:rPr>
              <w:t>i</w:t>
            </w:r>
            <w:r>
              <w:rPr>
                <w:rFonts w:hint="eastAsia"/>
                <w:color w:val="auto"/>
                <w:szCs w:val="21"/>
              </w:rPr>
              <w:t>——在T时间内i声源工作时间，s；</w:t>
            </w:r>
          </w:p>
          <w:p w14:paraId="0F9CDCDA">
            <w:pPr>
              <w:keepNext w:val="0"/>
              <w:keepLines w:val="0"/>
              <w:pageBreakBefore w:val="0"/>
              <w:widowControl w:val="0"/>
              <w:kinsoku/>
              <w:wordWrap/>
              <w:overflowPunct/>
              <w:topLinePunct w:val="0"/>
              <w:autoSpaceDE/>
              <w:autoSpaceDN/>
              <w:bidi w:val="0"/>
              <w:adjustRightInd/>
              <w:snapToGrid/>
              <w:spacing w:line="430" w:lineRule="exact"/>
              <w:ind w:firstLine="1050" w:firstLineChars="500"/>
              <w:textAlignment w:val="auto"/>
              <w:rPr>
                <w:color w:val="auto"/>
                <w:szCs w:val="21"/>
              </w:rPr>
            </w:pPr>
            <w:r>
              <w:rPr>
                <w:rFonts w:hint="eastAsia"/>
                <w:color w:val="auto"/>
                <w:szCs w:val="21"/>
              </w:rPr>
              <w:t>T——用于计算等效声级的时间，s；</w:t>
            </w:r>
          </w:p>
          <w:p w14:paraId="48D7E982">
            <w:pPr>
              <w:keepNext w:val="0"/>
              <w:keepLines w:val="0"/>
              <w:pageBreakBefore w:val="0"/>
              <w:widowControl w:val="0"/>
              <w:kinsoku/>
              <w:wordWrap/>
              <w:overflowPunct/>
              <w:topLinePunct w:val="0"/>
              <w:autoSpaceDE/>
              <w:autoSpaceDN/>
              <w:bidi w:val="0"/>
              <w:adjustRightInd/>
              <w:snapToGrid/>
              <w:spacing w:line="430" w:lineRule="exact"/>
              <w:ind w:firstLine="1050" w:firstLineChars="500"/>
              <w:textAlignment w:val="auto"/>
              <w:rPr>
                <w:color w:val="auto"/>
                <w:szCs w:val="21"/>
              </w:rPr>
            </w:pPr>
            <w:r>
              <w:rPr>
                <w:rFonts w:hint="eastAsia"/>
                <w:color w:val="auto"/>
                <w:szCs w:val="21"/>
              </w:rPr>
              <w:t>N——室外声源个数；</w:t>
            </w:r>
          </w:p>
          <w:p w14:paraId="78E11C8A">
            <w:pPr>
              <w:keepNext w:val="0"/>
              <w:keepLines w:val="0"/>
              <w:pageBreakBefore w:val="0"/>
              <w:widowControl w:val="0"/>
              <w:kinsoku/>
              <w:wordWrap/>
              <w:overflowPunct/>
              <w:topLinePunct w:val="0"/>
              <w:autoSpaceDE/>
              <w:autoSpaceDN/>
              <w:bidi w:val="0"/>
              <w:adjustRightInd/>
              <w:snapToGrid/>
              <w:spacing w:line="430" w:lineRule="exact"/>
              <w:ind w:firstLine="1050" w:firstLineChars="500"/>
              <w:textAlignment w:val="auto"/>
              <w:rPr>
                <w:color w:val="auto"/>
                <w:szCs w:val="21"/>
              </w:rPr>
            </w:pPr>
            <w:r>
              <w:rPr>
                <w:rFonts w:hint="eastAsia"/>
                <w:color w:val="auto"/>
                <w:szCs w:val="21"/>
              </w:rPr>
              <w:t>M——等效室外声源个数。</w:t>
            </w:r>
          </w:p>
          <w:p w14:paraId="469FCD6C">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2）参数的确定</w:t>
            </w:r>
          </w:p>
          <w:p w14:paraId="576E78DC">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①声波几何发散引起的 A声级衰减量（A</w:t>
            </w:r>
            <w:r>
              <w:rPr>
                <w:rFonts w:hint="eastAsia"/>
                <w:color w:val="auto"/>
                <w:szCs w:val="21"/>
                <w:vertAlign w:val="subscript"/>
              </w:rPr>
              <w:t>div</w:t>
            </w:r>
            <w:r>
              <w:rPr>
                <w:rFonts w:hint="eastAsia"/>
                <w:color w:val="auto"/>
                <w:szCs w:val="21"/>
              </w:rPr>
              <w:t xml:space="preserve">） </w:t>
            </w:r>
          </w:p>
          <w:p w14:paraId="55D78FDB">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a、点声源：A</w:t>
            </w:r>
            <w:r>
              <w:rPr>
                <w:rFonts w:hint="eastAsia"/>
                <w:color w:val="auto"/>
                <w:szCs w:val="21"/>
                <w:vertAlign w:val="subscript"/>
              </w:rPr>
              <w:t>div</w:t>
            </w:r>
            <w:r>
              <w:rPr>
                <w:rFonts w:hint="eastAsia"/>
                <w:color w:val="auto"/>
                <w:szCs w:val="21"/>
              </w:rPr>
              <w:t>=20lg（r/r</w:t>
            </w:r>
            <w:r>
              <w:rPr>
                <w:rFonts w:hint="eastAsia"/>
                <w:color w:val="auto"/>
                <w:szCs w:val="21"/>
                <w:vertAlign w:val="subscript"/>
              </w:rPr>
              <w:t>0</w:t>
            </w:r>
            <w:r>
              <w:rPr>
                <w:rFonts w:hint="eastAsia"/>
                <w:color w:val="auto"/>
                <w:szCs w:val="21"/>
              </w:rPr>
              <w:t>）</w:t>
            </w:r>
          </w:p>
          <w:p w14:paraId="77B8DFDC">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式中：r—预测点到噪声源距离，m；</w:t>
            </w:r>
          </w:p>
          <w:p w14:paraId="27599C8B">
            <w:pPr>
              <w:keepNext w:val="0"/>
              <w:keepLines w:val="0"/>
              <w:pageBreakBefore w:val="0"/>
              <w:widowControl w:val="0"/>
              <w:kinsoku/>
              <w:wordWrap/>
              <w:overflowPunct/>
              <w:topLinePunct w:val="0"/>
              <w:autoSpaceDE/>
              <w:autoSpaceDN/>
              <w:bidi w:val="0"/>
              <w:adjustRightInd/>
              <w:snapToGrid/>
              <w:spacing w:line="430" w:lineRule="exact"/>
              <w:ind w:firstLine="1050" w:firstLineChars="500"/>
              <w:textAlignment w:val="auto"/>
              <w:rPr>
                <w:color w:val="auto"/>
                <w:szCs w:val="21"/>
              </w:rPr>
            </w:pPr>
            <w:r>
              <w:rPr>
                <w:color w:val="auto"/>
                <w:szCs w:val="21"/>
              </w:rPr>
              <w:t>r</w:t>
            </w:r>
            <w:r>
              <w:rPr>
                <w:rFonts w:hint="eastAsia"/>
                <w:color w:val="auto"/>
                <w:szCs w:val="21"/>
                <w:vertAlign w:val="subscript"/>
              </w:rPr>
              <w:t>0</w:t>
            </w:r>
            <w:r>
              <w:rPr>
                <w:rFonts w:hint="eastAsia"/>
                <w:color w:val="auto"/>
                <w:szCs w:val="21"/>
              </w:rPr>
              <w:t>—参考点到噪声源距离，m。</w:t>
            </w:r>
          </w:p>
          <w:p w14:paraId="3EB5A77D">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b、有限长线声源（设线声源长为L</w:t>
            </w:r>
            <w:r>
              <w:rPr>
                <w:rFonts w:hint="eastAsia"/>
                <w:color w:val="auto"/>
                <w:szCs w:val="21"/>
                <w:vertAlign w:val="subscript"/>
              </w:rPr>
              <w:t>0</w:t>
            </w:r>
            <w:r>
              <w:rPr>
                <w:rFonts w:hint="eastAsia"/>
                <w:color w:val="auto"/>
                <w:szCs w:val="21"/>
              </w:rPr>
              <w:t>）</w:t>
            </w:r>
          </w:p>
          <w:p w14:paraId="06CD54A7">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当r&gt;L</w:t>
            </w:r>
            <w:r>
              <w:rPr>
                <w:rFonts w:hint="eastAsia"/>
                <w:color w:val="auto"/>
                <w:szCs w:val="21"/>
                <w:vertAlign w:val="subscript"/>
              </w:rPr>
              <w:t>0</w:t>
            </w:r>
            <w:r>
              <w:rPr>
                <w:rFonts w:hint="eastAsia"/>
                <w:color w:val="auto"/>
                <w:szCs w:val="21"/>
              </w:rPr>
              <w:t xml:space="preserve">，且 </w:t>
            </w:r>
            <w:r>
              <w:rPr>
                <w:color w:val="auto"/>
                <w:szCs w:val="21"/>
              </w:rPr>
              <w:t>r</w:t>
            </w:r>
            <w:r>
              <w:rPr>
                <w:rFonts w:hint="eastAsia"/>
                <w:color w:val="auto"/>
                <w:szCs w:val="21"/>
                <w:vertAlign w:val="subscript"/>
              </w:rPr>
              <w:t>0</w:t>
            </w:r>
            <w:r>
              <w:rPr>
                <w:rFonts w:hint="eastAsia"/>
                <w:color w:val="auto"/>
                <w:szCs w:val="21"/>
              </w:rPr>
              <w:t>&gt;Lo 时：A</w:t>
            </w:r>
            <w:r>
              <w:rPr>
                <w:rFonts w:hint="eastAsia"/>
                <w:color w:val="auto"/>
                <w:szCs w:val="21"/>
                <w:vertAlign w:val="subscript"/>
              </w:rPr>
              <w:t>div</w:t>
            </w:r>
            <w:r>
              <w:rPr>
                <w:rFonts w:hint="eastAsia"/>
                <w:color w:val="auto"/>
                <w:szCs w:val="21"/>
              </w:rPr>
              <w:t>=20lg（r/</w:t>
            </w:r>
            <w:r>
              <w:rPr>
                <w:color w:val="auto"/>
                <w:szCs w:val="21"/>
              </w:rPr>
              <w:t>r</w:t>
            </w:r>
            <w:r>
              <w:rPr>
                <w:rFonts w:hint="eastAsia"/>
                <w:color w:val="auto"/>
                <w:szCs w:val="21"/>
                <w:vertAlign w:val="subscript"/>
              </w:rPr>
              <w:t>0</w:t>
            </w:r>
            <w:r>
              <w:rPr>
                <w:rFonts w:hint="eastAsia"/>
                <w:color w:val="auto"/>
                <w:szCs w:val="21"/>
              </w:rPr>
              <w:t>）</w:t>
            </w:r>
          </w:p>
          <w:p w14:paraId="219FDD19">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当r&lt;L</w:t>
            </w:r>
            <w:r>
              <w:rPr>
                <w:rFonts w:hint="eastAsia"/>
                <w:color w:val="auto"/>
                <w:szCs w:val="21"/>
                <w:vertAlign w:val="subscript"/>
              </w:rPr>
              <w:t>0</w:t>
            </w:r>
            <w:r>
              <w:rPr>
                <w:rFonts w:hint="eastAsia"/>
                <w:color w:val="auto"/>
                <w:szCs w:val="21"/>
              </w:rPr>
              <w:t xml:space="preserve">/3，且 </w:t>
            </w:r>
            <w:r>
              <w:rPr>
                <w:color w:val="auto"/>
                <w:szCs w:val="21"/>
              </w:rPr>
              <w:t>r</w:t>
            </w:r>
            <w:r>
              <w:rPr>
                <w:rFonts w:hint="eastAsia"/>
                <w:color w:val="auto"/>
                <w:szCs w:val="21"/>
                <w:vertAlign w:val="subscript"/>
              </w:rPr>
              <w:t>0</w:t>
            </w:r>
            <w:r>
              <w:rPr>
                <w:rFonts w:hint="eastAsia"/>
                <w:color w:val="auto"/>
                <w:szCs w:val="21"/>
              </w:rPr>
              <w:t>&lt;L</w:t>
            </w:r>
            <w:r>
              <w:rPr>
                <w:rFonts w:hint="eastAsia"/>
                <w:color w:val="auto"/>
                <w:szCs w:val="21"/>
                <w:vertAlign w:val="subscript"/>
              </w:rPr>
              <w:t>0</w:t>
            </w:r>
            <w:r>
              <w:rPr>
                <w:rFonts w:hint="eastAsia"/>
                <w:color w:val="auto"/>
                <w:szCs w:val="21"/>
              </w:rPr>
              <w:t>/3 时：A</w:t>
            </w:r>
            <w:r>
              <w:rPr>
                <w:rFonts w:hint="eastAsia"/>
                <w:color w:val="auto"/>
                <w:szCs w:val="21"/>
                <w:vertAlign w:val="subscript"/>
              </w:rPr>
              <w:t>div</w:t>
            </w:r>
            <w:r>
              <w:rPr>
                <w:rFonts w:hint="eastAsia"/>
                <w:color w:val="auto"/>
                <w:szCs w:val="21"/>
              </w:rPr>
              <w:t>=10lg（r/</w:t>
            </w:r>
            <w:r>
              <w:rPr>
                <w:color w:val="auto"/>
                <w:szCs w:val="21"/>
              </w:rPr>
              <w:t>r</w:t>
            </w:r>
            <w:r>
              <w:rPr>
                <w:rFonts w:hint="eastAsia"/>
                <w:color w:val="auto"/>
                <w:szCs w:val="21"/>
                <w:vertAlign w:val="subscript"/>
              </w:rPr>
              <w:t>0</w:t>
            </w:r>
            <w:r>
              <w:rPr>
                <w:rFonts w:hint="eastAsia"/>
                <w:color w:val="auto"/>
                <w:szCs w:val="21"/>
              </w:rPr>
              <w:t>）</w:t>
            </w:r>
          </w:p>
          <w:p w14:paraId="63C64E31">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当L</w:t>
            </w:r>
            <w:r>
              <w:rPr>
                <w:rFonts w:hint="eastAsia"/>
                <w:color w:val="auto"/>
                <w:szCs w:val="21"/>
                <w:vertAlign w:val="subscript"/>
              </w:rPr>
              <w:t>0</w:t>
            </w:r>
            <w:r>
              <w:rPr>
                <w:rFonts w:hint="eastAsia"/>
                <w:color w:val="auto"/>
                <w:szCs w:val="21"/>
              </w:rPr>
              <w:t>/3&lt;r&lt;L</w:t>
            </w:r>
            <w:r>
              <w:rPr>
                <w:rFonts w:hint="eastAsia"/>
                <w:color w:val="auto"/>
                <w:szCs w:val="21"/>
                <w:vertAlign w:val="subscript"/>
              </w:rPr>
              <w:t>0</w:t>
            </w:r>
            <w:r>
              <w:rPr>
                <w:rFonts w:hint="eastAsia"/>
                <w:color w:val="auto"/>
                <w:szCs w:val="21"/>
              </w:rPr>
              <w:t>，且L</w:t>
            </w:r>
            <w:r>
              <w:rPr>
                <w:rFonts w:hint="eastAsia"/>
                <w:color w:val="auto"/>
                <w:szCs w:val="21"/>
                <w:vertAlign w:val="subscript"/>
              </w:rPr>
              <w:t>0</w:t>
            </w:r>
            <w:r>
              <w:rPr>
                <w:rFonts w:hint="eastAsia"/>
                <w:color w:val="auto"/>
                <w:szCs w:val="21"/>
              </w:rPr>
              <w:t>/3&lt;</w:t>
            </w:r>
            <w:r>
              <w:rPr>
                <w:color w:val="auto"/>
                <w:szCs w:val="21"/>
              </w:rPr>
              <w:t>r</w:t>
            </w:r>
            <w:r>
              <w:rPr>
                <w:rFonts w:hint="eastAsia"/>
                <w:color w:val="auto"/>
                <w:szCs w:val="21"/>
                <w:vertAlign w:val="subscript"/>
              </w:rPr>
              <w:t>0</w:t>
            </w:r>
            <w:r>
              <w:rPr>
                <w:rFonts w:hint="eastAsia"/>
                <w:color w:val="auto"/>
                <w:szCs w:val="21"/>
              </w:rPr>
              <w:t>&lt;L</w:t>
            </w:r>
            <w:r>
              <w:rPr>
                <w:rFonts w:hint="eastAsia"/>
                <w:color w:val="auto"/>
                <w:szCs w:val="21"/>
                <w:vertAlign w:val="subscript"/>
              </w:rPr>
              <w:t>0</w:t>
            </w:r>
            <w:r>
              <w:rPr>
                <w:rFonts w:hint="eastAsia"/>
                <w:color w:val="auto"/>
                <w:szCs w:val="21"/>
              </w:rPr>
              <w:t>时：A</w:t>
            </w:r>
            <w:r>
              <w:rPr>
                <w:rFonts w:hint="eastAsia"/>
                <w:color w:val="auto"/>
                <w:szCs w:val="21"/>
                <w:vertAlign w:val="subscript"/>
              </w:rPr>
              <w:t>div</w:t>
            </w:r>
            <w:r>
              <w:rPr>
                <w:rFonts w:hint="eastAsia"/>
                <w:color w:val="auto"/>
                <w:szCs w:val="21"/>
              </w:rPr>
              <w:t>=15lg（r/</w:t>
            </w:r>
            <w:r>
              <w:rPr>
                <w:color w:val="auto"/>
                <w:szCs w:val="21"/>
              </w:rPr>
              <w:t>r</w:t>
            </w:r>
            <w:r>
              <w:rPr>
                <w:rFonts w:hint="eastAsia"/>
                <w:color w:val="auto"/>
                <w:szCs w:val="21"/>
                <w:vertAlign w:val="subscript"/>
              </w:rPr>
              <w:t>0</w:t>
            </w:r>
            <w:r>
              <w:rPr>
                <w:rFonts w:hint="eastAsia"/>
                <w:color w:val="auto"/>
                <w:szCs w:val="21"/>
              </w:rPr>
              <w:t>）</w:t>
            </w:r>
          </w:p>
          <w:p w14:paraId="20D9EB7F">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c、面声源（设面声源高度为a，长度为b，且 a＜b）</w:t>
            </w:r>
          </w:p>
          <w:p w14:paraId="42A52F29">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当r&lt;a/3时，且</w:t>
            </w:r>
            <w:r>
              <w:rPr>
                <w:color w:val="auto"/>
                <w:szCs w:val="21"/>
              </w:rPr>
              <w:t>r</w:t>
            </w:r>
            <w:r>
              <w:rPr>
                <w:rFonts w:hint="eastAsia"/>
                <w:color w:val="auto"/>
                <w:szCs w:val="21"/>
                <w:vertAlign w:val="subscript"/>
              </w:rPr>
              <w:t>0</w:t>
            </w:r>
            <w:r>
              <w:rPr>
                <w:rFonts w:hint="eastAsia"/>
                <w:color w:val="auto"/>
                <w:szCs w:val="21"/>
              </w:rPr>
              <w:t>&lt;a/3时：Adiv=0</w:t>
            </w:r>
          </w:p>
          <w:p w14:paraId="40711E65">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当a/3&lt;r&lt;b/3，且 a/3&lt;</w:t>
            </w:r>
            <w:r>
              <w:rPr>
                <w:color w:val="auto"/>
                <w:szCs w:val="21"/>
              </w:rPr>
              <w:t>r</w:t>
            </w:r>
            <w:r>
              <w:rPr>
                <w:rFonts w:hint="eastAsia"/>
                <w:color w:val="auto"/>
                <w:szCs w:val="21"/>
                <w:vertAlign w:val="subscript"/>
              </w:rPr>
              <w:t>0</w:t>
            </w:r>
            <w:r>
              <w:rPr>
                <w:rFonts w:hint="eastAsia"/>
                <w:color w:val="auto"/>
                <w:szCs w:val="21"/>
              </w:rPr>
              <w:t>&lt;b/3 时：A</w:t>
            </w:r>
            <w:r>
              <w:rPr>
                <w:rFonts w:hint="eastAsia"/>
                <w:color w:val="auto"/>
                <w:szCs w:val="21"/>
                <w:vertAlign w:val="subscript"/>
              </w:rPr>
              <w:t>div</w:t>
            </w:r>
            <w:r>
              <w:rPr>
                <w:rFonts w:hint="eastAsia"/>
                <w:color w:val="auto"/>
                <w:szCs w:val="21"/>
              </w:rPr>
              <w:t>=10lg（r/</w:t>
            </w:r>
            <w:r>
              <w:rPr>
                <w:color w:val="auto"/>
                <w:szCs w:val="21"/>
              </w:rPr>
              <w:t>r</w:t>
            </w:r>
            <w:r>
              <w:rPr>
                <w:rFonts w:hint="eastAsia"/>
                <w:color w:val="auto"/>
                <w:szCs w:val="21"/>
                <w:vertAlign w:val="subscript"/>
              </w:rPr>
              <w:t>0</w:t>
            </w:r>
            <w:r>
              <w:rPr>
                <w:rFonts w:hint="eastAsia"/>
                <w:color w:val="auto"/>
                <w:szCs w:val="21"/>
              </w:rPr>
              <w:t>）</w:t>
            </w:r>
          </w:p>
          <w:p w14:paraId="0B1446CD">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当b/3&lt;r&lt;b，且 b/3&lt;</w:t>
            </w:r>
            <w:r>
              <w:rPr>
                <w:color w:val="auto"/>
                <w:szCs w:val="21"/>
              </w:rPr>
              <w:t>r</w:t>
            </w:r>
            <w:r>
              <w:rPr>
                <w:rFonts w:hint="eastAsia"/>
                <w:color w:val="auto"/>
                <w:szCs w:val="21"/>
                <w:vertAlign w:val="subscript"/>
              </w:rPr>
              <w:t>0</w:t>
            </w:r>
            <w:r>
              <w:rPr>
                <w:rFonts w:hint="eastAsia"/>
                <w:color w:val="auto"/>
                <w:szCs w:val="21"/>
              </w:rPr>
              <w:t>&lt;b 时：A</w:t>
            </w:r>
            <w:r>
              <w:rPr>
                <w:rFonts w:hint="eastAsia"/>
                <w:color w:val="auto"/>
                <w:szCs w:val="21"/>
                <w:vertAlign w:val="subscript"/>
              </w:rPr>
              <w:t>div</w:t>
            </w:r>
            <w:r>
              <w:rPr>
                <w:rFonts w:hint="eastAsia"/>
                <w:color w:val="auto"/>
                <w:szCs w:val="21"/>
              </w:rPr>
              <w:t>=15lg（r/</w:t>
            </w:r>
            <w:r>
              <w:rPr>
                <w:color w:val="auto"/>
                <w:szCs w:val="21"/>
              </w:rPr>
              <w:t>r</w:t>
            </w:r>
            <w:r>
              <w:rPr>
                <w:rFonts w:hint="eastAsia"/>
                <w:color w:val="auto"/>
                <w:szCs w:val="21"/>
                <w:vertAlign w:val="subscript"/>
              </w:rPr>
              <w:t>0</w:t>
            </w:r>
            <w:r>
              <w:rPr>
                <w:rFonts w:hint="eastAsia"/>
                <w:color w:val="auto"/>
                <w:szCs w:val="21"/>
              </w:rPr>
              <w:t>）</w:t>
            </w:r>
          </w:p>
          <w:p w14:paraId="11D37D21">
            <w:pPr>
              <w:keepNext w:val="0"/>
              <w:keepLines w:val="0"/>
              <w:pageBreakBefore w:val="0"/>
              <w:widowControl w:val="0"/>
              <w:kinsoku/>
              <w:wordWrap/>
              <w:overflowPunct/>
              <w:topLinePunct w:val="0"/>
              <w:autoSpaceDE/>
              <w:autoSpaceDN/>
              <w:bidi w:val="0"/>
              <w:adjustRightInd/>
              <w:snapToGrid/>
              <w:spacing w:line="430" w:lineRule="exact"/>
              <w:ind w:firstLine="420"/>
              <w:jc w:val="center"/>
              <w:textAlignment w:val="auto"/>
              <w:rPr>
                <w:color w:val="auto"/>
                <w:szCs w:val="21"/>
              </w:rPr>
            </w:pPr>
            <w:r>
              <w:rPr>
                <w:rFonts w:hint="eastAsia"/>
                <w:color w:val="auto"/>
                <w:szCs w:val="21"/>
              </w:rPr>
              <w:t>当b&lt;r时，且 b&lt;</w:t>
            </w:r>
            <w:r>
              <w:rPr>
                <w:color w:val="auto"/>
                <w:szCs w:val="21"/>
              </w:rPr>
              <w:t>r</w:t>
            </w:r>
            <w:r>
              <w:rPr>
                <w:rFonts w:hint="eastAsia"/>
                <w:color w:val="auto"/>
                <w:szCs w:val="21"/>
                <w:vertAlign w:val="subscript"/>
              </w:rPr>
              <w:t>0</w:t>
            </w:r>
            <w:r>
              <w:rPr>
                <w:rFonts w:hint="eastAsia"/>
                <w:color w:val="auto"/>
                <w:szCs w:val="21"/>
              </w:rPr>
              <w:t>时：A</w:t>
            </w:r>
            <w:r>
              <w:rPr>
                <w:rFonts w:hint="eastAsia"/>
                <w:color w:val="auto"/>
                <w:szCs w:val="21"/>
                <w:vertAlign w:val="subscript"/>
              </w:rPr>
              <w:t>div</w:t>
            </w:r>
            <w:r>
              <w:rPr>
                <w:rFonts w:hint="eastAsia"/>
                <w:color w:val="auto"/>
                <w:szCs w:val="21"/>
              </w:rPr>
              <w:t>=20lg（r/</w:t>
            </w:r>
            <w:r>
              <w:rPr>
                <w:color w:val="auto"/>
                <w:szCs w:val="21"/>
              </w:rPr>
              <w:t>r</w:t>
            </w:r>
            <w:r>
              <w:rPr>
                <w:rFonts w:hint="eastAsia"/>
                <w:color w:val="auto"/>
                <w:szCs w:val="21"/>
                <w:vertAlign w:val="subscript"/>
              </w:rPr>
              <w:t>0</w:t>
            </w:r>
            <w:r>
              <w:rPr>
                <w:rFonts w:hint="eastAsia"/>
                <w:color w:val="auto"/>
                <w:szCs w:val="21"/>
              </w:rPr>
              <w:t>）</w:t>
            </w:r>
          </w:p>
          <w:p w14:paraId="70C8A22F">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②空气吸收衰减量A</w:t>
            </w:r>
            <w:r>
              <w:rPr>
                <w:rFonts w:hint="eastAsia"/>
                <w:color w:val="auto"/>
                <w:szCs w:val="21"/>
                <w:vertAlign w:val="subscript"/>
              </w:rPr>
              <w:t>atm</w:t>
            </w:r>
          </w:p>
          <w:p w14:paraId="7A86C01E">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空气吸收引起的A声级衰减量按下式计算：</w:t>
            </w:r>
          </w:p>
          <w:p w14:paraId="7AAEF52D">
            <w:pPr>
              <w:keepNext w:val="0"/>
              <w:keepLines w:val="0"/>
              <w:pageBreakBefore w:val="0"/>
              <w:widowControl w:val="0"/>
              <w:kinsoku/>
              <w:wordWrap/>
              <w:overflowPunct/>
              <w:topLinePunct w:val="0"/>
              <w:autoSpaceDE/>
              <w:autoSpaceDN/>
              <w:bidi w:val="0"/>
              <w:adjustRightInd/>
              <w:snapToGrid/>
              <w:spacing w:line="430" w:lineRule="exact"/>
              <w:ind w:firstLine="0" w:firstLineChars="0"/>
              <w:jc w:val="center"/>
              <w:textAlignment w:val="auto"/>
              <w:rPr>
                <w:color w:val="auto"/>
                <w:szCs w:val="21"/>
              </w:rPr>
            </w:pPr>
            <w:r>
              <w:rPr>
                <w:rFonts w:hint="eastAsia"/>
                <w:color w:val="auto"/>
                <w:szCs w:val="21"/>
              </w:rPr>
              <w:t>A</w:t>
            </w:r>
            <w:r>
              <w:rPr>
                <w:rFonts w:hint="eastAsia"/>
                <w:color w:val="auto"/>
                <w:szCs w:val="21"/>
                <w:vertAlign w:val="subscript"/>
              </w:rPr>
              <w:t>atm</w:t>
            </w:r>
            <w:r>
              <w:rPr>
                <w:rFonts w:hint="eastAsia"/>
                <w:color w:val="auto"/>
                <w:szCs w:val="21"/>
              </w:rPr>
              <w:t>＝a（r－</w:t>
            </w:r>
            <w:r>
              <w:rPr>
                <w:color w:val="auto"/>
                <w:szCs w:val="21"/>
              </w:rPr>
              <w:t>r</w:t>
            </w:r>
            <w:r>
              <w:rPr>
                <w:rFonts w:hint="eastAsia"/>
                <w:color w:val="auto"/>
                <w:szCs w:val="21"/>
                <w:vertAlign w:val="subscript"/>
              </w:rPr>
              <w:t>0</w:t>
            </w:r>
            <w:r>
              <w:rPr>
                <w:rFonts w:hint="eastAsia"/>
                <w:color w:val="auto"/>
                <w:szCs w:val="21"/>
              </w:rPr>
              <w:t>）/100</w:t>
            </w:r>
          </w:p>
          <w:p w14:paraId="19112A19">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式中：a为每100m空气吸收系数，是温度、湿度和声波频率的函数。</w:t>
            </w:r>
          </w:p>
          <w:p w14:paraId="3206D5BE">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本评价由于计算距离较近，Aatm计算值较小，故在计算时忽略此项。</w:t>
            </w:r>
          </w:p>
          <w:p w14:paraId="46FB0932">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③遮挡物引起的衰减量A</w:t>
            </w:r>
            <w:r>
              <w:rPr>
                <w:rFonts w:hint="eastAsia"/>
                <w:color w:val="auto"/>
                <w:szCs w:val="21"/>
                <w:vertAlign w:val="subscript"/>
              </w:rPr>
              <w:t>bar</w:t>
            </w:r>
          </w:p>
          <w:p w14:paraId="1A283AF4">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位于声源和预测点之间的实体障碍物，如围墙、建筑物、土坡、地堑或绿化林带都能起声屏 障作用，从而引起声能量的衰减，具体衰减根据不同声级的传播途径而定，一般取20～25dB（A）。</w:t>
            </w:r>
          </w:p>
          <w:p w14:paraId="2EAB8E41">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④附加衰减量A</w:t>
            </w:r>
            <w:r>
              <w:rPr>
                <w:rFonts w:hint="eastAsia"/>
                <w:color w:val="auto"/>
                <w:szCs w:val="21"/>
                <w:vertAlign w:val="subscript"/>
              </w:rPr>
              <w:t>exc</w:t>
            </w:r>
          </w:p>
          <w:p w14:paraId="3EC59ECE">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rFonts w:hint="eastAsia"/>
                <w:color w:val="auto"/>
                <w:szCs w:val="21"/>
              </w:rPr>
            </w:pPr>
            <w:r>
              <w:rPr>
                <w:rFonts w:hint="eastAsia"/>
                <w:color w:val="auto"/>
                <w:szCs w:val="21"/>
              </w:rPr>
              <w:t>根据导则规定，满足下列条件需考虑地面效应引起的附加衰减：</w:t>
            </w:r>
          </w:p>
          <w:p w14:paraId="185BABD3">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rFonts w:hint="eastAsia"/>
                <w:color w:val="auto"/>
                <w:szCs w:val="21"/>
              </w:rPr>
            </w:pPr>
            <w:r>
              <w:rPr>
                <w:rFonts w:hint="eastAsia"/>
                <w:color w:val="auto"/>
                <w:szCs w:val="21"/>
              </w:rPr>
              <w:t>①预测点距声源50m以上；</w:t>
            </w:r>
          </w:p>
          <w:p w14:paraId="641D9670">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rFonts w:hint="eastAsia"/>
                <w:color w:val="auto"/>
                <w:szCs w:val="21"/>
              </w:rPr>
            </w:pPr>
            <w:r>
              <w:rPr>
                <w:rFonts w:hint="eastAsia"/>
                <w:color w:val="auto"/>
                <w:szCs w:val="21"/>
              </w:rPr>
              <w:t>②声源距地面高度和预测点距地面高度的平均值小于3m；</w:t>
            </w:r>
          </w:p>
          <w:p w14:paraId="5AA23735">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rPr>
              <w:t>③声源与预测点之间的地面被草地、灌木等覆盖（软地面）。此时，地面效应引起附加衰减量按下式计算：</w:t>
            </w:r>
          </w:p>
          <w:p w14:paraId="244518A1">
            <w:pPr>
              <w:keepNext w:val="0"/>
              <w:keepLines w:val="0"/>
              <w:pageBreakBefore w:val="0"/>
              <w:widowControl w:val="0"/>
              <w:kinsoku/>
              <w:wordWrap/>
              <w:overflowPunct/>
              <w:topLinePunct w:val="0"/>
              <w:autoSpaceDE/>
              <w:autoSpaceDN/>
              <w:bidi w:val="0"/>
              <w:adjustRightInd/>
              <w:snapToGrid/>
              <w:spacing w:line="430" w:lineRule="exact"/>
              <w:ind w:firstLine="0" w:firstLineChars="0"/>
              <w:jc w:val="center"/>
              <w:textAlignment w:val="auto"/>
              <w:rPr>
                <w:color w:val="auto"/>
                <w:szCs w:val="21"/>
              </w:rPr>
            </w:pPr>
            <w:r>
              <w:rPr>
                <w:rFonts w:hint="eastAsia"/>
                <w:color w:val="auto"/>
                <w:szCs w:val="21"/>
              </w:rPr>
              <w:t>A</w:t>
            </w:r>
            <w:r>
              <w:rPr>
                <w:rFonts w:hint="eastAsia"/>
                <w:color w:val="auto"/>
                <w:szCs w:val="21"/>
                <w:vertAlign w:val="subscript"/>
              </w:rPr>
              <w:t>exc</w:t>
            </w:r>
            <w:r>
              <w:rPr>
                <w:rFonts w:hint="eastAsia"/>
                <w:color w:val="auto"/>
                <w:szCs w:val="21"/>
              </w:rPr>
              <w:t>=5lg（r/</w:t>
            </w:r>
            <w:r>
              <w:rPr>
                <w:color w:val="auto"/>
                <w:szCs w:val="21"/>
              </w:rPr>
              <w:t>r</w:t>
            </w:r>
            <w:r>
              <w:rPr>
                <w:rFonts w:hint="eastAsia"/>
                <w:color w:val="auto"/>
                <w:szCs w:val="21"/>
                <w:vertAlign w:val="subscript"/>
              </w:rPr>
              <w:t>0</w:t>
            </w:r>
            <w:r>
              <w:rPr>
                <w:rFonts w:hint="eastAsia"/>
                <w:color w:val="auto"/>
                <w:szCs w:val="21"/>
              </w:rPr>
              <w:t>）</w:t>
            </w:r>
          </w:p>
          <w:p w14:paraId="5F22BE73">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rFonts w:hint="eastAsia"/>
                <w:color w:val="auto"/>
                <w:szCs w:val="21"/>
              </w:rPr>
            </w:pPr>
            <w:r>
              <w:rPr>
                <w:rFonts w:hint="eastAsia"/>
                <w:color w:val="auto"/>
                <w:szCs w:val="21"/>
              </w:rPr>
              <w:t>不管传播距离多远，地面效应引起附加衰减量的上限为10dB（A）。根据厂区布置和噪声源强及外环境状况，本环评忽略不计。</w:t>
            </w:r>
          </w:p>
          <w:p w14:paraId="66D85380">
            <w:pPr>
              <w:keepNext w:val="0"/>
              <w:keepLines w:val="0"/>
              <w:pageBreakBefore w:val="0"/>
              <w:widowControl w:val="0"/>
              <w:kinsoku/>
              <w:wordWrap/>
              <w:overflowPunct/>
              <w:topLinePunct w:val="0"/>
              <w:autoSpaceDE/>
              <w:autoSpaceDN/>
              <w:bidi w:val="0"/>
              <w:adjustRightInd/>
              <w:snapToGrid/>
              <w:spacing w:line="430" w:lineRule="exact"/>
              <w:ind w:firstLine="420"/>
              <w:textAlignment w:val="auto"/>
              <w:rPr>
                <w:color w:val="auto"/>
                <w:szCs w:val="21"/>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rPr>
              <w:t>预测结果和分析</w:t>
            </w:r>
          </w:p>
          <w:p w14:paraId="025A185D">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color w:val="auto"/>
                <w:lang w:val="en-US" w:eastAsia="zh-CN"/>
              </w:rPr>
            </w:pPr>
            <w:r>
              <w:rPr>
                <w:color w:val="auto"/>
                <w:szCs w:val="21"/>
              </w:rPr>
              <w:t>根据</w:t>
            </w:r>
            <w:r>
              <w:rPr>
                <w:rFonts w:hint="eastAsia"/>
                <w:color w:val="auto"/>
                <w:szCs w:val="21"/>
                <w:lang w:val="en-US" w:eastAsia="zh-CN"/>
              </w:rPr>
              <w:t>本项目主要噪声设备的位置</w:t>
            </w:r>
            <w:r>
              <w:rPr>
                <w:color w:val="auto"/>
                <w:szCs w:val="21"/>
              </w:rPr>
              <w:t>，利用以上预测模式和参数计算确定了各新增噪声源对厂界1m</w:t>
            </w:r>
            <w:r>
              <w:rPr>
                <w:rFonts w:hint="eastAsia"/>
                <w:color w:val="auto"/>
                <w:szCs w:val="21"/>
              </w:rPr>
              <w:t>处噪声贡献情况</w:t>
            </w:r>
            <w:r>
              <w:rPr>
                <w:color w:val="auto"/>
                <w:szCs w:val="21"/>
              </w:rPr>
              <w:t>，</w:t>
            </w:r>
            <w:r>
              <w:rPr>
                <w:rFonts w:hint="eastAsia" w:ascii="宋体" w:hAnsi="宋体"/>
                <w:color w:val="auto"/>
                <w:szCs w:val="21"/>
              </w:rPr>
              <w:t>再与现状值叠加得预测结果。预测结果见下表：</w:t>
            </w:r>
          </w:p>
          <w:p w14:paraId="49DCF374">
            <w:pPr>
              <w:pStyle w:val="87"/>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rPr>
              <w:t>表4-</w:t>
            </w:r>
            <w:r>
              <w:rPr>
                <w:rFonts w:hint="eastAsia" w:ascii="Times New Roman" w:hAnsi="Times New Roman" w:eastAsia="宋体" w:cs="宋体"/>
                <w:color w:val="auto"/>
                <w:lang w:val="en-US" w:eastAsia="zh-CN"/>
              </w:rPr>
              <w:t>2</w:t>
            </w:r>
            <w:r>
              <w:rPr>
                <w:rFonts w:hint="eastAsia" w:cs="宋体"/>
                <w:color w:val="auto"/>
                <w:lang w:val="en-US" w:eastAsia="zh-CN"/>
              </w:rPr>
              <w:t>4</w:t>
            </w:r>
            <w:r>
              <w:rPr>
                <w:rFonts w:hint="eastAsia" w:ascii="Times New Roman" w:hAnsi="Times New Roman" w:eastAsia="宋体" w:cs="宋体"/>
                <w:color w:val="auto"/>
              </w:rPr>
              <w:t xml:space="preserve">  </w:t>
            </w:r>
            <w:r>
              <w:rPr>
                <w:rFonts w:hint="eastAsia" w:cs="宋体"/>
                <w:color w:val="auto"/>
                <w:lang w:val="en-US" w:eastAsia="zh-CN"/>
              </w:rPr>
              <w:t>本</w:t>
            </w:r>
            <w:r>
              <w:rPr>
                <w:rFonts w:hint="eastAsia" w:ascii="Times New Roman" w:hAnsi="Times New Roman" w:eastAsia="宋体" w:cs="宋体"/>
                <w:color w:val="auto"/>
              </w:rPr>
              <w:t>项目噪声预测结果表</w:t>
            </w:r>
            <w:r>
              <w:rPr>
                <w:rFonts w:hint="eastAsia" w:cs="宋体"/>
                <w:color w:val="auto"/>
                <w:lang w:eastAsia="zh-CN"/>
              </w:rPr>
              <w:t>（</w:t>
            </w:r>
            <w:r>
              <w:rPr>
                <w:rFonts w:hint="eastAsia" w:cs="宋体"/>
                <w:color w:val="auto"/>
                <w:lang w:val="en-US" w:eastAsia="zh-CN"/>
              </w:rPr>
              <w:t>单位：</w:t>
            </w:r>
            <w:r>
              <w:rPr>
                <w:b/>
                <w:bCs/>
                <w:color w:val="auto"/>
                <w:sz w:val="18"/>
                <w:szCs w:val="18"/>
              </w:rPr>
              <w:t>dB(A)</w:t>
            </w:r>
            <w:r>
              <w:rPr>
                <w:rFonts w:hint="eastAsia" w:cs="宋体"/>
                <w:color w:val="auto"/>
                <w:lang w:eastAsia="zh-CN"/>
              </w:rPr>
              <w:t>）</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4"/>
              <w:gridCol w:w="1281"/>
              <w:gridCol w:w="768"/>
              <w:gridCol w:w="898"/>
              <w:gridCol w:w="768"/>
              <w:gridCol w:w="1283"/>
              <w:gridCol w:w="768"/>
              <w:gridCol w:w="768"/>
              <w:gridCol w:w="633"/>
            </w:tblGrid>
            <w:tr w14:paraId="1DFC6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Merge w:val="restart"/>
                  <w:vAlign w:val="center"/>
                </w:tcPr>
                <w:p w14:paraId="36761C59">
                  <w:pPr>
                    <w:jc w:val="center"/>
                    <w:rPr>
                      <w:rFonts w:ascii="Times New Roman" w:hAnsi="Times New Roman"/>
                      <w:color w:val="auto"/>
                      <w:sz w:val="18"/>
                      <w:szCs w:val="18"/>
                    </w:rPr>
                  </w:pPr>
                  <w:r>
                    <w:rPr>
                      <w:rFonts w:ascii="Times New Roman" w:hAnsi="Times New Roman"/>
                      <w:color w:val="auto"/>
                      <w:sz w:val="18"/>
                      <w:szCs w:val="18"/>
                    </w:rPr>
                    <w:t>预测点</w:t>
                  </w:r>
                </w:p>
              </w:tc>
              <w:tc>
                <w:tcPr>
                  <w:tcW w:w="2267" w:type="pct"/>
                  <w:gridSpan w:val="4"/>
                  <w:vAlign w:val="center"/>
                </w:tcPr>
                <w:p w14:paraId="4815474F">
                  <w:pPr>
                    <w:jc w:val="center"/>
                    <w:rPr>
                      <w:rFonts w:ascii="Times New Roman" w:hAnsi="Times New Roman"/>
                      <w:color w:val="auto"/>
                      <w:sz w:val="18"/>
                      <w:szCs w:val="18"/>
                    </w:rPr>
                  </w:pPr>
                  <w:r>
                    <w:rPr>
                      <w:rFonts w:ascii="Times New Roman" w:hAnsi="Times New Roman"/>
                      <w:color w:val="auto"/>
                      <w:sz w:val="18"/>
                      <w:szCs w:val="18"/>
                    </w:rPr>
                    <w:t>昼间</w:t>
                  </w:r>
                </w:p>
              </w:tc>
              <w:tc>
                <w:tcPr>
                  <w:tcW w:w="2107" w:type="pct"/>
                  <w:gridSpan w:val="4"/>
                  <w:vAlign w:val="center"/>
                </w:tcPr>
                <w:p w14:paraId="37ECED65">
                  <w:pPr>
                    <w:jc w:val="center"/>
                    <w:rPr>
                      <w:rFonts w:ascii="Times New Roman" w:hAnsi="Times New Roman"/>
                      <w:color w:val="auto"/>
                      <w:sz w:val="18"/>
                      <w:szCs w:val="18"/>
                    </w:rPr>
                  </w:pPr>
                  <w:r>
                    <w:rPr>
                      <w:rFonts w:ascii="Times New Roman" w:hAnsi="Times New Roman"/>
                      <w:color w:val="auto"/>
                      <w:sz w:val="18"/>
                      <w:szCs w:val="18"/>
                    </w:rPr>
                    <w:t>夜间</w:t>
                  </w:r>
                </w:p>
              </w:tc>
            </w:tr>
            <w:tr w14:paraId="7BB2A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Merge w:val="continue"/>
                  <w:vAlign w:val="center"/>
                </w:tcPr>
                <w:p w14:paraId="4AFC62FC">
                  <w:pPr>
                    <w:widowControl/>
                    <w:jc w:val="center"/>
                    <w:rPr>
                      <w:rFonts w:ascii="Times New Roman" w:hAnsi="Times New Roman"/>
                      <w:color w:val="auto"/>
                      <w:sz w:val="18"/>
                      <w:szCs w:val="18"/>
                    </w:rPr>
                  </w:pPr>
                </w:p>
              </w:tc>
              <w:tc>
                <w:tcPr>
                  <w:tcW w:w="781" w:type="pct"/>
                  <w:vAlign w:val="center"/>
                </w:tcPr>
                <w:p w14:paraId="20B07E68">
                  <w:pPr>
                    <w:jc w:val="center"/>
                    <w:rPr>
                      <w:rFonts w:ascii="Times New Roman" w:hAnsi="Times New Roman"/>
                      <w:color w:val="auto"/>
                      <w:sz w:val="18"/>
                      <w:szCs w:val="18"/>
                    </w:rPr>
                  </w:pPr>
                  <w:r>
                    <w:rPr>
                      <w:rFonts w:hint="eastAsia" w:ascii="Times New Roman" w:hAnsi="Times New Roman"/>
                      <w:color w:val="auto"/>
                      <w:sz w:val="18"/>
                      <w:szCs w:val="18"/>
                    </w:rPr>
                    <w:t>本项目</w:t>
                  </w:r>
                  <w:r>
                    <w:rPr>
                      <w:rFonts w:ascii="Times New Roman" w:hAnsi="Times New Roman"/>
                      <w:color w:val="auto"/>
                      <w:sz w:val="18"/>
                      <w:szCs w:val="18"/>
                    </w:rPr>
                    <w:t>贡献值</w:t>
                  </w:r>
                </w:p>
              </w:tc>
              <w:tc>
                <w:tcPr>
                  <w:tcW w:w="468" w:type="pct"/>
                  <w:vAlign w:val="center"/>
                </w:tcPr>
                <w:p w14:paraId="57952156">
                  <w:pPr>
                    <w:jc w:val="center"/>
                    <w:rPr>
                      <w:rFonts w:ascii="Times New Roman" w:hAnsi="Times New Roman"/>
                      <w:color w:val="auto"/>
                      <w:sz w:val="18"/>
                      <w:szCs w:val="18"/>
                    </w:rPr>
                  </w:pPr>
                  <w:r>
                    <w:rPr>
                      <w:rFonts w:ascii="Times New Roman" w:hAnsi="Times New Roman"/>
                      <w:color w:val="auto"/>
                      <w:sz w:val="18"/>
                      <w:szCs w:val="18"/>
                    </w:rPr>
                    <w:t>背景值</w:t>
                  </w:r>
                </w:p>
              </w:tc>
              <w:tc>
                <w:tcPr>
                  <w:tcW w:w="548" w:type="pct"/>
                  <w:vAlign w:val="center"/>
                </w:tcPr>
                <w:p w14:paraId="351E9EA1">
                  <w:pPr>
                    <w:jc w:val="center"/>
                    <w:rPr>
                      <w:rFonts w:ascii="Times New Roman" w:hAnsi="Times New Roman"/>
                      <w:color w:val="auto"/>
                      <w:sz w:val="18"/>
                      <w:szCs w:val="18"/>
                    </w:rPr>
                  </w:pPr>
                  <w:r>
                    <w:rPr>
                      <w:rFonts w:ascii="Times New Roman" w:hAnsi="Times New Roman"/>
                      <w:color w:val="auto"/>
                      <w:sz w:val="18"/>
                      <w:szCs w:val="18"/>
                    </w:rPr>
                    <w:t>叠加值</w:t>
                  </w:r>
                </w:p>
              </w:tc>
              <w:tc>
                <w:tcPr>
                  <w:tcW w:w="468" w:type="pct"/>
                  <w:vAlign w:val="center"/>
                </w:tcPr>
                <w:p w14:paraId="64093125">
                  <w:pPr>
                    <w:jc w:val="center"/>
                    <w:rPr>
                      <w:rFonts w:ascii="Times New Roman" w:hAnsi="Times New Roman"/>
                      <w:color w:val="auto"/>
                      <w:sz w:val="18"/>
                      <w:szCs w:val="18"/>
                    </w:rPr>
                  </w:pPr>
                  <w:r>
                    <w:rPr>
                      <w:rFonts w:ascii="Times New Roman" w:hAnsi="Times New Roman"/>
                      <w:color w:val="auto"/>
                      <w:sz w:val="18"/>
                      <w:szCs w:val="18"/>
                    </w:rPr>
                    <w:t>标准值</w:t>
                  </w:r>
                </w:p>
              </w:tc>
              <w:tc>
                <w:tcPr>
                  <w:tcW w:w="783" w:type="pct"/>
                  <w:vAlign w:val="center"/>
                </w:tcPr>
                <w:p w14:paraId="491AAA71">
                  <w:pPr>
                    <w:jc w:val="center"/>
                    <w:rPr>
                      <w:rFonts w:ascii="Times New Roman" w:hAnsi="Times New Roman"/>
                      <w:color w:val="auto"/>
                      <w:sz w:val="18"/>
                      <w:szCs w:val="18"/>
                    </w:rPr>
                  </w:pPr>
                  <w:r>
                    <w:rPr>
                      <w:rFonts w:hint="eastAsia" w:ascii="Times New Roman" w:hAnsi="Times New Roman"/>
                      <w:color w:val="auto"/>
                      <w:sz w:val="18"/>
                      <w:szCs w:val="18"/>
                    </w:rPr>
                    <w:t>本项目</w:t>
                  </w:r>
                  <w:r>
                    <w:rPr>
                      <w:rFonts w:ascii="Times New Roman" w:hAnsi="Times New Roman"/>
                      <w:color w:val="auto"/>
                      <w:sz w:val="18"/>
                      <w:szCs w:val="18"/>
                    </w:rPr>
                    <w:t>贡献值</w:t>
                  </w:r>
                </w:p>
              </w:tc>
              <w:tc>
                <w:tcPr>
                  <w:tcW w:w="468" w:type="pct"/>
                  <w:vAlign w:val="center"/>
                </w:tcPr>
                <w:p w14:paraId="1FEDD7CC">
                  <w:pPr>
                    <w:jc w:val="center"/>
                    <w:rPr>
                      <w:rFonts w:ascii="Times New Roman" w:hAnsi="Times New Roman"/>
                      <w:color w:val="auto"/>
                      <w:sz w:val="18"/>
                      <w:szCs w:val="18"/>
                    </w:rPr>
                  </w:pPr>
                  <w:r>
                    <w:rPr>
                      <w:rFonts w:ascii="Times New Roman" w:hAnsi="Times New Roman"/>
                      <w:color w:val="auto"/>
                      <w:sz w:val="18"/>
                      <w:szCs w:val="18"/>
                    </w:rPr>
                    <w:t>背景值</w:t>
                  </w:r>
                </w:p>
              </w:tc>
              <w:tc>
                <w:tcPr>
                  <w:tcW w:w="468" w:type="pct"/>
                  <w:vAlign w:val="center"/>
                </w:tcPr>
                <w:p w14:paraId="6459B208">
                  <w:pPr>
                    <w:jc w:val="center"/>
                    <w:rPr>
                      <w:rFonts w:ascii="Times New Roman" w:hAnsi="Times New Roman"/>
                      <w:color w:val="auto"/>
                      <w:sz w:val="18"/>
                      <w:szCs w:val="18"/>
                    </w:rPr>
                  </w:pPr>
                  <w:r>
                    <w:rPr>
                      <w:rFonts w:ascii="Times New Roman" w:hAnsi="Times New Roman"/>
                      <w:color w:val="auto"/>
                      <w:sz w:val="18"/>
                      <w:szCs w:val="18"/>
                    </w:rPr>
                    <w:t>叠加值</w:t>
                  </w:r>
                </w:p>
              </w:tc>
              <w:tc>
                <w:tcPr>
                  <w:tcW w:w="386" w:type="pct"/>
                  <w:vAlign w:val="center"/>
                </w:tcPr>
                <w:p w14:paraId="6069348B">
                  <w:pPr>
                    <w:jc w:val="center"/>
                    <w:rPr>
                      <w:rFonts w:ascii="Times New Roman" w:hAnsi="Times New Roman"/>
                      <w:color w:val="auto"/>
                      <w:sz w:val="18"/>
                      <w:szCs w:val="18"/>
                    </w:rPr>
                  </w:pPr>
                  <w:r>
                    <w:rPr>
                      <w:rFonts w:ascii="Times New Roman" w:hAnsi="Times New Roman"/>
                      <w:color w:val="auto"/>
                      <w:sz w:val="18"/>
                      <w:szCs w:val="18"/>
                    </w:rPr>
                    <w:t>标准值</w:t>
                  </w:r>
                </w:p>
              </w:tc>
            </w:tr>
            <w:tr w14:paraId="6473E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Align w:val="center"/>
                </w:tcPr>
                <w:p w14:paraId="6D5A55D7">
                  <w:pPr>
                    <w:jc w:val="center"/>
                    <w:rPr>
                      <w:rFonts w:ascii="Times New Roman" w:hAnsi="Times New Roman"/>
                      <w:color w:val="auto"/>
                      <w:sz w:val="18"/>
                      <w:szCs w:val="18"/>
                    </w:rPr>
                  </w:pPr>
                  <w:r>
                    <w:rPr>
                      <w:rFonts w:ascii="Times New Roman" w:hAnsi="Times New Roman"/>
                      <w:color w:val="auto"/>
                      <w:sz w:val="18"/>
                      <w:szCs w:val="18"/>
                    </w:rPr>
                    <w:t>1#东厂界</w:t>
                  </w:r>
                </w:p>
              </w:tc>
              <w:tc>
                <w:tcPr>
                  <w:tcW w:w="781" w:type="pct"/>
                  <w:vAlign w:val="center"/>
                </w:tcPr>
                <w:p w14:paraId="7449BFC4">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40.6</w:t>
                  </w:r>
                </w:p>
              </w:tc>
              <w:tc>
                <w:tcPr>
                  <w:tcW w:w="468" w:type="pct"/>
                  <w:shd w:val="clear" w:color="auto" w:fill="auto"/>
                  <w:vAlign w:val="center"/>
                </w:tcPr>
                <w:p w14:paraId="02CD1EB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56.6</w:t>
                  </w:r>
                </w:p>
              </w:tc>
              <w:tc>
                <w:tcPr>
                  <w:tcW w:w="548" w:type="pct"/>
                  <w:vAlign w:val="center"/>
                </w:tcPr>
                <w:p w14:paraId="29A82BE3">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56.7</w:t>
                  </w:r>
                </w:p>
              </w:tc>
              <w:tc>
                <w:tcPr>
                  <w:tcW w:w="468" w:type="pct"/>
                  <w:vAlign w:val="center"/>
                </w:tcPr>
                <w:p w14:paraId="68F18F92">
                  <w:pPr>
                    <w:jc w:val="center"/>
                    <w:rPr>
                      <w:rFonts w:ascii="Times New Roman" w:hAnsi="Times New Roman"/>
                      <w:color w:val="auto"/>
                      <w:sz w:val="18"/>
                      <w:szCs w:val="18"/>
                    </w:rPr>
                  </w:pPr>
                  <w:r>
                    <w:rPr>
                      <w:rFonts w:ascii="Times New Roman" w:hAnsi="Times New Roman"/>
                      <w:color w:val="auto"/>
                      <w:sz w:val="18"/>
                      <w:szCs w:val="18"/>
                    </w:rPr>
                    <w:t>60</w:t>
                  </w:r>
                </w:p>
              </w:tc>
              <w:tc>
                <w:tcPr>
                  <w:tcW w:w="783" w:type="pct"/>
                  <w:shd w:val="clear" w:color="auto" w:fill="auto"/>
                  <w:vAlign w:val="center"/>
                </w:tcPr>
                <w:p w14:paraId="273E308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40.6</w:t>
                  </w:r>
                </w:p>
              </w:tc>
              <w:tc>
                <w:tcPr>
                  <w:tcW w:w="468" w:type="pct"/>
                  <w:shd w:val="clear" w:color="auto" w:fill="auto"/>
                  <w:vAlign w:val="center"/>
                </w:tcPr>
                <w:p w14:paraId="43DA0DB7">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45.7</w:t>
                  </w:r>
                </w:p>
              </w:tc>
              <w:tc>
                <w:tcPr>
                  <w:tcW w:w="468" w:type="pct"/>
                  <w:vAlign w:val="center"/>
                </w:tcPr>
                <w:p w14:paraId="2837181B">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46.9</w:t>
                  </w:r>
                </w:p>
              </w:tc>
              <w:tc>
                <w:tcPr>
                  <w:tcW w:w="386" w:type="pct"/>
                  <w:vAlign w:val="center"/>
                </w:tcPr>
                <w:p w14:paraId="139440C1">
                  <w:pPr>
                    <w:jc w:val="center"/>
                    <w:rPr>
                      <w:rFonts w:ascii="Times New Roman" w:hAnsi="Times New Roman"/>
                      <w:color w:val="auto"/>
                      <w:sz w:val="18"/>
                      <w:szCs w:val="18"/>
                    </w:rPr>
                  </w:pPr>
                  <w:r>
                    <w:rPr>
                      <w:rFonts w:ascii="Times New Roman" w:hAnsi="Times New Roman"/>
                      <w:color w:val="auto"/>
                      <w:sz w:val="18"/>
                      <w:szCs w:val="18"/>
                    </w:rPr>
                    <w:t>50</w:t>
                  </w:r>
                </w:p>
              </w:tc>
            </w:tr>
            <w:tr w14:paraId="4ACD3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Align w:val="center"/>
                </w:tcPr>
                <w:p w14:paraId="091A6373">
                  <w:pPr>
                    <w:jc w:val="center"/>
                    <w:rPr>
                      <w:rFonts w:ascii="Times New Roman" w:hAnsi="Times New Roman"/>
                      <w:color w:val="auto"/>
                      <w:sz w:val="18"/>
                      <w:szCs w:val="18"/>
                    </w:rPr>
                  </w:pPr>
                  <w:r>
                    <w:rPr>
                      <w:rFonts w:ascii="Times New Roman" w:hAnsi="Times New Roman"/>
                      <w:color w:val="auto"/>
                      <w:sz w:val="18"/>
                      <w:szCs w:val="18"/>
                    </w:rPr>
                    <w:t>2#南厂界</w:t>
                  </w:r>
                </w:p>
              </w:tc>
              <w:tc>
                <w:tcPr>
                  <w:tcW w:w="781" w:type="pct"/>
                  <w:vAlign w:val="center"/>
                </w:tcPr>
                <w:p w14:paraId="2D6A4706">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47.8</w:t>
                  </w:r>
                </w:p>
              </w:tc>
              <w:tc>
                <w:tcPr>
                  <w:tcW w:w="468" w:type="pct"/>
                  <w:shd w:val="clear" w:color="auto" w:fill="auto"/>
                  <w:vAlign w:val="center"/>
                </w:tcPr>
                <w:p w14:paraId="1F1A155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55.9</w:t>
                  </w:r>
                </w:p>
              </w:tc>
              <w:tc>
                <w:tcPr>
                  <w:tcW w:w="548" w:type="pct"/>
                  <w:vAlign w:val="center"/>
                </w:tcPr>
                <w:p w14:paraId="120EECF8">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56.5</w:t>
                  </w:r>
                </w:p>
              </w:tc>
              <w:tc>
                <w:tcPr>
                  <w:tcW w:w="468" w:type="pct"/>
                  <w:vAlign w:val="center"/>
                </w:tcPr>
                <w:p w14:paraId="34E649DD">
                  <w:pPr>
                    <w:jc w:val="center"/>
                    <w:rPr>
                      <w:rFonts w:ascii="Times New Roman" w:hAnsi="Times New Roman"/>
                      <w:color w:val="auto"/>
                      <w:sz w:val="18"/>
                      <w:szCs w:val="18"/>
                    </w:rPr>
                  </w:pPr>
                  <w:r>
                    <w:rPr>
                      <w:rFonts w:ascii="Times New Roman" w:hAnsi="Times New Roman"/>
                      <w:color w:val="auto"/>
                      <w:sz w:val="18"/>
                      <w:szCs w:val="18"/>
                    </w:rPr>
                    <w:t>60</w:t>
                  </w:r>
                </w:p>
              </w:tc>
              <w:tc>
                <w:tcPr>
                  <w:tcW w:w="783" w:type="pct"/>
                  <w:shd w:val="clear" w:color="auto" w:fill="auto"/>
                  <w:vAlign w:val="center"/>
                </w:tcPr>
                <w:p w14:paraId="1169CF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47.8</w:t>
                  </w:r>
                </w:p>
              </w:tc>
              <w:tc>
                <w:tcPr>
                  <w:tcW w:w="468" w:type="pct"/>
                  <w:shd w:val="clear" w:color="auto" w:fill="auto"/>
                  <w:vAlign w:val="center"/>
                </w:tcPr>
                <w:p w14:paraId="253C8F96">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48.2</w:t>
                  </w:r>
                </w:p>
              </w:tc>
              <w:tc>
                <w:tcPr>
                  <w:tcW w:w="468" w:type="pct"/>
                  <w:vAlign w:val="center"/>
                </w:tcPr>
                <w:p w14:paraId="18A891C4">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51.0</w:t>
                  </w:r>
                </w:p>
              </w:tc>
              <w:tc>
                <w:tcPr>
                  <w:tcW w:w="386" w:type="pct"/>
                  <w:vAlign w:val="center"/>
                </w:tcPr>
                <w:p w14:paraId="6696E1C5">
                  <w:pPr>
                    <w:jc w:val="center"/>
                    <w:rPr>
                      <w:rFonts w:ascii="Times New Roman" w:hAnsi="Times New Roman"/>
                      <w:color w:val="auto"/>
                      <w:sz w:val="18"/>
                      <w:szCs w:val="18"/>
                    </w:rPr>
                  </w:pPr>
                  <w:r>
                    <w:rPr>
                      <w:rFonts w:ascii="Times New Roman" w:hAnsi="Times New Roman"/>
                      <w:color w:val="auto"/>
                      <w:sz w:val="18"/>
                      <w:szCs w:val="18"/>
                    </w:rPr>
                    <w:t>50</w:t>
                  </w:r>
                </w:p>
              </w:tc>
            </w:tr>
            <w:tr w14:paraId="2794A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Align w:val="center"/>
                </w:tcPr>
                <w:p w14:paraId="68BF0150">
                  <w:pPr>
                    <w:jc w:val="center"/>
                    <w:rPr>
                      <w:rFonts w:ascii="Times New Roman" w:hAnsi="Times New Roman"/>
                      <w:color w:val="auto"/>
                      <w:sz w:val="18"/>
                      <w:szCs w:val="18"/>
                    </w:rPr>
                  </w:pPr>
                  <w:r>
                    <w:rPr>
                      <w:rFonts w:hint="eastAsia" w:ascii="Times New Roman" w:hAnsi="Times New Roman"/>
                      <w:color w:val="auto"/>
                      <w:sz w:val="18"/>
                      <w:szCs w:val="18"/>
                    </w:rPr>
                    <w:t>3</w:t>
                  </w:r>
                  <w:r>
                    <w:rPr>
                      <w:rFonts w:ascii="Times New Roman" w:hAnsi="Times New Roman"/>
                      <w:color w:val="auto"/>
                      <w:sz w:val="18"/>
                      <w:szCs w:val="18"/>
                    </w:rPr>
                    <w:t>#西厂界</w:t>
                  </w:r>
                </w:p>
              </w:tc>
              <w:tc>
                <w:tcPr>
                  <w:tcW w:w="781" w:type="pct"/>
                  <w:vAlign w:val="center"/>
                </w:tcPr>
                <w:p w14:paraId="6D308398">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48.2</w:t>
                  </w:r>
                </w:p>
              </w:tc>
              <w:tc>
                <w:tcPr>
                  <w:tcW w:w="468" w:type="pct"/>
                  <w:shd w:val="clear" w:color="auto" w:fill="auto"/>
                  <w:vAlign w:val="center"/>
                </w:tcPr>
                <w:p w14:paraId="042B946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58.5</w:t>
                  </w:r>
                </w:p>
              </w:tc>
              <w:tc>
                <w:tcPr>
                  <w:tcW w:w="548" w:type="pct"/>
                  <w:vAlign w:val="center"/>
                </w:tcPr>
                <w:p w14:paraId="48E01AFE">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58.9</w:t>
                  </w:r>
                </w:p>
              </w:tc>
              <w:tc>
                <w:tcPr>
                  <w:tcW w:w="468" w:type="pct"/>
                  <w:vAlign w:val="center"/>
                </w:tcPr>
                <w:p w14:paraId="0F58705F">
                  <w:pPr>
                    <w:jc w:val="center"/>
                    <w:rPr>
                      <w:rFonts w:ascii="Times New Roman" w:hAnsi="Times New Roman"/>
                      <w:color w:val="auto"/>
                      <w:sz w:val="18"/>
                      <w:szCs w:val="18"/>
                    </w:rPr>
                  </w:pPr>
                  <w:r>
                    <w:rPr>
                      <w:rFonts w:ascii="Times New Roman" w:hAnsi="Times New Roman"/>
                      <w:color w:val="auto"/>
                      <w:sz w:val="18"/>
                      <w:szCs w:val="18"/>
                    </w:rPr>
                    <w:t>60</w:t>
                  </w:r>
                </w:p>
              </w:tc>
              <w:tc>
                <w:tcPr>
                  <w:tcW w:w="783" w:type="pct"/>
                  <w:shd w:val="clear" w:color="auto" w:fill="auto"/>
                  <w:vAlign w:val="center"/>
                </w:tcPr>
                <w:p w14:paraId="0899828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48.2</w:t>
                  </w:r>
                </w:p>
              </w:tc>
              <w:tc>
                <w:tcPr>
                  <w:tcW w:w="468" w:type="pct"/>
                  <w:shd w:val="clear" w:color="auto" w:fill="auto"/>
                  <w:vAlign w:val="center"/>
                </w:tcPr>
                <w:p w14:paraId="4B8EC329">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47.0</w:t>
                  </w:r>
                </w:p>
              </w:tc>
              <w:tc>
                <w:tcPr>
                  <w:tcW w:w="468" w:type="pct"/>
                  <w:vAlign w:val="center"/>
                </w:tcPr>
                <w:p w14:paraId="446C6C15">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50.7</w:t>
                  </w:r>
                </w:p>
              </w:tc>
              <w:tc>
                <w:tcPr>
                  <w:tcW w:w="386" w:type="pct"/>
                  <w:vAlign w:val="center"/>
                </w:tcPr>
                <w:p w14:paraId="4D63E5DD">
                  <w:pPr>
                    <w:jc w:val="center"/>
                    <w:rPr>
                      <w:rFonts w:ascii="Times New Roman" w:hAnsi="Times New Roman"/>
                      <w:color w:val="auto"/>
                      <w:sz w:val="18"/>
                      <w:szCs w:val="18"/>
                    </w:rPr>
                  </w:pPr>
                  <w:r>
                    <w:rPr>
                      <w:rFonts w:ascii="Times New Roman" w:hAnsi="Times New Roman"/>
                      <w:color w:val="auto"/>
                      <w:sz w:val="18"/>
                      <w:szCs w:val="18"/>
                    </w:rPr>
                    <w:t>50</w:t>
                  </w:r>
                </w:p>
              </w:tc>
            </w:tr>
            <w:tr w14:paraId="3AF87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5" w:type="pct"/>
                  <w:vAlign w:val="center"/>
                </w:tcPr>
                <w:p w14:paraId="15507951">
                  <w:pPr>
                    <w:jc w:val="center"/>
                    <w:rPr>
                      <w:rFonts w:ascii="Times New Roman" w:hAnsi="Times New Roman"/>
                      <w:color w:val="auto"/>
                      <w:sz w:val="18"/>
                      <w:szCs w:val="18"/>
                    </w:rPr>
                  </w:pPr>
                  <w:r>
                    <w:rPr>
                      <w:rFonts w:hint="eastAsia" w:ascii="Times New Roman" w:hAnsi="Times New Roman"/>
                      <w:color w:val="auto"/>
                      <w:sz w:val="18"/>
                      <w:szCs w:val="18"/>
                    </w:rPr>
                    <w:t>4</w:t>
                  </w:r>
                  <w:r>
                    <w:rPr>
                      <w:rFonts w:ascii="Times New Roman" w:hAnsi="Times New Roman"/>
                      <w:color w:val="auto"/>
                      <w:sz w:val="18"/>
                      <w:szCs w:val="18"/>
                    </w:rPr>
                    <w:t>#北厂界</w:t>
                  </w:r>
                </w:p>
              </w:tc>
              <w:tc>
                <w:tcPr>
                  <w:tcW w:w="781" w:type="pct"/>
                  <w:vAlign w:val="center"/>
                </w:tcPr>
                <w:p w14:paraId="7EB0EF7C">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37.5</w:t>
                  </w:r>
                </w:p>
              </w:tc>
              <w:tc>
                <w:tcPr>
                  <w:tcW w:w="468" w:type="pct"/>
                  <w:shd w:val="clear" w:color="auto" w:fill="auto"/>
                  <w:vAlign w:val="center"/>
                </w:tcPr>
                <w:p w14:paraId="65B1F43E">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56.2</w:t>
                  </w:r>
                </w:p>
              </w:tc>
              <w:tc>
                <w:tcPr>
                  <w:tcW w:w="548" w:type="pct"/>
                  <w:vAlign w:val="center"/>
                </w:tcPr>
                <w:p w14:paraId="0263A2CE">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56.3</w:t>
                  </w:r>
                </w:p>
              </w:tc>
              <w:tc>
                <w:tcPr>
                  <w:tcW w:w="468" w:type="pct"/>
                  <w:vAlign w:val="center"/>
                </w:tcPr>
                <w:p w14:paraId="7E26294B">
                  <w:pPr>
                    <w:jc w:val="center"/>
                    <w:rPr>
                      <w:rFonts w:ascii="Times New Roman" w:hAnsi="Times New Roman"/>
                      <w:color w:val="auto"/>
                      <w:sz w:val="18"/>
                      <w:szCs w:val="18"/>
                    </w:rPr>
                  </w:pPr>
                  <w:r>
                    <w:rPr>
                      <w:rFonts w:ascii="Times New Roman" w:hAnsi="Times New Roman"/>
                      <w:color w:val="auto"/>
                      <w:sz w:val="18"/>
                      <w:szCs w:val="18"/>
                    </w:rPr>
                    <w:t>60</w:t>
                  </w:r>
                </w:p>
              </w:tc>
              <w:tc>
                <w:tcPr>
                  <w:tcW w:w="783" w:type="pct"/>
                  <w:shd w:val="clear" w:color="auto" w:fill="auto"/>
                  <w:vAlign w:val="center"/>
                </w:tcPr>
                <w:p w14:paraId="727C928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37.5</w:t>
                  </w:r>
                </w:p>
              </w:tc>
              <w:tc>
                <w:tcPr>
                  <w:tcW w:w="468" w:type="pct"/>
                  <w:shd w:val="clear" w:color="auto" w:fill="auto"/>
                  <w:vAlign w:val="center"/>
                </w:tcPr>
                <w:p w14:paraId="4830F56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46.3</w:t>
                  </w:r>
                </w:p>
              </w:tc>
              <w:tc>
                <w:tcPr>
                  <w:tcW w:w="468" w:type="pct"/>
                  <w:vAlign w:val="center"/>
                </w:tcPr>
                <w:p w14:paraId="6DE41EEE">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46.8</w:t>
                  </w:r>
                </w:p>
              </w:tc>
              <w:tc>
                <w:tcPr>
                  <w:tcW w:w="386" w:type="pct"/>
                  <w:vAlign w:val="center"/>
                </w:tcPr>
                <w:p w14:paraId="26B6D883">
                  <w:pPr>
                    <w:jc w:val="center"/>
                    <w:rPr>
                      <w:rFonts w:ascii="Times New Roman" w:hAnsi="Times New Roman"/>
                      <w:color w:val="auto"/>
                      <w:sz w:val="18"/>
                      <w:szCs w:val="18"/>
                    </w:rPr>
                  </w:pPr>
                  <w:r>
                    <w:rPr>
                      <w:rFonts w:ascii="Times New Roman" w:hAnsi="Times New Roman"/>
                      <w:color w:val="auto"/>
                      <w:sz w:val="18"/>
                      <w:szCs w:val="18"/>
                    </w:rPr>
                    <w:t>50</w:t>
                  </w:r>
                </w:p>
              </w:tc>
            </w:tr>
            <w:tr w14:paraId="0676B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9"/>
                  <w:vAlign w:val="center"/>
                </w:tcPr>
                <w:p w14:paraId="30A034BA">
                  <w:pPr>
                    <w:jc w:val="left"/>
                    <w:rPr>
                      <w:rFonts w:ascii="Times New Roman" w:hAnsi="Times New Roman"/>
                      <w:color w:val="auto"/>
                      <w:sz w:val="18"/>
                      <w:szCs w:val="18"/>
                    </w:rPr>
                  </w:pPr>
                  <w:r>
                    <w:rPr>
                      <w:rFonts w:ascii="Times New Roman" w:hAnsi="Times New Roman"/>
                      <w:color w:val="auto"/>
                      <w:sz w:val="18"/>
                      <w:szCs w:val="18"/>
                    </w:rPr>
                    <w:t>注：</w:t>
                  </w:r>
                  <w:r>
                    <w:rPr>
                      <w:rFonts w:hint="eastAsia" w:ascii="Times New Roman" w:hAnsi="Times New Roman"/>
                      <w:color w:val="auto"/>
                      <w:sz w:val="18"/>
                      <w:szCs w:val="18"/>
                    </w:rPr>
                    <w:t>背景值</w:t>
                  </w:r>
                  <w:r>
                    <w:rPr>
                      <w:rFonts w:hint="eastAsia"/>
                      <w:color w:val="auto"/>
                      <w:sz w:val="18"/>
                      <w:szCs w:val="18"/>
                    </w:rPr>
                    <w:t>取自</w:t>
                  </w:r>
                  <w:r>
                    <w:rPr>
                      <w:rFonts w:hint="eastAsia"/>
                      <w:color w:val="auto"/>
                      <w:sz w:val="18"/>
                      <w:szCs w:val="18"/>
                      <w:lang w:val="en-US" w:eastAsia="zh-CN"/>
                    </w:rPr>
                    <w:t>现有项目例行</w:t>
                  </w:r>
                  <w:r>
                    <w:rPr>
                      <w:rFonts w:hint="eastAsia"/>
                      <w:color w:val="auto"/>
                      <w:sz w:val="18"/>
                      <w:szCs w:val="18"/>
                    </w:rPr>
                    <w:t>监测结果</w:t>
                  </w:r>
                  <w:r>
                    <w:rPr>
                      <w:rFonts w:hint="eastAsia" w:ascii="Times New Roman" w:hAnsi="Times New Roman"/>
                      <w:color w:val="auto"/>
                      <w:sz w:val="18"/>
                      <w:szCs w:val="18"/>
                    </w:rPr>
                    <w:t>。</w:t>
                  </w:r>
                </w:p>
              </w:tc>
            </w:tr>
          </w:tbl>
          <w:p w14:paraId="01619A26">
            <w:pPr>
              <w:spacing w:line="440" w:lineRule="exact"/>
              <w:ind w:firstLine="420" w:firstLineChars="200"/>
              <w:rPr>
                <w:rFonts w:hint="eastAsia" w:eastAsia="宋体"/>
                <w:color w:val="auto"/>
                <w:lang w:val="en-US" w:eastAsia="zh-CN"/>
              </w:rPr>
            </w:pPr>
            <w:r>
              <w:rPr>
                <w:rFonts w:hint="eastAsia"/>
                <w:color w:val="auto"/>
              </w:rPr>
              <w:t>经过预测，本项目运行后，在选用低噪声设备，并采取相应的隔声、减振等措施后，经过厂区距离衰减，</w:t>
            </w:r>
            <w:r>
              <w:rPr>
                <w:rFonts w:hint="eastAsia"/>
                <w:color w:val="auto"/>
                <w:lang w:val="en-US" w:eastAsia="zh-CN"/>
              </w:rPr>
              <w:t>厂界噪声能够</w:t>
            </w:r>
            <w:r>
              <w:rPr>
                <w:rFonts w:hint="eastAsia"/>
                <w:color w:val="auto"/>
              </w:rPr>
              <w:t>满足《工业企业厂界环境噪声排放标准》（GB12348-2008）</w:t>
            </w:r>
            <w:r>
              <w:rPr>
                <w:rFonts w:hint="eastAsia"/>
                <w:color w:val="auto"/>
                <w:lang w:val="en-US" w:eastAsia="zh-CN"/>
              </w:rPr>
              <w:t>2</w:t>
            </w:r>
            <w:r>
              <w:rPr>
                <w:rFonts w:hint="eastAsia"/>
                <w:color w:val="auto"/>
              </w:rPr>
              <w:t>类标准</w:t>
            </w:r>
            <w:r>
              <w:rPr>
                <w:rFonts w:hint="eastAsia"/>
                <w:color w:val="auto"/>
                <w:lang w:eastAsia="zh-CN"/>
              </w:rPr>
              <w:t>。因此，本项目在做好噪声治理措施后，设备噪声对周围环境不会造成太大影响。</w:t>
            </w:r>
          </w:p>
          <w:p w14:paraId="69E5A8B3">
            <w:pPr>
              <w:keepNext w:val="0"/>
              <w:keepLines w:val="0"/>
              <w:pageBreakBefore/>
              <w:widowControl/>
              <w:kinsoku/>
              <w:wordWrap/>
              <w:overflowPunct/>
              <w:topLinePunct w:val="0"/>
              <w:autoSpaceDE/>
              <w:autoSpaceDN/>
              <w:bidi w:val="0"/>
              <w:adjustRightInd/>
              <w:snapToGrid/>
              <w:spacing w:line="440" w:lineRule="exact"/>
              <w:ind w:firstLine="382" w:firstLineChars="200"/>
              <w:textAlignment w:val="auto"/>
              <w:rPr>
                <w:b/>
                <w:bCs/>
                <w:color w:val="auto"/>
                <w:spacing w:val="-10"/>
                <w:szCs w:val="21"/>
              </w:rPr>
            </w:pPr>
            <w:r>
              <w:rPr>
                <w:rFonts w:hint="eastAsia"/>
                <w:b/>
                <w:bCs/>
                <w:color w:val="auto"/>
                <w:spacing w:val="-10"/>
                <w:szCs w:val="21"/>
                <w:lang w:val="en-US" w:eastAsia="zh-CN"/>
              </w:rPr>
              <w:t>3</w:t>
            </w:r>
            <w:r>
              <w:rPr>
                <w:rFonts w:hint="eastAsia"/>
                <w:b/>
                <w:bCs/>
                <w:color w:val="auto"/>
                <w:spacing w:val="-10"/>
                <w:szCs w:val="21"/>
              </w:rPr>
              <w:t>、</w:t>
            </w:r>
            <w:r>
              <w:rPr>
                <w:b/>
                <w:bCs/>
                <w:color w:val="auto"/>
                <w:spacing w:val="-10"/>
                <w:szCs w:val="21"/>
              </w:rPr>
              <w:t>噪声污染源监测计划</w:t>
            </w:r>
          </w:p>
          <w:p w14:paraId="19E8E26D">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b/>
                <w:bCs/>
                <w:color w:val="auto"/>
              </w:rPr>
            </w:pPr>
          </w:p>
          <w:p w14:paraId="362F5D34">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b/>
                <w:bCs/>
                <w:color w:val="auto"/>
              </w:rPr>
            </w:pPr>
            <w:r>
              <w:rPr>
                <w:b/>
                <w:bCs/>
                <w:color w:val="auto"/>
              </w:rPr>
              <w:t>表4-</w:t>
            </w:r>
            <w:r>
              <w:rPr>
                <w:rFonts w:hint="eastAsia"/>
                <w:b/>
                <w:bCs/>
                <w:color w:val="auto"/>
                <w:lang w:val="en-US" w:eastAsia="zh-CN"/>
              </w:rPr>
              <w:t>25</w:t>
            </w:r>
            <w:r>
              <w:rPr>
                <w:b/>
                <w:bCs/>
                <w:color w:val="auto"/>
              </w:rPr>
              <w:t xml:space="preserve">  噪声监测计划一览表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84"/>
              <w:gridCol w:w="1133"/>
              <w:gridCol w:w="5247"/>
            </w:tblGrid>
            <w:tr w14:paraId="006E0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0" w:type="dxa"/>
                  <w:tcBorders>
                    <w:tl2br w:val="nil"/>
                    <w:tr2bl w:val="nil"/>
                  </w:tcBorders>
                  <w:noWrap w:val="0"/>
                  <w:vAlign w:val="center"/>
                </w:tcPr>
                <w:p w14:paraId="5A1C4CF8">
                  <w:pPr>
                    <w:pStyle w:val="85"/>
                    <w:spacing w:line="240" w:lineRule="auto"/>
                    <w:ind w:firstLine="0" w:firstLineChars="0"/>
                    <w:jc w:val="center"/>
                    <w:rPr>
                      <w:color w:val="auto"/>
                      <w:sz w:val="18"/>
                      <w:szCs w:val="18"/>
                    </w:rPr>
                  </w:pPr>
                  <w:r>
                    <w:rPr>
                      <w:color w:val="auto"/>
                      <w:sz w:val="18"/>
                      <w:szCs w:val="18"/>
                    </w:rPr>
                    <w:t>环境要素</w:t>
                  </w:r>
                </w:p>
              </w:tc>
              <w:tc>
                <w:tcPr>
                  <w:tcW w:w="1184" w:type="dxa"/>
                  <w:tcBorders>
                    <w:tl2br w:val="nil"/>
                    <w:tr2bl w:val="nil"/>
                  </w:tcBorders>
                  <w:noWrap w:val="0"/>
                  <w:vAlign w:val="center"/>
                </w:tcPr>
                <w:p w14:paraId="060C28CE">
                  <w:pPr>
                    <w:pStyle w:val="85"/>
                    <w:spacing w:line="240" w:lineRule="auto"/>
                    <w:ind w:firstLine="0" w:firstLineChars="0"/>
                    <w:jc w:val="center"/>
                    <w:rPr>
                      <w:color w:val="auto"/>
                      <w:sz w:val="18"/>
                      <w:szCs w:val="18"/>
                    </w:rPr>
                  </w:pPr>
                  <w:r>
                    <w:rPr>
                      <w:color w:val="auto"/>
                      <w:sz w:val="18"/>
                      <w:szCs w:val="18"/>
                    </w:rPr>
                    <w:t>监测位置</w:t>
                  </w:r>
                </w:p>
              </w:tc>
              <w:tc>
                <w:tcPr>
                  <w:tcW w:w="1133" w:type="dxa"/>
                  <w:tcBorders>
                    <w:tl2br w:val="nil"/>
                    <w:tr2bl w:val="nil"/>
                  </w:tcBorders>
                  <w:noWrap w:val="0"/>
                  <w:vAlign w:val="center"/>
                </w:tcPr>
                <w:p w14:paraId="28D17DCF">
                  <w:pPr>
                    <w:pStyle w:val="85"/>
                    <w:spacing w:line="240" w:lineRule="auto"/>
                    <w:ind w:firstLine="0" w:firstLineChars="0"/>
                    <w:jc w:val="center"/>
                    <w:rPr>
                      <w:color w:val="auto"/>
                      <w:sz w:val="18"/>
                      <w:szCs w:val="18"/>
                    </w:rPr>
                  </w:pPr>
                  <w:r>
                    <w:rPr>
                      <w:color w:val="auto"/>
                      <w:sz w:val="18"/>
                      <w:szCs w:val="18"/>
                    </w:rPr>
                    <w:t>监测项目</w:t>
                  </w:r>
                </w:p>
              </w:tc>
              <w:tc>
                <w:tcPr>
                  <w:tcW w:w="5247" w:type="dxa"/>
                  <w:tcBorders>
                    <w:tl2br w:val="nil"/>
                    <w:tr2bl w:val="nil"/>
                  </w:tcBorders>
                  <w:noWrap w:val="0"/>
                  <w:vAlign w:val="center"/>
                </w:tcPr>
                <w:p w14:paraId="4101B676">
                  <w:pPr>
                    <w:pStyle w:val="85"/>
                    <w:spacing w:line="240" w:lineRule="auto"/>
                    <w:ind w:firstLine="0" w:firstLineChars="0"/>
                    <w:jc w:val="center"/>
                    <w:rPr>
                      <w:color w:val="auto"/>
                      <w:sz w:val="18"/>
                      <w:szCs w:val="18"/>
                    </w:rPr>
                  </w:pPr>
                  <w:r>
                    <w:rPr>
                      <w:color w:val="auto"/>
                      <w:sz w:val="18"/>
                      <w:szCs w:val="18"/>
                    </w:rPr>
                    <w:t>监测频次</w:t>
                  </w:r>
                </w:p>
              </w:tc>
            </w:tr>
            <w:tr w14:paraId="1B253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0" w:type="dxa"/>
                  <w:tcBorders>
                    <w:tl2br w:val="nil"/>
                    <w:tr2bl w:val="nil"/>
                  </w:tcBorders>
                  <w:noWrap w:val="0"/>
                  <w:vAlign w:val="center"/>
                </w:tcPr>
                <w:p w14:paraId="755C58E9">
                  <w:pPr>
                    <w:pStyle w:val="85"/>
                    <w:spacing w:line="240" w:lineRule="auto"/>
                    <w:ind w:firstLine="0" w:firstLineChars="0"/>
                    <w:jc w:val="center"/>
                    <w:rPr>
                      <w:color w:val="auto"/>
                      <w:sz w:val="18"/>
                      <w:szCs w:val="18"/>
                    </w:rPr>
                  </w:pPr>
                  <w:r>
                    <w:rPr>
                      <w:color w:val="auto"/>
                      <w:sz w:val="18"/>
                      <w:szCs w:val="18"/>
                    </w:rPr>
                    <w:t>噪声</w:t>
                  </w:r>
                </w:p>
              </w:tc>
              <w:tc>
                <w:tcPr>
                  <w:tcW w:w="1184" w:type="dxa"/>
                  <w:tcBorders>
                    <w:tl2br w:val="nil"/>
                    <w:tr2bl w:val="nil"/>
                  </w:tcBorders>
                  <w:noWrap w:val="0"/>
                  <w:vAlign w:val="center"/>
                </w:tcPr>
                <w:p w14:paraId="04462B5F">
                  <w:pPr>
                    <w:pStyle w:val="85"/>
                    <w:spacing w:line="240" w:lineRule="auto"/>
                    <w:ind w:firstLine="0" w:firstLineChars="0"/>
                    <w:jc w:val="center"/>
                    <w:rPr>
                      <w:color w:val="auto"/>
                      <w:sz w:val="18"/>
                      <w:szCs w:val="18"/>
                    </w:rPr>
                  </w:pPr>
                  <w:r>
                    <w:rPr>
                      <w:color w:val="auto"/>
                      <w:sz w:val="18"/>
                      <w:szCs w:val="18"/>
                    </w:rPr>
                    <w:t>厂界</w:t>
                  </w:r>
                </w:p>
              </w:tc>
              <w:tc>
                <w:tcPr>
                  <w:tcW w:w="1133" w:type="dxa"/>
                  <w:tcBorders>
                    <w:tl2br w:val="nil"/>
                    <w:tr2bl w:val="nil"/>
                  </w:tcBorders>
                  <w:noWrap w:val="0"/>
                  <w:vAlign w:val="center"/>
                </w:tcPr>
                <w:p w14:paraId="78592ED7">
                  <w:pPr>
                    <w:pStyle w:val="85"/>
                    <w:spacing w:line="240" w:lineRule="auto"/>
                    <w:ind w:firstLine="0" w:firstLineChars="0"/>
                    <w:jc w:val="center"/>
                    <w:rPr>
                      <w:color w:val="auto"/>
                      <w:sz w:val="18"/>
                      <w:szCs w:val="18"/>
                    </w:rPr>
                  </w:pPr>
                  <w:r>
                    <w:rPr>
                      <w:color w:val="auto"/>
                      <w:sz w:val="18"/>
                      <w:szCs w:val="18"/>
                    </w:rPr>
                    <w:t>Leq（A）</w:t>
                  </w:r>
                </w:p>
              </w:tc>
              <w:tc>
                <w:tcPr>
                  <w:tcW w:w="5247" w:type="dxa"/>
                  <w:tcBorders>
                    <w:tl2br w:val="nil"/>
                    <w:tr2bl w:val="nil"/>
                  </w:tcBorders>
                  <w:noWrap w:val="0"/>
                  <w:vAlign w:val="center"/>
                </w:tcPr>
                <w:p w14:paraId="24CAA6E0">
                  <w:pPr>
                    <w:pStyle w:val="85"/>
                    <w:spacing w:line="240" w:lineRule="auto"/>
                    <w:ind w:firstLine="0" w:firstLineChars="0"/>
                    <w:jc w:val="center"/>
                    <w:rPr>
                      <w:rFonts w:hint="default" w:eastAsia="宋体"/>
                      <w:color w:val="auto"/>
                      <w:sz w:val="18"/>
                      <w:szCs w:val="18"/>
                      <w:lang w:val="en-US" w:eastAsia="zh-CN"/>
                    </w:rPr>
                  </w:pPr>
                  <w:r>
                    <w:rPr>
                      <w:color w:val="auto"/>
                      <w:sz w:val="18"/>
                      <w:szCs w:val="18"/>
                    </w:rPr>
                    <w:t>每季度监测1次，每次监测1天，</w:t>
                  </w:r>
                  <w:r>
                    <w:rPr>
                      <w:rFonts w:hint="eastAsia"/>
                      <w:color w:val="auto"/>
                      <w:sz w:val="18"/>
                      <w:szCs w:val="18"/>
                      <w:lang w:val="en-US" w:eastAsia="zh-CN"/>
                    </w:rPr>
                    <w:t>昼夜各检测一次</w:t>
                  </w:r>
                </w:p>
              </w:tc>
            </w:tr>
          </w:tbl>
          <w:p w14:paraId="52518FC9">
            <w:pPr>
              <w:keepNext w:val="0"/>
              <w:keepLines w:val="0"/>
              <w:pageBreakBefore w:val="0"/>
              <w:widowControl w:val="0"/>
              <w:kinsoku/>
              <w:wordWrap/>
              <w:overflowPunct/>
              <w:topLinePunct w:val="0"/>
              <w:autoSpaceDE/>
              <w:autoSpaceDN/>
              <w:bidi w:val="0"/>
              <w:adjustRightInd w:val="0"/>
              <w:snapToGrid w:val="0"/>
              <w:spacing w:line="420" w:lineRule="exact"/>
              <w:textAlignment w:val="auto"/>
              <w:rPr>
                <w:b/>
                <w:bCs/>
                <w:color w:val="auto"/>
                <w:szCs w:val="21"/>
              </w:rPr>
            </w:pPr>
            <w:r>
              <w:rPr>
                <w:b/>
                <w:bCs/>
                <w:color w:val="auto"/>
                <w:szCs w:val="21"/>
              </w:rPr>
              <w:t>四、固体废物</w:t>
            </w:r>
          </w:p>
          <w:p w14:paraId="49B564FE">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rFonts w:hint="eastAsia"/>
                <w:color w:val="auto"/>
              </w:rPr>
              <w:t>本项目无新增职工定员，全部从现有项目中调配</w:t>
            </w:r>
            <w:r>
              <w:rPr>
                <w:rFonts w:hint="eastAsia"/>
                <w:color w:val="auto"/>
                <w:lang w:eastAsia="zh-CN"/>
              </w:rPr>
              <w:t>，</w:t>
            </w:r>
            <w:r>
              <w:rPr>
                <w:rFonts w:hint="eastAsia"/>
                <w:color w:val="auto"/>
                <w:lang w:val="en-US" w:eastAsia="zh-CN"/>
              </w:rPr>
              <w:t>无新增生活垃圾产生</w:t>
            </w:r>
            <w:r>
              <w:rPr>
                <w:rFonts w:hint="eastAsia"/>
                <w:color w:val="auto"/>
              </w:rPr>
              <w:t>。项目运行过程中</w:t>
            </w:r>
            <w:r>
              <w:rPr>
                <w:rFonts w:hint="eastAsia"/>
                <w:color w:val="auto"/>
                <w:lang w:val="en-US" w:eastAsia="zh-CN"/>
              </w:rPr>
              <w:t>固体废物主要为设备维护保养过程产生的废水处理污泥、废润滑油及废润滑油桶。</w:t>
            </w:r>
            <w:r>
              <w:rPr>
                <w:rFonts w:hint="eastAsia"/>
                <w:color w:val="auto"/>
              </w:rPr>
              <w:t>具体产生及处置情况如下：</w:t>
            </w:r>
          </w:p>
          <w:p w14:paraId="23CD6B52">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color w:val="auto"/>
                <w:lang w:val="en-US" w:eastAsia="zh-CN"/>
              </w:rPr>
            </w:pPr>
            <w:r>
              <w:rPr>
                <w:rFonts w:hint="eastAsia"/>
                <w:color w:val="auto"/>
                <w:lang w:val="en-US" w:eastAsia="zh-CN"/>
              </w:rPr>
              <w:t>1、废水处理污泥（HW08，900-210-08）：</w:t>
            </w:r>
            <w:r>
              <w:rPr>
                <w:rFonts w:hint="eastAsia"/>
                <w:color w:val="auto"/>
              </w:rPr>
              <w:t>本项目</w:t>
            </w:r>
            <w:r>
              <w:rPr>
                <w:rFonts w:hint="eastAsia"/>
                <w:color w:val="auto"/>
                <w:lang w:val="en-US" w:eastAsia="zh-CN"/>
              </w:rPr>
              <w:t>废水处理</w:t>
            </w:r>
            <w:r>
              <w:rPr>
                <w:rFonts w:hint="eastAsia"/>
                <w:color w:val="auto"/>
              </w:rPr>
              <w:t>污泥</w:t>
            </w:r>
            <w:r>
              <w:rPr>
                <w:rFonts w:hint="eastAsia"/>
                <w:color w:val="auto"/>
                <w:lang w:val="en-US" w:eastAsia="zh-CN"/>
              </w:rPr>
              <w:t>新增</w:t>
            </w:r>
            <w:r>
              <w:rPr>
                <w:rFonts w:hint="eastAsia"/>
                <w:color w:val="auto"/>
              </w:rPr>
              <w:t>产生量为</w:t>
            </w:r>
            <w:r>
              <w:rPr>
                <w:rFonts w:hint="eastAsia"/>
                <w:color w:val="auto"/>
                <w:lang w:val="en-US" w:eastAsia="zh-CN"/>
              </w:rPr>
              <w:t>0.5</w:t>
            </w:r>
            <w:r>
              <w:rPr>
                <w:rFonts w:hint="eastAsia"/>
                <w:color w:val="auto"/>
              </w:rPr>
              <w:t>t/a，定期清理后采用密封桶盛装后暂存于危废间，定期委托有资质单位处置。</w:t>
            </w:r>
          </w:p>
          <w:p w14:paraId="3FEEA20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rFonts w:hint="eastAsia"/>
                <w:color w:val="auto"/>
                <w:lang w:val="en-US" w:eastAsia="zh-CN"/>
              </w:rPr>
              <w:t>2、废润滑油（HW08，900-217-08）：根据建设单位提供资料，本项目机泵冷却润滑剂维护保养过程中新增废润滑油产生量约0.01t/a，属于危险废物，采用密封桶盛装后暂存于危废间，定期委托有资质单位处置。</w:t>
            </w:r>
          </w:p>
          <w:p w14:paraId="79D1B23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rFonts w:hint="eastAsia"/>
                <w:color w:val="auto"/>
                <w:lang w:val="en-US" w:eastAsia="zh-CN"/>
              </w:rPr>
              <w:t>3、废润滑油桶（HW08，900-249-08）：根据建设单位提供资料，本项目润滑油用量为0.01t/a，采用10kg桶装，则产生废包装桶约为1个，每个空桶重量约1kg，则废包装桶产生量为0.001t/a。该部分废物属于危险废物，收集后（口盖拧紧）暂存于危废暂存间，定期委托有资质单位处置。</w:t>
            </w:r>
          </w:p>
          <w:p w14:paraId="515C811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olor w:val="auto"/>
                <w:lang w:val="en-US" w:eastAsia="zh-CN"/>
              </w:rPr>
            </w:pPr>
            <w:r>
              <w:rPr>
                <w:color w:val="auto"/>
              </w:rPr>
              <w:t>本项目固体废物产生及处置情况请见</w:t>
            </w:r>
            <w:r>
              <w:rPr>
                <w:rFonts w:hint="eastAsia"/>
                <w:color w:val="auto"/>
              </w:rPr>
              <w:t>下表：</w:t>
            </w:r>
          </w:p>
          <w:p w14:paraId="2A84BAE5">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rPr>
              <w:t>表</w:t>
            </w:r>
            <w:r>
              <w:rPr>
                <w:rFonts w:ascii="Times New Roman" w:hAnsi="Times New Roman" w:eastAsia="宋体" w:cs="Times New Roman"/>
                <w:b/>
                <w:bCs/>
                <w:color w:val="auto"/>
              </w:rPr>
              <w:t>4-</w:t>
            </w:r>
            <w:r>
              <w:rPr>
                <w:rFonts w:hint="eastAsia" w:ascii="Times New Roman" w:hAnsi="Times New Roman" w:eastAsia="宋体" w:cs="Times New Roman"/>
                <w:b/>
                <w:bCs/>
                <w:color w:val="auto"/>
                <w:lang w:val="en-US" w:eastAsia="zh-CN"/>
              </w:rPr>
              <w:t>2</w:t>
            </w:r>
            <w:r>
              <w:rPr>
                <w:rFonts w:hint="eastAsia" w:cs="Times New Roman"/>
                <w:b/>
                <w:bCs/>
                <w:color w:val="auto"/>
                <w:lang w:val="en-US" w:eastAsia="zh-CN"/>
              </w:rPr>
              <w:t>6</w:t>
            </w:r>
            <w:r>
              <w:rPr>
                <w:rFonts w:ascii="Times New Roman" w:hAnsi="Times New Roman" w:eastAsia="宋体" w:cs="Times New Roman"/>
                <w:b/>
                <w:bCs/>
                <w:color w:val="auto"/>
              </w:rPr>
              <w:t xml:space="preserve">  项目固体废物产生及处置情况一览表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426"/>
              <w:gridCol w:w="787"/>
              <w:gridCol w:w="652"/>
              <w:gridCol w:w="652"/>
              <w:gridCol w:w="1130"/>
              <w:gridCol w:w="630"/>
              <w:gridCol w:w="951"/>
              <w:gridCol w:w="780"/>
              <w:gridCol w:w="609"/>
              <w:gridCol w:w="720"/>
              <w:gridCol w:w="857"/>
            </w:tblGrid>
            <w:tr w14:paraId="23F8D09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PrEx>
              <w:trPr>
                <w:trHeight w:val="283" w:hRule="atLeast"/>
                <w:jc w:val="center"/>
              </w:trPr>
              <w:tc>
                <w:tcPr>
                  <w:tcW w:w="426" w:type="dxa"/>
                  <w:tcBorders>
                    <w:tl2br w:val="nil"/>
                    <w:tr2bl w:val="nil"/>
                  </w:tcBorders>
                  <w:noWrap w:val="0"/>
                  <w:vAlign w:val="center"/>
                </w:tcPr>
                <w:p w14:paraId="3E7AA985">
                  <w:pPr>
                    <w:pStyle w:val="6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序号</w:t>
                  </w:r>
                </w:p>
              </w:tc>
              <w:tc>
                <w:tcPr>
                  <w:tcW w:w="787" w:type="dxa"/>
                  <w:tcBorders>
                    <w:tl2br w:val="nil"/>
                    <w:tr2bl w:val="nil"/>
                  </w:tcBorders>
                  <w:noWrap w:val="0"/>
                  <w:vAlign w:val="center"/>
                </w:tcPr>
                <w:p w14:paraId="76D9870D">
                  <w:pPr>
                    <w:pStyle w:val="60"/>
                    <w:rPr>
                      <w:rFonts w:hint="eastAsia" w:ascii="Times New Roman" w:hAnsi="Times New Roman" w:eastAsia="宋体" w:cs="Times New Roman"/>
                      <w:color w:val="auto"/>
                      <w:sz w:val="18"/>
                      <w:szCs w:val="18"/>
                    </w:rPr>
                  </w:pPr>
                  <w:r>
                    <w:rPr>
                      <w:rFonts w:ascii="Times New Roman" w:hAnsi="Times New Roman" w:eastAsia="宋体" w:cs="Times New Roman"/>
                      <w:color w:val="auto"/>
                      <w:sz w:val="18"/>
                      <w:szCs w:val="18"/>
                    </w:rPr>
                    <w:t>固废</w:t>
                  </w:r>
                  <w:r>
                    <w:rPr>
                      <w:rFonts w:hint="eastAsia" w:ascii="Times New Roman" w:hAnsi="Times New Roman" w:eastAsia="宋体" w:cs="Times New Roman"/>
                      <w:color w:val="auto"/>
                      <w:sz w:val="18"/>
                      <w:szCs w:val="18"/>
                    </w:rPr>
                    <w:t>名称</w:t>
                  </w:r>
                </w:p>
              </w:tc>
              <w:tc>
                <w:tcPr>
                  <w:tcW w:w="652" w:type="dxa"/>
                  <w:tcBorders>
                    <w:tl2br w:val="nil"/>
                    <w:tr2bl w:val="nil"/>
                  </w:tcBorders>
                  <w:noWrap w:val="0"/>
                  <w:vAlign w:val="center"/>
                </w:tcPr>
                <w:p w14:paraId="7590CC86">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产生环节</w:t>
                  </w:r>
                </w:p>
              </w:tc>
              <w:tc>
                <w:tcPr>
                  <w:tcW w:w="652" w:type="dxa"/>
                  <w:tcBorders>
                    <w:tl2br w:val="nil"/>
                    <w:tr2bl w:val="nil"/>
                  </w:tcBorders>
                  <w:noWrap w:val="0"/>
                  <w:vAlign w:val="center"/>
                </w:tcPr>
                <w:p w14:paraId="5546D5BB">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固废性质</w:t>
                  </w:r>
                </w:p>
              </w:tc>
              <w:tc>
                <w:tcPr>
                  <w:tcW w:w="1130" w:type="dxa"/>
                  <w:tcBorders>
                    <w:tl2br w:val="nil"/>
                    <w:tr2bl w:val="nil"/>
                  </w:tcBorders>
                  <w:noWrap w:val="0"/>
                  <w:vAlign w:val="center"/>
                </w:tcPr>
                <w:p w14:paraId="5E804719">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固废代码</w:t>
                  </w:r>
                </w:p>
              </w:tc>
              <w:tc>
                <w:tcPr>
                  <w:tcW w:w="630" w:type="dxa"/>
                  <w:tcBorders>
                    <w:tl2br w:val="nil"/>
                    <w:tr2bl w:val="nil"/>
                  </w:tcBorders>
                  <w:noWrap w:val="0"/>
                  <w:vAlign w:val="center"/>
                </w:tcPr>
                <w:p w14:paraId="758637AD">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主要</w:t>
                  </w:r>
                </w:p>
                <w:p w14:paraId="5C2D742B">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成分</w:t>
                  </w:r>
                </w:p>
              </w:tc>
              <w:tc>
                <w:tcPr>
                  <w:tcW w:w="951" w:type="dxa"/>
                  <w:tcBorders>
                    <w:tl2br w:val="nil"/>
                    <w:tr2bl w:val="nil"/>
                  </w:tcBorders>
                  <w:noWrap w:val="0"/>
                  <w:vAlign w:val="center"/>
                </w:tcPr>
                <w:p w14:paraId="0375C679">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有害</w:t>
                  </w:r>
                </w:p>
                <w:p w14:paraId="0DEF231A">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成分</w:t>
                  </w:r>
                </w:p>
              </w:tc>
              <w:tc>
                <w:tcPr>
                  <w:tcW w:w="780" w:type="dxa"/>
                  <w:tcBorders>
                    <w:tl2br w:val="nil"/>
                    <w:tr2bl w:val="nil"/>
                  </w:tcBorders>
                  <w:noWrap w:val="0"/>
                  <w:vAlign w:val="center"/>
                </w:tcPr>
                <w:p w14:paraId="1D314230">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物理性状</w:t>
                  </w:r>
                </w:p>
              </w:tc>
              <w:tc>
                <w:tcPr>
                  <w:tcW w:w="609" w:type="dxa"/>
                  <w:tcBorders>
                    <w:tl2br w:val="nil"/>
                    <w:tr2bl w:val="nil"/>
                  </w:tcBorders>
                  <w:noWrap w:val="0"/>
                  <w:vAlign w:val="center"/>
                </w:tcPr>
                <w:p w14:paraId="017BD658">
                  <w:pPr>
                    <w:pStyle w:val="6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危险特性</w:t>
                  </w:r>
                </w:p>
              </w:tc>
              <w:tc>
                <w:tcPr>
                  <w:tcW w:w="720" w:type="dxa"/>
                  <w:tcBorders>
                    <w:tl2br w:val="nil"/>
                    <w:tr2bl w:val="nil"/>
                  </w:tcBorders>
                  <w:noWrap w:val="0"/>
                  <w:vAlign w:val="center"/>
                </w:tcPr>
                <w:p w14:paraId="166F3245">
                  <w:pPr>
                    <w:pStyle w:val="6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产生量</w:t>
                  </w:r>
                </w:p>
              </w:tc>
              <w:tc>
                <w:tcPr>
                  <w:tcW w:w="857" w:type="dxa"/>
                  <w:tcBorders>
                    <w:tl2br w:val="nil"/>
                    <w:tr2bl w:val="nil"/>
                  </w:tcBorders>
                  <w:noWrap w:val="0"/>
                  <w:vAlign w:val="center"/>
                </w:tcPr>
                <w:p w14:paraId="79D4138B">
                  <w:pPr>
                    <w:pStyle w:val="6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处置</w:t>
                  </w:r>
                </w:p>
                <w:p w14:paraId="48A543D3">
                  <w:pPr>
                    <w:pStyle w:val="6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措施</w:t>
                  </w:r>
                </w:p>
              </w:tc>
            </w:tr>
            <w:tr w14:paraId="241B52B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426" w:type="dxa"/>
                  <w:tcBorders>
                    <w:tl2br w:val="nil"/>
                    <w:tr2bl w:val="nil"/>
                  </w:tcBorders>
                  <w:noWrap w:val="0"/>
                  <w:vAlign w:val="center"/>
                </w:tcPr>
                <w:p w14:paraId="2141EE2F">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787" w:type="dxa"/>
                  <w:tcBorders>
                    <w:tl2br w:val="nil"/>
                    <w:tr2bl w:val="nil"/>
                  </w:tcBorders>
                  <w:shd w:val="clear" w:color="auto" w:fill="auto"/>
                  <w:noWrap w:val="0"/>
                  <w:vAlign w:val="center"/>
                </w:tcPr>
                <w:p w14:paraId="724C1AB8">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w:t>
                  </w:r>
                  <w:r>
                    <w:rPr>
                      <w:rFonts w:hint="eastAsia" w:ascii="Times New Roman" w:hAnsi="Times New Roman" w:eastAsia="宋体" w:cs="Times New Roman"/>
                      <w:color w:val="auto"/>
                      <w:sz w:val="18"/>
                      <w:szCs w:val="18"/>
                    </w:rPr>
                    <w:t>水处理污泥</w:t>
                  </w:r>
                </w:p>
              </w:tc>
              <w:tc>
                <w:tcPr>
                  <w:tcW w:w="652" w:type="dxa"/>
                  <w:tcBorders>
                    <w:tl2br w:val="nil"/>
                    <w:tr2bl w:val="nil"/>
                  </w:tcBorders>
                  <w:shd w:val="clear" w:color="auto" w:fill="auto"/>
                  <w:noWrap w:val="0"/>
                  <w:vAlign w:val="center"/>
                </w:tcPr>
                <w:p w14:paraId="31AA4BCF">
                  <w:pPr>
                    <w:pStyle w:val="60"/>
                    <w:rPr>
                      <w:rFonts w:ascii="Times New Roman" w:hAnsi="Times New Roman" w:eastAsia="宋体" w:cs="Times New Roman"/>
                      <w:color w:val="auto"/>
                      <w:sz w:val="18"/>
                      <w:szCs w:val="18"/>
                      <w:lang w:val="zh-CN" w:eastAsia="zh-CN"/>
                    </w:rPr>
                  </w:pPr>
                  <w:r>
                    <w:rPr>
                      <w:rFonts w:hint="eastAsia" w:ascii="Times New Roman" w:hAnsi="Times New Roman" w:eastAsia="宋体" w:cs="Times New Roman"/>
                      <w:color w:val="auto"/>
                      <w:sz w:val="18"/>
                      <w:szCs w:val="18"/>
                    </w:rPr>
                    <w:t>污水处理</w:t>
                  </w:r>
                </w:p>
              </w:tc>
              <w:tc>
                <w:tcPr>
                  <w:tcW w:w="652" w:type="dxa"/>
                  <w:tcBorders>
                    <w:tl2br w:val="nil"/>
                    <w:tr2bl w:val="nil"/>
                  </w:tcBorders>
                  <w:shd w:val="clear" w:color="auto" w:fill="auto"/>
                  <w:noWrap w:val="0"/>
                  <w:vAlign w:val="center"/>
                </w:tcPr>
                <w:p w14:paraId="254431EB">
                  <w:pPr>
                    <w:pStyle w:val="60"/>
                    <w:rPr>
                      <w:rFonts w:ascii="Times New Roman" w:hAnsi="Times New Roman" w:eastAsia="宋体" w:cs="Times New Roman"/>
                      <w:color w:val="auto"/>
                      <w:sz w:val="18"/>
                      <w:szCs w:val="18"/>
                      <w:lang w:val="zh-CN" w:eastAsia="zh-CN"/>
                    </w:rPr>
                  </w:pPr>
                  <w:r>
                    <w:rPr>
                      <w:rFonts w:hint="eastAsia" w:ascii="Times New Roman" w:hAnsi="Times New Roman" w:eastAsia="宋体" w:cs="Times New Roman"/>
                      <w:color w:val="auto"/>
                      <w:sz w:val="18"/>
                      <w:szCs w:val="18"/>
                    </w:rPr>
                    <w:t>危险废物</w:t>
                  </w:r>
                </w:p>
              </w:tc>
              <w:tc>
                <w:tcPr>
                  <w:tcW w:w="1130" w:type="dxa"/>
                  <w:tcBorders>
                    <w:tl2br w:val="nil"/>
                    <w:tr2bl w:val="nil"/>
                  </w:tcBorders>
                  <w:shd w:val="clear" w:color="auto" w:fill="auto"/>
                  <w:noWrap w:val="0"/>
                  <w:vAlign w:val="center"/>
                </w:tcPr>
                <w:p w14:paraId="5D8273E6">
                  <w:pPr>
                    <w:pStyle w:val="60"/>
                    <w:rPr>
                      <w:rFonts w:hint="eastAsia"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HW</w:t>
                  </w:r>
                  <w:r>
                    <w:rPr>
                      <w:rFonts w:hint="eastAsia" w:ascii="Times New Roman" w:hAnsi="Times New Roman" w:eastAsia="宋体" w:cs="Times New Roman"/>
                      <w:color w:val="auto"/>
                      <w:sz w:val="18"/>
                      <w:szCs w:val="18"/>
                      <w:lang w:val="en-US" w:eastAsia="zh-CN"/>
                    </w:rPr>
                    <w:t>08</w:t>
                  </w:r>
                </w:p>
                <w:p w14:paraId="0CCEFFEE">
                  <w:pPr>
                    <w:pStyle w:val="6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900-210-08</w:t>
                  </w:r>
                </w:p>
              </w:tc>
              <w:tc>
                <w:tcPr>
                  <w:tcW w:w="630" w:type="dxa"/>
                  <w:tcBorders>
                    <w:tl2br w:val="nil"/>
                    <w:tr2bl w:val="nil"/>
                  </w:tcBorders>
                  <w:shd w:val="clear" w:color="auto" w:fill="auto"/>
                  <w:noWrap w:val="0"/>
                  <w:vAlign w:val="center"/>
                </w:tcPr>
                <w:p w14:paraId="6A503F65">
                  <w:pPr>
                    <w:pStyle w:val="6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污泥</w:t>
                  </w:r>
                </w:p>
              </w:tc>
              <w:tc>
                <w:tcPr>
                  <w:tcW w:w="951" w:type="dxa"/>
                  <w:tcBorders>
                    <w:tl2br w:val="nil"/>
                    <w:tr2bl w:val="nil"/>
                  </w:tcBorders>
                  <w:shd w:val="clear" w:color="auto" w:fill="auto"/>
                  <w:noWrap w:val="0"/>
                  <w:vAlign w:val="center"/>
                </w:tcPr>
                <w:p w14:paraId="599810C8">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污泥</w:t>
                  </w:r>
                </w:p>
              </w:tc>
              <w:tc>
                <w:tcPr>
                  <w:tcW w:w="780" w:type="dxa"/>
                  <w:tcBorders>
                    <w:tl2br w:val="nil"/>
                    <w:tr2bl w:val="nil"/>
                  </w:tcBorders>
                  <w:shd w:val="clear" w:color="auto" w:fill="auto"/>
                  <w:noWrap w:val="0"/>
                  <w:vAlign w:val="center"/>
                </w:tcPr>
                <w:p w14:paraId="5F373970">
                  <w:pPr>
                    <w:pStyle w:val="6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固态</w:t>
                  </w:r>
                </w:p>
              </w:tc>
              <w:tc>
                <w:tcPr>
                  <w:tcW w:w="609" w:type="dxa"/>
                  <w:tcBorders>
                    <w:tl2br w:val="nil"/>
                    <w:tr2bl w:val="nil"/>
                  </w:tcBorders>
                  <w:shd w:val="clear" w:color="auto" w:fill="auto"/>
                  <w:noWrap w:val="0"/>
                  <w:vAlign w:val="center"/>
                </w:tcPr>
                <w:p w14:paraId="09F33182">
                  <w:pPr>
                    <w:pStyle w:val="60"/>
                    <w:rPr>
                      <w:rFonts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T</w:t>
                  </w:r>
                  <w:r>
                    <w:rPr>
                      <w:rFonts w:ascii="Times New Roman" w:hAnsi="Times New Roman" w:eastAsia="宋体" w:cs="Times New Roman"/>
                      <w:color w:val="auto"/>
                      <w:sz w:val="18"/>
                      <w:szCs w:val="18"/>
                    </w:rPr>
                    <w:t>/C</w:t>
                  </w:r>
                </w:p>
              </w:tc>
              <w:tc>
                <w:tcPr>
                  <w:tcW w:w="720" w:type="dxa"/>
                  <w:tcBorders>
                    <w:tl2br w:val="nil"/>
                    <w:tr2bl w:val="nil"/>
                  </w:tcBorders>
                  <w:shd w:val="clear" w:color="auto" w:fill="auto"/>
                  <w:noWrap w:val="0"/>
                  <w:vAlign w:val="center"/>
                </w:tcPr>
                <w:p w14:paraId="093C32D5">
                  <w:pPr>
                    <w:pStyle w:val="60"/>
                    <w:rPr>
                      <w:rFonts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w:t>
                  </w:r>
                  <w:r>
                    <w:rPr>
                      <w:rFonts w:hint="eastAsia" w:ascii="Times New Roman" w:hAnsi="Times New Roman" w:eastAsia="宋体" w:cs="Times New Roman"/>
                      <w:color w:val="auto"/>
                      <w:sz w:val="18"/>
                      <w:szCs w:val="18"/>
                      <w:lang w:val="en-US" w:eastAsia="zh-CN"/>
                    </w:rPr>
                    <w:t>5</w:t>
                  </w:r>
                  <w:r>
                    <w:rPr>
                      <w:rFonts w:ascii="Times New Roman" w:hAnsi="Times New Roman" w:eastAsia="宋体" w:cs="Times New Roman"/>
                      <w:color w:val="auto"/>
                      <w:sz w:val="18"/>
                      <w:szCs w:val="18"/>
                    </w:rPr>
                    <w:t>t</w:t>
                  </w:r>
                </w:p>
              </w:tc>
              <w:tc>
                <w:tcPr>
                  <w:tcW w:w="857" w:type="dxa"/>
                  <w:vMerge w:val="restart"/>
                  <w:tcBorders>
                    <w:tl2br w:val="nil"/>
                    <w:tr2bl w:val="nil"/>
                  </w:tcBorders>
                  <w:noWrap w:val="0"/>
                  <w:vAlign w:val="center"/>
                </w:tcPr>
                <w:p w14:paraId="3FCA456C">
                  <w:pPr>
                    <w:pStyle w:val="60"/>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暂存于危废间，定期委托有资质单位处置</w:t>
                  </w:r>
                </w:p>
              </w:tc>
            </w:tr>
            <w:tr w14:paraId="59D902A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83" w:hRule="atLeast"/>
                <w:jc w:val="center"/>
              </w:trPr>
              <w:tc>
                <w:tcPr>
                  <w:tcW w:w="426" w:type="dxa"/>
                  <w:tcBorders>
                    <w:tl2br w:val="nil"/>
                    <w:tr2bl w:val="nil"/>
                  </w:tcBorders>
                  <w:noWrap w:val="0"/>
                  <w:vAlign w:val="center"/>
                </w:tcPr>
                <w:p w14:paraId="790750A4">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color w:val="auto"/>
                      <w:sz w:val="18"/>
                      <w:szCs w:val="18"/>
                      <w:lang w:val="en-US" w:eastAsia="zh-CN"/>
                    </w:rPr>
                  </w:pPr>
                  <w:r>
                    <w:rPr>
                      <w:rFonts w:hint="eastAsia"/>
                      <w:color w:val="auto"/>
                      <w:sz w:val="18"/>
                      <w:szCs w:val="18"/>
                      <w:lang w:val="en-US" w:eastAsia="zh-CN"/>
                    </w:rPr>
                    <w:t>2</w:t>
                  </w:r>
                </w:p>
              </w:tc>
              <w:tc>
                <w:tcPr>
                  <w:tcW w:w="787" w:type="dxa"/>
                  <w:tcBorders>
                    <w:tl2br w:val="nil"/>
                    <w:tr2bl w:val="nil"/>
                  </w:tcBorders>
                  <w:shd w:val="clear" w:color="auto" w:fill="auto"/>
                  <w:noWrap w:val="0"/>
                  <w:vAlign w:val="center"/>
                </w:tcPr>
                <w:p w14:paraId="783B6F5F">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废润滑油</w:t>
                  </w:r>
                </w:p>
              </w:tc>
              <w:tc>
                <w:tcPr>
                  <w:tcW w:w="652" w:type="dxa"/>
                  <w:tcBorders>
                    <w:tl2br w:val="nil"/>
                    <w:tr2bl w:val="nil"/>
                  </w:tcBorders>
                  <w:shd w:val="clear" w:color="auto" w:fill="auto"/>
                  <w:noWrap w:val="0"/>
                  <w:vAlign w:val="center"/>
                </w:tcPr>
                <w:p w14:paraId="42849020">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zh-CN" w:eastAsia="zh-CN" w:bidi="ar-SA"/>
                    </w:rPr>
                  </w:pPr>
                  <w:r>
                    <w:rPr>
                      <w:rFonts w:hint="eastAsia"/>
                      <w:color w:val="auto"/>
                      <w:kern w:val="2"/>
                      <w:sz w:val="18"/>
                      <w:szCs w:val="18"/>
                    </w:rPr>
                    <w:t>设备润滑</w:t>
                  </w:r>
                </w:p>
              </w:tc>
              <w:tc>
                <w:tcPr>
                  <w:tcW w:w="652" w:type="dxa"/>
                  <w:tcBorders>
                    <w:tl2br w:val="nil"/>
                    <w:tr2bl w:val="nil"/>
                  </w:tcBorders>
                  <w:shd w:val="clear" w:color="auto" w:fill="auto"/>
                  <w:noWrap w:val="0"/>
                  <w:vAlign w:val="center"/>
                </w:tcPr>
                <w:p w14:paraId="1D949DBC">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危险废物</w:t>
                  </w:r>
                </w:p>
              </w:tc>
              <w:tc>
                <w:tcPr>
                  <w:tcW w:w="1130" w:type="dxa"/>
                  <w:tcBorders>
                    <w:tl2br w:val="nil"/>
                    <w:tr2bl w:val="nil"/>
                  </w:tcBorders>
                  <w:shd w:val="clear" w:color="auto" w:fill="auto"/>
                  <w:noWrap w:val="0"/>
                  <w:vAlign w:val="center"/>
                </w:tcPr>
                <w:p w14:paraId="0A63BA35">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sz w:val="18"/>
                      <w:szCs w:val="18"/>
                    </w:rPr>
                  </w:pPr>
                  <w:r>
                    <w:rPr>
                      <w:rFonts w:hint="eastAsia"/>
                      <w:color w:val="auto"/>
                      <w:sz w:val="18"/>
                      <w:szCs w:val="18"/>
                    </w:rPr>
                    <w:t>H</w:t>
                  </w:r>
                  <w:r>
                    <w:rPr>
                      <w:color w:val="auto"/>
                      <w:sz w:val="18"/>
                      <w:szCs w:val="18"/>
                    </w:rPr>
                    <w:t>W</w:t>
                  </w:r>
                  <w:r>
                    <w:rPr>
                      <w:rFonts w:hint="eastAsia"/>
                      <w:color w:val="auto"/>
                      <w:sz w:val="18"/>
                      <w:szCs w:val="18"/>
                    </w:rPr>
                    <w:t>08</w:t>
                  </w:r>
                </w:p>
                <w:p w14:paraId="76213415">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zh-CN" w:eastAsia="zh-CN" w:bidi="ar-SA"/>
                    </w:rPr>
                  </w:pPr>
                  <w:r>
                    <w:rPr>
                      <w:rFonts w:hint="eastAsia"/>
                      <w:color w:val="auto"/>
                      <w:sz w:val="18"/>
                      <w:szCs w:val="18"/>
                    </w:rPr>
                    <w:t>900-217-08</w:t>
                  </w:r>
                </w:p>
              </w:tc>
              <w:tc>
                <w:tcPr>
                  <w:tcW w:w="630" w:type="dxa"/>
                  <w:tcBorders>
                    <w:tl2br w:val="nil"/>
                    <w:tr2bl w:val="nil"/>
                  </w:tcBorders>
                  <w:shd w:val="clear" w:color="auto" w:fill="auto"/>
                  <w:noWrap w:val="0"/>
                  <w:vAlign w:val="center"/>
                </w:tcPr>
                <w:p w14:paraId="1220ED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润滑油</w:t>
                  </w:r>
                </w:p>
              </w:tc>
              <w:tc>
                <w:tcPr>
                  <w:tcW w:w="951" w:type="dxa"/>
                  <w:tcBorders>
                    <w:tl2br w:val="nil"/>
                    <w:tr2bl w:val="nil"/>
                  </w:tcBorders>
                  <w:shd w:val="clear" w:color="auto" w:fill="auto"/>
                  <w:noWrap w:val="0"/>
                  <w:vAlign w:val="center"/>
                </w:tcPr>
                <w:p w14:paraId="502886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废润滑油</w:t>
                  </w:r>
                </w:p>
              </w:tc>
              <w:tc>
                <w:tcPr>
                  <w:tcW w:w="780" w:type="dxa"/>
                  <w:tcBorders>
                    <w:tl2br w:val="nil"/>
                    <w:tr2bl w:val="nil"/>
                  </w:tcBorders>
                  <w:shd w:val="clear" w:color="auto" w:fill="auto"/>
                  <w:noWrap w:val="0"/>
                  <w:vAlign w:val="center"/>
                </w:tcPr>
                <w:p w14:paraId="5FF9FED3">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液态</w:t>
                  </w:r>
                </w:p>
              </w:tc>
              <w:tc>
                <w:tcPr>
                  <w:tcW w:w="609" w:type="dxa"/>
                  <w:tcBorders>
                    <w:tl2br w:val="nil"/>
                    <w:tr2bl w:val="nil"/>
                  </w:tcBorders>
                  <w:shd w:val="clear" w:color="auto" w:fill="auto"/>
                  <w:noWrap w:val="0"/>
                  <w:vAlign w:val="center"/>
                </w:tcPr>
                <w:p w14:paraId="642C7FA3">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T，I</w:t>
                  </w:r>
                </w:p>
              </w:tc>
              <w:tc>
                <w:tcPr>
                  <w:tcW w:w="720" w:type="dxa"/>
                  <w:tcBorders>
                    <w:tl2br w:val="nil"/>
                    <w:tr2bl w:val="nil"/>
                  </w:tcBorders>
                  <w:shd w:val="clear" w:color="auto" w:fill="auto"/>
                  <w:noWrap w:val="0"/>
                  <w:vAlign w:val="center"/>
                </w:tcPr>
                <w:p w14:paraId="65850514">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w:t>
                  </w:r>
                  <w:r>
                    <w:rPr>
                      <w:rFonts w:hint="eastAsia"/>
                      <w:color w:val="auto"/>
                      <w:sz w:val="18"/>
                      <w:szCs w:val="18"/>
                      <w:lang w:val="en-US" w:eastAsia="zh-CN"/>
                    </w:rPr>
                    <w:t>01</w:t>
                  </w:r>
                  <w:r>
                    <w:rPr>
                      <w:rFonts w:hint="eastAsia"/>
                      <w:color w:val="auto"/>
                      <w:sz w:val="18"/>
                      <w:szCs w:val="18"/>
                    </w:rPr>
                    <w:t>t</w:t>
                  </w:r>
                </w:p>
              </w:tc>
              <w:tc>
                <w:tcPr>
                  <w:tcW w:w="857" w:type="dxa"/>
                  <w:vMerge w:val="continue"/>
                  <w:tcBorders>
                    <w:tl2br w:val="nil"/>
                    <w:tr2bl w:val="nil"/>
                  </w:tcBorders>
                  <w:noWrap w:val="0"/>
                  <w:vAlign w:val="center"/>
                </w:tcPr>
                <w:p w14:paraId="62626EF1">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color w:val="auto"/>
                      <w:sz w:val="18"/>
                      <w:szCs w:val="18"/>
                    </w:rPr>
                  </w:pPr>
                </w:p>
              </w:tc>
            </w:tr>
            <w:tr w14:paraId="4758BED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PrEx>
              <w:trPr>
                <w:trHeight w:val="283" w:hRule="atLeast"/>
                <w:jc w:val="center"/>
              </w:trPr>
              <w:tc>
                <w:tcPr>
                  <w:tcW w:w="426" w:type="dxa"/>
                  <w:tcBorders>
                    <w:tl2br w:val="nil"/>
                    <w:tr2bl w:val="nil"/>
                  </w:tcBorders>
                  <w:noWrap w:val="0"/>
                  <w:vAlign w:val="center"/>
                </w:tcPr>
                <w:p w14:paraId="28B3F53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color w:val="auto"/>
                      <w:kern w:val="2"/>
                      <w:sz w:val="18"/>
                      <w:szCs w:val="18"/>
                      <w:lang w:val="en-US" w:eastAsia="zh-CN" w:bidi="ar-SA"/>
                    </w:rPr>
                  </w:pPr>
                  <w:r>
                    <w:rPr>
                      <w:rFonts w:hint="eastAsia"/>
                      <w:color w:val="auto"/>
                      <w:kern w:val="2"/>
                      <w:sz w:val="18"/>
                      <w:szCs w:val="18"/>
                      <w:lang w:val="en-US" w:eastAsia="zh-CN" w:bidi="ar-SA"/>
                    </w:rPr>
                    <w:t>3</w:t>
                  </w:r>
                </w:p>
              </w:tc>
              <w:tc>
                <w:tcPr>
                  <w:tcW w:w="787" w:type="dxa"/>
                  <w:tcBorders>
                    <w:tl2br w:val="nil"/>
                    <w:tr2bl w:val="nil"/>
                  </w:tcBorders>
                  <w:shd w:val="clear" w:color="auto" w:fill="auto"/>
                  <w:noWrap w:val="0"/>
                  <w:vAlign w:val="center"/>
                </w:tcPr>
                <w:p w14:paraId="46BA4DDF">
                  <w:pPr>
                    <w:pStyle w:val="60"/>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color w:val="auto"/>
                      <w:sz w:val="18"/>
                      <w:szCs w:val="18"/>
                    </w:rPr>
                    <w:t>废润滑油桶</w:t>
                  </w:r>
                </w:p>
              </w:tc>
              <w:tc>
                <w:tcPr>
                  <w:tcW w:w="652" w:type="dxa"/>
                  <w:tcBorders>
                    <w:tl2br w:val="nil"/>
                    <w:tr2bl w:val="nil"/>
                  </w:tcBorders>
                  <w:shd w:val="clear" w:color="auto" w:fill="auto"/>
                  <w:noWrap w:val="0"/>
                  <w:vAlign w:val="center"/>
                </w:tcPr>
                <w:p w14:paraId="75DA36CA">
                  <w:pPr>
                    <w:pStyle w:val="60"/>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rPr>
                    <w:t>设备润滑</w:t>
                  </w:r>
                </w:p>
              </w:tc>
              <w:tc>
                <w:tcPr>
                  <w:tcW w:w="652" w:type="dxa"/>
                  <w:tcBorders>
                    <w:tl2br w:val="nil"/>
                    <w:tr2bl w:val="nil"/>
                  </w:tcBorders>
                  <w:shd w:val="clear" w:color="auto" w:fill="auto"/>
                  <w:noWrap w:val="0"/>
                  <w:vAlign w:val="center"/>
                </w:tcPr>
                <w:p w14:paraId="31B35BF4">
                  <w:pPr>
                    <w:pStyle w:val="60"/>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color w:val="auto"/>
                      <w:sz w:val="18"/>
                      <w:szCs w:val="18"/>
                    </w:rPr>
                    <w:t>危险废物</w:t>
                  </w:r>
                </w:p>
              </w:tc>
              <w:tc>
                <w:tcPr>
                  <w:tcW w:w="1130" w:type="dxa"/>
                  <w:tcBorders>
                    <w:tl2br w:val="nil"/>
                    <w:tr2bl w:val="nil"/>
                  </w:tcBorders>
                  <w:shd w:val="clear" w:color="auto" w:fill="auto"/>
                  <w:noWrap w:val="0"/>
                  <w:vAlign w:val="center"/>
                </w:tcPr>
                <w:p w14:paraId="79AFF028">
                  <w:pPr>
                    <w:pStyle w:val="6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sz w:val="18"/>
                      <w:szCs w:val="18"/>
                    </w:rPr>
                  </w:pPr>
                  <w:r>
                    <w:rPr>
                      <w:rFonts w:hint="eastAsia"/>
                      <w:color w:val="auto"/>
                      <w:sz w:val="18"/>
                      <w:szCs w:val="18"/>
                    </w:rPr>
                    <w:t>H</w:t>
                  </w:r>
                  <w:r>
                    <w:rPr>
                      <w:color w:val="auto"/>
                      <w:sz w:val="18"/>
                      <w:szCs w:val="18"/>
                    </w:rPr>
                    <w:t>W</w:t>
                  </w:r>
                  <w:r>
                    <w:rPr>
                      <w:rFonts w:hint="eastAsia"/>
                      <w:color w:val="auto"/>
                      <w:sz w:val="18"/>
                      <w:szCs w:val="18"/>
                    </w:rPr>
                    <w:t>08</w:t>
                  </w:r>
                </w:p>
                <w:p w14:paraId="05FE8F8D">
                  <w:pPr>
                    <w:pStyle w:val="60"/>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color w:val="auto"/>
                      <w:sz w:val="18"/>
                      <w:szCs w:val="18"/>
                    </w:rPr>
                    <w:t>900-249-08</w:t>
                  </w:r>
                </w:p>
              </w:tc>
              <w:tc>
                <w:tcPr>
                  <w:tcW w:w="630" w:type="dxa"/>
                  <w:tcBorders>
                    <w:tl2br w:val="nil"/>
                    <w:tr2bl w:val="nil"/>
                  </w:tcBorders>
                  <w:shd w:val="clear" w:color="auto" w:fill="auto"/>
                  <w:noWrap w:val="0"/>
                  <w:vAlign w:val="center"/>
                </w:tcPr>
                <w:p w14:paraId="5A60FC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废桶</w:t>
                  </w:r>
                </w:p>
              </w:tc>
              <w:tc>
                <w:tcPr>
                  <w:tcW w:w="951" w:type="dxa"/>
                  <w:tcBorders>
                    <w:tl2br w:val="nil"/>
                    <w:tr2bl w:val="nil"/>
                  </w:tcBorders>
                  <w:shd w:val="clear" w:color="auto" w:fill="auto"/>
                  <w:noWrap w:val="0"/>
                  <w:vAlign w:val="center"/>
                </w:tcPr>
                <w:p w14:paraId="4929EA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废润滑油</w:t>
                  </w:r>
                </w:p>
              </w:tc>
              <w:tc>
                <w:tcPr>
                  <w:tcW w:w="780" w:type="dxa"/>
                  <w:tcBorders>
                    <w:tl2br w:val="nil"/>
                    <w:tr2bl w:val="nil"/>
                  </w:tcBorders>
                  <w:shd w:val="clear" w:color="auto" w:fill="auto"/>
                  <w:noWrap w:val="0"/>
                  <w:vAlign w:val="center"/>
                </w:tcPr>
                <w:p w14:paraId="55DB2FD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液态</w:t>
                  </w:r>
                </w:p>
              </w:tc>
              <w:tc>
                <w:tcPr>
                  <w:tcW w:w="609" w:type="dxa"/>
                  <w:tcBorders>
                    <w:tl2br w:val="nil"/>
                    <w:tr2bl w:val="nil"/>
                  </w:tcBorders>
                  <w:shd w:val="clear" w:color="auto" w:fill="auto"/>
                  <w:noWrap w:val="0"/>
                  <w:vAlign w:val="center"/>
                </w:tcPr>
                <w:p w14:paraId="65C4355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T，I</w:t>
                  </w:r>
                </w:p>
              </w:tc>
              <w:tc>
                <w:tcPr>
                  <w:tcW w:w="720" w:type="dxa"/>
                  <w:tcBorders>
                    <w:tl2br w:val="nil"/>
                    <w:tr2bl w:val="nil"/>
                  </w:tcBorders>
                  <w:shd w:val="clear" w:color="auto" w:fill="auto"/>
                  <w:noWrap w:val="0"/>
                  <w:vAlign w:val="center"/>
                </w:tcPr>
                <w:p w14:paraId="6F711FAE">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0.</w:t>
                  </w:r>
                  <w:r>
                    <w:rPr>
                      <w:rFonts w:hint="eastAsia"/>
                      <w:color w:val="auto"/>
                      <w:sz w:val="18"/>
                      <w:szCs w:val="18"/>
                      <w:lang w:val="en-US" w:eastAsia="zh-CN"/>
                    </w:rPr>
                    <w:t>001</w:t>
                  </w:r>
                  <w:r>
                    <w:rPr>
                      <w:rFonts w:hint="eastAsia"/>
                      <w:color w:val="auto"/>
                      <w:sz w:val="18"/>
                      <w:szCs w:val="18"/>
                    </w:rPr>
                    <w:t>t</w:t>
                  </w:r>
                </w:p>
              </w:tc>
              <w:tc>
                <w:tcPr>
                  <w:tcW w:w="857" w:type="dxa"/>
                  <w:vMerge w:val="continue"/>
                  <w:tcBorders>
                    <w:tl2br w:val="nil"/>
                    <w:tr2bl w:val="nil"/>
                  </w:tcBorders>
                  <w:noWrap w:val="0"/>
                  <w:vAlign w:val="center"/>
                </w:tcPr>
                <w:p w14:paraId="2D2DD8AF">
                  <w:pPr>
                    <w:pStyle w:val="83"/>
                    <w:keepNext w:val="0"/>
                    <w:keepLines w:val="0"/>
                    <w:pageBreakBefore w:val="0"/>
                    <w:widowControl w:val="0"/>
                    <w:kinsoku/>
                    <w:wordWrap/>
                    <w:overflowPunct/>
                    <w:topLinePunct w:val="0"/>
                    <w:autoSpaceDE/>
                    <w:autoSpaceDN/>
                    <w:bidi w:val="0"/>
                    <w:adjustRightInd/>
                    <w:snapToGrid w:val="0"/>
                    <w:spacing w:line="240" w:lineRule="auto"/>
                    <w:textAlignment w:val="auto"/>
                    <w:rPr>
                      <w:color w:val="auto"/>
                      <w:sz w:val="18"/>
                      <w:szCs w:val="18"/>
                    </w:rPr>
                  </w:pPr>
                </w:p>
              </w:tc>
            </w:tr>
          </w:tbl>
          <w:p w14:paraId="28D74476">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表4-</w:t>
            </w:r>
            <w:r>
              <w:rPr>
                <w:rFonts w:hint="eastAsia" w:ascii="Times New Roman" w:hAnsi="Times New Roman" w:eastAsia="宋体" w:cs="Times New Roman"/>
                <w:b/>
                <w:bCs/>
                <w:color w:val="auto"/>
                <w:lang w:val="en-US" w:eastAsia="zh-CN"/>
              </w:rPr>
              <w:t>2</w:t>
            </w:r>
            <w:r>
              <w:rPr>
                <w:rFonts w:hint="eastAsia" w:cs="Times New Roman"/>
                <w:b/>
                <w:bCs/>
                <w:color w:val="auto"/>
                <w:lang w:val="en-US" w:eastAsia="zh-CN"/>
              </w:rPr>
              <w:t>7</w:t>
            </w:r>
            <w:r>
              <w:rPr>
                <w:rFonts w:hint="eastAsia" w:ascii="Times New Roman" w:hAnsi="Times New Roman" w:eastAsia="宋体" w:cs="Times New Roman"/>
                <w:b/>
                <w:bCs/>
                <w:color w:val="auto"/>
              </w:rPr>
              <w:t xml:space="preserve">  项目危险废物贮存场所（设施）基本情况一览表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97"/>
              <w:gridCol w:w="1335"/>
              <w:gridCol w:w="906"/>
              <w:gridCol w:w="1074"/>
              <w:gridCol w:w="670"/>
              <w:gridCol w:w="670"/>
              <w:gridCol w:w="811"/>
              <w:gridCol w:w="662"/>
              <w:gridCol w:w="662"/>
            </w:tblGrid>
            <w:tr w14:paraId="02E8C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tcBorders>
                    <w:tl2br w:val="nil"/>
                    <w:tr2bl w:val="nil"/>
                  </w:tcBorders>
                  <w:noWrap w:val="0"/>
                  <w:vAlign w:val="center"/>
                </w:tcPr>
                <w:p w14:paraId="70D3E0C5">
                  <w:pPr>
                    <w:pStyle w:val="60"/>
                    <w:rPr>
                      <w:rFonts w:hint="eastAsia"/>
                      <w:color w:val="auto"/>
                      <w:kern w:val="2"/>
                      <w:sz w:val="18"/>
                      <w:szCs w:val="18"/>
                    </w:rPr>
                  </w:pPr>
                  <w:r>
                    <w:rPr>
                      <w:rFonts w:hint="eastAsia"/>
                      <w:color w:val="auto"/>
                      <w:kern w:val="2"/>
                      <w:sz w:val="18"/>
                      <w:szCs w:val="18"/>
                    </w:rPr>
                    <w:t>序号</w:t>
                  </w:r>
                </w:p>
              </w:tc>
              <w:tc>
                <w:tcPr>
                  <w:tcW w:w="548" w:type="pct"/>
                  <w:tcBorders>
                    <w:tl2br w:val="nil"/>
                    <w:tr2bl w:val="nil"/>
                  </w:tcBorders>
                  <w:noWrap w:val="0"/>
                  <w:vAlign w:val="center"/>
                </w:tcPr>
                <w:p w14:paraId="74A5A892">
                  <w:pPr>
                    <w:pStyle w:val="60"/>
                    <w:rPr>
                      <w:rFonts w:hint="eastAsia"/>
                      <w:color w:val="auto"/>
                      <w:kern w:val="2"/>
                      <w:sz w:val="18"/>
                      <w:szCs w:val="18"/>
                    </w:rPr>
                  </w:pPr>
                  <w:r>
                    <w:rPr>
                      <w:rFonts w:hint="eastAsia"/>
                      <w:color w:val="auto"/>
                      <w:kern w:val="2"/>
                      <w:sz w:val="18"/>
                      <w:szCs w:val="18"/>
                    </w:rPr>
                    <w:t>贮存场所名称</w:t>
                  </w:r>
                </w:p>
              </w:tc>
              <w:tc>
                <w:tcPr>
                  <w:tcW w:w="815" w:type="pct"/>
                  <w:tcBorders>
                    <w:tl2br w:val="nil"/>
                    <w:tr2bl w:val="nil"/>
                  </w:tcBorders>
                  <w:noWrap w:val="0"/>
                  <w:vAlign w:val="center"/>
                </w:tcPr>
                <w:p w14:paraId="458A5AF6">
                  <w:pPr>
                    <w:pStyle w:val="60"/>
                    <w:rPr>
                      <w:rFonts w:hint="eastAsia"/>
                      <w:color w:val="auto"/>
                      <w:kern w:val="2"/>
                      <w:sz w:val="18"/>
                      <w:szCs w:val="18"/>
                    </w:rPr>
                  </w:pPr>
                  <w:r>
                    <w:rPr>
                      <w:rFonts w:hint="eastAsia"/>
                      <w:color w:val="auto"/>
                      <w:kern w:val="2"/>
                      <w:sz w:val="18"/>
                      <w:szCs w:val="18"/>
                    </w:rPr>
                    <w:t>危险废物名称</w:t>
                  </w:r>
                </w:p>
              </w:tc>
              <w:tc>
                <w:tcPr>
                  <w:tcW w:w="553" w:type="pct"/>
                  <w:tcBorders>
                    <w:tl2br w:val="nil"/>
                    <w:tr2bl w:val="nil"/>
                  </w:tcBorders>
                  <w:noWrap w:val="0"/>
                  <w:vAlign w:val="center"/>
                </w:tcPr>
                <w:p w14:paraId="326DFFED">
                  <w:pPr>
                    <w:pStyle w:val="60"/>
                    <w:rPr>
                      <w:rFonts w:hint="eastAsia"/>
                      <w:color w:val="auto"/>
                      <w:kern w:val="2"/>
                      <w:sz w:val="18"/>
                      <w:szCs w:val="18"/>
                    </w:rPr>
                  </w:pPr>
                  <w:r>
                    <w:rPr>
                      <w:rFonts w:hint="eastAsia"/>
                      <w:color w:val="auto"/>
                      <w:kern w:val="2"/>
                      <w:sz w:val="18"/>
                      <w:szCs w:val="18"/>
                    </w:rPr>
                    <w:t>危废</w:t>
                  </w:r>
                </w:p>
                <w:p w14:paraId="2C243594">
                  <w:pPr>
                    <w:pStyle w:val="60"/>
                    <w:rPr>
                      <w:rFonts w:hint="eastAsia"/>
                      <w:color w:val="auto"/>
                      <w:kern w:val="2"/>
                      <w:sz w:val="18"/>
                      <w:szCs w:val="18"/>
                    </w:rPr>
                  </w:pPr>
                  <w:r>
                    <w:rPr>
                      <w:rFonts w:hint="eastAsia"/>
                      <w:color w:val="auto"/>
                      <w:kern w:val="2"/>
                      <w:sz w:val="18"/>
                      <w:szCs w:val="18"/>
                    </w:rPr>
                    <w:t>类别</w:t>
                  </w:r>
                </w:p>
              </w:tc>
              <w:tc>
                <w:tcPr>
                  <w:tcW w:w="656" w:type="pct"/>
                  <w:tcBorders>
                    <w:tl2br w:val="nil"/>
                    <w:tr2bl w:val="nil"/>
                  </w:tcBorders>
                  <w:noWrap w:val="0"/>
                  <w:vAlign w:val="center"/>
                </w:tcPr>
                <w:p w14:paraId="41C50418">
                  <w:pPr>
                    <w:pStyle w:val="60"/>
                    <w:rPr>
                      <w:rFonts w:hint="eastAsia"/>
                      <w:color w:val="auto"/>
                      <w:kern w:val="2"/>
                      <w:sz w:val="18"/>
                      <w:szCs w:val="18"/>
                    </w:rPr>
                  </w:pPr>
                  <w:r>
                    <w:rPr>
                      <w:rFonts w:hint="eastAsia"/>
                      <w:color w:val="auto"/>
                      <w:kern w:val="2"/>
                      <w:sz w:val="18"/>
                      <w:szCs w:val="18"/>
                    </w:rPr>
                    <w:t>危险废物代码</w:t>
                  </w:r>
                </w:p>
              </w:tc>
              <w:tc>
                <w:tcPr>
                  <w:tcW w:w="409" w:type="pct"/>
                  <w:tcBorders>
                    <w:tl2br w:val="nil"/>
                    <w:tr2bl w:val="nil"/>
                  </w:tcBorders>
                  <w:noWrap w:val="0"/>
                  <w:vAlign w:val="center"/>
                </w:tcPr>
                <w:p w14:paraId="29039600">
                  <w:pPr>
                    <w:pStyle w:val="60"/>
                    <w:rPr>
                      <w:rFonts w:hint="eastAsia"/>
                      <w:color w:val="auto"/>
                      <w:kern w:val="2"/>
                      <w:sz w:val="18"/>
                      <w:szCs w:val="18"/>
                    </w:rPr>
                  </w:pPr>
                  <w:r>
                    <w:rPr>
                      <w:rFonts w:hint="eastAsia"/>
                      <w:color w:val="auto"/>
                      <w:kern w:val="2"/>
                      <w:sz w:val="18"/>
                      <w:szCs w:val="18"/>
                    </w:rPr>
                    <w:t>位置</w:t>
                  </w:r>
                </w:p>
              </w:tc>
              <w:tc>
                <w:tcPr>
                  <w:tcW w:w="409" w:type="pct"/>
                  <w:tcBorders>
                    <w:tl2br w:val="nil"/>
                    <w:tr2bl w:val="nil"/>
                  </w:tcBorders>
                  <w:noWrap w:val="0"/>
                  <w:vAlign w:val="center"/>
                </w:tcPr>
                <w:p w14:paraId="6561FCA8">
                  <w:pPr>
                    <w:pStyle w:val="60"/>
                    <w:rPr>
                      <w:rFonts w:hint="eastAsia"/>
                      <w:color w:val="auto"/>
                      <w:kern w:val="2"/>
                      <w:sz w:val="18"/>
                      <w:szCs w:val="18"/>
                    </w:rPr>
                  </w:pPr>
                  <w:r>
                    <w:rPr>
                      <w:rFonts w:hint="eastAsia"/>
                      <w:color w:val="auto"/>
                      <w:kern w:val="2"/>
                      <w:sz w:val="18"/>
                      <w:szCs w:val="18"/>
                    </w:rPr>
                    <w:t>占地面积</w:t>
                  </w:r>
                </w:p>
              </w:tc>
              <w:tc>
                <w:tcPr>
                  <w:tcW w:w="495" w:type="pct"/>
                  <w:tcBorders>
                    <w:tl2br w:val="nil"/>
                    <w:tr2bl w:val="nil"/>
                  </w:tcBorders>
                  <w:noWrap w:val="0"/>
                  <w:vAlign w:val="center"/>
                </w:tcPr>
                <w:p w14:paraId="4024315C">
                  <w:pPr>
                    <w:pStyle w:val="60"/>
                    <w:rPr>
                      <w:rFonts w:hint="eastAsia"/>
                      <w:color w:val="auto"/>
                      <w:kern w:val="2"/>
                      <w:sz w:val="18"/>
                      <w:szCs w:val="18"/>
                    </w:rPr>
                  </w:pPr>
                  <w:r>
                    <w:rPr>
                      <w:rFonts w:hint="eastAsia"/>
                      <w:color w:val="auto"/>
                      <w:kern w:val="2"/>
                      <w:sz w:val="18"/>
                      <w:szCs w:val="18"/>
                    </w:rPr>
                    <w:t>贮存方式</w:t>
                  </w:r>
                </w:p>
              </w:tc>
              <w:tc>
                <w:tcPr>
                  <w:tcW w:w="404" w:type="pct"/>
                  <w:tcBorders>
                    <w:tl2br w:val="nil"/>
                    <w:tr2bl w:val="nil"/>
                  </w:tcBorders>
                  <w:noWrap w:val="0"/>
                  <w:vAlign w:val="center"/>
                </w:tcPr>
                <w:p w14:paraId="28EA7B06">
                  <w:pPr>
                    <w:pStyle w:val="60"/>
                    <w:rPr>
                      <w:rFonts w:hint="eastAsia"/>
                      <w:color w:val="auto"/>
                      <w:kern w:val="2"/>
                      <w:sz w:val="18"/>
                      <w:szCs w:val="18"/>
                    </w:rPr>
                  </w:pPr>
                  <w:r>
                    <w:rPr>
                      <w:rFonts w:hint="eastAsia"/>
                      <w:color w:val="auto"/>
                      <w:kern w:val="2"/>
                      <w:sz w:val="18"/>
                      <w:szCs w:val="18"/>
                    </w:rPr>
                    <w:t>贮存能力</w:t>
                  </w:r>
                </w:p>
              </w:tc>
              <w:tc>
                <w:tcPr>
                  <w:tcW w:w="404" w:type="pct"/>
                  <w:tcBorders>
                    <w:tl2br w:val="nil"/>
                    <w:tr2bl w:val="nil"/>
                  </w:tcBorders>
                  <w:noWrap w:val="0"/>
                  <w:vAlign w:val="center"/>
                </w:tcPr>
                <w:p w14:paraId="1F180B05">
                  <w:pPr>
                    <w:pStyle w:val="60"/>
                    <w:rPr>
                      <w:rFonts w:hint="eastAsia"/>
                      <w:color w:val="auto"/>
                      <w:kern w:val="2"/>
                      <w:sz w:val="18"/>
                      <w:szCs w:val="18"/>
                    </w:rPr>
                  </w:pPr>
                  <w:r>
                    <w:rPr>
                      <w:rFonts w:hint="eastAsia"/>
                      <w:color w:val="auto"/>
                      <w:kern w:val="2"/>
                      <w:sz w:val="18"/>
                      <w:szCs w:val="18"/>
                    </w:rPr>
                    <w:t>贮存</w:t>
                  </w:r>
                </w:p>
                <w:p w14:paraId="00933A11">
                  <w:pPr>
                    <w:pStyle w:val="60"/>
                    <w:rPr>
                      <w:rFonts w:hint="eastAsia"/>
                      <w:color w:val="auto"/>
                      <w:kern w:val="2"/>
                      <w:sz w:val="18"/>
                      <w:szCs w:val="18"/>
                    </w:rPr>
                  </w:pPr>
                  <w:r>
                    <w:rPr>
                      <w:rFonts w:hint="eastAsia"/>
                      <w:color w:val="auto"/>
                      <w:kern w:val="2"/>
                      <w:sz w:val="18"/>
                      <w:szCs w:val="18"/>
                    </w:rPr>
                    <w:t>周期</w:t>
                  </w:r>
                </w:p>
              </w:tc>
            </w:tr>
            <w:tr w14:paraId="58B1A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tcBorders>
                    <w:tl2br w:val="nil"/>
                    <w:tr2bl w:val="nil"/>
                  </w:tcBorders>
                  <w:noWrap w:val="0"/>
                  <w:vAlign w:val="center"/>
                </w:tcPr>
                <w:p w14:paraId="6686C50C">
                  <w:pPr>
                    <w:pStyle w:val="60"/>
                    <w:rPr>
                      <w:rFonts w:hint="default" w:eastAsia="宋体"/>
                      <w:color w:val="auto"/>
                      <w:kern w:val="2"/>
                      <w:sz w:val="18"/>
                      <w:szCs w:val="18"/>
                      <w:lang w:val="en-US" w:eastAsia="zh-CN"/>
                    </w:rPr>
                  </w:pPr>
                  <w:r>
                    <w:rPr>
                      <w:rFonts w:hint="eastAsia" w:eastAsia="宋体"/>
                      <w:color w:val="auto"/>
                      <w:kern w:val="2"/>
                      <w:sz w:val="18"/>
                      <w:szCs w:val="18"/>
                      <w:lang w:val="en-US" w:eastAsia="zh-CN"/>
                    </w:rPr>
                    <w:t>1</w:t>
                  </w:r>
                </w:p>
              </w:tc>
              <w:tc>
                <w:tcPr>
                  <w:tcW w:w="548" w:type="pct"/>
                  <w:vMerge w:val="restart"/>
                  <w:tcBorders>
                    <w:tl2br w:val="nil"/>
                    <w:tr2bl w:val="nil"/>
                  </w:tcBorders>
                  <w:noWrap w:val="0"/>
                  <w:vAlign w:val="center"/>
                </w:tcPr>
                <w:p w14:paraId="54561956">
                  <w:pPr>
                    <w:pStyle w:val="60"/>
                    <w:rPr>
                      <w:rFonts w:hint="default" w:eastAsia="宋体"/>
                      <w:color w:val="auto"/>
                      <w:kern w:val="2"/>
                      <w:sz w:val="18"/>
                      <w:szCs w:val="18"/>
                      <w:lang w:val="en-US" w:eastAsia="zh-CN"/>
                    </w:rPr>
                  </w:pPr>
                  <w:r>
                    <w:rPr>
                      <w:rFonts w:hint="eastAsia"/>
                      <w:color w:val="auto"/>
                      <w:kern w:val="2"/>
                      <w:sz w:val="18"/>
                      <w:szCs w:val="18"/>
                      <w:lang w:val="en-US" w:eastAsia="zh-CN"/>
                    </w:rPr>
                    <w:t>危废暂存间</w:t>
                  </w:r>
                </w:p>
              </w:tc>
              <w:tc>
                <w:tcPr>
                  <w:tcW w:w="815" w:type="pct"/>
                  <w:tcBorders>
                    <w:tl2br w:val="nil"/>
                    <w:tr2bl w:val="nil"/>
                  </w:tcBorders>
                  <w:noWrap w:val="0"/>
                  <w:vAlign w:val="center"/>
                </w:tcPr>
                <w:p w14:paraId="1D366FE6">
                  <w:pPr>
                    <w:pStyle w:val="60"/>
                    <w:rPr>
                      <w:rFonts w:hint="eastAsia"/>
                      <w:color w:val="auto"/>
                      <w:kern w:val="2"/>
                      <w:sz w:val="18"/>
                      <w:szCs w:val="18"/>
                    </w:rPr>
                  </w:pPr>
                  <w:r>
                    <w:rPr>
                      <w:rFonts w:hint="eastAsia"/>
                      <w:color w:val="auto"/>
                      <w:sz w:val="18"/>
                      <w:szCs w:val="18"/>
                      <w:lang w:val="en-US" w:eastAsia="zh-CN"/>
                    </w:rPr>
                    <w:t>废</w:t>
                  </w:r>
                  <w:r>
                    <w:rPr>
                      <w:rFonts w:hint="eastAsia"/>
                      <w:color w:val="auto"/>
                      <w:sz w:val="18"/>
                      <w:szCs w:val="18"/>
                    </w:rPr>
                    <w:t>水处理污泥</w:t>
                  </w:r>
                </w:p>
              </w:tc>
              <w:tc>
                <w:tcPr>
                  <w:tcW w:w="553" w:type="pct"/>
                  <w:tcBorders>
                    <w:tl2br w:val="nil"/>
                    <w:tr2bl w:val="nil"/>
                  </w:tcBorders>
                  <w:noWrap w:val="0"/>
                  <w:vAlign w:val="center"/>
                </w:tcPr>
                <w:p w14:paraId="710AE401">
                  <w:pPr>
                    <w:pStyle w:val="60"/>
                    <w:rPr>
                      <w:rFonts w:hint="default" w:eastAsia="宋体"/>
                      <w:color w:val="auto"/>
                      <w:sz w:val="18"/>
                      <w:szCs w:val="18"/>
                      <w:lang w:val="en-US" w:eastAsia="zh-CN"/>
                    </w:rPr>
                  </w:pPr>
                  <w:r>
                    <w:rPr>
                      <w:color w:val="auto"/>
                      <w:sz w:val="18"/>
                      <w:szCs w:val="18"/>
                    </w:rPr>
                    <w:t>HW</w:t>
                  </w:r>
                  <w:r>
                    <w:rPr>
                      <w:rFonts w:hint="eastAsia"/>
                      <w:color w:val="auto"/>
                      <w:sz w:val="18"/>
                      <w:szCs w:val="18"/>
                      <w:lang w:val="en-US" w:eastAsia="zh-CN"/>
                    </w:rPr>
                    <w:t>08</w:t>
                  </w:r>
                </w:p>
              </w:tc>
              <w:tc>
                <w:tcPr>
                  <w:tcW w:w="656" w:type="pct"/>
                  <w:tcBorders>
                    <w:tl2br w:val="nil"/>
                    <w:tr2bl w:val="nil"/>
                  </w:tcBorders>
                  <w:noWrap w:val="0"/>
                  <w:vAlign w:val="center"/>
                </w:tcPr>
                <w:p w14:paraId="5ED06E16">
                  <w:pPr>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900-210-08</w:t>
                  </w:r>
                </w:p>
              </w:tc>
              <w:tc>
                <w:tcPr>
                  <w:tcW w:w="409" w:type="pct"/>
                  <w:vMerge w:val="restart"/>
                  <w:tcBorders>
                    <w:tl2br w:val="nil"/>
                    <w:tr2bl w:val="nil"/>
                  </w:tcBorders>
                  <w:noWrap w:val="0"/>
                  <w:vAlign w:val="center"/>
                </w:tcPr>
                <w:p w14:paraId="58A48EF2">
                  <w:pPr>
                    <w:pStyle w:val="60"/>
                    <w:rPr>
                      <w:rFonts w:hint="default" w:eastAsia="宋体"/>
                      <w:color w:val="auto"/>
                      <w:kern w:val="2"/>
                      <w:sz w:val="18"/>
                      <w:szCs w:val="18"/>
                      <w:lang w:val="en-US" w:eastAsia="zh-CN"/>
                    </w:rPr>
                  </w:pPr>
                  <w:r>
                    <w:rPr>
                      <w:rFonts w:hint="eastAsia"/>
                      <w:color w:val="auto"/>
                      <w:kern w:val="2"/>
                      <w:sz w:val="18"/>
                      <w:szCs w:val="18"/>
                      <w:lang w:val="en-US" w:eastAsia="zh-CN"/>
                    </w:rPr>
                    <w:t>西厂区东北角</w:t>
                  </w:r>
                </w:p>
              </w:tc>
              <w:tc>
                <w:tcPr>
                  <w:tcW w:w="409" w:type="pct"/>
                  <w:vMerge w:val="restart"/>
                  <w:tcBorders>
                    <w:tl2br w:val="nil"/>
                    <w:tr2bl w:val="nil"/>
                  </w:tcBorders>
                  <w:noWrap w:val="0"/>
                  <w:vAlign w:val="center"/>
                </w:tcPr>
                <w:p w14:paraId="36D96E13">
                  <w:pPr>
                    <w:pStyle w:val="60"/>
                    <w:rPr>
                      <w:rFonts w:hint="default" w:eastAsia="宋体"/>
                      <w:color w:val="auto"/>
                      <w:kern w:val="2"/>
                      <w:sz w:val="18"/>
                      <w:szCs w:val="18"/>
                      <w:lang w:val="en-US" w:eastAsia="zh-CN"/>
                    </w:rPr>
                  </w:pPr>
                  <w:r>
                    <w:rPr>
                      <w:rFonts w:hint="eastAsia"/>
                      <w:color w:val="auto"/>
                      <w:kern w:val="2"/>
                      <w:sz w:val="18"/>
                      <w:szCs w:val="18"/>
                      <w:lang w:val="en-US" w:eastAsia="zh-CN"/>
                    </w:rPr>
                    <w:t>15m</w:t>
                  </w:r>
                  <w:r>
                    <w:rPr>
                      <w:rFonts w:hint="eastAsia"/>
                      <w:color w:val="auto"/>
                      <w:kern w:val="2"/>
                      <w:sz w:val="18"/>
                      <w:szCs w:val="18"/>
                      <w:vertAlign w:val="superscript"/>
                      <w:lang w:val="en-US" w:eastAsia="zh-CN"/>
                    </w:rPr>
                    <w:t>2</w:t>
                  </w:r>
                </w:p>
              </w:tc>
              <w:tc>
                <w:tcPr>
                  <w:tcW w:w="495" w:type="pct"/>
                  <w:tcBorders>
                    <w:tl2br w:val="nil"/>
                    <w:tr2bl w:val="nil"/>
                  </w:tcBorders>
                  <w:noWrap w:val="0"/>
                  <w:vAlign w:val="center"/>
                </w:tcPr>
                <w:p w14:paraId="351DA492">
                  <w:pPr>
                    <w:pStyle w:val="60"/>
                    <w:rPr>
                      <w:rFonts w:hint="eastAsia"/>
                      <w:color w:val="auto"/>
                      <w:kern w:val="2"/>
                      <w:sz w:val="18"/>
                      <w:szCs w:val="18"/>
                    </w:rPr>
                  </w:pPr>
                  <w:r>
                    <w:rPr>
                      <w:rFonts w:hint="eastAsia"/>
                      <w:color w:val="auto"/>
                      <w:kern w:val="2"/>
                      <w:sz w:val="18"/>
                      <w:szCs w:val="18"/>
                    </w:rPr>
                    <w:t>密封桶</w:t>
                  </w:r>
                </w:p>
              </w:tc>
              <w:tc>
                <w:tcPr>
                  <w:tcW w:w="404" w:type="pct"/>
                  <w:vMerge w:val="restart"/>
                  <w:tcBorders>
                    <w:tl2br w:val="nil"/>
                    <w:tr2bl w:val="nil"/>
                  </w:tcBorders>
                  <w:noWrap w:val="0"/>
                  <w:vAlign w:val="center"/>
                </w:tcPr>
                <w:p w14:paraId="117B3CB9">
                  <w:pPr>
                    <w:pStyle w:val="60"/>
                    <w:rPr>
                      <w:rFonts w:hint="default" w:eastAsia="宋体"/>
                      <w:color w:val="auto"/>
                      <w:kern w:val="2"/>
                      <w:sz w:val="18"/>
                      <w:szCs w:val="18"/>
                      <w:lang w:val="en-US" w:eastAsia="zh-CN"/>
                    </w:rPr>
                  </w:pPr>
                  <w:r>
                    <w:rPr>
                      <w:rFonts w:hint="eastAsia"/>
                      <w:color w:val="auto"/>
                      <w:kern w:val="2"/>
                      <w:sz w:val="18"/>
                      <w:szCs w:val="18"/>
                      <w:lang w:val="en-US" w:eastAsia="zh-CN"/>
                    </w:rPr>
                    <w:t>20t</w:t>
                  </w:r>
                </w:p>
              </w:tc>
              <w:tc>
                <w:tcPr>
                  <w:tcW w:w="404" w:type="pct"/>
                  <w:tcBorders>
                    <w:tl2br w:val="nil"/>
                    <w:tr2bl w:val="nil"/>
                  </w:tcBorders>
                  <w:noWrap w:val="0"/>
                  <w:vAlign w:val="center"/>
                </w:tcPr>
                <w:p w14:paraId="5D4036FD">
                  <w:pPr>
                    <w:pStyle w:val="60"/>
                    <w:rPr>
                      <w:rFonts w:hint="eastAsia"/>
                      <w:color w:val="auto"/>
                      <w:kern w:val="2"/>
                      <w:sz w:val="18"/>
                      <w:szCs w:val="18"/>
                    </w:rPr>
                  </w:pPr>
                  <w:r>
                    <w:rPr>
                      <w:rFonts w:hint="eastAsia"/>
                      <w:color w:val="auto"/>
                      <w:kern w:val="2"/>
                      <w:sz w:val="18"/>
                      <w:szCs w:val="18"/>
                    </w:rPr>
                    <w:t>1年</w:t>
                  </w:r>
                </w:p>
              </w:tc>
            </w:tr>
            <w:tr w14:paraId="23460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tcBorders>
                    <w:tl2br w:val="nil"/>
                    <w:tr2bl w:val="nil"/>
                  </w:tcBorders>
                  <w:noWrap w:val="0"/>
                  <w:vAlign w:val="center"/>
                </w:tcPr>
                <w:p w14:paraId="170D113A">
                  <w:pPr>
                    <w:pStyle w:val="60"/>
                    <w:rPr>
                      <w:rFonts w:hint="default" w:eastAsia="宋体"/>
                      <w:color w:val="auto"/>
                      <w:kern w:val="2"/>
                      <w:sz w:val="18"/>
                      <w:szCs w:val="18"/>
                      <w:lang w:val="en-US" w:eastAsia="zh-CN"/>
                    </w:rPr>
                  </w:pPr>
                  <w:r>
                    <w:rPr>
                      <w:rFonts w:hint="eastAsia" w:eastAsia="宋体"/>
                      <w:color w:val="auto"/>
                      <w:kern w:val="2"/>
                      <w:sz w:val="18"/>
                      <w:szCs w:val="18"/>
                      <w:lang w:val="en-US" w:eastAsia="zh-CN"/>
                    </w:rPr>
                    <w:t>2</w:t>
                  </w:r>
                </w:p>
              </w:tc>
              <w:tc>
                <w:tcPr>
                  <w:tcW w:w="548" w:type="pct"/>
                  <w:vMerge w:val="continue"/>
                  <w:tcBorders>
                    <w:tl2br w:val="nil"/>
                    <w:tr2bl w:val="nil"/>
                  </w:tcBorders>
                  <w:noWrap w:val="0"/>
                  <w:vAlign w:val="center"/>
                </w:tcPr>
                <w:p w14:paraId="3D49676B">
                  <w:pPr>
                    <w:pStyle w:val="60"/>
                    <w:rPr>
                      <w:color w:val="auto"/>
                      <w:kern w:val="2"/>
                      <w:sz w:val="18"/>
                      <w:szCs w:val="18"/>
                    </w:rPr>
                  </w:pPr>
                </w:p>
              </w:tc>
              <w:tc>
                <w:tcPr>
                  <w:tcW w:w="815" w:type="pct"/>
                  <w:tcBorders>
                    <w:tl2br w:val="nil"/>
                    <w:tr2bl w:val="nil"/>
                  </w:tcBorders>
                  <w:noWrap w:val="0"/>
                  <w:vAlign w:val="center"/>
                </w:tcPr>
                <w:p w14:paraId="4BBB20C6">
                  <w:pPr>
                    <w:pStyle w:val="60"/>
                    <w:rPr>
                      <w:rFonts w:hint="eastAsia"/>
                      <w:color w:val="auto"/>
                      <w:kern w:val="2"/>
                      <w:sz w:val="18"/>
                      <w:szCs w:val="18"/>
                    </w:rPr>
                  </w:pPr>
                  <w:r>
                    <w:rPr>
                      <w:rFonts w:hint="eastAsia"/>
                      <w:color w:val="auto"/>
                      <w:kern w:val="2"/>
                      <w:sz w:val="18"/>
                      <w:szCs w:val="18"/>
                    </w:rPr>
                    <w:t>废润滑油</w:t>
                  </w:r>
                </w:p>
              </w:tc>
              <w:tc>
                <w:tcPr>
                  <w:tcW w:w="553" w:type="pct"/>
                  <w:tcBorders>
                    <w:tl2br w:val="nil"/>
                    <w:tr2bl w:val="nil"/>
                  </w:tcBorders>
                  <w:noWrap w:val="0"/>
                  <w:vAlign w:val="center"/>
                </w:tcPr>
                <w:p w14:paraId="4DD949FE">
                  <w:pPr>
                    <w:pStyle w:val="60"/>
                    <w:rPr>
                      <w:rFonts w:hint="eastAsia"/>
                      <w:color w:val="auto"/>
                      <w:sz w:val="18"/>
                      <w:szCs w:val="18"/>
                    </w:rPr>
                  </w:pPr>
                  <w:r>
                    <w:rPr>
                      <w:rFonts w:hint="eastAsia"/>
                      <w:color w:val="auto"/>
                      <w:sz w:val="18"/>
                      <w:szCs w:val="18"/>
                    </w:rPr>
                    <w:t>HW08</w:t>
                  </w:r>
                </w:p>
              </w:tc>
              <w:tc>
                <w:tcPr>
                  <w:tcW w:w="656" w:type="pct"/>
                  <w:tcBorders>
                    <w:tl2br w:val="nil"/>
                    <w:tr2bl w:val="nil"/>
                  </w:tcBorders>
                  <w:noWrap w:val="0"/>
                  <w:vAlign w:val="center"/>
                </w:tcPr>
                <w:p w14:paraId="5164D872">
                  <w:pPr>
                    <w:spacing w:line="240" w:lineRule="auto"/>
                    <w:ind w:firstLine="0" w:firstLineChars="0"/>
                    <w:jc w:val="center"/>
                    <w:rPr>
                      <w:rFonts w:hint="eastAsia"/>
                      <w:color w:val="auto"/>
                      <w:sz w:val="18"/>
                      <w:szCs w:val="18"/>
                      <w:lang w:bidi="ar"/>
                    </w:rPr>
                  </w:pPr>
                  <w:r>
                    <w:rPr>
                      <w:rFonts w:hint="eastAsia"/>
                      <w:color w:val="auto"/>
                      <w:sz w:val="18"/>
                      <w:szCs w:val="18"/>
                      <w:lang w:bidi="ar"/>
                    </w:rPr>
                    <w:t>900-217-08</w:t>
                  </w:r>
                </w:p>
              </w:tc>
              <w:tc>
                <w:tcPr>
                  <w:tcW w:w="409" w:type="pct"/>
                  <w:vMerge w:val="continue"/>
                  <w:tcBorders>
                    <w:tl2br w:val="nil"/>
                    <w:tr2bl w:val="nil"/>
                  </w:tcBorders>
                  <w:noWrap w:val="0"/>
                  <w:vAlign w:val="center"/>
                </w:tcPr>
                <w:p w14:paraId="0A9A7137">
                  <w:pPr>
                    <w:pStyle w:val="60"/>
                    <w:rPr>
                      <w:color w:val="auto"/>
                      <w:kern w:val="2"/>
                      <w:sz w:val="18"/>
                      <w:szCs w:val="18"/>
                    </w:rPr>
                  </w:pPr>
                </w:p>
              </w:tc>
              <w:tc>
                <w:tcPr>
                  <w:tcW w:w="409" w:type="pct"/>
                  <w:vMerge w:val="continue"/>
                  <w:tcBorders>
                    <w:tl2br w:val="nil"/>
                    <w:tr2bl w:val="nil"/>
                  </w:tcBorders>
                  <w:noWrap w:val="0"/>
                  <w:vAlign w:val="center"/>
                </w:tcPr>
                <w:p w14:paraId="0DB1B9A9">
                  <w:pPr>
                    <w:pStyle w:val="60"/>
                    <w:rPr>
                      <w:color w:val="auto"/>
                      <w:kern w:val="2"/>
                      <w:sz w:val="18"/>
                      <w:szCs w:val="18"/>
                    </w:rPr>
                  </w:pPr>
                </w:p>
              </w:tc>
              <w:tc>
                <w:tcPr>
                  <w:tcW w:w="495" w:type="pct"/>
                  <w:tcBorders>
                    <w:tl2br w:val="nil"/>
                    <w:tr2bl w:val="nil"/>
                  </w:tcBorders>
                  <w:noWrap w:val="0"/>
                  <w:vAlign w:val="center"/>
                </w:tcPr>
                <w:p w14:paraId="20CDD804">
                  <w:pPr>
                    <w:pStyle w:val="60"/>
                    <w:rPr>
                      <w:rFonts w:hint="eastAsia"/>
                      <w:color w:val="auto"/>
                      <w:kern w:val="2"/>
                      <w:sz w:val="18"/>
                      <w:szCs w:val="18"/>
                    </w:rPr>
                  </w:pPr>
                  <w:r>
                    <w:rPr>
                      <w:rFonts w:hint="eastAsia"/>
                      <w:color w:val="auto"/>
                      <w:kern w:val="2"/>
                      <w:sz w:val="18"/>
                      <w:szCs w:val="18"/>
                    </w:rPr>
                    <w:t>密封桶</w:t>
                  </w:r>
                </w:p>
              </w:tc>
              <w:tc>
                <w:tcPr>
                  <w:tcW w:w="404" w:type="pct"/>
                  <w:vMerge w:val="continue"/>
                  <w:tcBorders>
                    <w:tl2br w:val="nil"/>
                    <w:tr2bl w:val="nil"/>
                  </w:tcBorders>
                  <w:noWrap w:val="0"/>
                  <w:vAlign w:val="center"/>
                </w:tcPr>
                <w:p w14:paraId="27C70359">
                  <w:pPr>
                    <w:pStyle w:val="60"/>
                    <w:rPr>
                      <w:color w:val="auto"/>
                      <w:kern w:val="2"/>
                      <w:sz w:val="18"/>
                      <w:szCs w:val="18"/>
                    </w:rPr>
                  </w:pPr>
                </w:p>
              </w:tc>
              <w:tc>
                <w:tcPr>
                  <w:tcW w:w="404" w:type="pct"/>
                  <w:tcBorders>
                    <w:tl2br w:val="nil"/>
                    <w:tr2bl w:val="nil"/>
                  </w:tcBorders>
                  <w:noWrap w:val="0"/>
                  <w:vAlign w:val="center"/>
                </w:tcPr>
                <w:p w14:paraId="2EAE6A12">
                  <w:pPr>
                    <w:pStyle w:val="60"/>
                    <w:rPr>
                      <w:rFonts w:hint="eastAsia"/>
                      <w:color w:val="auto"/>
                      <w:kern w:val="2"/>
                      <w:sz w:val="18"/>
                      <w:szCs w:val="18"/>
                    </w:rPr>
                  </w:pPr>
                  <w:r>
                    <w:rPr>
                      <w:rFonts w:hint="eastAsia"/>
                      <w:color w:val="auto"/>
                      <w:kern w:val="2"/>
                      <w:sz w:val="18"/>
                      <w:szCs w:val="18"/>
                    </w:rPr>
                    <w:t>1年</w:t>
                  </w:r>
                </w:p>
              </w:tc>
            </w:tr>
            <w:tr w14:paraId="3B000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tcBorders>
                    <w:tl2br w:val="nil"/>
                    <w:tr2bl w:val="nil"/>
                  </w:tcBorders>
                  <w:noWrap w:val="0"/>
                  <w:vAlign w:val="center"/>
                </w:tcPr>
                <w:p w14:paraId="4FE2F785">
                  <w:pPr>
                    <w:pStyle w:val="60"/>
                    <w:rPr>
                      <w:rFonts w:hint="default" w:eastAsia="宋体"/>
                      <w:color w:val="auto"/>
                      <w:kern w:val="2"/>
                      <w:sz w:val="18"/>
                      <w:szCs w:val="18"/>
                      <w:lang w:val="en-US" w:eastAsia="zh-CN"/>
                    </w:rPr>
                  </w:pPr>
                  <w:r>
                    <w:rPr>
                      <w:rFonts w:hint="eastAsia" w:eastAsia="宋体"/>
                      <w:color w:val="auto"/>
                      <w:kern w:val="2"/>
                      <w:sz w:val="18"/>
                      <w:szCs w:val="18"/>
                      <w:lang w:val="en-US" w:eastAsia="zh-CN"/>
                    </w:rPr>
                    <w:t>3</w:t>
                  </w:r>
                </w:p>
              </w:tc>
              <w:tc>
                <w:tcPr>
                  <w:tcW w:w="548" w:type="pct"/>
                  <w:vMerge w:val="continue"/>
                  <w:tcBorders>
                    <w:tl2br w:val="nil"/>
                    <w:tr2bl w:val="nil"/>
                  </w:tcBorders>
                  <w:noWrap w:val="0"/>
                  <w:vAlign w:val="center"/>
                </w:tcPr>
                <w:p w14:paraId="1F8A7CBE">
                  <w:pPr>
                    <w:pStyle w:val="60"/>
                    <w:rPr>
                      <w:color w:val="auto"/>
                      <w:kern w:val="2"/>
                      <w:sz w:val="18"/>
                      <w:szCs w:val="18"/>
                    </w:rPr>
                  </w:pPr>
                </w:p>
              </w:tc>
              <w:tc>
                <w:tcPr>
                  <w:tcW w:w="815" w:type="pct"/>
                  <w:tcBorders>
                    <w:tl2br w:val="nil"/>
                    <w:tr2bl w:val="nil"/>
                  </w:tcBorders>
                  <w:noWrap w:val="0"/>
                  <w:vAlign w:val="center"/>
                </w:tcPr>
                <w:p w14:paraId="4AB8099B">
                  <w:pPr>
                    <w:pStyle w:val="60"/>
                    <w:rPr>
                      <w:rFonts w:hint="eastAsia"/>
                      <w:color w:val="auto"/>
                      <w:kern w:val="2"/>
                      <w:sz w:val="18"/>
                      <w:szCs w:val="18"/>
                    </w:rPr>
                  </w:pPr>
                  <w:r>
                    <w:rPr>
                      <w:rFonts w:hint="eastAsia"/>
                      <w:color w:val="auto"/>
                      <w:kern w:val="2"/>
                      <w:sz w:val="18"/>
                      <w:szCs w:val="18"/>
                    </w:rPr>
                    <w:t>废润滑油桶</w:t>
                  </w:r>
                </w:p>
              </w:tc>
              <w:tc>
                <w:tcPr>
                  <w:tcW w:w="553" w:type="pct"/>
                  <w:tcBorders>
                    <w:tl2br w:val="nil"/>
                    <w:tr2bl w:val="nil"/>
                  </w:tcBorders>
                  <w:noWrap w:val="0"/>
                  <w:vAlign w:val="center"/>
                </w:tcPr>
                <w:p w14:paraId="39D55913">
                  <w:pPr>
                    <w:pStyle w:val="60"/>
                    <w:rPr>
                      <w:rFonts w:hint="eastAsia"/>
                      <w:color w:val="auto"/>
                      <w:sz w:val="18"/>
                      <w:szCs w:val="18"/>
                    </w:rPr>
                  </w:pPr>
                  <w:r>
                    <w:rPr>
                      <w:rFonts w:hint="eastAsia"/>
                      <w:color w:val="auto"/>
                      <w:sz w:val="18"/>
                      <w:szCs w:val="18"/>
                    </w:rPr>
                    <w:t>HW08</w:t>
                  </w:r>
                </w:p>
              </w:tc>
              <w:tc>
                <w:tcPr>
                  <w:tcW w:w="656" w:type="pct"/>
                  <w:tcBorders>
                    <w:tl2br w:val="nil"/>
                    <w:tr2bl w:val="nil"/>
                  </w:tcBorders>
                  <w:noWrap w:val="0"/>
                  <w:vAlign w:val="center"/>
                </w:tcPr>
                <w:p w14:paraId="53A37E58">
                  <w:pPr>
                    <w:spacing w:line="240" w:lineRule="auto"/>
                    <w:ind w:firstLine="0" w:firstLineChars="0"/>
                    <w:jc w:val="center"/>
                    <w:rPr>
                      <w:rFonts w:hint="eastAsia"/>
                      <w:color w:val="auto"/>
                      <w:sz w:val="18"/>
                      <w:szCs w:val="18"/>
                    </w:rPr>
                  </w:pPr>
                  <w:r>
                    <w:rPr>
                      <w:rFonts w:hint="eastAsia"/>
                      <w:color w:val="auto"/>
                      <w:sz w:val="18"/>
                      <w:szCs w:val="18"/>
                    </w:rPr>
                    <w:t>900-249-08</w:t>
                  </w:r>
                </w:p>
              </w:tc>
              <w:tc>
                <w:tcPr>
                  <w:tcW w:w="409" w:type="pct"/>
                  <w:vMerge w:val="continue"/>
                  <w:tcBorders>
                    <w:tl2br w:val="nil"/>
                    <w:tr2bl w:val="nil"/>
                  </w:tcBorders>
                  <w:noWrap w:val="0"/>
                  <w:vAlign w:val="center"/>
                </w:tcPr>
                <w:p w14:paraId="5000784E">
                  <w:pPr>
                    <w:pStyle w:val="60"/>
                    <w:rPr>
                      <w:color w:val="auto"/>
                      <w:kern w:val="2"/>
                      <w:sz w:val="18"/>
                      <w:szCs w:val="18"/>
                    </w:rPr>
                  </w:pPr>
                </w:p>
              </w:tc>
              <w:tc>
                <w:tcPr>
                  <w:tcW w:w="409" w:type="pct"/>
                  <w:vMerge w:val="continue"/>
                  <w:tcBorders>
                    <w:tl2br w:val="nil"/>
                    <w:tr2bl w:val="nil"/>
                  </w:tcBorders>
                  <w:noWrap w:val="0"/>
                  <w:vAlign w:val="center"/>
                </w:tcPr>
                <w:p w14:paraId="10846760">
                  <w:pPr>
                    <w:pStyle w:val="60"/>
                    <w:rPr>
                      <w:color w:val="auto"/>
                      <w:kern w:val="2"/>
                      <w:sz w:val="18"/>
                      <w:szCs w:val="18"/>
                    </w:rPr>
                  </w:pPr>
                </w:p>
              </w:tc>
              <w:tc>
                <w:tcPr>
                  <w:tcW w:w="495" w:type="pct"/>
                  <w:tcBorders>
                    <w:tl2br w:val="nil"/>
                    <w:tr2bl w:val="nil"/>
                  </w:tcBorders>
                  <w:noWrap w:val="0"/>
                  <w:vAlign w:val="center"/>
                </w:tcPr>
                <w:p w14:paraId="0DE4E793">
                  <w:pPr>
                    <w:pStyle w:val="60"/>
                    <w:rPr>
                      <w:rFonts w:hint="eastAsia"/>
                      <w:color w:val="auto"/>
                      <w:kern w:val="2"/>
                      <w:sz w:val="18"/>
                      <w:szCs w:val="18"/>
                    </w:rPr>
                  </w:pPr>
                  <w:r>
                    <w:rPr>
                      <w:rFonts w:hint="eastAsia"/>
                      <w:color w:val="auto"/>
                      <w:kern w:val="2"/>
                      <w:sz w:val="18"/>
                      <w:szCs w:val="18"/>
                    </w:rPr>
                    <w:t>--</w:t>
                  </w:r>
                </w:p>
              </w:tc>
              <w:tc>
                <w:tcPr>
                  <w:tcW w:w="404" w:type="pct"/>
                  <w:vMerge w:val="continue"/>
                  <w:tcBorders>
                    <w:tl2br w:val="nil"/>
                    <w:tr2bl w:val="nil"/>
                  </w:tcBorders>
                  <w:noWrap w:val="0"/>
                  <w:vAlign w:val="center"/>
                </w:tcPr>
                <w:p w14:paraId="6DE05D84">
                  <w:pPr>
                    <w:pStyle w:val="60"/>
                    <w:rPr>
                      <w:color w:val="auto"/>
                      <w:kern w:val="2"/>
                      <w:sz w:val="18"/>
                      <w:szCs w:val="18"/>
                    </w:rPr>
                  </w:pPr>
                </w:p>
              </w:tc>
              <w:tc>
                <w:tcPr>
                  <w:tcW w:w="404" w:type="pct"/>
                  <w:tcBorders>
                    <w:tl2br w:val="nil"/>
                    <w:tr2bl w:val="nil"/>
                  </w:tcBorders>
                  <w:noWrap w:val="0"/>
                  <w:vAlign w:val="center"/>
                </w:tcPr>
                <w:p w14:paraId="4CC12B92">
                  <w:pPr>
                    <w:pStyle w:val="60"/>
                    <w:rPr>
                      <w:rFonts w:hint="eastAsia"/>
                      <w:color w:val="auto"/>
                      <w:kern w:val="2"/>
                      <w:sz w:val="18"/>
                      <w:szCs w:val="18"/>
                    </w:rPr>
                  </w:pPr>
                  <w:r>
                    <w:rPr>
                      <w:rFonts w:hint="eastAsia"/>
                      <w:color w:val="auto"/>
                      <w:kern w:val="2"/>
                      <w:sz w:val="18"/>
                      <w:szCs w:val="18"/>
                    </w:rPr>
                    <w:t>1年</w:t>
                  </w:r>
                </w:p>
              </w:tc>
            </w:tr>
          </w:tbl>
          <w:p w14:paraId="612328E0">
            <w:pPr>
              <w:keepNext w:val="0"/>
              <w:keepLines w:val="0"/>
              <w:pageBreakBefore w:val="0"/>
              <w:widowControl w:val="0"/>
              <w:kinsoku/>
              <w:wordWrap/>
              <w:overflowPunct/>
              <w:topLinePunct w:val="0"/>
              <w:autoSpaceDE/>
              <w:autoSpaceDN/>
              <w:bidi w:val="0"/>
              <w:adjustRightInd/>
              <w:snapToGrid/>
              <w:spacing w:line="440" w:lineRule="exact"/>
              <w:ind w:firstLine="422"/>
              <w:textAlignment w:val="auto"/>
              <w:rPr>
                <w:rFonts w:hint="eastAsia"/>
                <w:b/>
                <w:bCs/>
                <w:color w:val="auto"/>
              </w:rPr>
            </w:pPr>
            <w:r>
              <w:rPr>
                <w:rFonts w:hint="eastAsia"/>
                <w:b/>
                <w:bCs/>
                <w:color w:val="auto"/>
              </w:rPr>
              <w:t>2、环境管理要求：</w:t>
            </w:r>
          </w:p>
          <w:p w14:paraId="04C9690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（1）一般固废</w:t>
            </w:r>
          </w:p>
          <w:p w14:paraId="2010EB1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①对固体废物实行从产生、收集、运输、贮存直至最终处理实行全过程管理，加强固体废物运输过程的事故风险防范，按照有关法律、法规的要求，对固体废弃物全过程管理应报当地环保行政主管部门等批准。</w:t>
            </w:r>
          </w:p>
          <w:p w14:paraId="52AB170F">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②加强固体废物规范化管理，固体废物分类定点堆放，贮存区须参照《一般工业固体废物贮存和填埋污染控制标准》（GB18599-2020）满足相应“防渗漏、防雨淋、防扬尘”等环境保护要求，并要求设置环保图形标志，指定专人进行日常管理。</w:t>
            </w:r>
          </w:p>
          <w:p w14:paraId="38E42FA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③建立环境管理台账制度，一般工业固体废物环境管理台账记录应符合生态环境部规定的一般工业固体废物环境管理台账相关标准及管理文件要求。</w:t>
            </w:r>
          </w:p>
          <w:p w14:paraId="18D2F69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w:t>
            </w:r>
            <w:r>
              <w:rPr>
                <w:color w:val="auto"/>
              </w:rPr>
              <w:t>2</w:t>
            </w:r>
            <w:r>
              <w:rPr>
                <w:rFonts w:hint="eastAsia"/>
                <w:color w:val="auto"/>
              </w:rPr>
              <w:t>）危险废物</w:t>
            </w:r>
          </w:p>
          <w:p w14:paraId="05A12449">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default" w:eastAsia="宋体"/>
                <w:color w:val="auto"/>
                <w:lang w:val="en-US" w:eastAsia="zh-CN"/>
              </w:rPr>
            </w:pPr>
            <w:r>
              <w:rPr>
                <w:rFonts w:hint="eastAsia"/>
                <w:color w:val="auto"/>
                <w:lang w:val="en-US" w:eastAsia="zh-CN"/>
              </w:rPr>
              <w:t>根据现场踏勘，厂区现有危废暂存间单独设置且上锁，并张贴有危废标识；暂存间内地面已全部进行硬化防渗处理，防渗施工要求能够满足</w:t>
            </w:r>
            <w:r>
              <w:rPr>
                <w:rFonts w:hint="eastAsia"/>
                <w:color w:val="auto"/>
              </w:rPr>
              <w:t>《危险废物贮存污染控制标准》（GB18597-20</w:t>
            </w:r>
            <w:r>
              <w:rPr>
                <w:color w:val="auto"/>
              </w:rPr>
              <w:t>23</w:t>
            </w:r>
            <w:r>
              <w:rPr>
                <w:rFonts w:hint="eastAsia"/>
                <w:color w:val="auto"/>
              </w:rPr>
              <w:t>）</w:t>
            </w:r>
            <w:r>
              <w:rPr>
                <w:rFonts w:hint="eastAsia"/>
                <w:color w:val="auto"/>
                <w:lang w:val="en-US" w:eastAsia="zh-CN"/>
              </w:rPr>
              <w:t>相关要求；并针对不同危险废物采取单独收集、分区贮存的措施；液体危废暂存区均设置防漏托盘，用于收集事故状态下泄漏的液态物料。</w:t>
            </w:r>
          </w:p>
          <w:p w14:paraId="62CAC56A">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default" w:eastAsia="宋体"/>
                <w:color w:val="auto"/>
                <w:lang w:val="en-US" w:eastAsia="zh-CN"/>
              </w:rPr>
            </w:pPr>
            <w:r>
              <w:rPr>
                <w:rFonts w:hint="eastAsia"/>
                <w:color w:val="auto"/>
                <w:lang w:val="en-US" w:eastAsia="zh-CN"/>
              </w:rPr>
              <w:t>综上所述，现有危废暂存间基本满足上述要求，能够做到</w:t>
            </w:r>
            <w:r>
              <w:rPr>
                <w:rFonts w:hint="eastAsia"/>
                <w:color w:val="auto"/>
              </w:rPr>
              <w:t>“四防”（防风、防雨、防晒、防渗漏）要求</w:t>
            </w:r>
            <w:r>
              <w:rPr>
                <w:rFonts w:hint="eastAsia"/>
                <w:color w:val="auto"/>
                <w:lang w:eastAsia="zh-CN"/>
              </w:rPr>
              <w:t>。</w:t>
            </w:r>
          </w:p>
          <w:p w14:paraId="63CE621A">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rPr>
            </w:pPr>
            <w:r>
              <w:rPr>
                <w:rFonts w:hint="eastAsia"/>
                <w:color w:val="auto"/>
              </w:rPr>
              <w:t>总之，本项目实施后对固体废物的处置应本着减量化、资源化、无害化的原则，进行妥善处理，预计可以避免对环境造成二次污染，不会对环境造成不利影响。</w:t>
            </w:r>
          </w:p>
          <w:p w14:paraId="45F38A6B">
            <w:pPr>
              <w:keepNext w:val="0"/>
              <w:keepLines w:val="0"/>
              <w:pageBreakBefore w:val="0"/>
              <w:widowControl w:val="0"/>
              <w:numPr>
                <w:ilvl w:val="0"/>
                <w:numId w:val="3"/>
              </w:numPr>
              <w:kinsoku/>
              <w:wordWrap/>
              <w:overflowPunct/>
              <w:topLinePunct w:val="0"/>
              <w:autoSpaceDE/>
              <w:autoSpaceDN/>
              <w:bidi w:val="0"/>
              <w:spacing w:line="420" w:lineRule="exact"/>
              <w:textAlignment w:val="auto"/>
              <w:rPr>
                <w:b/>
                <w:color w:val="auto"/>
              </w:rPr>
            </w:pPr>
            <w:r>
              <w:rPr>
                <w:b/>
                <w:color w:val="auto"/>
              </w:rPr>
              <w:t>地下水</w:t>
            </w:r>
            <w:r>
              <w:rPr>
                <w:rFonts w:hint="eastAsia"/>
                <w:b/>
                <w:color w:val="auto"/>
                <w:lang w:eastAsia="zh-CN"/>
              </w:rPr>
              <w:t>、</w:t>
            </w:r>
            <w:r>
              <w:rPr>
                <w:rFonts w:hint="eastAsia"/>
                <w:b/>
                <w:color w:val="auto"/>
                <w:lang w:val="en-US" w:eastAsia="zh-CN"/>
              </w:rPr>
              <w:t>土壤</w:t>
            </w:r>
          </w:p>
          <w:p w14:paraId="115F5BF1">
            <w:pPr>
              <w:keepNext w:val="0"/>
              <w:keepLines w:val="0"/>
              <w:pageBreakBefore w:val="0"/>
              <w:widowControl w:val="0"/>
              <w:kinsoku/>
              <w:wordWrap/>
              <w:overflowPunct/>
              <w:topLinePunct w:val="0"/>
              <w:autoSpaceDE/>
              <w:autoSpaceDN/>
              <w:bidi w:val="0"/>
              <w:snapToGrid/>
              <w:spacing w:line="440" w:lineRule="exact"/>
              <w:ind w:firstLine="422" w:firstLineChars="200"/>
              <w:textAlignment w:val="auto"/>
              <w:rPr>
                <w:b/>
                <w:color w:val="auto"/>
                <w:szCs w:val="21"/>
              </w:rPr>
            </w:pPr>
            <w:r>
              <w:rPr>
                <w:rFonts w:hint="eastAsia"/>
                <w:b/>
                <w:color w:val="auto"/>
                <w:szCs w:val="21"/>
              </w:rPr>
              <w:t>1、污染源、污染物类型及污染途径分析</w:t>
            </w:r>
          </w:p>
          <w:p w14:paraId="7925C4C7">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auto"/>
              <w:rPr>
                <w:color w:val="auto"/>
                <w:szCs w:val="21"/>
              </w:rPr>
            </w:pPr>
            <w:r>
              <w:rPr>
                <w:rFonts w:hint="eastAsia"/>
                <w:color w:val="auto"/>
                <w:szCs w:val="21"/>
                <w:lang w:val="en-US" w:eastAsia="zh-CN"/>
              </w:rPr>
              <w:t>本项目为原料、产品罐区安全环保提升技术改造项目，项目建设过程中拟对储罐区、装卸车区</w:t>
            </w:r>
            <w:r>
              <w:rPr>
                <w:rFonts w:hint="eastAsia"/>
                <w:color w:val="auto"/>
                <w:szCs w:val="21"/>
              </w:rPr>
              <w:t>等采取严格的防渗措施，在正常情况下，不会对周边地下水、土壤造成污染，不存在污染途径；但考虑防渗层破裂的极端情形下，本项目地下水和土壤污染源、污染物类型及可能的污染途径见下表：</w:t>
            </w:r>
          </w:p>
          <w:p w14:paraId="189813DA">
            <w:pPr>
              <w:spacing w:before="120" w:beforeLines="50"/>
              <w:jc w:val="center"/>
              <w:rPr>
                <w:b/>
                <w:bCs/>
                <w:color w:val="auto"/>
              </w:rPr>
            </w:pPr>
            <w:r>
              <w:rPr>
                <w:rFonts w:hint="eastAsia"/>
                <w:b/>
                <w:bCs/>
                <w:color w:val="auto"/>
              </w:rPr>
              <w:t>表4-</w:t>
            </w:r>
            <w:r>
              <w:rPr>
                <w:rFonts w:hint="eastAsia"/>
                <w:b/>
                <w:bCs/>
                <w:color w:val="auto"/>
                <w:lang w:val="en-US" w:eastAsia="zh-CN"/>
              </w:rPr>
              <w:t>28</w:t>
            </w:r>
            <w:r>
              <w:rPr>
                <w:rFonts w:hint="eastAsia"/>
                <w:b/>
                <w:bCs/>
                <w:color w:val="auto"/>
              </w:rPr>
              <w:t xml:space="preserve">  项目地下水、土壤污染识别表（极端情形下）</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91"/>
              <w:gridCol w:w="1204"/>
              <w:gridCol w:w="2138"/>
              <w:gridCol w:w="1712"/>
              <w:gridCol w:w="1949"/>
            </w:tblGrid>
            <w:tr w14:paraId="3CB26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6" w:type="dxa"/>
                  <w:tcBorders>
                    <w:tl2br w:val="nil"/>
                    <w:tr2bl w:val="nil"/>
                  </w:tcBorders>
                  <w:vAlign w:val="center"/>
                </w:tcPr>
                <w:p w14:paraId="21731588">
                  <w:pPr>
                    <w:topLinePunct/>
                    <w:adjustRightInd w:val="0"/>
                    <w:snapToGrid w:val="0"/>
                    <w:jc w:val="center"/>
                    <w:rPr>
                      <w:b/>
                      <w:bCs/>
                      <w:color w:val="auto"/>
                      <w:sz w:val="18"/>
                      <w:szCs w:val="18"/>
                    </w:rPr>
                  </w:pPr>
                  <w:r>
                    <w:rPr>
                      <w:rFonts w:hint="eastAsia"/>
                      <w:b/>
                      <w:bCs/>
                      <w:color w:val="auto"/>
                      <w:sz w:val="18"/>
                      <w:szCs w:val="18"/>
                    </w:rPr>
                    <w:t>污染源</w:t>
                  </w:r>
                </w:p>
              </w:tc>
              <w:tc>
                <w:tcPr>
                  <w:tcW w:w="1260" w:type="dxa"/>
                  <w:tcBorders>
                    <w:tl2br w:val="nil"/>
                    <w:tr2bl w:val="nil"/>
                  </w:tcBorders>
                  <w:vAlign w:val="center"/>
                </w:tcPr>
                <w:p w14:paraId="7955BBBA">
                  <w:pPr>
                    <w:topLinePunct/>
                    <w:adjustRightInd w:val="0"/>
                    <w:snapToGrid w:val="0"/>
                    <w:jc w:val="center"/>
                    <w:rPr>
                      <w:b/>
                      <w:bCs/>
                      <w:color w:val="auto"/>
                      <w:sz w:val="18"/>
                      <w:szCs w:val="18"/>
                    </w:rPr>
                  </w:pPr>
                  <w:r>
                    <w:rPr>
                      <w:rFonts w:hint="eastAsia"/>
                      <w:b/>
                      <w:bCs/>
                      <w:color w:val="auto"/>
                      <w:sz w:val="18"/>
                      <w:szCs w:val="18"/>
                    </w:rPr>
                    <w:t>可能污染途径</w:t>
                  </w:r>
                </w:p>
              </w:tc>
              <w:tc>
                <w:tcPr>
                  <w:tcW w:w="2239" w:type="dxa"/>
                  <w:tcBorders>
                    <w:tl2br w:val="nil"/>
                    <w:tr2bl w:val="nil"/>
                  </w:tcBorders>
                  <w:vAlign w:val="center"/>
                </w:tcPr>
                <w:p w14:paraId="0E8D5671">
                  <w:pPr>
                    <w:topLinePunct/>
                    <w:adjustRightInd w:val="0"/>
                    <w:snapToGrid w:val="0"/>
                    <w:jc w:val="center"/>
                    <w:rPr>
                      <w:b/>
                      <w:bCs/>
                      <w:color w:val="auto"/>
                      <w:sz w:val="18"/>
                      <w:szCs w:val="18"/>
                    </w:rPr>
                  </w:pPr>
                  <w:r>
                    <w:rPr>
                      <w:rFonts w:hint="eastAsia"/>
                      <w:b/>
                      <w:bCs/>
                      <w:color w:val="auto"/>
                      <w:sz w:val="18"/>
                      <w:szCs w:val="18"/>
                    </w:rPr>
                    <w:t>全部污染物指标</w:t>
                  </w:r>
                </w:p>
              </w:tc>
              <w:tc>
                <w:tcPr>
                  <w:tcW w:w="1792" w:type="dxa"/>
                  <w:tcBorders>
                    <w:tl2br w:val="nil"/>
                    <w:tr2bl w:val="nil"/>
                  </w:tcBorders>
                  <w:vAlign w:val="center"/>
                </w:tcPr>
                <w:p w14:paraId="074EE938">
                  <w:pPr>
                    <w:topLinePunct/>
                    <w:adjustRightInd w:val="0"/>
                    <w:snapToGrid w:val="0"/>
                    <w:jc w:val="center"/>
                    <w:rPr>
                      <w:b/>
                      <w:bCs/>
                      <w:color w:val="auto"/>
                      <w:sz w:val="18"/>
                      <w:szCs w:val="18"/>
                    </w:rPr>
                  </w:pPr>
                  <w:r>
                    <w:rPr>
                      <w:rFonts w:hint="eastAsia"/>
                      <w:b/>
                      <w:bCs/>
                      <w:color w:val="auto"/>
                      <w:sz w:val="18"/>
                      <w:szCs w:val="18"/>
                    </w:rPr>
                    <w:t>地下水特征因子</w:t>
                  </w:r>
                </w:p>
              </w:tc>
              <w:tc>
                <w:tcPr>
                  <w:tcW w:w="2041" w:type="dxa"/>
                  <w:tcBorders>
                    <w:tl2br w:val="nil"/>
                    <w:tr2bl w:val="nil"/>
                  </w:tcBorders>
                  <w:vAlign w:val="center"/>
                </w:tcPr>
                <w:p w14:paraId="18F0F6B6">
                  <w:pPr>
                    <w:topLinePunct/>
                    <w:adjustRightInd w:val="0"/>
                    <w:snapToGrid w:val="0"/>
                    <w:jc w:val="center"/>
                    <w:rPr>
                      <w:b/>
                      <w:bCs/>
                      <w:color w:val="auto"/>
                      <w:sz w:val="18"/>
                      <w:szCs w:val="18"/>
                    </w:rPr>
                  </w:pPr>
                  <w:r>
                    <w:rPr>
                      <w:rFonts w:hint="eastAsia"/>
                      <w:b/>
                      <w:bCs/>
                      <w:color w:val="auto"/>
                      <w:sz w:val="18"/>
                      <w:szCs w:val="18"/>
                    </w:rPr>
                    <w:t>土壤特征因子</w:t>
                  </w:r>
                </w:p>
              </w:tc>
            </w:tr>
            <w:tr w14:paraId="4A65E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6" w:type="dxa"/>
                  <w:tcBorders>
                    <w:tl2br w:val="nil"/>
                    <w:tr2bl w:val="nil"/>
                  </w:tcBorders>
                  <w:vAlign w:val="center"/>
                </w:tcPr>
                <w:p w14:paraId="30F25675">
                  <w:pPr>
                    <w:topLinePunct/>
                    <w:adjustRightInd w:val="0"/>
                    <w:snapToGrid w:val="0"/>
                    <w:jc w:val="center"/>
                    <w:rPr>
                      <w:rFonts w:hint="eastAsia" w:eastAsia="宋体"/>
                      <w:color w:val="auto"/>
                      <w:sz w:val="18"/>
                      <w:szCs w:val="18"/>
                      <w:lang w:eastAsia="zh-CN"/>
                    </w:rPr>
                  </w:pPr>
                  <w:r>
                    <w:rPr>
                      <w:rFonts w:hint="eastAsia"/>
                      <w:color w:val="auto"/>
                      <w:sz w:val="18"/>
                      <w:szCs w:val="18"/>
                      <w:lang w:val="en-US" w:eastAsia="zh-CN"/>
                    </w:rPr>
                    <w:t>储罐区</w:t>
                  </w:r>
                </w:p>
              </w:tc>
              <w:tc>
                <w:tcPr>
                  <w:tcW w:w="1260" w:type="dxa"/>
                  <w:tcBorders>
                    <w:tl2br w:val="nil"/>
                    <w:tr2bl w:val="nil"/>
                  </w:tcBorders>
                  <w:vAlign w:val="center"/>
                </w:tcPr>
                <w:p w14:paraId="60BE9850">
                  <w:pPr>
                    <w:topLinePunct/>
                    <w:adjustRightInd w:val="0"/>
                    <w:snapToGrid w:val="0"/>
                    <w:jc w:val="center"/>
                    <w:rPr>
                      <w:color w:val="auto"/>
                      <w:sz w:val="18"/>
                      <w:szCs w:val="18"/>
                    </w:rPr>
                  </w:pPr>
                  <w:r>
                    <w:rPr>
                      <w:rFonts w:hint="eastAsia"/>
                      <w:color w:val="auto"/>
                      <w:sz w:val="18"/>
                      <w:szCs w:val="18"/>
                    </w:rPr>
                    <w:t>垂直入渗</w:t>
                  </w:r>
                </w:p>
              </w:tc>
              <w:tc>
                <w:tcPr>
                  <w:tcW w:w="2239" w:type="dxa"/>
                  <w:tcBorders>
                    <w:tl2br w:val="nil"/>
                    <w:tr2bl w:val="nil"/>
                  </w:tcBorders>
                  <w:vAlign w:val="center"/>
                </w:tcPr>
                <w:p w14:paraId="6F0A6C70">
                  <w:pPr>
                    <w:topLinePunct/>
                    <w:adjustRightInd w:val="0"/>
                    <w:snapToGrid w:val="0"/>
                    <w:jc w:val="center"/>
                    <w:rPr>
                      <w:color w:val="auto"/>
                      <w:sz w:val="18"/>
                      <w:szCs w:val="18"/>
                    </w:rPr>
                  </w:pPr>
                  <w:r>
                    <w:rPr>
                      <w:rFonts w:hint="eastAsia"/>
                      <w:color w:val="auto"/>
                      <w:sz w:val="18"/>
                      <w:szCs w:val="18"/>
                    </w:rPr>
                    <w:t>COD、氨氮</w:t>
                  </w:r>
                  <w:r>
                    <w:rPr>
                      <w:rFonts w:hint="eastAsia"/>
                      <w:color w:val="auto"/>
                      <w:sz w:val="18"/>
                      <w:szCs w:val="18"/>
                      <w:lang w:eastAsia="zh-CN"/>
                    </w:rPr>
                    <w:t>、</w:t>
                  </w:r>
                  <w:r>
                    <w:rPr>
                      <w:rFonts w:hint="eastAsia"/>
                      <w:color w:val="auto"/>
                      <w:sz w:val="18"/>
                      <w:szCs w:val="18"/>
                      <w:lang w:val="en-US" w:eastAsia="zh-CN"/>
                    </w:rPr>
                    <w:t>石油类</w:t>
                  </w:r>
                  <w:r>
                    <w:rPr>
                      <w:rFonts w:hint="eastAsia"/>
                      <w:color w:val="auto"/>
                      <w:sz w:val="18"/>
                      <w:szCs w:val="18"/>
                    </w:rPr>
                    <w:t>等</w:t>
                  </w:r>
                </w:p>
              </w:tc>
              <w:tc>
                <w:tcPr>
                  <w:tcW w:w="1792" w:type="dxa"/>
                  <w:tcBorders>
                    <w:tl2br w:val="nil"/>
                    <w:tr2bl w:val="nil"/>
                  </w:tcBorders>
                  <w:vAlign w:val="center"/>
                </w:tcPr>
                <w:p w14:paraId="15AB6309">
                  <w:pPr>
                    <w:topLinePunct/>
                    <w:adjustRightInd w:val="0"/>
                    <w:snapToGrid w:val="0"/>
                    <w:jc w:val="center"/>
                    <w:rPr>
                      <w:rFonts w:hint="default" w:eastAsia="宋体"/>
                      <w:color w:val="auto"/>
                      <w:sz w:val="18"/>
                      <w:szCs w:val="18"/>
                      <w:lang w:val="en-US" w:eastAsia="zh-CN"/>
                    </w:rPr>
                  </w:pPr>
                  <w:r>
                    <w:rPr>
                      <w:rFonts w:hint="eastAsia"/>
                      <w:color w:val="auto"/>
                      <w:sz w:val="18"/>
                      <w:szCs w:val="18"/>
                    </w:rPr>
                    <w:t>COD、氨氮</w:t>
                  </w:r>
                  <w:r>
                    <w:rPr>
                      <w:rFonts w:hint="eastAsia"/>
                      <w:color w:val="auto"/>
                      <w:sz w:val="18"/>
                      <w:szCs w:val="18"/>
                      <w:lang w:eastAsia="zh-CN"/>
                    </w:rPr>
                    <w:t>、</w:t>
                  </w:r>
                  <w:r>
                    <w:rPr>
                      <w:rFonts w:hint="eastAsia"/>
                      <w:color w:val="auto"/>
                      <w:sz w:val="18"/>
                      <w:szCs w:val="18"/>
                      <w:lang w:val="en-US" w:eastAsia="zh-CN"/>
                    </w:rPr>
                    <w:t>石油类</w:t>
                  </w:r>
                </w:p>
              </w:tc>
              <w:tc>
                <w:tcPr>
                  <w:tcW w:w="2041" w:type="dxa"/>
                  <w:tcBorders>
                    <w:tl2br w:val="nil"/>
                    <w:tr2bl w:val="nil"/>
                  </w:tcBorders>
                  <w:vAlign w:val="center"/>
                </w:tcPr>
                <w:p w14:paraId="42D8B3AA">
                  <w:pPr>
                    <w:topLinePunct/>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石油烃</w:t>
                  </w:r>
                </w:p>
              </w:tc>
            </w:tr>
            <w:tr w14:paraId="49129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6" w:type="dxa"/>
                  <w:tcBorders>
                    <w:tl2br w:val="nil"/>
                    <w:tr2bl w:val="nil"/>
                  </w:tcBorders>
                  <w:vAlign w:val="center"/>
                </w:tcPr>
                <w:p w14:paraId="0978C442">
                  <w:pPr>
                    <w:topLinePunct/>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装卸车区</w:t>
                  </w:r>
                </w:p>
              </w:tc>
              <w:tc>
                <w:tcPr>
                  <w:tcW w:w="1260" w:type="dxa"/>
                  <w:tcBorders>
                    <w:tl2br w:val="nil"/>
                    <w:tr2bl w:val="nil"/>
                  </w:tcBorders>
                  <w:vAlign w:val="center"/>
                </w:tcPr>
                <w:p w14:paraId="6CE12EC7">
                  <w:pPr>
                    <w:topLinePunct/>
                    <w:adjustRightInd w:val="0"/>
                    <w:snapToGrid w:val="0"/>
                    <w:jc w:val="center"/>
                    <w:rPr>
                      <w:rFonts w:hint="eastAsia"/>
                      <w:color w:val="auto"/>
                      <w:sz w:val="18"/>
                      <w:szCs w:val="18"/>
                    </w:rPr>
                  </w:pPr>
                  <w:r>
                    <w:rPr>
                      <w:rFonts w:hint="eastAsia"/>
                      <w:color w:val="auto"/>
                      <w:sz w:val="18"/>
                      <w:szCs w:val="18"/>
                    </w:rPr>
                    <w:t>垂直入渗</w:t>
                  </w:r>
                </w:p>
              </w:tc>
              <w:tc>
                <w:tcPr>
                  <w:tcW w:w="2239" w:type="dxa"/>
                  <w:tcBorders>
                    <w:tl2br w:val="nil"/>
                    <w:tr2bl w:val="nil"/>
                  </w:tcBorders>
                  <w:vAlign w:val="center"/>
                </w:tcPr>
                <w:p w14:paraId="57A915F4">
                  <w:pPr>
                    <w:topLinePunct/>
                    <w:adjustRightInd w:val="0"/>
                    <w:snapToGrid w:val="0"/>
                    <w:jc w:val="center"/>
                    <w:rPr>
                      <w:rFonts w:hint="eastAsia"/>
                      <w:color w:val="auto"/>
                      <w:sz w:val="18"/>
                      <w:szCs w:val="18"/>
                    </w:rPr>
                  </w:pPr>
                  <w:r>
                    <w:rPr>
                      <w:rFonts w:hint="eastAsia"/>
                      <w:color w:val="auto"/>
                      <w:sz w:val="18"/>
                      <w:szCs w:val="18"/>
                    </w:rPr>
                    <w:t>COD、氨氮</w:t>
                  </w:r>
                  <w:r>
                    <w:rPr>
                      <w:rFonts w:hint="eastAsia"/>
                      <w:color w:val="auto"/>
                      <w:sz w:val="18"/>
                      <w:szCs w:val="18"/>
                      <w:lang w:eastAsia="zh-CN"/>
                    </w:rPr>
                    <w:t>、</w:t>
                  </w:r>
                  <w:r>
                    <w:rPr>
                      <w:rFonts w:hint="eastAsia"/>
                      <w:color w:val="auto"/>
                      <w:sz w:val="18"/>
                      <w:szCs w:val="18"/>
                      <w:lang w:val="en-US" w:eastAsia="zh-CN"/>
                    </w:rPr>
                    <w:t>石油类</w:t>
                  </w:r>
                  <w:r>
                    <w:rPr>
                      <w:rFonts w:hint="eastAsia"/>
                      <w:color w:val="auto"/>
                      <w:sz w:val="18"/>
                      <w:szCs w:val="18"/>
                    </w:rPr>
                    <w:t>等</w:t>
                  </w:r>
                </w:p>
              </w:tc>
              <w:tc>
                <w:tcPr>
                  <w:tcW w:w="1792" w:type="dxa"/>
                  <w:tcBorders>
                    <w:tl2br w:val="nil"/>
                    <w:tr2bl w:val="nil"/>
                  </w:tcBorders>
                  <w:vAlign w:val="center"/>
                </w:tcPr>
                <w:p w14:paraId="1A7C2731">
                  <w:pPr>
                    <w:topLinePunct/>
                    <w:adjustRightInd w:val="0"/>
                    <w:snapToGrid w:val="0"/>
                    <w:jc w:val="center"/>
                    <w:rPr>
                      <w:rFonts w:hint="eastAsia"/>
                      <w:color w:val="auto"/>
                      <w:sz w:val="18"/>
                      <w:szCs w:val="18"/>
                    </w:rPr>
                  </w:pPr>
                  <w:r>
                    <w:rPr>
                      <w:rFonts w:hint="eastAsia"/>
                      <w:color w:val="auto"/>
                      <w:sz w:val="18"/>
                      <w:szCs w:val="18"/>
                    </w:rPr>
                    <w:t>COD、氨氮</w:t>
                  </w:r>
                  <w:r>
                    <w:rPr>
                      <w:rFonts w:hint="eastAsia"/>
                      <w:color w:val="auto"/>
                      <w:sz w:val="18"/>
                      <w:szCs w:val="18"/>
                      <w:lang w:eastAsia="zh-CN"/>
                    </w:rPr>
                    <w:t>、</w:t>
                  </w:r>
                  <w:r>
                    <w:rPr>
                      <w:rFonts w:hint="eastAsia"/>
                      <w:color w:val="auto"/>
                      <w:sz w:val="18"/>
                      <w:szCs w:val="18"/>
                      <w:lang w:val="en-US" w:eastAsia="zh-CN"/>
                    </w:rPr>
                    <w:t>石油类</w:t>
                  </w:r>
                </w:p>
              </w:tc>
              <w:tc>
                <w:tcPr>
                  <w:tcW w:w="2041" w:type="dxa"/>
                  <w:tcBorders>
                    <w:tl2br w:val="nil"/>
                    <w:tr2bl w:val="nil"/>
                  </w:tcBorders>
                  <w:vAlign w:val="center"/>
                </w:tcPr>
                <w:p w14:paraId="1BDAABBD">
                  <w:pPr>
                    <w:topLinePunct/>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石油烃</w:t>
                  </w:r>
                </w:p>
              </w:tc>
            </w:tr>
          </w:tbl>
          <w:p w14:paraId="66389B6D">
            <w:pPr>
              <w:keepNext w:val="0"/>
              <w:keepLines w:val="0"/>
              <w:pageBreakBefore w:val="0"/>
              <w:widowControl w:val="0"/>
              <w:kinsoku/>
              <w:wordWrap/>
              <w:overflowPunct/>
              <w:topLinePunct w:val="0"/>
              <w:autoSpaceDE/>
              <w:autoSpaceDN/>
              <w:bidi w:val="0"/>
              <w:snapToGrid/>
              <w:spacing w:line="440" w:lineRule="exact"/>
              <w:ind w:firstLine="422" w:firstLineChars="200"/>
              <w:textAlignment w:val="auto"/>
              <w:rPr>
                <w:b/>
                <w:color w:val="auto"/>
                <w:szCs w:val="21"/>
              </w:rPr>
            </w:pPr>
            <w:r>
              <w:rPr>
                <w:b/>
                <w:color w:val="auto"/>
                <w:szCs w:val="21"/>
              </w:rPr>
              <w:t>2、污染</w:t>
            </w:r>
            <w:r>
              <w:rPr>
                <w:rFonts w:hint="eastAsia"/>
                <w:b/>
                <w:color w:val="auto"/>
                <w:szCs w:val="21"/>
              </w:rPr>
              <w:t>防控措施</w:t>
            </w:r>
          </w:p>
          <w:p w14:paraId="112A373F">
            <w:pPr>
              <w:keepNext w:val="0"/>
              <w:keepLines w:val="0"/>
              <w:pageBreakBefore w:val="0"/>
              <w:widowControl w:val="0"/>
              <w:kinsoku/>
              <w:wordWrap/>
              <w:overflowPunct/>
              <w:topLinePunct w:val="0"/>
              <w:autoSpaceDE/>
              <w:autoSpaceDN/>
              <w:bidi w:val="0"/>
              <w:adjustRightInd w:val="0"/>
              <w:snapToGrid/>
              <w:spacing w:line="440" w:lineRule="exact"/>
              <w:ind w:firstLine="420" w:firstLineChars="200"/>
              <w:textAlignment w:val="auto"/>
              <w:rPr>
                <w:color w:val="auto"/>
                <w:szCs w:val="21"/>
                <w:lang w:val="zh-CN"/>
              </w:rPr>
            </w:pPr>
            <w:r>
              <w:rPr>
                <w:color w:val="auto"/>
                <w:szCs w:val="21"/>
                <w:lang w:val="zh-CN"/>
              </w:rPr>
              <w:t>本项目</w:t>
            </w:r>
            <w:r>
              <w:rPr>
                <w:rFonts w:hint="eastAsia"/>
                <w:color w:val="auto"/>
                <w:szCs w:val="21"/>
                <w:lang w:val="zh-CN"/>
              </w:rPr>
              <w:t>不涉及重金属、持久性有机污染物的排放，厂区及周边不涉及集中式饮用水水源和热水、矿泉水、温泉等特殊地下水资源保护区的区域，参照HJ610-2016，可将本项目所涉及区域</w:t>
            </w:r>
            <w:r>
              <w:rPr>
                <w:color w:val="auto"/>
                <w:szCs w:val="21"/>
                <w:lang w:val="zh-CN"/>
              </w:rPr>
              <w:t>分为一般</w:t>
            </w:r>
            <w:r>
              <w:rPr>
                <w:rFonts w:hint="eastAsia"/>
                <w:color w:val="auto"/>
                <w:szCs w:val="21"/>
                <w:lang w:val="zh-CN"/>
              </w:rPr>
              <w:t>防渗</w:t>
            </w:r>
            <w:r>
              <w:rPr>
                <w:color w:val="auto"/>
                <w:szCs w:val="21"/>
                <w:lang w:val="zh-CN"/>
              </w:rPr>
              <w:t>区和</w:t>
            </w:r>
            <w:r>
              <w:rPr>
                <w:rFonts w:hint="eastAsia"/>
                <w:color w:val="auto"/>
                <w:szCs w:val="21"/>
                <w:lang w:val="zh-CN"/>
              </w:rPr>
              <w:t>重点防渗区</w:t>
            </w:r>
            <w:r>
              <w:rPr>
                <w:color w:val="auto"/>
                <w:szCs w:val="21"/>
                <w:lang w:val="zh-CN"/>
              </w:rPr>
              <w:t>，具体</w:t>
            </w:r>
            <w:r>
              <w:rPr>
                <w:rFonts w:hint="eastAsia"/>
                <w:color w:val="auto"/>
                <w:szCs w:val="21"/>
                <w:lang w:val="zh-CN"/>
              </w:rPr>
              <w:t>分区</w:t>
            </w:r>
            <w:r>
              <w:rPr>
                <w:color w:val="auto"/>
                <w:szCs w:val="21"/>
                <w:lang w:val="zh-CN"/>
              </w:rPr>
              <w:t>情况如下：</w:t>
            </w:r>
          </w:p>
          <w:p w14:paraId="7429A5B8">
            <w:pPr>
              <w:adjustRightInd w:val="0"/>
              <w:spacing w:before="120" w:beforeLines="50"/>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29</w:t>
            </w:r>
            <w:r>
              <w:rPr>
                <w:rFonts w:eastAsiaTheme="minorEastAsia"/>
                <w:b/>
                <w:bCs/>
                <w:color w:val="auto"/>
                <w:szCs w:val="21"/>
              </w:rPr>
              <w:t xml:space="preserve">  地下水污染防渗分区表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1545"/>
              <w:gridCol w:w="3404"/>
            </w:tblGrid>
            <w:tr w14:paraId="0BD02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0" w:type="pct"/>
                  <w:tcBorders>
                    <w:tl2br w:val="nil"/>
                    <w:tr2bl w:val="nil"/>
                  </w:tcBorders>
                  <w:vAlign w:val="center"/>
                </w:tcPr>
                <w:p w14:paraId="50A1ED71">
                  <w:pPr>
                    <w:topLinePunct/>
                    <w:adjustRightInd w:val="0"/>
                    <w:snapToGrid w:val="0"/>
                    <w:jc w:val="center"/>
                    <w:rPr>
                      <w:b/>
                      <w:bCs/>
                      <w:color w:val="auto"/>
                      <w:sz w:val="18"/>
                      <w:szCs w:val="18"/>
                    </w:rPr>
                  </w:pPr>
                  <w:r>
                    <w:rPr>
                      <w:rFonts w:hint="eastAsia"/>
                      <w:b/>
                      <w:bCs/>
                      <w:color w:val="auto"/>
                      <w:sz w:val="18"/>
                      <w:szCs w:val="18"/>
                    </w:rPr>
                    <w:t>项目涉及区域</w:t>
                  </w:r>
                </w:p>
              </w:tc>
              <w:tc>
                <w:tcPr>
                  <w:tcW w:w="943" w:type="pct"/>
                  <w:tcBorders>
                    <w:tl2br w:val="nil"/>
                    <w:tr2bl w:val="nil"/>
                  </w:tcBorders>
                  <w:vAlign w:val="center"/>
                </w:tcPr>
                <w:p w14:paraId="03F33CCD">
                  <w:pPr>
                    <w:topLinePunct/>
                    <w:adjustRightInd w:val="0"/>
                    <w:snapToGrid w:val="0"/>
                    <w:jc w:val="center"/>
                    <w:rPr>
                      <w:b/>
                      <w:bCs/>
                      <w:color w:val="auto"/>
                      <w:sz w:val="18"/>
                      <w:szCs w:val="18"/>
                    </w:rPr>
                  </w:pPr>
                  <w:r>
                    <w:rPr>
                      <w:rFonts w:hint="eastAsia"/>
                      <w:b/>
                      <w:bCs/>
                      <w:color w:val="auto"/>
                      <w:sz w:val="18"/>
                      <w:szCs w:val="18"/>
                    </w:rPr>
                    <w:t>防渗分区</w:t>
                  </w:r>
                </w:p>
              </w:tc>
              <w:tc>
                <w:tcPr>
                  <w:tcW w:w="2077" w:type="pct"/>
                  <w:tcBorders>
                    <w:tl2br w:val="nil"/>
                    <w:tr2bl w:val="nil"/>
                  </w:tcBorders>
                  <w:vAlign w:val="center"/>
                </w:tcPr>
                <w:p w14:paraId="0DE89068">
                  <w:pPr>
                    <w:topLinePunct/>
                    <w:adjustRightInd w:val="0"/>
                    <w:snapToGrid w:val="0"/>
                    <w:jc w:val="center"/>
                    <w:rPr>
                      <w:b/>
                      <w:bCs/>
                      <w:color w:val="auto"/>
                      <w:sz w:val="18"/>
                      <w:szCs w:val="18"/>
                    </w:rPr>
                  </w:pPr>
                  <w:r>
                    <w:rPr>
                      <w:rFonts w:hint="eastAsia"/>
                      <w:b/>
                      <w:bCs/>
                      <w:color w:val="auto"/>
                      <w:sz w:val="18"/>
                      <w:szCs w:val="18"/>
                    </w:rPr>
                    <w:t>防渗</w:t>
                  </w:r>
                  <w:r>
                    <w:rPr>
                      <w:b/>
                      <w:bCs/>
                      <w:color w:val="auto"/>
                      <w:sz w:val="18"/>
                      <w:szCs w:val="18"/>
                    </w:rPr>
                    <w:t>技术要求</w:t>
                  </w:r>
                </w:p>
              </w:tc>
            </w:tr>
            <w:tr w14:paraId="42548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0" w:type="pct"/>
                  <w:tcBorders>
                    <w:tl2br w:val="nil"/>
                    <w:tr2bl w:val="nil"/>
                  </w:tcBorders>
                  <w:vAlign w:val="center"/>
                </w:tcPr>
                <w:p w14:paraId="5A550611">
                  <w:pPr>
                    <w:topLinePunct/>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装卸车区</w:t>
                  </w:r>
                </w:p>
              </w:tc>
              <w:tc>
                <w:tcPr>
                  <w:tcW w:w="943" w:type="pct"/>
                  <w:tcBorders>
                    <w:tl2br w:val="nil"/>
                    <w:tr2bl w:val="nil"/>
                  </w:tcBorders>
                  <w:vAlign w:val="center"/>
                </w:tcPr>
                <w:p w14:paraId="7BE9653B">
                  <w:pPr>
                    <w:topLinePunct/>
                    <w:adjustRightInd w:val="0"/>
                    <w:snapToGrid w:val="0"/>
                    <w:jc w:val="center"/>
                    <w:rPr>
                      <w:color w:val="auto"/>
                      <w:sz w:val="18"/>
                      <w:szCs w:val="18"/>
                    </w:rPr>
                  </w:pPr>
                  <w:r>
                    <w:rPr>
                      <w:rFonts w:hint="eastAsia"/>
                      <w:color w:val="auto"/>
                      <w:sz w:val="18"/>
                      <w:szCs w:val="18"/>
                    </w:rPr>
                    <w:t>一般防渗区</w:t>
                  </w:r>
                </w:p>
              </w:tc>
              <w:tc>
                <w:tcPr>
                  <w:tcW w:w="2077" w:type="pct"/>
                  <w:tcBorders>
                    <w:tl2br w:val="nil"/>
                    <w:tr2bl w:val="nil"/>
                  </w:tcBorders>
                  <w:vAlign w:val="center"/>
                </w:tcPr>
                <w:p w14:paraId="0D6EEAFE">
                  <w:pPr>
                    <w:snapToGrid w:val="0"/>
                    <w:jc w:val="center"/>
                    <w:rPr>
                      <w:color w:val="auto"/>
                      <w:sz w:val="18"/>
                      <w:szCs w:val="18"/>
                    </w:rPr>
                  </w:pPr>
                  <w:r>
                    <w:rPr>
                      <w:rFonts w:hint="eastAsia"/>
                      <w:color w:val="auto"/>
                      <w:sz w:val="18"/>
                      <w:szCs w:val="18"/>
                    </w:rPr>
                    <w:t>等效黏土防渗层</w:t>
                  </w:r>
                  <w:r>
                    <w:rPr>
                      <w:color w:val="auto"/>
                      <w:sz w:val="18"/>
                      <w:szCs w:val="18"/>
                    </w:rPr>
                    <w:t>Mb≥1.5m</w:t>
                  </w:r>
                  <w:r>
                    <w:rPr>
                      <w:rFonts w:hint="eastAsia"/>
                      <w:color w:val="auto"/>
                      <w:sz w:val="18"/>
                      <w:szCs w:val="18"/>
                    </w:rPr>
                    <w:t>，</w:t>
                  </w:r>
                  <w:r>
                    <w:rPr>
                      <w:color w:val="auto"/>
                      <w:sz w:val="18"/>
                      <w:szCs w:val="18"/>
                    </w:rPr>
                    <w:t>K≤1×10</w:t>
                  </w:r>
                  <w:r>
                    <w:rPr>
                      <w:color w:val="auto"/>
                      <w:sz w:val="18"/>
                      <w:szCs w:val="18"/>
                      <w:vertAlign w:val="superscript"/>
                    </w:rPr>
                    <w:t>-7</w:t>
                  </w:r>
                  <w:r>
                    <w:rPr>
                      <w:color w:val="auto"/>
                      <w:sz w:val="18"/>
                      <w:szCs w:val="18"/>
                    </w:rPr>
                    <w:t>cm/s</w:t>
                  </w:r>
                </w:p>
              </w:tc>
            </w:tr>
            <w:tr w14:paraId="08311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0" w:type="pct"/>
                  <w:tcBorders>
                    <w:tl2br w:val="nil"/>
                    <w:tr2bl w:val="nil"/>
                  </w:tcBorders>
                  <w:vAlign w:val="center"/>
                </w:tcPr>
                <w:p w14:paraId="7138A3D2">
                  <w:pPr>
                    <w:topLinePunct/>
                    <w:adjustRightInd w:val="0"/>
                    <w:snapToGrid w:val="0"/>
                    <w:jc w:val="center"/>
                    <w:rPr>
                      <w:color w:val="auto"/>
                      <w:sz w:val="18"/>
                      <w:szCs w:val="18"/>
                    </w:rPr>
                  </w:pPr>
                  <w:r>
                    <w:rPr>
                      <w:rFonts w:hint="eastAsia"/>
                      <w:color w:val="auto"/>
                      <w:sz w:val="18"/>
                      <w:szCs w:val="18"/>
                      <w:lang w:val="en-US" w:eastAsia="zh-CN"/>
                    </w:rPr>
                    <w:t>储罐区</w:t>
                  </w:r>
                </w:p>
              </w:tc>
              <w:tc>
                <w:tcPr>
                  <w:tcW w:w="943" w:type="pct"/>
                  <w:tcBorders>
                    <w:tl2br w:val="nil"/>
                    <w:tr2bl w:val="nil"/>
                  </w:tcBorders>
                  <w:vAlign w:val="center"/>
                </w:tcPr>
                <w:p w14:paraId="6154B582">
                  <w:pPr>
                    <w:topLinePunct/>
                    <w:adjustRightInd w:val="0"/>
                    <w:snapToGrid w:val="0"/>
                    <w:jc w:val="center"/>
                    <w:rPr>
                      <w:color w:val="auto"/>
                      <w:sz w:val="18"/>
                      <w:szCs w:val="18"/>
                    </w:rPr>
                  </w:pPr>
                  <w:r>
                    <w:rPr>
                      <w:rFonts w:hint="eastAsia"/>
                      <w:color w:val="auto"/>
                      <w:sz w:val="18"/>
                      <w:szCs w:val="18"/>
                    </w:rPr>
                    <w:t>重点防渗区</w:t>
                  </w:r>
                </w:p>
              </w:tc>
              <w:tc>
                <w:tcPr>
                  <w:tcW w:w="2077" w:type="pct"/>
                  <w:tcBorders>
                    <w:tl2br w:val="nil"/>
                    <w:tr2bl w:val="nil"/>
                  </w:tcBorders>
                  <w:vAlign w:val="center"/>
                </w:tcPr>
                <w:p w14:paraId="65135F49">
                  <w:pPr>
                    <w:snapToGrid w:val="0"/>
                    <w:jc w:val="center"/>
                    <w:rPr>
                      <w:color w:val="auto"/>
                      <w:sz w:val="18"/>
                      <w:szCs w:val="18"/>
                    </w:rPr>
                  </w:pPr>
                  <w:r>
                    <w:rPr>
                      <w:rFonts w:hint="eastAsia"/>
                      <w:color w:val="auto"/>
                      <w:sz w:val="18"/>
                      <w:szCs w:val="18"/>
                    </w:rPr>
                    <w:t>等效黏土防渗层</w:t>
                  </w:r>
                  <w:r>
                    <w:rPr>
                      <w:color w:val="auto"/>
                      <w:sz w:val="18"/>
                      <w:szCs w:val="18"/>
                    </w:rPr>
                    <w:t>Mb≥5.0m</w:t>
                  </w:r>
                  <w:r>
                    <w:rPr>
                      <w:rFonts w:hint="eastAsia"/>
                      <w:color w:val="auto"/>
                      <w:sz w:val="18"/>
                      <w:szCs w:val="18"/>
                    </w:rPr>
                    <w:t>，</w:t>
                  </w:r>
                  <w:r>
                    <w:rPr>
                      <w:color w:val="auto"/>
                      <w:sz w:val="18"/>
                      <w:szCs w:val="18"/>
                    </w:rPr>
                    <w:t>K≤1×10</w:t>
                  </w:r>
                  <w:r>
                    <w:rPr>
                      <w:color w:val="auto"/>
                      <w:sz w:val="18"/>
                      <w:szCs w:val="18"/>
                      <w:vertAlign w:val="superscript"/>
                    </w:rPr>
                    <w:t>-7</w:t>
                  </w:r>
                  <w:r>
                    <w:rPr>
                      <w:color w:val="auto"/>
                      <w:sz w:val="18"/>
                      <w:szCs w:val="18"/>
                    </w:rPr>
                    <w:t>cm/s</w:t>
                  </w:r>
                </w:p>
              </w:tc>
            </w:tr>
          </w:tbl>
          <w:p w14:paraId="7FE1744C">
            <w:pPr>
              <w:spacing w:line="460" w:lineRule="exact"/>
              <w:ind w:firstLine="420" w:firstLineChars="200"/>
              <w:rPr>
                <w:color w:val="auto"/>
              </w:rPr>
            </w:pPr>
            <w:r>
              <w:rPr>
                <w:rFonts w:hint="eastAsia"/>
                <w:color w:val="auto"/>
              </w:rPr>
              <w:t>在污染防治措施到位，严格管理的前提下，本项目对项目区地下水、土壤环境的影响较小。</w:t>
            </w:r>
          </w:p>
          <w:p w14:paraId="61B247A5">
            <w:pPr>
              <w:spacing w:line="460" w:lineRule="exact"/>
              <w:ind w:firstLine="422" w:firstLineChars="200"/>
              <w:rPr>
                <w:b/>
                <w:color w:val="auto"/>
                <w:szCs w:val="21"/>
                <w:highlight w:val="none"/>
              </w:rPr>
            </w:pPr>
            <w:r>
              <w:rPr>
                <w:rFonts w:hint="eastAsia"/>
                <w:b/>
                <w:color w:val="auto"/>
                <w:szCs w:val="21"/>
                <w:highlight w:val="none"/>
              </w:rPr>
              <w:t>3</w:t>
            </w:r>
            <w:r>
              <w:rPr>
                <w:b/>
                <w:color w:val="auto"/>
                <w:szCs w:val="21"/>
                <w:highlight w:val="none"/>
              </w:rPr>
              <w:t>、</w:t>
            </w:r>
            <w:r>
              <w:rPr>
                <w:rFonts w:hint="eastAsia"/>
                <w:b/>
                <w:color w:val="auto"/>
                <w:szCs w:val="21"/>
                <w:highlight w:val="none"/>
              </w:rPr>
              <w:t>跟踪监测要求</w:t>
            </w:r>
          </w:p>
          <w:p w14:paraId="215E54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default" w:eastAsia="宋体"/>
                <w:color w:val="auto"/>
                <w:szCs w:val="24"/>
                <w:highlight w:val="none"/>
                <w:lang w:val="en-US" w:eastAsia="zh-CN"/>
              </w:rPr>
            </w:pPr>
            <w:bookmarkStart w:id="12" w:name="_Hlk194161264"/>
            <w:r>
              <w:rPr>
                <w:rFonts w:hint="eastAsia"/>
                <w:color w:val="auto"/>
                <w:szCs w:val="24"/>
                <w:highlight w:val="none"/>
                <w:lang w:val="en-US" w:eastAsia="zh-CN"/>
              </w:rPr>
              <w:t>1</w:t>
            </w:r>
            <w:r>
              <w:rPr>
                <w:rFonts w:hint="eastAsia"/>
                <w:color w:val="auto"/>
                <w:szCs w:val="24"/>
                <w:highlight w:val="none"/>
                <w:lang w:eastAsia="zh-CN"/>
              </w:rPr>
              <w:t>）</w:t>
            </w:r>
            <w:r>
              <w:rPr>
                <w:rFonts w:hint="eastAsia"/>
                <w:color w:val="auto"/>
                <w:szCs w:val="24"/>
                <w:highlight w:val="none"/>
                <w:lang w:val="en-US" w:eastAsia="zh-CN"/>
              </w:rPr>
              <w:t>地下水监测</w:t>
            </w:r>
          </w:p>
          <w:p w14:paraId="5901BC3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default" w:eastAsia="宋体"/>
                <w:b/>
                <w:color w:val="auto"/>
                <w:highlight w:val="yellow"/>
                <w:lang w:val="en-US" w:eastAsia="zh-CN"/>
              </w:rPr>
            </w:pPr>
            <w:r>
              <w:rPr>
                <w:color w:val="auto"/>
                <w:szCs w:val="24"/>
                <w:highlight w:val="none"/>
              </w:rPr>
              <w:t>本次</w:t>
            </w:r>
            <w:r>
              <w:rPr>
                <w:rFonts w:hint="eastAsia"/>
                <w:color w:val="auto"/>
                <w:szCs w:val="24"/>
                <w:highlight w:val="none"/>
              </w:rPr>
              <w:t>依托厂区现有</w:t>
            </w:r>
            <w:r>
              <w:rPr>
                <w:rFonts w:hint="eastAsia"/>
                <w:color w:val="auto"/>
                <w:szCs w:val="24"/>
                <w:highlight w:val="none"/>
                <w:lang w:val="en-US" w:eastAsia="zh-CN"/>
              </w:rPr>
              <w:t>1</w:t>
            </w:r>
            <w:r>
              <w:rPr>
                <w:color w:val="auto"/>
                <w:szCs w:val="24"/>
                <w:highlight w:val="none"/>
              </w:rPr>
              <w:t>眼地下水监控井</w:t>
            </w:r>
            <w:bookmarkEnd w:id="12"/>
            <w:r>
              <w:rPr>
                <w:rFonts w:hint="eastAsia"/>
                <w:color w:val="auto"/>
                <w:szCs w:val="24"/>
                <w:highlight w:val="none"/>
                <w:lang w:eastAsia="zh-CN"/>
              </w:rPr>
              <w:t>，</w:t>
            </w:r>
            <w:r>
              <w:rPr>
                <w:rFonts w:hint="eastAsia"/>
                <w:color w:val="auto"/>
                <w:szCs w:val="24"/>
                <w:highlight w:val="none"/>
                <w:lang w:val="en-US" w:eastAsia="zh-CN"/>
              </w:rPr>
              <w:t>具体布设情况如下：</w:t>
            </w:r>
          </w:p>
          <w:p w14:paraId="390285F4">
            <w:pPr>
              <w:adjustRightInd w:val="0"/>
              <w:spacing w:before="120" w:beforeLines="50"/>
              <w:jc w:val="center"/>
              <w:rPr>
                <w:rFonts w:eastAsiaTheme="minorEastAsia"/>
                <w:b/>
                <w:bCs/>
                <w:color w:val="auto"/>
                <w:szCs w:val="21"/>
                <w:highlight w:val="none"/>
              </w:rPr>
            </w:pPr>
            <w:r>
              <w:rPr>
                <w:rFonts w:eastAsiaTheme="minorEastAsia"/>
                <w:b/>
                <w:bCs/>
                <w:color w:val="auto"/>
                <w:szCs w:val="21"/>
                <w:highlight w:val="none"/>
              </w:rPr>
              <w:t>表</w:t>
            </w:r>
            <w:r>
              <w:rPr>
                <w:rFonts w:hint="eastAsia" w:eastAsiaTheme="minorEastAsia"/>
                <w:b/>
                <w:bCs/>
                <w:color w:val="auto"/>
                <w:szCs w:val="21"/>
                <w:highlight w:val="none"/>
                <w:lang w:val="en-US" w:eastAsia="zh-CN"/>
              </w:rPr>
              <w:t>4-30</w:t>
            </w:r>
            <w:r>
              <w:rPr>
                <w:rFonts w:eastAsiaTheme="minorEastAsia"/>
                <w:b/>
                <w:bCs/>
                <w:color w:val="auto"/>
                <w:szCs w:val="21"/>
                <w:highlight w:val="none"/>
              </w:rPr>
              <w:t xml:space="preserve">  地下水监测井设置情况一览表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050"/>
              <w:gridCol w:w="3630"/>
              <w:gridCol w:w="945"/>
              <w:gridCol w:w="1362"/>
              <w:gridCol w:w="778"/>
            </w:tblGrid>
            <w:tr w14:paraId="28A91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tcMar>
                    <w:top w:w="0" w:type="dxa"/>
                    <w:left w:w="28" w:type="dxa"/>
                    <w:bottom w:w="0" w:type="dxa"/>
                    <w:right w:w="28" w:type="dxa"/>
                  </w:tcMar>
                  <w:vAlign w:val="center"/>
                </w:tcPr>
                <w:p w14:paraId="55862657">
                  <w:pPr>
                    <w:widowControl/>
                    <w:jc w:val="center"/>
                    <w:rPr>
                      <w:rFonts w:ascii="Times New Roman" w:hAnsi="Times New Roman"/>
                      <w:color w:val="auto"/>
                      <w:kern w:val="0"/>
                      <w:sz w:val="18"/>
                      <w:szCs w:val="18"/>
                      <w:highlight w:val="none"/>
                    </w:rPr>
                  </w:pPr>
                  <w:bookmarkStart w:id="13" w:name="_Hlk194161274"/>
                  <w:r>
                    <w:rPr>
                      <w:rFonts w:ascii="Times New Roman" w:hAnsi="Times New Roman"/>
                      <w:color w:val="auto"/>
                      <w:kern w:val="0"/>
                      <w:sz w:val="18"/>
                      <w:szCs w:val="18"/>
                      <w:highlight w:val="none"/>
                    </w:rPr>
                    <w:t>点位</w:t>
                  </w:r>
                </w:p>
              </w:tc>
              <w:tc>
                <w:tcPr>
                  <w:tcW w:w="1050" w:type="dxa"/>
                  <w:tcMar>
                    <w:top w:w="0" w:type="dxa"/>
                    <w:left w:w="28" w:type="dxa"/>
                    <w:bottom w:w="0" w:type="dxa"/>
                    <w:right w:w="28" w:type="dxa"/>
                  </w:tcMar>
                  <w:vAlign w:val="center"/>
                </w:tcPr>
                <w:p w14:paraId="7ED68167">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位置</w:t>
                  </w:r>
                </w:p>
              </w:tc>
              <w:tc>
                <w:tcPr>
                  <w:tcW w:w="3630" w:type="dxa"/>
                  <w:tcMar>
                    <w:top w:w="0" w:type="dxa"/>
                    <w:left w:w="28" w:type="dxa"/>
                    <w:bottom w:w="0" w:type="dxa"/>
                    <w:right w:w="28" w:type="dxa"/>
                  </w:tcMar>
                  <w:vAlign w:val="center"/>
                </w:tcPr>
                <w:p w14:paraId="02F92746">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监测项目</w:t>
                  </w:r>
                </w:p>
              </w:tc>
              <w:tc>
                <w:tcPr>
                  <w:tcW w:w="945" w:type="dxa"/>
                  <w:tcMar>
                    <w:top w:w="0" w:type="dxa"/>
                    <w:left w:w="28" w:type="dxa"/>
                    <w:bottom w:w="0" w:type="dxa"/>
                    <w:right w:w="28" w:type="dxa"/>
                  </w:tcMar>
                  <w:vAlign w:val="center"/>
                </w:tcPr>
                <w:p w14:paraId="24E242E8">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监测层位</w:t>
                  </w:r>
                </w:p>
              </w:tc>
              <w:tc>
                <w:tcPr>
                  <w:tcW w:w="1362" w:type="dxa"/>
                  <w:tcMar>
                    <w:top w:w="0" w:type="dxa"/>
                    <w:left w:w="28" w:type="dxa"/>
                    <w:bottom w:w="0" w:type="dxa"/>
                    <w:right w:w="28" w:type="dxa"/>
                  </w:tcMar>
                  <w:vAlign w:val="center"/>
                </w:tcPr>
                <w:p w14:paraId="0D2C46F3">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监测频率</w:t>
                  </w:r>
                </w:p>
              </w:tc>
              <w:tc>
                <w:tcPr>
                  <w:tcW w:w="778" w:type="dxa"/>
                  <w:tcMar>
                    <w:top w:w="0" w:type="dxa"/>
                    <w:left w:w="28" w:type="dxa"/>
                    <w:bottom w:w="0" w:type="dxa"/>
                    <w:right w:w="28" w:type="dxa"/>
                  </w:tcMar>
                  <w:vAlign w:val="center"/>
                </w:tcPr>
                <w:p w14:paraId="666F95F6">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备注</w:t>
                  </w:r>
                </w:p>
              </w:tc>
            </w:tr>
            <w:tr w14:paraId="3FC7D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tcMar>
                    <w:top w:w="0" w:type="dxa"/>
                    <w:left w:w="28" w:type="dxa"/>
                    <w:bottom w:w="0" w:type="dxa"/>
                    <w:right w:w="28" w:type="dxa"/>
                  </w:tcMar>
                  <w:vAlign w:val="center"/>
                </w:tcPr>
                <w:p w14:paraId="554E7837">
                  <w:pPr>
                    <w:widowControl/>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1#</w:t>
                  </w:r>
                </w:p>
              </w:tc>
              <w:tc>
                <w:tcPr>
                  <w:tcW w:w="1050" w:type="dxa"/>
                  <w:tcMar>
                    <w:top w:w="0" w:type="dxa"/>
                    <w:left w:w="28" w:type="dxa"/>
                    <w:bottom w:w="0" w:type="dxa"/>
                    <w:right w:w="28" w:type="dxa"/>
                  </w:tcMar>
                  <w:vAlign w:val="center"/>
                </w:tcPr>
                <w:p w14:paraId="3CAB4141">
                  <w:pPr>
                    <w:widowControl/>
                    <w:spacing w:line="360" w:lineRule="exact"/>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东厂区储罐区北侧</w:t>
                  </w:r>
                </w:p>
              </w:tc>
              <w:tc>
                <w:tcPr>
                  <w:tcW w:w="3630" w:type="dxa"/>
                  <w:tcMar>
                    <w:top w:w="0" w:type="dxa"/>
                    <w:left w:w="28" w:type="dxa"/>
                    <w:bottom w:w="0" w:type="dxa"/>
                    <w:right w:w="28" w:type="dxa"/>
                  </w:tcMar>
                  <w:vAlign w:val="center"/>
                </w:tcPr>
                <w:p w14:paraId="02FFBE2E">
                  <w:pPr>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pH值、色度、嗅和味、溶解性总固体、总硬度、肉眼可见物、高锰酸盐指数、细菌总数、总α放射性、总β放射性、阴离子表面活性剂、铝、钠、总汞、总镉、六价铬、总砷、总铅、总铜、总锌、总锰、总铁、总硒、氨氮、亚硝酸盐、硝酸盐、氟化物、碘化物、硫化物、氯化物、硫酸盐、挥发酚、三氯甲烷、四氯化碳、苯、甲苯、甲醇、甲醛、大肠菌群数</w:t>
                  </w:r>
                </w:p>
              </w:tc>
              <w:tc>
                <w:tcPr>
                  <w:tcW w:w="945" w:type="dxa"/>
                  <w:tcMar>
                    <w:top w:w="0" w:type="dxa"/>
                    <w:left w:w="28" w:type="dxa"/>
                    <w:bottom w:w="0" w:type="dxa"/>
                    <w:right w:w="28" w:type="dxa"/>
                  </w:tcMar>
                  <w:vAlign w:val="center"/>
                </w:tcPr>
                <w:p w14:paraId="2E638F31">
                  <w:pPr>
                    <w:widowControl/>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孔隙水</w:t>
                  </w:r>
                </w:p>
              </w:tc>
              <w:tc>
                <w:tcPr>
                  <w:tcW w:w="1362" w:type="dxa"/>
                  <w:tcMar>
                    <w:top w:w="0" w:type="dxa"/>
                    <w:left w:w="28" w:type="dxa"/>
                    <w:bottom w:w="0" w:type="dxa"/>
                    <w:right w:w="28" w:type="dxa"/>
                  </w:tcMar>
                  <w:vAlign w:val="center"/>
                </w:tcPr>
                <w:p w14:paraId="0867CDE1">
                  <w:pPr>
                    <w:widowControl/>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每年两次，枯水期（</w:t>
                  </w:r>
                  <w:r>
                    <w:rPr>
                      <w:rFonts w:hint="eastAsia" w:ascii="Times New Roman" w:hAnsi="Times New Roman"/>
                      <w:color w:val="auto"/>
                      <w:kern w:val="0"/>
                      <w:sz w:val="18"/>
                      <w:szCs w:val="18"/>
                      <w:highlight w:val="none"/>
                    </w:rPr>
                    <w:t>5-6</w:t>
                  </w:r>
                  <w:r>
                    <w:rPr>
                      <w:rFonts w:ascii="Times New Roman" w:hAnsi="Times New Roman"/>
                      <w:color w:val="auto"/>
                      <w:kern w:val="0"/>
                      <w:sz w:val="18"/>
                      <w:szCs w:val="18"/>
                      <w:highlight w:val="none"/>
                    </w:rPr>
                    <w:t>月）、丰水期（</w:t>
                  </w:r>
                  <w:r>
                    <w:rPr>
                      <w:rFonts w:hint="eastAsia" w:ascii="Times New Roman" w:hAnsi="Times New Roman"/>
                      <w:color w:val="auto"/>
                      <w:kern w:val="0"/>
                      <w:sz w:val="18"/>
                      <w:szCs w:val="18"/>
                      <w:highlight w:val="none"/>
                    </w:rPr>
                    <w:t>8</w:t>
                  </w:r>
                  <w:r>
                    <w:rPr>
                      <w:rFonts w:ascii="Times New Roman" w:hAnsi="Times New Roman"/>
                      <w:color w:val="auto"/>
                      <w:kern w:val="0"/>
                      <w:sz w:val="18"/>
                      <w:szCs w:val="18"/>
                      <w:highlight w:val="none"/>
                    </w:rPr>
                    <w:t>-9月）各一次。</w:t>
                  </w:r>
                </w:p>
              </w:tc>
              <w:tc>
                <w:tcPr>
                  <w:tcW w:w="778" w:type="dxa"/>
                  <w:tcMar>
                    <w:top w:w="0" w:type="dxa"/>
                    <w:left w:w="28" w:type="dxa"/>
                    <w:bottom w:w="0" w:type="dxa"/>
                    <w:right w:w="28" w:type="dxa"/>
                  </w:tcMar>
                  <w:vAlign w:val="center"/>
                </w:tcPr>
                <w:p w14:paraId="2FB8B516">
                  <w:pPr>
                    <w:widowControl/>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依托现有</w:t>
                  </w:r>
                </w:p>
              </w:tc>
            </w:tr>
            <w:tr w14:paraId="6BD00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4" w:type="dxa"/>
                  <w:gridSpan w:val="6"/>
                  <w:tcMar>
                    <w:top w:w="0" w:type="dxa"/>
                    <w:left w:w="28" w:type="dxa"/>
                    <w:bottom w:w="0" w:type="dxa"/>
                    <w:right w:w="28" w:type="dxa"/>
                  </w:tcMar>
                  <w:vAlign w:val="center"/>
                </w:tcPr>
                <w:p w14:paraId="54D2DA2D">
                  <w:pPr>
                    <w:widowControl/>
                    <w:jc w:val="left"/>
                    <w:rPr>
                      <w:rFonts w:ascii="Times New Roman" w:hAnsi="Times New Roman"/>
                      <w:color w:val="auto"/>
                      <w:kern w:val="0"/>
                      <w:sz w:val="18"/>
                      <w:szCs w:val="18"/>
                      <w:highlight w:val="none"/>
                    </w:rPr>
                  </w:pPr>
                  <w:r>
                    <w:rPr>
                      <w:rFonts w:ascii="Times New Roman" w:hAnsi="Times New Roman"/>
                      <w:color w:val="auto"/>
                      <w:sz w:val="18"/>
                      <w:szCs w:val="18"/>
                      <w:highlight w:val="none"/>
                    </w:rPr>
                    <w:t>*注：开展两个自然年水质监测后，常规监测项目稳定达标或水质稳定的，可减少监测频次，减少频次的顺序为其他（2-3月）、平水期（12月-1月）；每次采样监测时，应同时记录地下水水位。针对现有地下水监控井，根据《关于印发地下水污染防治实施方案的通知》（环土壤[2019]25号）文件要求，加强对现有地下水环境监测井的运行维护和管理，完善地下水监测数据报送制度。</w:t>
                  </w:r>
                </w:p>
              </w:tc>
            </w:tr>
            <w:bookmarkEnd w:id="13"/>
          </w:tbl>
          <w:p w14:paraId="76CF7B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default" w:eastAsia="宋体"/>
                <w:b w:val="0"/>
                <w:bCs/>
                <w:color w:val="auto"/>
                <w:highlight w:val="none"/>
                <w:lang w:val="en-US" w:eastAsia="zh-CN"/>
              </w:rPr>
            </w:pPr>
            <w:r>
              <w:rPr>
                <w:rFonts w:hint="eastAsia"/>
                <w:b w:val="0"/>
                <w:bCs/>
                <w:color w:val="auto"/>
                <w:highlight w:val="none"/>
                <w:lang w:val="en-US" w:eastAsia="zh-CN"/>
              </w:rPr>
              <w:t>2</w:t>
            </w:r>
            <w:r>
              <w:rPr>
                <w:rFonts w:hint="eastAsia"/>
                <w:b w:val="0"/>
                <w:bCs/>
                <w:color w:val="auto"/>
                <w:highlight w:val="none"/>
                <w:lang w:eastAsia="zh-CN"/>
              </w:rPr>
              <w:t>）</w:t>
            </w:r>
            <w:r>
              <w:rPr>
                <w:rFonts w:hint="eastAsia"/>
                <w:b w:val="0"/>
                <w:bCs/>
                <w:color w:val="auto"/>
                <w:highlight w:val="none"/>
                <w:lang w:val="en-US" w:eastAsia="zh-CN"/>
              </w:rPr>
              <w:t>土壤监测</w:t>
            </w:r>
          </w:p>
          <w:p w14:paraId="385E118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default" w:eastAsia="宋体"/>
                <w:b/>
                <w:color w:val="auto"/>
                <w:highlight w:val="yellow"/>
                <w:lang w:val="en-US" w:eastAsia="zh-CN"/>
              </w:rPr>
            </w:pPr>
            <w:r>
              <w:rPr>
                <w:color w:val="auto"/>
                <w:highlight w:val="none"/>
              </w:rPr>
              <w:t>根据《山东省自然资源厅关于进一步加强土壤污染重点监管单位管理工作的通知》（鲁环</w:t>
            </w:r>
            <w:r>
              <w:rPr>
                <w:rFonts w:hint="eastAsia"/>
                <w:color w:val="auto"/>
                <w:highlight w:val="none"/>
                <w:lang w:val="en-US" w:eastAsia="zh-CN"/>
              </w:rPr>
              <w:t>便函</w:t>
            </w:r>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21</w:t>
            </w:r>
            <w:r>
              <w:rPr>
                <w:color w:val="auto"/>
                <w:highlight w:val="none"/>
              </w:rPr>
              <w:t>5号），及淄博市生态环境局关于印发《202</w:t>
            </w:r>
            <w:r>
              <w:rPr>
                <w:rFonts w:hint="eastAsia"/>
                <w:color w:val="auto"/>
                <w:highlight w:val="none"/>
                <w:lang w:val="en-US" w:eastAsia="zh-CN"/>
              </w:rPr>
              <w:t>5</w:t>
            </w:r>
            <w:r>
              <w:rPr>
                <w:color w:val="auto"/>
                <w:highlight w:val="none"/>
              </w:rPr>
              <w:t>年淄博市重点排污单位名录》的通知，</w:t>
            </w:r>
            <w:r>
              <w:rPr>
                <w:rFonts w:hint="eastAsia"/>
                <w:color w:val="auto"/>
                <w:highlight w:val="none"/>
                <w:lang w:val="en-US" w:eastAsia="zh-CN"/>
              </w:rPr>
              <w:t>诚光工贸</w:t>
            </w:r>
            <w:r>
              <w:rPr>
                <w:color w:val="auto"/>
                <w:highlight w:val="none"/>
              </w:rPr>
              <w:t>属于土壤污染重点监管单位，</w:t>
            </w:r>
            <w:r>
              <w:rPr>
                <w:rFonts w:hint="eastAsia"/>
                <w:color w:val="auto"/>
                <w:highlight w:val="none"/>
                <w:lang w:val="en-US" w:eastAsia="zh-CN"/>
              </w:rPr>
              <w:t>需</w:t>
            </w:r>
            <w:r>
              <w:rPr>
                <w:color w:val="auto"/>
                <w:highlight w:val="none"/>
              </w:rPr>
              <w:t>开展土壤跟踪监测</w:t>
            </w:r>
            <w:r>
              <w:rPr>
                <w:rFonts w:hint="eastAsia"/>
                <w:color w:val="auto"/>
                <w:highlight w:val="none"/>
                <w:lang w:eastAsia="zh-CN"/>
              </w:rPr>
              <w:t>，</w:t>
            </w:r>
            <w:r>
              <w:rPr>
                <w:rFonts w:hint="eastAsia"/>
                <w:color w:val="auto"/>
                <w:highlight w:val="none"/>
                <w:lang w:val="en-US" w:eastAsia="zh-CN"/>
              </w:rPr>
              <w:t>参考《山东诚光工贸有限公司土壤和地下水自行监测方案（2025年度）》，具体布设情况如下：</w:t>
            </w:r>
          </w:p>
          <w:p w14:paraId="73B33739">
            <w:pPr>
              <w:adjustRightInd w:val="0"/>
              <w:spacing w:before="120" w:beforeLines="50"/>
              <w:jc w:val="center"/>
              <w:rPr>
                <w:rFonts w:ascii="Times New Roman" w:hAnsi="Times New Roman" w:cs="Times New Roman" w:eastAsiaTheme="minorEastAsia"/>
                <w:b/>
                <w:bCs/>
                <w:color w:val="auto"/>
                <w:szCs w:val="21"/>
                <w:highlight w:val="yellow"/>
              </w:rPr>
            </w:pPr>
            <w:r>
              <w:rPr>
                <w:rFonts w:hint="eastAsia" w:ascii="Times New Roman" w:hAnsi="Times New Roman" w:cs="Times New Roman" w:eastAsiaTheme="minorEastAsia"/>
                <w:b/>
                <w:bCs/>
                <w:color w:val="auto"/>
                <w:szCs w:val="21"/>
                <w:highlight w:val="none"/>
              </w:rPr>
              <w:t>表</w:t>
            </w:r>
            <w:r>
              <w:rPr>
                <w:rFonts w:hint="eastAsia" w:ascii="Times New Roman" w:hAnsi="Times New Roman" w:cs="Times New Roman" w:eastAsiaTheme="minorEastAsia"/>
                <w:b/>
                <w:bCs/>
                <w:color w:val="auto"/>
                <w:szCs w:val="21"/>
                <w:highlight w:val="none"/>
                <w:lang w:val="en-US" w:eastAsia="zh-CN"/>
              </w:rPr>
              <w:t>4-</w:t>
            </w:r>
            <w:r>
              <w:rPr>
                <w:rFonts w:hint="eastAsia" w:cs="Times New Roman" w:eastAsiaTheme="minorEastAsia"/>
                <w:b/>
                <w:bCs/>
                <w:color w:val="auto"/>
                <w:szCs w:val="21"/>
                <w:highlight w:val="none"/>
                <w:lang w:val="en-US" w:eastAsia="zh-CN"/>
              </w:rPr>
              <w:t>31</w:t>
            </w:r>
            <w:r>
              <w:rPr>
                <w:rFonts w:hint="eastAsia" w:ascii="Times New Roman" w:hAnsi="Times New Roman" w:cs="Times New Roman" w:eastAsiaTheme="minorEastAsia"/>
                <w:b/>
                <w:bCs/>
                <w:color w:val="auto"/>
                <w:szCs w:val="21"/>
                <w:highlight w:val="none"/>
              </w:rPr>
              <w:t xml:space="preserve">  土壤跟踪监测点信息表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085"/>
              <w:gridCol w:w="4185"/>
              <w:gridCol w:w="1097"/>
            </w:tblGrid>
            <w:tr w14:paraId="2FDF6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4" w:type="pct"/>
                  <w:tcBorders>
                    <w:tl2br w:val="nil"/>
                    <w:tr2bl w:val="nil"/>
                  </w:tcBorders>
                  <w:noWrap w:val="0"/>
                  <w:vAlign w:val="center"/>
                </w:tcPr>
                <w:p w14:paraId="2256E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点位</w:t>
                  </w:r>
                </w:p>
              </w:tc>
              <w:tc>
                <w:tcPr>
                  <w:tcW w:w="1272" w:type="pct"/>
                  <w:tcBorders>
                    <w:tl2br w:val="nil"/>
                    <w:tr2bl w:val="nil"/>
                  </w:tcBorders>
                  <w:noWrap w:val="0"/>
                  <w:vAlign w:val="center"/>
                </w:tcPr>
                <w:p w14:paraId="2F2A6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位置</w:t>
                  </w:r>
                </w:p>
              </w:tc>
              <w:tc>
                <w:tcPr>
                  <w:tcW w:w="2553" w:type="pct"/>
                  <w:tcBorders>
                    <w:tl2br w:val="nil"/>
                    <w:tr2bl w:val="nil"/>
                  </w:tcBorders>
                  <w:noWrap w:val="0"/>
                  <w:vAlign w:val="center"/>
                </w:tcPr>
                <w:p w14:paraId="1AB62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监测项目</w:t>
                  </w:r>
                </w:p>
              </w:tc>
              <w:tc>
                <w:tcPr>
                  <w:tcW w:w="669" w:type="pct"/>
                  <w:tcBorders>
                    <w:tl2br w:val="nil"/>
                    <w:tr2bl w:val="nil"/>
                  </w:tcBorders>
                  <w:shd w:val="clear" w:color="auto" w:fill="auto"/>
                  <w:noWrap w:val="0"/>
                  <w:vAlign w:val="center"/>
                </w:tcPr>
                <w:p w14:paraId="6283B3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监测频次</w:t>
                  </w:r>
                </w:p>
              </w:tc>
            </w:tr>
            <w:tr w14:paraId="111C8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6094C3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T01</w:t>
                  </w:r>
                </w:p>
              </w:tc>
              <w:tc>
                <w:tcPr>
                  <w:tcW w:w="1272" w:type="pct"/>
                  <w:tcBorders>
                    <w:tl2br w:val="nil"/>
                    <w:tr2bl w:val="nil"/>
                  </w:tcBorders>
                  <w:noWrap w:val="0"/>
                  <w:vAlign w:val="center"/>
                </w:tcPr>
                <w:p w14:paraId="4648C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东厂区储罐区东侧</w:t>
                  </w:r>
                </w:p>
              </w:tc>
              <w:tc>
                <w:tcPr>
                  <w:tcW w:w="2553" w:type="pct"/>
                  <w:vMerge w:val="restart"/>
                  <w:tcBorders>
                    <w:tl2br w:val="nil"/>
                    <w:tr2bl w:val="nil"/>
                  </w:tcBorders>
                  <w:noWrap w:val="0"/>
                  <w:vAlign w:val="center"/>
                </w:tcPr>
                <w:p w14:paraId="50206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pH、砷、镉、铜、铅、</w:t>
                  </w:r>
                  <w:r>
                    <w:rPr>
                      <w:rFonts w:hint="default" w:ascii="Times New Roman" w:hAnsi="Times New Roman" w:cs="Times New Roman"/>
                      <w:color w:val="auto"/>
                      <w:kern w:val="0"/>
                      <w:sz w:val="18"/>
                      <w:szCs w:val="18"/>
                      <w:highlight w:val="none"/>
                      <w:lang w:val="en-US" w:eastAsia="zh-CN"/>
                    </w:rPr>
                    <w:t>汞、</w:t>
                  </w:r>
                  <w:r>
                    <w:rPr>
                      <w:rFonts w:hint="default" w:ascii="Times New Roman" w:hAnsi="Times New Roman" w:cs="Times New Roman"/>
                      <w:color w:val="auto"/>
                      <w:kern w:val="0"/>
                      <w:sz w:val="18"/>
                      <w:szCs w:val="18"/>
                      <w:highlight w:val="none"/>
                    </w:rPr>
                    <w:t>镍、六价铬、四氯化碳、氯仿、氯甲烷、1,1-二氯乙烷、1,2-二氯乙烷、1,1-二氯乙烯、顺-1,2-二氯乙烯、反-1,2-二氯乙烯、二氯甲烷、1,2-二氯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b]蒽、茚并[1,2,3-cd]芘、萘、石油烃（C</w:t>
                  </w:r>
                  <w:r>
                    <w:rPr>
                      <w:rFonts w:hint="default" w:ascii="Times New Roman" w:hAnsi="Times New Roman" w:cs="Times New Roman"/>
                      <w:color w:val="auto"/>
                      <w:kern w:val="0"/>
                      <w:sz w:val="18"/>
                      <w:szCs w:val="18"/>
                      <w:highlight w:val="none"/>
                      <w:vertAlign w:val="subscript"/>
                    </w:rPr>
                    <w:t>10</w:t>
                  </w:r>
                  <w:r>
                    <w:rPr>
                      <w:rFonts w:hint="default" w:ascii="Times New Roman" w:hAnsi="Times New Roman" w:cs="Times New Roman"/>
                      <w:color w:val="auto"/>
                      <w:kern w:val="0"/>
                      <w:sz w:val="18"/>
                      <w:szCs w:val="18"/>
                      <w:highlight w:val="none"/>
                    </w:rPr>
                    <w:t>-C</w:t>
                  </w:r>
                  <w:r>
                    <w:rPr>
                      <w:rFonts w:hint="default" w:ascii="Times New Roman" w:hAnsi="Times New Roman" w:cs="Times New Roman"/>
                      <w:color w:val="auto"/>
                      <w:kern w:val="0"/>
                      <w:sz w:val="18"/>
                      <w:szCs w:val="18"/>
                      <w:highlight w:val="none"/>
                      <w:vertAlign w:val="subscript"/>
                    </w:rPr>
                    <w:t>40</w:t>
                  </w:r>
                  <w:r>
                    <w:rPr>
                      <w:rFonts w:hint="default" w:ascii="Times New Roman" w:hAnsi="Times New Roman" w:cs="Times New Roman"/>
                      <w:color w:val="auto"/>
                      <w:kern w:val="0"/>
                      <w:sz w:val="18"/>
                      <w:szCs w:val="18"/>
                      <w:highlight w:val="none"/>
                    </w:rPr>
                    <w:t>）、</w:t>
                  </w:r>
                  <w:r>
                    <w:rPr>
                      <w:rFonts w:hint="default" w:ascii="Times New Roman" w:hAnsi="Times New Roman" w:cs="Times New Roman"/>
                      <w:color w:val="auto"/>
                      <w:kern w:val="0"/>
                      <w:sz w:val="18"/>
                      <w:szCs w:val="18"/>
                      <w:highlight w:val="none"/>
                      <w:lang w:val="en-US" w:eastAsia="zh-CN"/>
                    </w:rPr>
                    <w:t>甲醛</w:t>
                  </w:r>
                </w:p>
              </w:tc>
              <w:tc>
                <w:tcPr>
                  <w:tcW w:w="669" w:type="pct"/>
                  <w:vMerge w:val="restart"/>
                  <w:tcBorders>
                    <w:tl2br w:val="nil"/>
                    <w:tr2bl w:val="nil"/>
                  </w:tcBorders>
                  <w:shd w:val="clear" w:color="auto" w:fill="auto"/>
                  <w:noWrap w:val="0"/>
                  <w:vAlign w:val="center"/>
                </w:tcPr>
                <w:p w14:paraId="705B6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4"/>
                      <w:sz w:val="18"/>
                      <w:szCs w:val="18"/>
                      <w:highlight w:val="none"/>
                    </w:rPr>
                    <w:t>每年一次</w:t>
                  </w:r>
                </w:p>
              </w:tc>
            </w:tr>
            <w:tr w14:paraId="69700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0660AB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w:t>
                  </w:r>
                  <w:r>
                    <w:rPr>
                      <w:rFonts w:hint="eastAsia" w:cs="Times New Roman"/>
                      <w:color w:val="auto"/>
                      <w:sz w:val="18"/>
                      <w:szCs w:val="18"/>
                      <w:highlight w:val="none"/>
                      <w:lang w:val="en-US" w:eastAsia="zh-CN"/>
                    </w:rPr>
                    <w:t>2</w:t>
                  </w:r>
                </w:p>
              </w:tc>
              <w:tc>
                <w:tcPr>
                  <w:tcW w:w="1272" w:type="pct"/>
                  <w:tcBorders>
                    <w:tl2br w:val="nil"/>
                    <w:tr2bl w:val="nil"/>
                  </w:tcBorders>
                  <w:noWrap w:val="0"/>
                  <w:vAlign w:val="center"/>
                </w:tcPr>
                <w:p w14:paraId="7262B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东厂区初期雨水池东侧</w:t>
                  </w:r>
                </w:p>
              </w:tc>
              <w:tc>
                <w:tcPr>
                  <w:tcW w:w="2553" w:type="pct"/>
                  <w:vMerge w:val="continue"/>
                  <w:tcBorders>
                    <w:tl2br w:val="nil"/>
                    <w:tr2bl w:val="nil"/>
                  </w:tcBorders>
                  <w:noWrap w:val="0"/>
                  <w:vAlign w:val="center"/>
                </w:tcPr>
                <w:p w14:paraId="11C5A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669" w:type="pct"/>
                  <w:vMerge w:val="continue"/>
                  <w:tcBorders>
                    <w:tl2br w:val="nil"/>
                    <w:tr2bl w:val="nil"/>
                  </w:tcBorders>
                  <w:shd w:val="clear" w:color="auto" w:fill="auto"/>
                  <w:noWrap w:val="0"/>
                  <w:vAlign w:val="center"/>
                </w:tcPr>
                <w:p w14:paraId="3F86F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14:paraId="3692D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2B10E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w:t>
                  </w:r>
                  <w:r>
                    <w:rPr>
                      <w:rFonts w:hint="eastAsia" w:cs="Times New Roman"/>
                      <w:color w:val="auto"/>
                      <w:sz w:val="18"/>
                      <w:szCs w:val="18"/>
                      <w:highlight w:val="none"/>
                      <w:lang w:val="en-US" w:eastAsia="zh-CN"/>
                    </w:rPr>
                    <w:t>3</w:t>
                  </w:r>
                </w:p>
              </w:tc>
              <w:tc>
                <w:tcPr>
                  <w:tcW w:w="1272" w:type="pct"/>
                  <w:tcBorders>
                    <w:tl2br w:val="nil"/>
                    <w:tr2bl w:val="nil"/>
                  </w:tcBorders>
                  <w:noWrap w:val="0"/>
                  <w:vAlign w:val="center"/>
                </w:tcPr>
                <w:p w14:paraId="503A4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东厂区软水房西北侧</w:t>
                  </w:r>
                </w:p>
              </w:tc>
              <w:tc>
                <w:tcPr>
                  <w:tcW w:w="2553" w:type="pct"/>
                  <w:vMerge w:val="continue"/>
                  <w:tcBorders>
                    <w:tl2br w:val="nil"/>
                    <w:tr2bl w:val="nil"/>
                  </w:tcBorders>
                  <w:noWrap w:val="0"/>
                  <w:vAlign w:val="center"/>
                </w:tcPr>
                <w:p w14:paraId="662AA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669" w:type="pct"/>
                  <w:vMerge w:val="continue"/>
                  <w:tcBorders>
                    <w:tl2br w:val="nil"/>
                    <w:tr2bl w:val="nil"/>
                  </w:tcBorders>
                  <w:shd w:val="clear" w:color="auto" w:fill="auto"/>
                  <w:noWrap w:val="0"/>
                  <w:vAlign w:val="center"/>
                </w:tcPr>
                <w:p w14:paraId="3EDA9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14:paraId="62477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51EE9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w:t>
                  </w:r>
                  <w:r>
                    <w:rPr>
                      <w:rFonts w:hint="eastAsia" w:cs="Times New Roman"/>
                      <w:color w:val="auto"/>
                      <w:sz w:val="18"/>
                      <w:szCs w:val="18"/>
                      <w:highlight w:val="none"/>
                      <w:lang w:val="en-US" w:eastAsia="zh-CN"/>
                    </w:rPr>
                    <w:t>4</w:t>
                  </w:r>
                </w:p>
              </w:tc>
              <w:tc>
                <w:tcPr>
                  <w:tcW w:w="1272" w:type="pct"/>
                  <w:tcBorders>
                    <w:tl2br w:val="nil"/>
                    <w:tr2bl w:val="nil"/>
                  </w:tcBorders>
                  <w:noWrap w:val="0"/>
                  <w:vAlign w:val="center"/>
                </w:tcPr>
                <w:p w14:paraId="5F0BC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叔丁醇库棚西北侧</w:t>
                  </w:r>
                </w:p>
              </w:tc>
              <w:tc>
                <w:tcPr>
                  <w:tcW w:w="2553" w:type="pct"/>
                  <w:vMerge w:val="continue"/>
                  <w:tcBorders>
                    <w:tl2br w:val="nil"/>
                    <w:tr2bl w:val="nil"/>
                  </w:tcBorders>
                  <w:noWrap w:val="0"/>
                  <w:vAlign w:val="center"/>
                </w:tcPr>
                <w:p w14:paraId="0FD17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669" w:type="pct"/>
                  <w:vMerge w:val="continue"/>
                  <w:tcBorders>
                    <w:tl2br w:val="nil"/>
                    <w:tr2bl w:val="nil"/>
                  </w:tcBorders>
                  <w:shd w:val="clear" w:color="auto" w:fill="auto"/>
                  <w:noWrap w:val="0"/>
                  <w:vAlign w:val="center"/>
                </w:tcPr>
                <w:p w14:paraId="7F3D0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14:paraId="48D2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02EA4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w:t>
                  </w:r>
                  <w:r>
                    <w:rPr>
                      <w:rFonts w:hint="eastAsia" w:cs="Times New Roman"/>
                      <w:color w:val="auto"/>
                      <w:sz w:val="18"/>
                      <w:szCs w:val="18"/>
                      <w:highlight w:val="none"/>
                      <w:lang w:val="en-US" w:eastAsia="zh-CN"/>
                    </w:rPr>
                    <w:t>5</w:t>
                  </w:r>
                </w:p>
              </w:tc>
              <w:tc>
                <w:tcPr>
                  <w:tcW w:w="1272" w:type="pct"/>
                  <w:tcBorders>
                    <w:tl2br w:val="nil"/>
                    <w:tr2bl w:val="nil"/>
                  </w:tcBorders>
                  <w:noWrap w:val="0"/>
                  <w:vAlign w:val="center"/>
                </w:tcPr>
                <w:p w14:paraId="1C4A5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西厂区闲置液碱罐区西北侧</w:t>
                  </w:r>
                </w:p>
              </w:tc>
              <w:tc>
                <w:tcPr>
                  <w:tcW w:w="2553" w:type="pct"/>
                  <w:vMerge w:val="continue"/>
                  <w:tcBorders>
                    <w:tl2br w:val="nil"/>
                    <w:tr2bl w:val="nil"/>
                  </w:tcBorders>
                  <w:noWrap w:val="0"/>
                  <w:vAlign w:val="center"/>
                </w:tcPr>
                <w:p w14:paraId="5901E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669" w:type="pct"/>
                  <w:vMerge w:val="continue"/>
                  <w:tcBorders>
                    <w:tl2br w:val="nil"/>
                    <w:tr2bl w:val="nil"/>
                  </w:tcBorders>
                  <w:shd w:val="clear" w:color="auto" w:fill="auto"/>
                  <w:noWrap w:val="0"/>
                  <w:vAlign w:val="center"/>
                </w:tcPr>
                <w:p w14:paraId="64289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14:paraId="7840F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4" w:type="pct"/>
                  <w:tcBorders>
                    <w:tl2br w:val="nil"/>
                    <w:tr2bl w:val="nil"/>
                  </w:tcBorders>
                  <w:noWrap w:val="0"/>
                  <w:vAlign w:val="center"/>
                </w:tcPr>
                <w:p w14:paraId="58F51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T0</w:t>
                  </w:r>
                  <w:r>
                    <w:rPr>
                      <w:rFonts w:hint="eastAsia" w:cs="Times New Roman"/>
                      <w:color w:val="auto"/>
                      <w:sz w:val="18"/>
                      <w:szCs w:val="18"/>
                      <w:highlight w:val="none"/>
                      <w:lang w:val="en-US" w:eastAsia="zh-CN"/>
                    </w:rPr>
                    <w:t>6</w:t>
                  </w:r>
                </w:p>
              </w:tc>
              <w:tc>
                <w:tcPr>
                  <w:tcW w:w="1272" w:type="pct"/>
                  <w:tcBorders>
                    <w:tl2br w:val="nil"/>
                    <w:tr2bl w:val="nil"/>
                  </w:tcBorders>
                  <w:noWrap w:val="0"/>
                  <w:vAlign w:val="center"/>
                </w:tcPr>
                <w:p w14:paraId="4DC7F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西厂区门口西南侧</w:t>
                  </w:r>
                </w:p>
              </w:tc>
              <w:tc>
                <w:tcPr>
                  <w:tcW w:w="2553" w:type="pct"/>
                  <w:vMerge w:val="continue"/>
                  <w:tcBorders>
                    <w:tl2br w:val="nil"/>
                    <w:tr2bl w:val="nil"/>
                  </w:tcBorders>
                  <w:noWrap w:val="0"/>
                  <w:vAlign w:val="center"/>
                </w:tcPr>
                <w:p w14:paraId="3CA73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669" w:type="pct"/>
                  <w:vMerge w:val="continue"/>
                  <w:tcBorders>
                    <w:tl2br w:val="nil"/>
                    <w:tr2bl w:val="nil"/>
                  </w:tcBorders>
                  <w:shd w:val="clear" w:color="auto" w:fill="auto"/>
                  <w:noWrap w:val="0"/>
                  <w:vAlign w:val="center"/>
                </w:tcPr>
                <w:p w14:paraId="3B1FC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bl>
          <w:p w14:paraId="7C04C6FB">
            <w:pPr>
              <w:keepNext w:val="0"/>
              <w:keepLines w:val="0"/>
              <w:pageBreakBefore w:val="0"/>
              <w:widowControl w:val="0"/>
              <w:kinsoku/>
              <w:wordWrap/>
              <w:overflowPunct/>
              <w:topLinePunct w:val="0"/>
              <w:autoSpaceDE/>
              <w:autoSpaceDN/>
              <w:bidi w:val="0"/>
              <w:adjustRightInd w:val="0"/>
              <w:snapToGrid w:val="0"/>
              <w:spacing w:line="420" w:lineRule="exact"/>
              <w:textAlignment w:val="auto"/>
              <w:rPr>
                <w:b/>
                <w:bCs/>
                <w:color w:val="auto"/>
                <w:szCs w:val="21"/>
              </w:rPr>
            </w:pPr>
            <w:r>
              <w:rPr>
                <w:rFonts w:hint="eastAsia"/>
                <w:b/>
                <w:bCs/>
                <w:color w:val="auto"/>
                <w:szCs w:val="21"/>
                <w:lang w:val="en-US" w:eastAsia="zh-CN"/>
              </w:rPr>
              <w:t>七</w:t>
            </w:r>
            <w:r>
              <w:rPr>
                <w:b/>
                <w:bCs/>
                <w:color w:val="auto"/>
                <w:szCs w:val="21"/>
              </w:rPr>
              <w:t>、环境风险</w:t>
            </w:r>
          </w:p>
          <w:p w14:paraId="5570DC5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ascii="Times New Roman" w:hAnsi="Times New Roman" w:cs="Times New Roman"/>
                <w:bCs/>
                <w:color w:val="auto"/>
                <w:szCs w:val="21"/>
                <w:highlight w:val="yellow"/>
                <w:lang w:val="en-US" w:eastAsia="zh-CN"/>
              </w:rPr>
            </w:pPr>
            <w:r>
              <w:rPr>
                <w:rFonts w:hint="default" w:ascii="Times New Roman" w:hAnsi="Times New Roman" w:cs="Times New Roman"/>
                <w:bCs/>
                <w:color w:val="auto"/>
                <w:szCs w:val="21"/>
                <w:highlight w:val="none"/>
                <w:lang w:val="en-US" w:eastAsia="zh-CN"/>
              </w:rPr>
              <w:t>本项目涉及的风险物质主要为</w:t>
            </w:r>
            <w:r>
              <w:rPr>
                <w:rFonts w:hint="eastAsia" w:cs="Times New Roman"/>
                <w:bCs/>
                <w:color w:val="auto"/>
                <w:szCs w:val="21"/>
                <w:highlight w:val="none"/>
                <w:lang w:val="en-US" w:eastAsia="zh-CN"/>
              </w:rPr>
              <w:t>甲醇、废润滑油</w:t>
            </w:r>
            <w:r>
              <w:rPr>
                <w:rFonts w:hint="default" w:ascii="Times New Roman" w:hAnsi="Times New Roman" w:cs="Times New Roman"/>
                <w:bCs/>
                <w:color w:val="auto"/>
                <w:szCs w:val="21"/>
                <w:highlight w:val="none"/>
                <w:lang w:val="en-US" w:eastAsia="zh-CN"/>
              </w:rPr>
              <w:t>，Q值＞1，需做环境风险专项评价。根据</w:t>
            </w:r>
            <w:r>
              <w:rPr>
                <w:rFonts w:hint="default" w:ascii="Times New Roman" w:hAnsi="Times New Roman" w:cs="Times New Roman"/>
                <w:bCs/>
                <w:color w:val="auto"/>
                <w:szCs w:val="21"/>
                <w:highlight w:val="none"/>
              </w:rPr>
              <w:t>《建设项目环境风险评价技术导则》（HJ169-2018）</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本项目大气环境风险潜势为Ⅲ级，进行</w:t>
            </w:r>
            <w:r>
              <w:rPr>
                <w:rFonts w:hint="eastAsia" w:cs="Times New Roman"/>
                <w:bCs/>
                <w:color w:val="auto"/>
                <w:szCs w:val="21"/>
                <w:highlight w:val="none"/>
                <w:lang w:val="en-US" w:eastAsia="zh-CN"/>
              </w:rPr>
              <w:t>二</w:t>
            </w:r>
            <w:r>
              <w:rPr>
                <w:rFonts w:hint="default" w:ascii="Times New Roman" w:hAnsi="Times New Roman" w:cs="Times New Roman"/>
                <w:bCs/>
                <w:color w:val="auto"/>
                <w:szCs w:val="21"/>
                <w:highlight w:val="none"/>
                <w:lang w:val="en-US" w:eastAsia="zh-CN"/>
              </w:rPr>
              <w:t>级评价</w:t>
            </w:r>
            <w:r>
              <w:rPr>
                <w:rFonts w:hint="eastAsia"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lang w:val="en-US" w:eastAsia="zh-CN"/>
              </w:rPr>
              <w:t>地表水环境风险潜势</w:t>
            </w:r>
            <w:r>
              <w:rPr>
                <w:rFonts w:hint="eastAsia" w:ascii="Times New Roman" w:hAnsi="Times New Roman" w:cs="Times New Roman"/>
                <w:bCs/>
                <w:color w:val="auto"/>
                <w:szCs w:val="21"/>
                <w:highlight w:val="none"/>
                <w:lang w:val="en-US" w:eastAsia="zh-CN"/>
              </w:rPr>
              <w:t>为</w:t>
            </w:r>
            <w:r>
              <w:rPr>
                <w:color w:val="auto"/>
                <w:sz w:val="21"/>
                <w:szCs w:val="21"/>
                <w:highlight w:val="none"/>
              </w:rPr>
              <w:t>Ⅱ</w:t>
            </w:r>
            <w:r>
              <w:rPr>
                <w:rFonts w:hint="default" w:ascii="Times New Roman" w:hAnsi="Times New Roman" w:cs="Times New Roman"/>
                <w:bCs/>
                <w:color w:val="auto"/>
                <w:szCs w:val="21"/>
                <w:highlight w:val="none"/>
                <w:lang w:val="en-US" w:eastAsia="zh-CN"/>
              </w:rPr>
              <w:t>级，进行</w:t>
            </w:r>
            <w:r>
              <w:rPr>
                <w:rFonts w:hint="eastAsia" w:cs="Times New Roman"/>
                <w:bCs/>
                <w:color w:val="auto"/>
                <w:szCs w:val="21"/>
                <w:highlight w:val="none"/>
                <w:lang w:val="en-US" w:eastAsia="zh-CN"/>
              </w:rPr>
              <w:t>三</w:t>
            </w:r>
            <w:r>
              <w:rPr>
                <w:rFonts w:hint="default" w:ascii="Times New Roman" w:hAnsi="Times New Roman" w:cs="Times New Roman"/>
                <w:bCs/>
                <w:color w:val="auto"/>
                <w:szCs w:val="21"/>
                <w:highlight w:val="none"/>
                <w:lang w:val="en-US" w:eastAsia="zh-CN"/>
              </w:rPr>
              <w:t>级评价</w:t>
            </w:r>
            <w:r>
              <w:rPr>
                <w:rFonts w:hint="eastAsia"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lang w:val="en-US" w:eastAsia="zh-CN"/>
              </w:rPr>
              <w:t>地下水环境风险潜势</w:t>
            </w:r>
            <w:r>
              <w:rPr>
                <w:rFonts w:hint="eastAsia" w:ascii="Times New Roman" w:hAnsi="Times New Roman" w:cs="Times New Roman"/>
                <w:bCs/>
                <w:color w:val="auto"/>
                <w:szCs w:val="21"/>
                <w:highlight w:val="none"/>
                <w:lang w:val="en-US" w:eastAsia="zh-CN"/>
              </w:rPr>
              <w:t>为</w:t>
            </w:r>
            <w:r>
              <w:rPr>
                <w:color w:val="auto"/>
                <w:sz w:val="21"/>
                <w:szCs w:val="21"/>
                <w:highlight w:val="none"/>
              </w:rPr>
              <w:t>Ⅱ</w:t>
            </w:r>
            <w:r>
              <w:rPr>
                <w:rFonts w:hint="default" w:ascii="Times New Roman" w:hAnsi="Times New Roman" w:cs="Times New Roman"/>
                <w:bCs/>
                <w:color w:val="auto"/>
                <w:szCs w:val="21"/>
                <w:highlight w:val="none"/>
                <w:lang w:val="en-US" w:eastAsia="zh-CN"/>
              </w:rPr>
              <w:t>级，进行</w:t>
            </w:r>
            <w:r>
              <w:rPr>
                <w:rFonts w:hint="eastAsia" w:cs="Times New Roman"/>
                <w:bCs/>
                <w:color w:val="auto"/>
                <w:szCs w:val="21"/>
                <w:highlight w:val="none"/>
                <w:lang w:val="en-US" w:eastAsia="zh-CN"/>
              </w:rPr>
              <w:t>三</w:t>
            </w:r>
            <w:r>
              <w:rPr>
                <w:rFonts w:hint="default" w:ascii="Times New Roman" w:hAnsi="Times New Roman" w:cs="Times New Roman"/>
                <w:bCs/>
                <w:color w:val="auto"/>
                <w:szCs w:val="21"/>
                <w:highlight w:val="none"/>
                <w:lang w:val="en-US" w:eastAsia="zh-CN"/>
              </w:rPr>
              <w:t>级评价</w:t>
            </w:r>
            <w:r>
              <w:rPr>
                <w:rFonts w:hint="eastAsia"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lang w:val="en-US" w:eastAsia="zh-CN"/>
              </w:rPr>
              <w:t>建设项目环境风险潜势综合等级为Ⅲ级，项目的环境风险评价等级为</w:t>
            </w:r>
            <w:r>
              <w:rPr>
                <w:rFonts w:hint="eastAsia" w:cs="Times New Roman"/>
                <w:bCs/>
                <w:color w:val="auto"/>
                <w:szCs w:val="21"/>
                <w:highlight w:val="none"/>
                <w:lang w:val="en-US" w:eastAsia="zh-CN"/>
              </w:rPr>
              <w:t>二</w:t>
            </w:r>
            <w:r>
              <w:rPr>
                <w:rFonts w:hint="default" w:ascii="Times New Roman" w:hAnsi="Times New Roman" w:cs="Times New Roman"/>
                <w:bCs/>
                <w:color w:val="auto"/>
                <w:szCs w:val="21"/>
                <w:highlight w:val="none"/>
                <w:lang w:val="en-US" w:eastAsia="zh-CN"/>
              </w:rPr>
              <w:t>级。</w:t>
            </w:r>
          </w:p>
          <w:p w14:paraId="2199EDA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评价制定了一系列的风险防范措施、应急预案以及应急监测方案，可将事故风险概率和影响程度降至最低。通过采取有效的预防措施和制定完善的应急救援预案，严格执行项目安全评价提出的安全对策措施，本项目的环境风险是可以防控的，具体内容详见环境风险专项评价。</w:t>
            </w:r>
          </w:p>
          <w:p w14:paraId="06317585">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5B2453DD">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05A59E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225D29F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48F2A8E4">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2FA299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6A960039">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4C17E8ED">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38A7C05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41A96CC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33011D7D">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3DE7974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462A14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4516EF5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2EA23F50">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9E9F936">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688F56A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3DB3A63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2BB1DE1E">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63B9B155">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E68917E">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E6E2BC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B631AE4">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2EFED89C">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8E46567">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0449FE93">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18A59211">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cs="Times New Roman"/>
                <w:bCs/>
                <w:color w:val="auto"/>
                <w:szCs w:val="21"/>
                <w:lang w:val="en-US" w:eastAsia="zh-CN"/>
              </w:rPr>
            </w:pPr>
          </w:p>
          <w:p w14:paraId="6FDE8998">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default" w:cs="Times New Roman"/>
                <w:bCs/>
                <w:color w:val="auto"/>
                <w:szCs w:val="21"/>
                <w:lang w:val="en-US" w:eastAsia="zh-CN"/>
              </w:rPr>
            </w:pPr>
          </w:p>
        </w:tc>
      </w:tr>
    </w:tbl>
    <w:p w14:paraId="67C2E009">
      <w:pPr>
        <w:pStyle w:val="10"/>
        <w:rPr>
          <w:color w:val="auto"/>
        </w:rPr>
        <w:sectPr>
          <w:pgSz w:w="11907" w:h="16840"/>
          <w:pgMar w:top="1701" w:right="1531" w:bottom="1560" w:left="1531" w:header="851" w:footer="851" w:gutter="0"/>
          <w:pgBorders>
            <w:top w:val="none" w:sz="0" w:space="0"/>
            <w:left w:val="none" w:sz="0" w:space="0"/>
            <w:bottom w:val="none" w:sz="0" w:space="0"/>
            <w:right w:val="none" w:sz="0" w:space="0"/>
          </w:pgBorders>
          <w:cols w:space="720" w:num="1"/>
          <w:docGrid w:linePitch="312" w:charSpace="0"/>
        </w:sectPr>
      </w:pPr>
    </w:p>
    <w:p w14:paraId="2B054435">
      <w:pPr>
        <w:pStyle w:val="18"/>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14" w:name="_Hlk54167917"/>
      <w:r>
        <w:rPr>
          <w:rFonts w:ascii="Times New Roman" w:hAnsi="Times New Roman" w:eastAsia="黑体"/>
          <w:snapToGrid w:val="0"/>
          <w:color w:val="auto"/>
          <w:sz w:val="30"/>
          <w:szCs w:val="30"/>
        </w:rPr>
        <w:t>环境保护措施监督检查清单</w:t>
      </w:r>
      <w:bookmarkEnd w:id="14"/>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60"/>
        <w:gridCol w:w="1627"/>
        <w:gridCol w:w="1635"/>
        <w:gridCol w:w="3240"/>
      </w:tblGrid>
      <w:tr w14:paraId="523D6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tcBorders>
              <w:tl2br w:val="single" w:color="auto" w:sz="4" w:space="0"/>
            </w:tcBorders>
          </w:tcPr>
          <w:p w14:paraId="04167428">
            <w:pPr>
              <w:adjustRightInd w:val="0"/>
              <w:snapToGrid w:val="0"/>
              <w:ind w:firstLine="211" w:firstLineChars="100"/>
              <w:rPr>
                <w:b/>
                <w:bCs/>
                <w:color w:val="auto"/>
                <w:szCs w:val="21"/>
              </w:rPr>
            </w:pPr>
            <w:r>
              <w:rPr>
                <w:b/>
                <w:bCs/>
                <w:color w:val="auto"/>
                <w:szCs w:val="21"/>
              </w:rPr>
              <w:t>内容</w:t>
            </w:r>
          </w:p>
          <w:p w14:paraId="6C72E045">
            <w:pPr>
              <w:adjustRightInd w:val="0"/>
              <w:snapToGrid w:val="0"/>
              <w:rPr>
                <w:b/>
                <w:bCs/>
                <w:color w:val="auto"/>
                <w:szCs w:val="21"/>
              </w:rPr>
            </w:pPr>
            <w:r>
              <w:rPr>
                <w:b/>
                <w:bCs/>
                <w:color w:val="auto"/>
                <w:szCs w:val="21"/>
              </w:rPr>
              <w:t>要素</w:t>
            </w:r>
          </w:p>
        </w:tc>
        <w:tc>
          <w:tcPr>
            <w:tcW w:w="1560" w:type="dxa"/>
            <w:vAlign w:val="center"/>
          </w:tcPr>
          <w:p w14:paraId="0E12AAAF">
            <w:pPr>
              <w:adjustRightInd w:val="0"/>
              <w:snapToGrid w:val="0"/>
              <w:jc w:val="center"/>
              <w:rPr>
                <w:b/>
                <w:bCs/>
                <w:color w:val="auto"/>
                <w:szCs w:val="21"/>
              </w:rPr>
            </w:pPr>
            <w:r>
              <w:rPr>
                <w:b/>
                <w:bCs/>
                <w:color w:val="auto"/>
                <w:szCs w:val="21"/>
              </w:rPr>
              <w:t>排放口(编号、名称)/污染源</w:t>
            </w:r>
          </w:p>
        </w:tc>
        <w:tc>
          <w:tcPr>
            <w:tcW w:w="1627" w:type="dxa"/>
            <w:vAlign w:val="center"/>
          </w:tcPr>
          <w:p w14:paraId="7D2AB989">
            <w:pPr>
              <w:adjustRightInd w:val="0"/>
              <w:snapToGrid w:val="0"/>
              <w:jc w:val="center"/>
              <w:rPr>
                <w:b/>
                <w:bCs/>
                <w:color w:val="auto"/>
                <w:szCs w:val="21"/>
              </w:rPr>
            </w:pPr>
            <w:r>
              <w:rPr>
                <w:b/>
                <w:bCs/>
                <w:color w:val="auto"/>
                <w:szCs w:val="21"/>
              </w:rPr>
              <w:t>污染物项目</w:t>
            </w:r>
          </w:p>
        </w:tc>
        <w:tc>
          <w:tcPr>
            <w:tcW w:w="1635" w:type="dxa"/>
            <w:vAlign w:val="center"/>
          </w:tcPr>
          <w:p w14:paraId="6B1CC549">
            <w:pPr>
              <w:adjustRightInd w:val="0"/>
              <w:snapToGrid w:val="0"/>
              <w:jc w:val="center"/>
              <w:rPr>
                <w:b/>
                <w:bCs/>
                <w:color w:val="auto"/>
                <w:szCs w:val="21"/>
              </w:rPr>
            </w:pPr>
            <w:r>
              <w:rPr>
                <w:b/>
                <w:bCs/>
                <w:color w:val="auto"/>
                <w:szCs w:val="21"/>
              </w:rPr>
              <w:t>环境保护措施</w:t>
            </w:r>
          </w:p>
        </w:tc>
        <w:tc>
          <w:tcPr>
            <w:tcW w:w="3240" w:type="dxa"/>
            <w:vAlign w:val="center"/>
          </w:tcPr>
          <w:p w14:paraId="49C97FEC">
            <w:pPr>
              <w:adjustRightInd w:val="0"/>
              <w:snapToGrid w:val="0"/>
              <w:jc w:val="center"/>
              <w:rPr>
                <w:b/>
                <w:bCs/>
                <w:color w:val="auto"/>
                <w:szCs w:val="21"/>
              </w:rPr>
            </w:pPr>
            <w:r>
              <w:rPr>
                <w:b/>
                <w:bCs/>
                <w:color w:val="auto"/>
                <w:szCs w:val="21"/>
              </w:rPr>
              <w:t>执行标准</w:t>
            </w:r>
          </w:p>
        </w:tc>
      </w:tr>
      <w:tr w14:paraId="33D6A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restart"/>
            <w:vAlign w:val="center"/>
          </w:tcPr>
          <w:p w14:paraId="1940EEA0">
            <w:pPr>
              <w:adjustRightInd w:val="0"/>
              <w:snapToGrid w:val="0"/>
              <w:spacing w:line="360" w:lineRule="exact"/>
              <w:jc w:val="center"/>
              <w:rPr>
                <w:color w:val="auto"/>
                <w:szCs w:val="21"/>
              </w:rPr>
            </w:pPr>
            <w:r>
              <w:rPr>
                <w:color w:val="auto"/>
                <w:szCs w:val="21"/>
              </w:rPr>
              <w:t>大气环境</w:t>
            </w:r>
          </w:p>
        </w:tc>
        <w:tc>
          <w:tcPr>
            <w:tcW w:w="1560" w:type="dxa"/>
            <w:vMerge w:val="restart"/>
            <w:vAlign w:val="center"/>
          </w:tcPr>
          <w:p w14:paraId="6B0F31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DA001排气筒</w:t>
            </w:r>
          </w:p>
        </w:tc>
        <w:tc>
          <w:tcPr>
            <w:tcW w:w="1627" w:type="dxa"/>
            <w:vAlign w:val="center"/>
          </w:tcPr>
          <w:p w14:paraId="1694D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VOCs</w:t>
            </w:r>
          </w:p>
        </w:tc>
        <w:tc>
          <w:tcPr>
            <w:tcW w:w="1635" w:type="dxa"/>
            <w:vMerge w:val="restart"/>
            <w:vAlign w:val="center"/>
          </w:tcPr>
          <w:p w14:paraId="3E3D8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水洗+焚烧</w:t>
            </w:r>
          </w:p>
        </w:tc>
        <w:tc>
          <w:tcPr>
            <w:tcW w:w="3240" w:type="dxa"/>
            <w:vAlign w:val="center"/>
          </w:tcPr>
          <w:p w14:paraId="2FF3E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rFonts w:hint="eastAsia" w:eastAsia="宋体"/>
                <w:color w:val="auto"/>
                <w:szCs w:val="21"/>
                <w:lang w:eastAsia="zh-CN"/>
              </w:rPr>
              <w:t>《挥发性有机物排放标准 第6部分：有机化工行业》（DB37/2801.6-2018）表1Ⅱ时段</w:t>
            </w:r>
          </w:p>
        </w:tc>
      </w:tr>
      <w:tr w14:paraId="1DCB14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433687F7">
            <w:pPr>
              <w:adjustRightInd w:val="0"/>
              <w:snapToGrid w:val="0"/>
              <w:spacing w:line="360" w:lineRule="exact"/>
              <w:jc w:val="center"/>
              <w:rPr>
                <w:color w:val="auto"/>
                <w:szCs w:val="21"/>
              </w:rPr>
            </w:pPr>
          </w:p>
        </w:tc>
        <w:tc>
          <w:tcPr>
            <w:tcW w:w="1560" w:type="dxa"/>
            <w:vMerge w:val="continue"/>
            <w:vAlign w:val="center"/>
          </w:tcPr>
          <w:p w14:paraId="15073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627" w:type="dxa"/>
            <w:vAlign w:val="center"/>
          </w:tcPr>
          <w:p w14:paraId="1DC7D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甲醇</w:t>
            </w:r>
          </w:p>
        </w:tc>
        <w:tc>
          <w:tcPr>
            <w:tcW w:w="1635" w:type="dxa"/>
            <w:vMerge w:val="continue"/>
            <w:vAlign w:val="center"/>
          </w:tcPr>
          <w:p w14:paraId="5DCF2C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p>
        </w:tc>
        <w:tc>
          <w:tcPr>
            <w:tcW w:w="3240" w:type="dxa"/>
            <w:vAlign w:val="center"/>
          </w:tcPr>
          <w:p w14:paraId="1E28D6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eastAsia="zh-CN"/>
              </w:rPr>
            </w:pPr>
            <w:r>
              <w:rPr>
                <w:rFonts w:hint="eastAsia"/>
                <w:color w:val="auto"/>
                <w:szCs w:val="21"/>
                <w:lang w:eastAsia="zh-CN"/>
              </w:rPr>
              <w:t>《挥发性有机物排放标准 第6部分：有机化工行业》（DB37/2801.6-2018）表2</w:t>
            </w:r>
          </w:p>
        </w:tc>
      </w:tr>
      <w:tr w14:paraId="6C0E5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3C6C1896">
            <w:pPr>
              <w:adjustRightInd w:val="0"/>
              <w:snapToGrid w:val="0"/>
              <w:spacing w:line="360" w:lineRule="exact"/>
              <w:jc w:val="center"/>
              <w:rPr>
                <w:color w:val="auto"/>
                <w:szCs w:val="21"/>
              </w:rPr>
            </w:pPr>
          </w:p>
        </w:tc>
        <w:tc>
          <w:tcPr>
            <w:tcW w:w="1560" w:type="dxa"/>
            <w:vMerge w:val="continue"/>
            <w:vAlign w:val="center"/>
          </w:tcPr>
          <w:p w14:paraId="6E6096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627" w:type="dxa"/>
            <w:vAlign w:val="center"/>
          </w:tcPr>
          <w:p w14:paraId="26C73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NOx</w:t>
            </w:r>
          </w:p>
        </w:tc>
        <w:tc>
          <w:tcPr>
            <w:tcW w:w="1635" w:type="dxa"/>
            <w:vAlign w:val="center"/>
          </w:tcPr>
          <w:p w14:paraId="1ED5A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w:t>
            </w:r>
          </w:p>
        </w:tc>
        <w:tc>
          <w:tcPr>
            <w:tcW w:w="3240" w:type="dxa"/>
            <w:vAlign w:val="center"/>
          </w:tcPr>
          <w:p w14:paraId="6D77D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eastAsia="zh-CN"/>
              </w:rPr>
            </w:pPr>
            <w:r>
              <w:rPr>
                <w:rFonts w:hint="eastAsia"/>
                <w:color w:val="auto"/>
                <w:szCs w:val="21"/>
                <w:lang w:eastAsia="zh-CN"/>
              </w:rPr>
              <w:t>《区域性大气污染物综合排放标准》(DB37/2376-2019)表1中“重点控制区”</w:t>
            </w:r>
          </w:p>
        </w:tc>
      </w:tr>
      <w:tr w14:paraId="26D3D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6E2952BF">
            <w:pPr>
              <w:adjustRightInd w:val="0"/>
              <w:snapToGrid w:val="0"/>
              <w:spacing w:line="360" w:lineRule="exact"/>
              <w:jc w:val="center"/>
              <w:rPr>
                <w:color w:val="auto"/>
                <w:szCs w:val="21"/>
              </w:rPr>
            </w:pPr>
          </w:p>
        </w:tc>
        <w:tc>
          <w:tcPr>
            <w:tcW w:w="1560" w:type="dxa"/>
            <w:vMerge w:val="restart"/>
            <w:vAlign w:val="center"/>
          </w:tcPr>
          <w:p w14:paraId="2CC8D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DA002排气筒</w:t>
            </w:r>
          </w:p>
        </w:tc>
        <w:tc>
          <w:tcPr>
            <w:tcW w:w="1627" w:type="dxa"/>
            <w:shd w:val="clear" w:color="auto" w:fill="auto"/>
            <w:vAlign w:val="center"/>
          </w:tcPr>
          <w:p w14:paraId="345CB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VOCs</w:t>
            </w:r>
          </w:p>
        </w:tc>
        <w:tc>
          <w:tcPr>
            <w:tcW w:w="1635" w:type="dxa"/>
            <w:vMerge w:val="restart"/>
            <w:vAlign w:val="center"/>
          </w:tcPr>
          <w:p w14:paraId="75A8C4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lang w:val="en-US" w:eastAsia="zh-CN"/>
              </w:rPr>
              <w:t>水洗+焚烧</w:t>
            </w:r>
          </w:p>
        </w:tc>
        <w:tc>
          <w:tcPr>
            <w:tcW w:w="3240" w:type="dxa"/>
            <w:shd w:val="clear" w:color="auto" w:fill="auto"/>
            <w:vAlign w:val="center"/>
          </w:tcPr>
          <w:p w14:paraId="258EF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eastAsia="zh-CN"/>
              </w:rPr>
              <w:t>《挥发性有机物排放标准 第6部分：有机化工行业》（DB37/2801.6-2018）表1Ⅱ时段</w:t>
            </w:r>
          </w:p>
        </w:tc>
      </w:tr>
      <w:tr w14:paraId="6036D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235EB43C">
            <w:pPr>
              <w:adjustRightInd w:val="0"/>
              <w:snapToGrid w:val="0"/>
              <w:spacing w:line="360" w:lineRule="exact"/>
              <w:jc w:val="center"/>
              <w:rPr>
                <w:color w:val="auto"/>
                <w:szCs w:val="21"/>
              </w:rPr>
            </w:pPr>
          </w:p>
        </w:tc>
        <w:tc>
          <w:tcPr>
            <w:tcW w:w="1560" w:type="dxa"/>
            <w:vMerge w:val="continue"/>
            <w:vAlign w:val="center"/>
          </w:tcPr>
          <w:p w14:paraId="47D120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627" w:type="dxa"/>
            <w:shd w:val="clear" w:color="auto" w:fill="auto"/>
            <w:vAlign w:val="center"/>
          </w:tcPr>
          <w:p w14:paraId="10A409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甲醇</w:t>
            </w:r>
          </w:p>
        </w:tc>
        <w:tc>
          <w:tcPr>
            <w:tcW w:w="1635" w:type="dxa"/>
            <w:vMerge w:val="continue"/>
            <w:vAlign w:val="center"/>
          </w:tcPr>
          <w:p w14:paraId="4C6E0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p>
        </w:tc>
        <w:tc>
          <w:tcPr>
            <w:tcW w:w="3240" w:type="dxa"/>
            <w:shd w:val="clear" w:color="auto" w:fill="auto"/>
            <w:vAlign w:val="center"/>
          </w:tcPr>
          <w:p w14:paraId="2670F7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《挥发性有机物排放标准 第6部分：有机化工行业》（DB37/2801.6-2018）表2</w:t>
            </w:r>
          </w:p>
        </w:tc>
      </w:tr>
      <w:tr w14:paraId="72AAD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3B2ECB24">
            <w:pPr>
              <w:adjustRightInd w:val="0"/>
              <w:snapToGrid w:val="0"/>
              <w:spacing w:line="360" w:lineRule="exact"/>
              <w:jc w:val="center"/>
              <w:rPr>
                <w:color w:val="auto"/>
                <w:szCs w:val="21"/>
              </w:rPr>
            </w:pPr>
          </w:p>
        </w:tc>
        <w:tc>
          <w:tcPr>
            <w:tcW w:w="1560" w:type="dxa"/>
            <w:vMerge w:val="continue"/>
            <w:vAlign w:val="center"/>
          </w:tcPr>
          <w:p w14:paraId="1EA95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627" w:type="dxa"/>
            <w:shd w:val="clear" w:color="auto" w:fill="auto"/>
            <w:vAlign w:val="center"/>
          </w:tcPr>
          <w:p w14:paraId="65CF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NOx</w:t>
            </w:r>
          </w:p>
        </w:tc>
        <w:tc>
          <w:tcPr>
            <w:tcW w:w="1635" w:type="dxa"/>
            <w:vAlign w:val="center"/>
          </w:tcPr>
          <w:p w14:paraId="5CBCE0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w:t>
            </w:r>
          </w:p>
        </w:tc>
        <w:tc>
          <w:tcPr>
            <w:tcW w:w="3240" w:type="dxa"/>
            <w:shd w:val="clear" w:color="auto" w:fill="auto"/>
            <w:vAlign w:val="center"/>
          </w:tcPr>
          <w:p w14:paraId="677E6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eastAsia="zh-CN"/>
              </w:rPr>
            </w:pPr>
            <w:r>
              <w:rPr>
                <w:rFonts w:hint="eastAsia"/>
                <w:color w:val="auto"/>
                <w:szCs w:val="21"/>
                <w:lang w:eastAsia="zh-CN"/>
              </w:rPr>
              <w:t>《区域性大气污染物综合排放标准》(DB37/2376-2019)表1中“重点控制区”</w:t>
            </w:r>
          </w:p>
        </w:tc>
      </w:tr>
      <w:tr w14:paraId="34D05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2F0D5B11">
            <w:pPr>
              <w:adjustRightInd w:val="0"/>
              <w:snapToGrid w:val="0"/>
              <w:spacing w:line="360" w:lineRule="exact"/>
              <w:jc w:val="center"/>
              <w:rPr>
                <w:color w:val="auto"/>
                <w:szCs w:val="21"/>
              </w:rPr>
            </w:pPr>
          </w:p>
        </w:tc>
        <w:tc>
          <w:tcPr>
            <w:tcW w:w="1560" w:type="dxa"/>
            <w:vMerge w:val="restart"/>
            <w:vAlign w:val="center"/>
          </w:tcPr>
          <w:p w14:paraId="38D2A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厂界无组织</w:t>
            </w:r>
          </w:p>
        </w:tc>
        <w:tc>
          <w:tcPr>
            <w:tcW w:w="1627" w:type="dxa"/>
            <w:vAlign w:val="center"/>
          </w:tcPr>
          <w:p w14:paraId="0E1C6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VOCs</w:t>
            </w:r>
          </w:p>
        </w:tc>
        <w:tc>
          <w:tcPr>
            <w:tcW w:w="1635" w:type="dxa"/>
            <w:vMerge w:val="restart"/>
            <w:vAlign w:val="center"/>
          </w:tcPr>
          <w:p w14:paraId="60109F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加强管理，定期进行LDAR泄漏修复与检测</w:t>
            </w:r>
          </w:p>
        </w:tc>
        <w:tc>
          <w:tcPr>
            <w:tcW w:w="3240" w:type="dxa"/>
            <w:vAlign w:val="center"/>
          </w:tcPr>
          <w:p w14:paraId="666624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《挥发性有机物排放标准 第6部分：有机化工行业》（DB37/2801.6-2018）表3</w:t>
            </w:r>
          </w:p>
        </w:tc>
      </w:tr>
      <w:tr w14:paraId="3E125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211283A7">
            <w:pPr>
              <w:adjustRightInd w:val="0"/>
              <w:snapToGrid w:val="0"/>
              <w:spacing w:line="360" w:lineRule="exact"/>
              <w:jc w:val="center"/>
              <w:rPr>
                <w:color w:val="auto"/>
                <w:szCs w:val="21"/>
              </w:rPr>
            </w:pPr>
          </w:p>
        </w:tc>
        <w:tc>
          <w:tcPr>
            <w:tcW w:w="1560" w:type="dxa"/>
            <w:vMerge w:val="continue"/>
            <w:vAlign w:val="center"/>
          </w:tcPr>
          <w:p w14:paraId="3777F5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1627" w:type="dxa"/>
            <w:vAlign w:val="center"/>
          </w:tcPr>
          <w:p w14:paraId="07EAA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甲醇</w:t>
            </w:r>
          </w:p>
        </w:tc>
        <w:tc>
          <w:tcPr>
            <w:tcW w:w="1635" w:type="dxa"/>
            <w:vMerge w:val="continue"/>
            <w:vAlign w:val="center"/>
          </w:tcPr>
          <w:p w14:paraId="02058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3240" w:type="dxa"/>
            <w:vAlign w:val="center"/>
          </w:tcPr>
          <w:p w14:paraId="315FE3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szCs w:val="21"/>
              </w:rPr>
              <w:t>《大气污染物综合排放标准》（GB16297-1996）表2</w:t>
            </w:r>
          </w:p>
        </w:tc>
      </w:tr>
      <w:tr w14:paraId="1C078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334164A5">
            <w:pPr>
              <w:adjustRightInd w:val="0"/>
              <w:snapToGrid w:val="0"/>
              <w:spacing w:line="360" w:lineRule="exact"/>
              <w:jc w:val="center"/>
              <w:rPr>
                <w:color w:val="auto"/>
                <w:szCs w:val="21"/>
              </w:rPr>
            </w:pPr>
          </w:p>
        </w:tc>
        <w:tc>
          <w:tcPr>
            <w:tcW w:w="1560" w:type="dxa"/>
            <w:vAlign w:val="center"/>
          </w:tcPr>
          <w:p w14:paraId="6DE4A7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厂区内无组织</w:t>
            </w:r>
          </w:p>
        </w:tc>
        <w:tc>
          <w:tcPr>
            <w:tcW w:w="1627" w:type="dxa"/>
            <w:vAlign w:val="center"/>
          </w:tcPr>
          <w:p w14:paraId="6A119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NMHC</w:t>
            </w:r>
          </w:p>
        </w:tc>
        <w:tc>
          <w:tcPr>
            <w:tcW w:w="1635" w:type="dxa"/>
            <w:vMerge w:val="continue"/>
            <w:vAlign w:val="center"/>
          </w:tcPr>
          <w:p w14:paraId="44AE18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3240" w:type="dxa"/>
            <w:vAlign w:val="center"/>
          </w:tcPr>
          <w:p w14:paraId="59ACA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rPr>
            </w:pPr>
            <w:r>
              <w:rPr>
                <w:rFonts w:hint="eastAsia"/>
                <w:color w:val="auto"/>
              </w:rPr>
              <w:t>《挥发性有机物无组织排放控制标准》（GB37822-2019）附录A</w:t>
            </w:r>
          </w:p>
        </w:tc>
      </w:tr>
      <w:tr w14:paraId="78CEF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09F57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地表水环境</w:t>
            </w:r>
          </w:p>
        </w:tc>
        <w:tc>
          <w:tcPr>
            <w:tcW w:w="1560" w:type="dxa"/>
            <w:vAlign w:val="center"/>
          </w:tcPr>
          <w:p w14:paraId="24FD3E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初期雨水</w:t>
            </w:r>
          </w:p>
        </w:tc>
        <w:tc>
          <w:tcPr>
            <w:tcW w:w="1627" w:type="dxa"/>
            <w:vAlign w:val="center"/>
          </w:tcPr>
          <w:p w14:paraId="3F261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default" w:eastAsia="宋体"/>
                <w:color w:val="auto"/>
                <w:kern w:val="2"/>
                <w:sz w:val="21"/>
                <w:lang w:val="en-US" w:eastAsia="zh-CN"/>
              </w:rPr>
              <w:t>COD、氨氮、SS、</w:t>
            </w:r>
            <w:r>
              <w:rPr>
                <w:rFonts w:hint="eastAsia" w:eastAsia="宋体"/>
                <w:color w:val="auto"/>
                <w:kern w:val="2"/>
                <w:sz w:val="21"/>
                <w:lang w:val="en-US" w:eastAsia="zh-CN"/>
              </w:rPr>
              <w:t>石油类</w:t>
            </w:r>
          </w:p>
        </w:tc>
        <w:tc>
          <w:tcPr>
            <w:tcW w:w="4875" w:type="dxa"/>
            <w:gridSpan w:val="2"/>
            <w:vAlign w:val="center"/>
          </w:tcPr>
          <w:p w14:paraId="1FD31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经东厂区现有废水处理设施处理后蒸汽回用于甲醛吸收塔，不外排</w:t>
            </w:r>
          </w:p>
        </w:tc>
      </w:tr>
      <w:tr w14:paraId="091D0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612F7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声环境</w:t>
            </w:r>
          </w:p>
        </w:tc>
        <w:tc>
          <w:tcPr>
            <w:tcW w:w="1560" w:type="dxa"/>
            <w:vAlign w:val="center"/>
          </w:tcPr>
          <w:p w14:paraId="75078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rPr>
              <w:t>机械设备</w:t>
            </w:r>
            <w:r>
              <w:rPr>
                <w:rFonts w:hint="eastAsia"/>
                <w:color w:val="auto"/>
                <w:szCs w:val="21"/>
                <w:lang w:val="en-US" w:eastAsia="zh-CN"/>
              </w:rPr>
              <w:t>运转</w:t>
            </w:r>
          </w:p>
        </w:tc>
        <w:tc>
          <w:tcPr>
            <w:tcW w:w="1627" w:type="dxa"/>
            <w:vAlign w:val="center"/>
          </w:tcPr>
          <w:p w14:paraId="3C955A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噪声</w:t>
            </w:r>
          </w:p>
        </w:tc>
        <w:tc>
          <w:tcPr>
            <w:tcW w:w="1635" w:type="dxa"/>
            <w:vAlign w:val="center"/>
          </w:tcPr>
          <w:p w14:paraId="48AF16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隔声降噪减震</w:t>
            </w:r>
          </w:p>
        </w:tc>
        <w:tc>
          <w:tcPr>
            <w:tcW w:w="3240" w:type="dxa"/>
            <w:vAlign w:val="center"/>
          </w:tcPr>
          <w:p w14:paraId="7FFC3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《工业企业厂界环境噪声排放标准》（GB12348-2008）</w:t>
            </w:r>
            <w:r>
              <w:rPr>
                <w:rFonts w:hint="eastAsia"/>
                <w:color w:val="auto"/>
                <w:szCs w:val="21"/>
                <w:lang w:val="en-US" w:eastAsia="zh-CN"/>
              </w:rPr>
              <w:t>2</w:t>
            </w:r>
            <w:r>
              <w:rPr>
                <w:rFonts w:hint="eastAsia"/>
                <w:color w:val="auto"/>
                <w:szCs w:val="21"/>
              </w:rPr>
              <w:t>类标准</w:t>
            </w:r>
          </w:p>
        </w:tc>
      </w:tr>
      <w:tr w14:paraId="14E74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3A43F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电磁辐射</w:t>
            </w:r>
          </w:p>
        </w:tc>
        <w:tc>
          <w:tcPr>
            <w:tcW w:w="8062" w:type="dxa"/>
            <w:gridSpan w:val="4"/>
            <w:vAlign w:val="center"/>
          </w:tcPr>
          <w:p w14:paraId="3C4A9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kern w:val="2"/>
                <w:sz w:val="21"/>
              </w:rPr>
              <w:t>项目不涉及电磁辐射影响</w:t>
            </w:r>
          </w:p>
        </w:tc>
      </w:tr>
      <w:tr w14:paraId="6F5F8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restart"/>
            <w:vAlign w:val="center"/>
          </w:tcPr>
          <w:p w14:paraId="07DB25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固体废物</w:t>
            </w:r>
          </w:p>
        </w:tc>
        <w:tc>
          <w:tcPr>
            <w:tcW w:w="1560" w:type="dxa"/>
            <w:vAlign w:val="center"/>
          </w:tcPr>
          <w:p w14:paraId="7D320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废水处理设施</w:t>
            </w:r>
          </w:p>
        </w:tc>
        <w:tc>
          <w:tcPr>
            <w:tcW w:w="1627" w:type="dxa"/>
            <w:shd w:val="clear" w:color="auto" w:fill="auto"/>
            <w:vAlign w:val="center"/>
          </w:tcPr>
          <w:p w14:paraId="303F2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废水处理污泥</w:t>
            </w:r>
          </w:p>
        </w:tc>
        <w:tc>
          <w:tcPr>
            <w:tcW w:w="1635" w:type="dxa"/>
            <w:vMerge w:val="restart"/>
            <w:vAlign w:val="center"/>
          </w:tcPr>
          <w:p w14:paraId="5C4E3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暂存于危废暂存间，定期委托处置</w:t>
            </w:r>
          </w:p>
        </w:tc>
        <w:tc>
          <w:tcPr>
            <w:tcW w:w="3240" w:type="dxa"/>
            <w:vMerge w:val="restart"/>
            <w:vAlign w:val="center"/>
          </w:tcPr>
          <w:p w14:paraId="170EF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kern w:val="2"/>
                <w:sz w:val="21"/>
              </w:rPr>
              <w:t>《危险废物贮存污染控制标准》（GB18597-2023）</w:t>
            </w:r>
          </w:p>
        </w:tc>
      </w:tr>
      <w:tr w14:paraId="3C5B6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143611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1560" w:type="dxa"/>
            <w:vMerge w:val="restart"/>
            <w:vAlign w:val="center"/>
          </w:tcPr>
          <w:p w14:paraId="00422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设备维护保养</w:t>
            </w:r>
          </w:p>
        </w:tc>
        <w:tc>
          <w:tcPr>
            <w:tcW w:w="1627" w:type="dxa"/>
            <w:shd w:val="clear" w:color="auto" w:fill="auto"/>
            <w:vAlign w:val="center"/>
          </w:tcPr>
          <w:p w14:paraId="18548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废润滑油</w:t>
            </w:r>
          </w:p>
        </w:tc>
        <w:tc>
          <w:tcPr>
            <w:tcW w:w="1635" w:type="dxa"/>
            <w:vMerge w:val="continue"/>
            <w:vAlign w:val="center"/>
          </w:tcPr>
          <w:p w14:paraId="473C5A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3240" w:type="dxa"/>
            <w:vMerge w:val="continue"/>
            <w:vAlign w:val="center"/>
          </w:tcPr>
          <w:p w14:paraId="770E48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r w14:paraId="31FB0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Merge w:val="continue"/>
            <w:vAlign w:val="center"/>
          </w:tcPr>
          <w:p w14:paraId="0B088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1560" w:type="dxa"/>
            <w:vMerge w:val="continue"/>
            <w:vAlign w:val="center"/>
          </w:tcPr>
          <w:p w14:paraId="52588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p>
        </w:tc>
        <w:tc>
          <w:tcPr>
            <w:tcW w:w="1627" w:type="dxa"/>
            <w:shd w:val="clear" w:color="auto" w:fill="auto"/>
            <w:vAlign w:val="center"/>
          </w:tcPr>
          <w:p w14:paraId="11C27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废润滑油桶</w:t>
            </w:r>
          </w:p>
        </w:tc>
        <w:tc>
          <w:tcPr>
            <w:tcW w:w="1635" w:type="dxa"/>
            <w:vMerge w:val="continue"/>
            <w:vAlign w:val="center"/>
          </w:tcPr>
          <w:p w14:paraId="71349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3240" w:type="dxa"/>
            <w:vMerge w:val="continue"/>
            <w:vAlign w:val="center"/>
          </w:tcPr>
          <w:p w14:paraId="30226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r w14:paraId="10898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64" w:hRule="atLeast"/>
          <w:jc w:val="center"/>
        </w:trPr>
        <w:tc>
          <w:tcPr>
            <w:tcW w:w="998" w:type="dxa"/>
            <w:vAlign w:val="center"/>
          </w:tcPr>
          <w:p w14:paraId="29B84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土壤及地下水</w:t>
            </w:r>
          </w:p>
          <w:p w14:paraId="1D187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污染防治措施</w:t>
            </w:r>
          </w:p>
        </w:tc>
        <w:tc>
          <w:tcPr>
            <w:tcW w:w="8062" w:type="dxa"/>
            <w:gridSpan w:val="4"/>
            <w:vAlign w:val="center"/>
          </w:tcPr>
          <w:p w14:paraId="5706AE1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color w:val="auto"/>
                <w:szCs w:val="21"/>
              </w:rPr>
            </w:pPr>
            <w:r>
              <w:rPr>
                <w:rFonts w:hint="eastAsia"/>
                <w:color w:val="auto"/>
                <w:szCs w:val="21"/>
              </w:rPr>
              <w:t>项目</w:t>
            </w:r>
            <w:r>
              <w:rPr>
                <w:rFonts w:hint="eastAsia"/>
                <w:color w:val="auto"/>
                <w:szCs w:val="21"/>
                <w:lang w:val="en-US" w:eastAsia="zh-CN"/>
              </w:rPr>
              <w:t>区</w:t>
            </w:r>
            <w:r>
              <w:rPr>
                <w:rFonts w:hint="eastAsia"/>
                <w:color w:val="auto"/>
                <w:szCs w:val="21"/>
              </w:rPr>
              <w:t>做防渗处理，采取地面防渗和严格的生产组织管理。</w:t>
            </w:r>
          </w:p>
          <w:p w14:paraId="5D81F48F">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color w:val="auto"/>
                <w:szCs w:val="21"/>
              </w:rPr>
            </w:pPr>
            <w:r>
              <w:rPr>
                <w:rFonts w:hint="eastAsia"/>
                <w:color w:val="auto"/>
                <w:szCs w:val="21"/>
              </w:rPr>
              <w:t>①源头控制：建设单位应加强常巡查，杜绝“跑、冒、滴、漏”等事故的发生。</w:t>
            </w:r>
          </w:p>
          <w:p w14:paraId="0CB92268">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auto"/>
                <w:szCs w:val="21"/>
              </w:rPr>
            </w:pPr>
            <w:r>
              <w:rPr>
                <w:rFonts w:hint="eastAsia"/>
                <w:color w:val="auto"/>
                <w:szCs w:val="21"/>
              </w:rPr>
              <w:t>②分区防治：将项目场地分为重点防渗区、一般防渗区、简单防渗区。并按照分区防渗要求进行防渗处理。</w:t>
            </w:r>
          </w:p>
        </w:tc>
      </w:tr>
      <w:tr w14:paraId="79DE6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061D3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生态保护措施</w:t>
            </w:r>
          </w:p>
        </w:tc>
        <w:tc>
          <w:tcPr>
            <w:tcW w:w="8062" w:type="dxa"/>
            <w:gridSpan w:val="4"/>
            <w:vAlign w:val="center"/>
          </w:tcPr>
          <w:p w14:paraId="296DF1B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color w:val="auto"/>
                <w:szCs w:val="21"/>
                <w:lang w:val="en-US" w:eastAsia="zh-CN"/>
              </w:rPr>
            </w:pPr>
            <w:r>
              <w:rPr>
                <w:rFonts w:hint="eastAsia"/>
                <w:color w:val="auto"/>
                <w:szCs w:val="21"/>
                <w:lang w:val="en-US" w:eastAsia="zh-CN"/>
              </w:rPr>
              <w:t>本项目在现有厂区内进行技改，</w:t>
            </w:r>
            <w:r>
              <w:rPr>
                <w:rFonts w:hint="eastAsia"/>
                <w:color w:val="auto"/>
              </w:rPr>
              <w:t>不新增占地，</w:t>
            </w:r>
            <w:r>
              <w:rPr>
                <w:color w:val="auto"/>
              </w:rPr>
              <w:t>且用地范围内无生态环境保护目标，</w:t>
            </w:r>
            <w:r>
              <w:rPr>
                <w:rFonts w:hint="eastAsia"/>
                <w:color w:val="auto"/>
              </w:rPr>
              <w:t>对周边生态影响较小，不涉及生态保护措施。</w:t>
            </w:r>
          </w:p>
        </w:tc>
      </w:tr>
      <w:tr w14:paraId="112BD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6839E342">
            <w:pPr>
              <w:adjustRightInd w:val="0"/>
              <w:snapToGrid w:val="0"/>
              <w:jc w:val="center"/>
              <w:rPr>
                <w:color w:val="auto"/>
                <w:szCs w:val="21"/>
              </w:rPr>
            </w:pPr>
            <w:r>
              <w:rPr>
                <w:color w:val="auto"/>
                <w:szCs w:val="21"/>
              </w:rPr>
              <w:t>环境风险防范措施</w:t>
            </w:r>
          </w:p>
        </w:tc>
        <w:tc>
          <w:tcPr>
            <w:tcW w:w="8062" w:type="dxa"/>
            <w:gridSpan w:val="4"/>
            <w:vAlign w:val="center"/>
          </w:tcPr>
          <w:p w14:paraId="0FD05CC1">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项目存在发生火灾危险，在生产过程中需做出相应的防范措施。</w:t>
            </w:r>
          </w:p>
          <w:p w14:paraId="478322AB">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1）加强管理，严格操作规范，制定一系列的防泄漏规章制度。</w:t>
            </w:r>
          </w:p>
          <w:p w14:paraId="0CD5C9B3">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2）严格执行劳动部《生产设备安全卫生设计总则》等有关法规。</w:t>
            </w:r>
          </w:p>
          <w:p w14:paraId="00A787C3">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3）操作人员必须经过专门培训，做到持证上岗，并且严格遵守操作规程。</w:t>
            </w:r>
          </w:p>
          <w:p w14:paraId="360FEC01">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4）加强日常巡检工作，及时发现、处理故障，保证安全生产，严格落实 各项安全与环保措施，防止事故造成的环境污染。</w:t>
            </w:r>
          </w:p>
          <w:p w14:paraId="1BDDA3A1">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5）各种生产设备应定期检修保养，确保设备正常运行。</w:t>
            </w:r>
          </w:p>
          <w:p w14:paraId="20DB1E73">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rFonts w:hint="eastAsia"/>
                <w:bCs/>
                <w:color w:val="auto"/>
                <w:szCs w:val="21"/>
              </w:rPr>
              <w:t>6）对安全及环保管理人员进行安全与环保知识培训，熟悉国家安全生产方针、政策、法规、标准，增强安全意识和法制观念，掌握安全卫生基本知识，具有一定的安全管理和决策能力。</w:t>
            </w:r>
          </w:p>
        </w:tc>
      </w:tr>
      <w:tr w14:paraId="78A11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vAlign w:val="center"/>
          </w:tcPr>
          <w:p w14:paraId="121BDF26">
            <w:pPr>
              <w:adjustRightInd w:val="0"/>
              <w:snapToGrid w:val="0"/>
              <w:jc w:val="center"/>
              <w:rPr>
                <w:color w:val="auto"/>
                <w:szCs w:val="21"/>
              </w:rPr>
            </w:pPr>
            <w:r>
              <w:rPr>
                <w:color w:val="auto"/>
                <w:szCs w:val="21"/>
              </w:rPr>
              <w:t>其他环境管理要求</w:t>
            </w:r>
          </w:p>
        </w:tc>
        <w:tc>
          <w:tcPr>
            <w:tcW w:w="8062" w:type="dxa"/>
            <w:gridSpan w:val="4"/>
            <w:vAlign w:val="center"/>
          </w:tcPr>
          <w:p w14:paraId="524C5F4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1、管理制度</w:t>
            </w:r>
          </w:p>
          <w:p w14:paraId="56F0735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为了缓解建设项目生产运行期对环境构成的不良影响，在采取环保治理工程措施解决建设项目环境影响的同时，必须制定全面的企业环境管理计划，配备专职环保人员1名，负责环境监督管理工作，同时要加强对管理人员的环保培训，不断提高管理水平。</w:t>
            </w:r>
          </w:p>
          <w:p w14:paraId="6185F28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企业排污发生重大变化、污染治理设施改变或生产运行计划改变等都必须向当地环保部门申报，经审批同意后方可实施。对污染治理设施和管理必须与生产经营活动一起纳入企业的日常管理中，要建立岗位责任制，制定操作规程，建立管理台帐。</w:t>
            </w:r>
          </w:p>
          <w:p w14:paraId="6AB5ECA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2、建设项目竣工环境保护验收</w:t>
            </w:r>
          </w:p>
          <w:p w14:paraId="6045753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根据《建设项目环境保护管理条例》要求，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表的建设项目，其配套建设的环境保护设施经验收合格，方可投入生产或者使用；未经验收或者验收不合格的，不得投入生产或者使用。</w:t>
            </w:r>
          </w:p>
          <w:p w14:paraId="63AE02E3">
            <w:pPr>
              <w:pStyle w:val="60"/>
              <w:spacing w:before="120"/>
              <w:rPr>
                <w:b/>
                <w:bCs/>
                <w:color w:val="auto"/>
              </w:rPr>
            </w:pPr>
            <w:r>
              <w:rPr>
                <w:b/>
                <w:bCs/>
                <w:color w:val="auto"/>
              </w:rPr>
              <w:t>表</w:t>
            </w:r>
            <w:r>
              <w:rPr>
                <w:rFonts w:hint="eastAsia"/>
                <w:b/>
                <w:bCs/>
                <w:color w:val="auto"/>
              </w:rPr>
              <w:t>5-1</w:t>
            </w:r>
            <w:r>
              <w:rPr>
                <w:b/>
                <w:bCs/>
                <w:color w:val="auto"/>
              </w:rPr>
              <w:t xml:space="preserve"> </w:t>
            </w:r>
            <w:r>
              <w:rPr>
                <w:rFonts w:hint="eastAsia"/>
                <w:b/>
                <w:bCs/>
                <w:color w:val="auto"/>
              </w:rPr>
              <w:t xml:space="preserve"> </w:t>
            </w:r>
            <w:r>
              <w:rPr>
                <w:b/>
                <w:bCs/>
                <w:color w:val="auto"/>
              </w:rPr>
              <w:t>环境保护“三同时”验收一览表</w:t>
            </w:r>
          </w:p>
          <w:tbl>
            <w:tblPr>
              <w:tblStyle w:val="22"/>
              <w:tblW w:w="4983" w:type="pct"/>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0"/>
              <w:gridCol w:w="780"/>
              <w:gridCol w:w="772"/>
              <w:gridCol w:w="810"/>
              <w:gridCol w:w="1755"/>
              <w:gridCol w:w="3183"/>
            </w:tblGrid>
            <w:tr w14:paraId="3DE4E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520" w:type="dxa"/>
                  <w:tcBorders>
                    <w:tl2br w:val="nil"/>
                    <w:tr2bl w:val="nil"/>
                  </w:tcBorders>
                  <w:vAlign w:val="center"/>
                </w:tcPr>
                <w:p w14:paraId="25B1A4BE">
                  <w:pPr>
                    <w:pStyle w:val="60"/>
                    <w:rPr>
                      <w:b/>
                      <w:bCs/>
                      <w:color w:val="auto"/>
                      <w:sz w:val="18"/>
                      <w:szCs w:val="18"/>
                    </w:rPr>
                  </w:pPr>
                  <w:r>
                    <w:rPr>
                      <w:b/>
                      <w:bCs/>
                      <w:color w:val="auto"/>
                      <w:sz w:val="18"/>
                      <w:szCs w:val="18"/>
                    </w:rPr>
                    <w:t>项目</w:t>
                  </w:r>
                </w:p>
              </w:tc>
              <w:tc>
                <w:tcPr>
                  <w:tcW w:w="780" w:type="dxa"/>
                  <w:tcBorders>
                    <w:tl2br w:val="nil"/>
                    <w:tr2bl w:val="nil"/>
                  </w:tcBorders>
                  <w:vAlign w:val="center"/>
                </w:tcPr>
                <w:p w14:paraId="2B09E48B">
                  <w:pPr>
                    <w:pStyle w:val="60"/>
                    <w:rPr>
                      <w:b/>
                      <w:bCs/>
                      <w:color w:val="auto"/>
                      <w:sz w:val="18"/>
                      <w:szCs w:val="18"/>
                    </w:rPr>
                  </w:pPr>
                  <w:r>
                    <w:rPr>
                      <w:b/>
                      <w:bCs/>
                      <w:color w:val="auto"/>
                      <w:sz w:val="18"/>
                      <w:szCs w:val="18"/>
                    </w:rPr>
                    <w:t>污染源</w:t>
                  </w:r>
                </w:p>
              </w:tc>
              <w:tc>
                <w:tcPr>
                  <w:tcW w:w="772" w:type="dxa"/>
                  <w:tcBorders>
                    <w:tl2br w:val="nil"/>
                    <w:tr2bl w:val="nil"/>
                  </w:tcBorders>
                  <w:vAlign w:val="center"/>
                </w:tcPr>
                <w:p w14:paraId="359161F8">
                  <w:pPr>
                    <w:pStyle w:val="60"/>
                    <w:rPr>
                      <w:b/>
                      <w:bCs/>
                      <w:color w:val="auto"/>
                      <w:sz w:val="18"/>
                      <w:szCs w:val="18"/>
                    </w:rPr>
                  </w:pPr>
                  <w:r>
                    <w:rPr>
                      <w:b/>
                      <w:bCs/>
                      <w:color w:val="auto"/>
                      <w:sz w:val="18"/>
                      <w:szCs w:val="18"/>
                    </w:rPr>
                    <w:t>污染物种类</w:t>
                  </w:r>
                </w:p>
              </w:tc>
              <w:tc>
                <w:tcPr>
                  <w:tcW w:w="810" w:type="dxa"/>
                  <w:tcBorders>
                    <w:tl2br w:val="nil"/>
                    <w:tr2bl w:val="nil"/>
                  </w:tcBorders>
                  <w:vAlign w:val="center"/>
                </w:tcPr>
                <w:p w14:paraId="256826C9">
                  <w:pPr>
                    <w:pStyle w:val="60"/>
                    <w:rPr>
                      <w:b/>
                      <w:bCs/>
                      <w:color w:val="auto"/>
                      <w:sz w:val="18"/>
                      <w:szCs w:val="18"/>
                    </w:rPr>
                  </w:pPr>
                  <w:r>
                    <w:rPr>
                      <w:b/>
                      <w:bCs/>
                      <w:color w:val="auto"/>
                      <w:sz w:val="18"/>
                      <w:szCs w:val="18"/>
                    </w:rPr>
                    <w:t>治理措施</w:t>
                  </w:r>
                </w:p>
              </w:tc>
              <w:tc>
                <w:tcPr>
                  <w:tcW w:w="1755" w:type="dxa"/>
                  <w:tcBorders>
                    <w:tl2br w:val="nil"/>
                    <w:tr2bl w:val="nil"/>
                  </w:tcBorders>
                  <w:vAlign w:val="center"/>
                </w:tcPr>
                <w:p w14:paraId="27A4AFA2">
                  <w:pPr>
                    <w:pStyle w:val="60"/>
                    <w:rPr>
                      <w:b/>
                      <w:bCs/>
                      <w:color w:val="auto"/>
                      <w:sz w:val="18"/>
                      <w:szCs w:val="18"/>
                    </w:rPr>
                  </w:pPr>
                  <w:r>
                    <w:rPr>
                      <w:b/>
                      <w:bCs/>
                      <w:color w:val="auto"/>
                      <w:sz w:val="18"/>
                      <w:szCs w:val="18"/>
                    </w:rPr>
                    <w:t>验收指标</w:t>
                  </w:r>
                </w:p>
              </w:tc>
              <w:tc>
                <w:tcPr>
                  <w:tcW w:w="3183" w:type="dxa"/>
                  <w:tcBorders>
                    <w:tl2br w:val="nil"/>
                    <w:tr2bl w:val="nil"/>
                  </w:tcBorders>
                  <w:vAlign w:val="center"/>
                </w:tcPr>
                <w:p w14:paraId="73F29FAF">
                  <w:pPr>
                    <w:pStyle w:val="60"/>
                    <w:rPr>
                      <w:b/>
                      <w:bCs/>
                      <w:color w:val="auto"/>
                      <w:sz w:val="18"/>
                      <w:szCs w:val="18"/>
                    </w:rPr>
                  </w:pPr>
                  <w:r>
                    <w:rPr>
                      <w:b/>
                      <w:bCs/>
                      <w:color w:val="auto"/>
                      <w:sz w:val="18"/>
                      <w:szCs w:val="18"/>
                    </w:rPr>
                    <w:t>验收标准</w:t>
                  </w:r>
                </w:p>
              </w:tc>
            </w:tr>
            <w:tr w14:paraId="1B053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restart"/>
                  <w:tcBorders>
                    <w:tl2br w:val="nil"/>
                    <w:tr2bl w:val="nil"/>
                  </w:tcBorders>
                  <w:vAlign w:val="center"/>
                </w:tcPr>
                <w:p w14:paraId="10ABDF1E">
                  <w:pPr>
                    <w:pStyle w:val="60"/>
                    <w:rPr>
                      <w:color w:val="auto"/>
                      <w:sz w:val="18"/>
                      <w:szCs w:val="18"/>
                    </w:rPr>
                  </w:pPr>
                  <w:r>
                    <w:rPr>
                      <w:color w:val="auto"/>
                      <w:sz w:val="18"/>
                      <w:szCs w:val="18"/>
                    </w:rPr>
                    <w:t>废气</w:t>
                  </w:r>
                </w:p>
              </w:tc>
              <w:tc>
                <w:tcPr>
                  <w:tcW w:w="780" w:type="dxa"/>
                  <w:vMerge w:val="restart"/>
                  <w:tcBorders>
                    <w:tl2br w:val="nil"/>
                    <w:tr2bl w:val="nil"/>
                  </w:tcBorders>
                  <w:vAlign w:val="center"/>
                </w:tcPr>
                <w:p w14:paraId="2C9B3FCA">
                  <w:pPr>
                    <w:pStyle w:val="60"/>
                    <w:rPr>
                      <w:rFonts w:hint="default" w:eastAsia="宋体"/>
                      <w:color w:val="auto"/>
                      <w:sz w:val="18"/>
                      <w:szCs w:val="18"/>
                      <w:lang w:val="en-US" w:eastAsia="zh-CN"/>
                    </w:rPr>
                  </w:pPr>
                  <w:r>
                    <w:rPr>
                      <w:rFonts w:hint="eastAsia"/>
                      <w:color w:val="auto"/>
                      <w:sz w:val="18"/>
                      <w:szCs w:val="18"/>
                      <w:lang w:val="en-US" w:eastAsia="zh-CN"/>
                    </w:rPr>
                    <w:t>DA001</w:t>
                  </w:r>
                </w:p>
              </w:tc>
              <w:tc>
                <w:tcPr>
                  <w:tcW w:w="772" w:type="dxa"/>
                  <w:tcBorders>
                    <w:tl2br w:val="nil"/>
                    <w:tr2bl w:val="nil"/>
                  </w:tcBorders>
                  <w:vAlign w:val="center"/>
                </w:tcPr>
                <w:p w14:paraId="5AEB0392">
                  <w:pPr>
                    <w:pStyle w:val="60"/>
                    <w:rPr>
                      <w:rFonts w:hint="default" w:eastAsia="宋体"/>
                      <w:color w:val="auto"/>
                      <w:sz w:val="18"/>
                      <w:szCs w:val="18"/>
                      <w:lang w:val="en-US" w:eastAsia="zh-CN"/>
                    </w:rPr>
                  </w:pPr>
                  <w:r>
                    <w:rPr>
                      <w:rFonts w:hint="eastAsia"/>
                      <w:color w:val="auto"/>
                      <w:sz w:val="18"/>
                      <w:szCs w:val="18"/>
                      <w:lang w:val="en-US" w:eastAsia="zh-CN"/>
                    </w:rPr>
                    <w:t>VOCs</w:t>
                  </w:r>
                </w:p>
              </w:tc>
              <w:tc>
                <w:tcPr>
                  <w:tcW w:w="810" w:type="dxa"/>
                  <w:vMerge w:val="restart"/>
                  <w:tcBorders>
                    <w:tl2br w:val="nil"/>
                    <w:tr2bl w:val="nil"/>
                  </w:tcBorders>
                  <w:vAlign w:val="center"/>
                </w:tcPr>
                <w:p w14:paraId="04F4D40E">
                  <w:pPr>
                    <w:pStyle w:val="60"/>
                    <w:rPr>
                      <w:rFonts w:hint="default" w:eastAsia="宋体"/>
                      <w:color w:val="auto"/>
                      <w:sz w:val="18"/>
                      <w:szCs w:val="18"/>
                      <w:lang w:val="en-US" w:eastAsia="zh-CN"/>
                    </w:rPr>
                  </w:pPr>
                  <w:r>
                    <w:rPr>
                      <w:rFonts w:hint="eastAsia"/>
                      <w:color w:val="auto"/>
                      <w:sz w:val="18"/>
                      <w:szCs w:val="18"/>
                      <w:lang w:val="en-US" w:eastAsia="zh-CN"/>
                    </w:rPr>
                    <w:t>水洗+焚烧</w:t>
                  </w:r>
                </w:p>
              </w:tc>
              <w:tc>
                <w:tcPr>
                  <w:tcW w:w="1755" w:type="dxa"/>
                  <w:tcBorders>
                    <w:tl2br w:val="nil"/>
                    <w:tr2bl w:val="nil"/>
                  </w:tcBorders>
                  <w:vAlign w:val="center"/>
                </w:tcPr>
                <w:p w14:paraId="3D5AB610">
                  <w:pPr>
                    <w:pStyle w:val="60"/>
                    <w:tabs>
                      <w:tab w:val="left" w:pos="334"/>
                    </w:tabs>
                    <w:rPr>
                      <w:color w:val="auto"/>
                      <w:kern w:val="2"/>
                      <w:sz w:val="18"/>
                      <w:szCs w:val="18"/>
                      <w:vertAlign w:val="superscript"/>
                    </w:rPr>
                  </w:pPr>
                  <w:r>
                    <w:rPr>
                      <w:rFonts w:hint="eastAsia"/>
                      <w:color w:val="auto"/>
                      <w:kern w:val="2"/>
                      <w:sz w:val="18"/>
                      <w:szCs w:val="18"/>
                      <w:lang w:val="en-US" w:eastAsia="zh-CN"/>
                    </w:rPr>
                    <w:t>60</w:t>
                  </w:r>
                  <w:r>
                    <w:rPr>
                      <w:color w:val="auto"/>
                      <w:kern w:val="2"/>
                      <w:sz w:val="18"/>
                      <w:szCs w:val="18"/>
                    </w:rPr>
                    <w:t>mg/m</w:t>
                  </w:r>
                  <w:r>
                    <w:rPr>
                      <w:color w:val="auto"/>
                      <w:kern w:val="2"/>
                      <w:sz w:val="18"/>
                      <w:szCs w:val="18"/>
                      <w:vertAlign w:val="superscript"/>
                    </w:rPr>
                    <w:t>3</w:t>
                  </w:r>
                </w:p>
                <w:p w14:paraId="3F77D2A9">
                  <w:pPr>
                    <w:pStyle w:val="60"/>
                    <w:tabs>
                      <w:tab w:val="left" w:pos="334"/>
                    </w:tabs>
                    <w:rPr>
                      <w:rFonts w:hint="default" w:eastAsia="宋体"/>
                      <w:color w:val="auto"/>
                      <w:sz w:val="18"/>
                      <w:szCs w:val="18"/>
                      <w:lang w:val="en-US" w:eastAsia="zh-CN"/>
                    </w:rPr>
                  </w:pPr>
                  <w:r>
                    <w:rPr>
                      <w:rFonts w:hint="eastAsia"/>
                      <w:color w:val="auto"/>
                      <w:kern w:val="2"/>
                      <w:sz w:val="18"/>
                      <w:szCs w:val="18"/>
                      <w:vertAlign w:val="baseline"/>
                      <w:lang w:val="en-US" w:eastAsia="zh-CN"/>
                    </w:rPr>
                    <w:t>3.0</w:t>
                  </w:r>
                  <w:r>
                    <w:rPr>
                      <w:rFonts w:hint="eastAsia"/>
                      <w:color w:val="auto"/>
                      <w:kern w:val="2"/>
                      <w:sz w:val="18"/>
                      <w:szCs w:val="18"/>
                    </w:rPr>
                    <w:t>kg/h</w:t>
                  </w:r>
                </w:p>
              </w:tc>
              <w:tc>
                <w:tcPr>
                  <w:tcW w:w="3183" w:type="dxa"/>
                  <w:tcBorders>
                    <w:tl2br w:val="nil"/>
                    <w:tr2bl w:val="nil"/>
                  </w:tcBorders>
                  <w:shd w:val="clear" w:color="auto" w:fill="auto"/>
                  <w:vAlign w:val="center"/>
                </w:tcPr>
                <w:p w14:paraId="72D9725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第6部分：有机化工行业》（DB37/2801.6-2018）表1Ⅱ时段标准要求</w:t>
                  </w:r>
                </w:p>
              </w:tc>
            </w:tr>
            <w:tr w14:paraId="30C4F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6DB0FEA8">
                  <w:pPr>
                    <w:pStyle w:val="60"/>
                    <w:rPr>
                      <w:color w:val="auto"/>
                      <w:sz w:val="18"/>
                      <w:szCs w:val="18"/>
                    </w:rPr>
                  </w:pPr>
                </w:p>
              </w:tc>
              <w:tc>
                <w:tcPr>
                  <w:tcW w:w="780" w:type="dxa"/>
                  <w:vMerge w:val="continue"/>
                  <w:tcBorders>
                    <w:tl2br w:val="nil"/>
                    <w:tr2bl w:val="nil"/>
                  </w:tcBorders>
                  <w:vAlign w:val="center"/>
                </w:tcPr>
                <w:p w14:paraId="6AD4A863">
                  <w:pPr>
                    <w:pStyle w:val="60"/>
                    <w:rPr>
                      <w:rFonts w:hint="eastAsia"/>
                      <w:color w:val="auto"/>
                      <w:sz w:val="18"/>
                      <w:szCs w:val="18"/>
                      <w:lang w:val="en-US" w:eastAsia="zh-CN"/>
                    </w:rPr>
                  </w:pPr>
                </w:p>
              </w:tc>
              <w:tc>
                <w:tcPr>
                  <w:tcW w:w="772" w:type="dxa"/>
                  <w:tcBorders>
                    <w:tl2br w:val="nil"/>
                    <w:tr2bl w:val="nil"/>
                  </w:tcBorders>
                  <w:vAlign w:val="center"/>
                </w:tcPr>
                <w:p w14:paraId="7470C1D3">
                  <w:pPr>
                    <w:pStyle w:val="60"/>
                    <w:rPr>
                      <w:rFonts w:hint="default"/>
                      <w:color w:val="auto"/>
                      <w:sz w:val="18"/>
                      <w:szCs w:val="18"/>
                      <w:lang w:val="en-US" w:eastAsia="zh-CN"/>
                    </w:rPr>
                  </w:pPr>
                  <w:r>
                    <w:rPr>
                      <w:rFonts w:hint="eastAsia"/>
                      <w:color w:val="auto"/>
                      <w:sz w:val="18"/>
                      <w:szCs w:val="18"/>
                      <w:lang w:val="en-US" w:eastAsia="zh-CN"/>
                    </w:rPr>
                    <w:t>甲醇</w:t>
                  </w:r>
                </w:p>
              </w:tc>
              <w:tc>
                <w:tcPr>
                  <w:tcW w:w="810" w:type="dxa"/>
                  <w:vMerge w:val="continue"/>
                  <w:tcBorders>
                    <w:tl2br w:val="nil"/>
                    <w:tr2bl w:val="nil"/>
                  </w:tcBorders>
                  <w:vAlign w:val="center"/>
                </w:tcPr>
                <w:p w14:paraId="68BA5BB9">
                  <w:pPr>
                    <w:pStyle w:val="60"/>
                    <w:rPr>
                      <w:rFonts w:hint="eastAsia"/>
                      <w:color w:val="auto"/>
                      <w:sz w:val="18"/>
                      <w:szCs w:val="18"/>
                    </w:rPr>
                  </w:pPr>
                </w:p>
              </w:tc>
              <w:tc>
                <w:tcPr>
                  <w:tcW w:w="1755" w:type="dxa"/>
                  <w:tcBorders>
                    <w:tl2br w:val="nil"/>
                    <w:tr2bl w:val="nil"/>
                  </w:tcBorders>
                  <w:vAlign w:val="center"/>
                </w:tcPr>
                <w:p w14:paraId="0BC93B58">
                  <w:pPr>
                    <w:pStyle w:val="60"/>
                    <w:tabs>
                      <w:tab w:val="left" w:pos="334"/>
                    </w:tabs>
                    <w:rPr>
                      <w:rFonts w:hint="eastAsia"/>
                      <w:color w:val="auto"/>
                      <w:sz w:val="18"/>
                      <w:szCs w:val="18"/>
                      <w:lang w:val="en-US" w:eastAsia="zh-CN"/>
                    </w:rPr>
                  </w:pPr>
                  <w:r>
                    <w:rPr>
                      <w:rFonts w:hint="eastAsia"/>
                      <w:color w:val="auto"/>
                      <w:kern w:val="2"/>
                      <w:sz w:val="18"/>
                      <w:szCs w:val="18"/>
                      <w:lang w:val="en-US" w:eastAsia="zh-CN"/>
                    </w:rPr>
                    <w:t>50</w:t>
                  </w:r>
                  <w:r>
                    <w:rPr>
                      <w:color w:val="auto"/>
                      <w:kern w:val="2"/>
                      <w:sz w:val="18"/>
                      <w:szCs w:val="18"/>
                    </w:rPr>
                    <w:t>mg/m</w:t>
                  </w:r>
                  <w:r>
                    <w:rPr>
                      <w:color w:val="auto"/>
                      <w:kern w:val="2"/>
                      <w:sz w:val="18"/>
                      <w:szCs w:val="18"/>
                      <w:vertAlign w:val="superscript"/>
                    </w:rPr>
                    <w:t>3</w:t>
                  </w:r>
                </w:p>
              </w:tc>
              <w:tc>
                <w:tcPr>
                  <w:tcW w:w="3183" w:type="dxa"/>
                  <w:tcBorders>
                    <w:tl2br w:val="nil"/>
                    <w:tr2bl w:val="nil"/>
                  </w:tcBorders>
                  <w:shd w:val="clear" w:color="auto" w:fill="auto"/>
                  <w:vAlign w:val="center"/>
                </w:tcPr>
                <w:p w14:paraId="4C4B840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kern w:val="2"/>
                      <w:sz w:val="18"/>
                      <w:szCs w:val="18"/>
                      <w:lang w:val="zh-CN" w:eastAsia="zh-CN" w:bidi="ar-SA"/>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w:t>
                  </w:r>
                  <w:r>
                    <w:rPr>
                      <w:rFonts w:hint="eastAsia" w:ascii="Times New Roman" w:hAnsi="Times New Roman" w:eastAsia="宋体" w:cs="Times New Roman"/>
                      <w:bCs/>
                      <w:color w:val="auto"/>
                      <w:kern w:val="2"/>
                      <w:sz w:val="18"/>
                      <w:szCs w:val="18"/>
                      <w:lang w:val="en-US" w:eastAsia="zh-CN" w:bidi="ar-SA"/>
                    </w:rPr>
                    <w:t>2</w:t>
                  </w:r>
                </w:p>
              </w:tc>
            </w:tr>
            <w:tr w14:paraId="4C234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220564E8">
                  <w:pPr>
                    <w:pStyle w:val="60"/>
                    <w:rPr>
                      <w:color w:val="auto"/>
                      <w:sz w:val="18"/>
                      <w:szCs w:val="18"/>
                    </w:rPr>
                  </w:pPr>
                </w:p>
              </w:tc>
              <w:tc>
                <w:tcPr>
                  <w:tcW w:w="780" w:type="dxa"/>
                  <w:vMerge w:val="continue"/>
                  <w:tcBorders>
                    <w:tl2br w:val="nil"/>
                    <w:tr2bl w:val="nil"/>
                  </w:tcBorders>
                  <w:vAlign w:val="center"/>
                </w:tcPr>
                <w:p w14:paraId="0B48F4D6">
                  <w:pPr>
                    <w:pStyle w:val="60"/>
                    <w:rPr>
                      <w:rFonts w:hint="eastAsia"/>
                      <w:color w:val="auto"/>
                      <w:sz w:val="18"/>
                      <w:szCs w:val="18"/>
                      <w:lang w:val="en-US" w:eastAsia="zh-CN"/>
                    </w:rPr>
                  </w:pPr>
                </w:p>
              </w:tc>
              <w:tc>
                <w:tcPr>
                  <w:tcW w:w="772" w:type="dxa"/>
                  <w:tcBorders>
                    <w:tl2br w:val="nil"/>
                    <w:tr2bl w:val="nil"/>
                  </w:tcBorders>
                  <w:vAlign w:val="center"/>
                </w:tcPr>
                <w:p w14:paraId="41BCA147">
                  <w:pPr>
                    <w:pStyle w:val="60"/>
                    <w:rPr>
                      <w:rFonts w:hint="default"/>
                      <w:color w:val="auto"/>
                      <w:sz w:val="18"/>
                      <w:szCs w:val="18"/>
                      <w:lang w:val="en-US" w:eastAsia="zh-CN"/>
                    </w:rPr>
                  </w:pPr>
                  <w:r>
                    <w:rPr>
                      <w:rFonts w:hint="eastAsia"/>
                      <w:color w:val="auto"/>
                      <w:sz w:val="18"/>
                      <w:szCs w:val="18"/>
                      <w:lang w:val="en-US" w:eastAsia="zh-CN"/>
                    </w:rPr>
                    <w:t>NOx</w:t>
                  </w:r>
                </w:p>
              </w:tc>
              <w:tc>
                <w:tcPr>
                  <w:tcW w:w="810" w:type="dxa"/>
                  <w:tcBorders>
                    <w:tl2br w:val="nil"/>
                    <w:tr2bl w:val="nil"/>
                  </w:tcBorders>
                  <w:vAlign w:val="center"/>
                </w:tcPr>
                <w:p w14:paraId="0CFCDE82">
                  <w:pPr>
                    <w:pStyle w:val="60"/>
                    <w:rPr>
                      <w:rFonts w:hint="default" w:eastAsia="宋体"/>
                      <w:color w:val="auto"/>
                      <w:sz w:val="18"/>
                      <w:szCs w:val="18"/>
                      <w:lang w:val="en-US" w:eastAsia="zh-CN"/>
                    </w:rPr>
                  </w:pPr>
                  <w:r>
                    <w:rPr>
                      <w:rFonts w:hint="eastAsia"/>
                      <w:color w:val="auto"/>
                      <w:sz w:val="18"/>
                      <w:szCs w:val="18"/>
                      <w:lang w:val="en-US" w:eastAsia="zh-CN"/>
                    </w:rPr>
                    <w:t>--</w:t>
                  </w:r>
                </w:p>
              </w:tc>
              <w:tc>
                <w:tcPr>
                  <w:tcW w:w="1755" w:type="dxa"/>
                  <w:tcBorders>
                    <w:tl2br w:val="nil"/>
                    <w:tr2bl w:val="nil"/>
                  </w:tcBorders>
                  <w:vAlign w:val="center"/>
                </w:tcPr>
                <w:p w14:paraId="2F824002">
                  <w:pPr>
                    <w:pStyle w:val="60"/>
                    <w:tabs>
                      <w:tab w:val="left" w:pos="334"/>
                    </w:tabs>
                    <w:rPr>
                      <w:rFonts w:hint="default"/>
                      <w:color w:val="auto"/>
                      <w:kern w:val="2"/>
                      <w:sz w:val="18"/>
                      <w:szCs w:val="18"/>
                      <w:lang w:val="en-US" w:eastAsia="zh-CN"/>
                    </w:rPr>
                  </w:pPr>
                  <w:r>
                    <w:rPr>
                      <w:rFonts w:hint="eastAsia"/>
                      <w:color w:val="auto"/>
                      <w:kern w:val="2"/>
                      <w:sz w:val="18"/>
                      <w:szCs w:val="18"/>
                      <w:lang w:val="en-US" w:eastAsia="zh-CN"/>
                    </w:rPr>
                    <w:t>100</w:t>
                  </w:r>
                  <w:r>
                    <w:rPr>
                      <w:color w:val="auto"/>
                      <w:kern w:val="2"/>
                      <w:sz w:val="18"/>
                      <w:szCs w:val="18"/>
                    </w:rPr>
                    <w:t>mg/m</w:t>
                  </w:r>
                  <w:r>
                    <w:rPr>
                      <w:color w:val="auto"/>
                      <w:kern w:val="2"/>
                      <w:sz w:val="18"/>
                      <w:szCs w:val="18"/>
                      <w:vertAlign w:val="superscript"/>
                    </w:rPr>
                    <w:t>3</w:t>
                  </w:r>
                </w:p>
              </w:tc>
              <w:tc>
                <w:tcPr>
                  <w:tcW w:w="3183" w:type="dxa"/>
                  <w:tcBorders>
                    <w:tl2br w:val="nil"/>
                    <w:tr2bl w:val="nil"/>
                  </w:tcBorders>
                  <w:shd w:val="clear" w:color="auto" w:fill="auto"/>
                  <w:vAlign w:val="center"/>
                </w:tcPr>
                <w:p w14:paraId="0A02195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color w:val="auto"/>
                      <w:sz w:val="18"/>
                      <w:szCs w:val="18"/>
                    </w:rPr>
                    <w:t>《区域性大气污染物综合排放标准》(DB37/2376-2019)表1中“重点控制区”</w:t>
                  </w:r>
                </w:p>
              </w:tc>
            </w:tr>
            <w:tr w14:paraId="004C3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7A5A9DE4">
                  <w:pPr>
                    <w:pStyle w:val="60"/>
                    <w:rPr>
                      <w:color w:val="auto"/>
                      <w:sz w:val="18"/>
                      <w:szCs w:val="18"/>
                    </w:rPr>
                  </w:pPr>
                </w:p>
              </w:tc>
              <w:tc>
                <w:tcPr>
                  <w:tcW w:w="780" w:type="dxa"/>
                  <w:vMerge w:val="restart"/>
                  <w:tcBorders>
                    <w:tl2br w:val="nil"/>
                    <w:tr2bl w:val="nil"/>
                  </w:tcBorders>
                  <w:shd w:val="clear" w:color="auto" w:fill="auto"/>
                  <w:vAlign w:val="center"/>
                </w:tcPr>
                <w:p w14:paraId="3CB89362">
                  <w:pPr>
                    <w:pStyle w:val="60"/>
                    <w:rPr>
                      <w:rFonts w:hint="default"/>
                      <w:color w:val="auto"/>
                      <w:sz w:val="18"/>
                      <w:szCs w:val="18"/>
                      <w:lang w:val="en-US" w:eastAsia="zh-CN"/>
                    </w:rPr>
                  </w:pPr>
                  <w:r>
                    <w:rPr>
                      <w:rFonts w:hint="eastAsia"/>
                      <w:color w:val="auto"/>
                      <w:sz w:val="18"/>
                      <w:szCs w:val="18"/>
                      <w:lang w:val="en-US" w:eastAsia="zh-CN"/>
                    </w:rPr>
                    <w:t>DA002</w:t>
                  </w:r>
                </w:p>
              </w:tc>
              <w:tc>
                <w:tcPr>
                  <w:tcW w:w="772" w:type="dxa"/>
                  <w:tcBorders>
                    <w:tl2br w:val="nil"/>
                    <w:tr2bl w:val="nil"/>
                  </w:tcBorders>
                  <w:shd w:val="clear" w:color="auto" w:fill="auto"/>
                  <w:vAlign w:val="center"/>
                </w:tcPr>
                <w:p w14:paraId="60238CE1">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VOCs</w:t>
                  </w:r>
                </w:p>
              </w:tc>
              <w:tc>
                <w:tcPr>
                  <w:tcW w:w="810" w:type="dxa"/>
                  <w:vMerge w:val="restart"/>
                  <w:tcBorders>
                    <w:tl2br w:val="nil"/>
                    <w:tr2bl w:val="nil"/>
                  </w:tcBorders>
                  <w:shd w:val="clear" w:color="auto" w:fill="auto"/>
                  <w:vAlign w:val="center"/>
                </w:tcPr>
                <w:p w14:paraId="3D448265">
                  <w:pPr>
                    <w:pStyle w:val="60"/>
                    <w:rPr>
                      <w:rFonts w:hint="eastAsia"/>
                      <w:color w:val="auto"/>
                      <w:sz w:val="18"/>
                      <w:szCs w:val="18"/>
                    </w:rPr>
                  </w:pPr>
                  <w:r>
                    <w:rPr>
                      <w:rFonts w:hint="eastAsia"/>
                      <w:color w:val="auto"/>
                      <w:sz w:val="18"/>
                      <w:szCs w:val="18"/>
                      <w:lang w:val="en-US" w:eastAsia="zh-CN"/>
                    </w:rPr>
                    <w:t>水洗+焚烧</w:t>
                  </w:r>
                </w:p>
              </w:tc>
              <w:tc>
                <w:tcPr>
                  <w:tcW w:w="1755" w:type="dxa"/>
                  <w:tcBorders>
                    <w:tl2br w:val="nil"/>
                    <w:tr2bl w:val="nil"/>
                  </w:tcBorders>
                  <w:shd w:val="clear" w:color="auto" w:fill="auto"/>
                  <w:vAlign w:val="center"/>
                </w:tcPr>
                <w:p w14:paraId="22717A6D">
                  <w:pPr>
                    <w:pStyle w:val="60"/>
                    <w:tabs>
                      <w:tab w:val="left" w:pos="334"/>
                    </w:tabs>
                    <w:rPr>
                      <w:color w:val="auto"/>
                      <w:kern w:val="2"/>
                      <w:sz w:val="18"/>
                      <w:szCs w:val="18"/>
                      <w:vertAlign w:val="superscript"/>
                    </w:rPr>
                  </w:pPr>
                  <w:r>
                    <w:rPr>
                      <w:rFonts w:hint="eastAsia"/>
                      <w:color w:val="auto"/>
                      <w:kern w:val="2"/>
                      <w:sz w:val="18"/>
                      <w:szCs w:val="18"/>
                      <w:lang w:val="en-US" w:eastAsia="zh-CN"/>
                    </w:rPr>
                    <w:t>60</w:t>
                  </w:r>
                  <w:r>
                    <w:rPr>
                      <w:color w:val="auto"/>
                      <w:kern w:val="2"/>
                      <w:sz w:val="18"/>
                      <w:szCs w:val="18"/>
                    </w:rPr>
                    <w:t>mg/m</w:t>
                  </w:r>
                  <w:r>
                    <w:rPr>
                      <w:color w:val="auto"/>
                      <w:kern w:val="2"/>
                      <w:sz w:val="18"/>
                      <w:szCs w:val="18"/>
                      <w:vertAlign w:val="superscript"/>
                    </w:rPr>
                    <w:t>3</w:t>
                  </w:r>
                </w:p>
                <w:p w14:paraId="083F4AAA">
                  <w:pPr>
                    <w:pStyle w:val="60"/>
                    <w:tabs>
                      <w:tab w:val="left" w:pos="334"/>
                    </w:tabs>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vertAlign w:val="baseline"/>
                      <w:lang w:val="en-US" w:eastAsia="zh-CN"/>
                    </w:rPr>
                    <w:t>3.0</w:t>
                  </w:r>
                  <w:r>
                    <w:rPr>
                      <w:rFonts w:hint="eastAsia"/>
                      <w:color w:val="auto"/>
                      <w:kern w:val="2"/>
                      <w:sz w:val="18"/>
                      <w:szCs w:val="18"/>
                    </w:rPr>
                    <w:t>kg/h</w:t>
                  </w:r>
                </w:p>
              </w:tc>
              <w:tc>
                <w:tcPr>
                  <w:tcW w:w="3183" w:type="dxa"/>
                  <w:tcBorders>
                    <w:tl2br w:val="nil"/>
                    <w:tr2bl w:val="nil"/>
                  </w:tcBorders>
                  <w:shd w:val="clear" w:color="auto" w:fill="auto"/>
                  <w:vAlign w:val="center"/>
                </w:tcPr>
                <w:p w14:paraId="5811A41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kern w:val="2"/>
                      <w:sz w:val="18"/>
                      <w:szCs w:val="18"/>
                      <w:lang w:val="zh-CN" w:eastAsia="zh-CN" w:bidi="ar-SA"/>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第6部分：有机化工行业》（DB37/2801.6-2018）表1Ⅱ时段标准要求</w:t>
                  </w:r>
                </w:p>
              </w:tc>
            </w:tr>
            <w:tr w14:paraId="1F117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53D4C960">
                  <w:pPr>
                    <w:pStyle w:val="60"/>
                    <w:rPr>
                      <w:color w:val="auto"/>
                      <w:sz w:val="18"/>
                      <w:szCs w:val="18"/>
                    </w:rPr>
                  </w:pPr>
                </w:p>
              </w:tc>
              <w:tc>
                <w:tcPr>
                  <w:tcW w:w="780" w:type="dxa"/>
                  <w:vMerge w:val="continue"/>
                  <w:tcBorders>
                    <w:tl2br w:val="nil"/>
                    <w:tr2bl w:val="nil"/>
                  </w:tcBorders>
                  <w:vAlign w:val="center"/>
                </w:tcPr>
                <w:p w14:paraId="160925B0">
                  <w:pPr>
                    <w:pStyle w:val="60"/>
                    <w:rPr>
                      <w:rFonts w:hint="eastAsia"/>
                      <w:color w:val="auto"/>
                      <w:sz w:val="18"/>
                      <w:szCs w:val="18"/>
                      <w:lang w:val="en-US" w:eastAsia="zh-CN"/>
                    </w:rPr>
                  </w:pPr>
                </w:p>
              </w:tc>
              <w:tc>
                <w:tcPr>
                  <w:tcW w:w="772" w:type="dxa"/>
                  <w:tcBorders>
                    <w:tl2br w:val="nil"/>
                    <w:tr2bl w:val="nil"/>
                  </w:tcBorders>
                  <w:shd w:val="clear" w:color="auto" w:fill="auto"/>
                  <w:vAlign w:val="center"/>
                </w:tcPr>
                <w:p w14:paraId="576363F3">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甲醇</w:t>
                  </w:r>
                </w:p>
              </w:tc>
              <w:tc>
                <w:tcPr>
                  <w:tcW w:w="810" w:type="dxa"/>
                  <w:vMerge w:val="continue"/>
                  <w:tcBorders>
                    <w:tl2br w:val="nil"/>
                    <w:tr2bl w:val="nil"/>
                  </w:tcBorders>
                  <w:vAlign w:val="center"/>
                </w:tcPr>
                <w:p w14:paraId="4D67071D">
                  <w:pPr>
                    <w:pStyle w:val="60"/>
                    <w:rPr>
                      <w:rFonts w:hint="eastAsia"/>
                      <w:color w:val="auto"/>
                      <w:sz w:val="18"/>
                      <w:szCs w:val="18"/>
                    </w:rPr>
                  </w:pPr>
                </w:p>
              </w:tc>
              <w:tc>
                <w:tcPr>
                  <w:tcW w:w="1755" w:type="dxa"/>
                  <w:tcBorders>
                    <w:tl2br w:val="nil"/>
                    <w:tr2bl w:val="nil"/>
                  </w:tcBorders>
                  <w:shd w:val="clear" w:color="auto" w:fill="auto"/>
                  <w:vAlign w:val="center"/>
                </w:tcPr>
                <w:p w14:paraId="1CC0E989">
                  <w:pPr>
                    <w:pStyle w:val="60"/>
                    <w:tabs>
                      <w:tab w:val="left" w:pos="334"/>
                    </w:tabs>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50</w:t>
                  </w:r>
                  <w:r>
                    <w:rPr>
                      <w:color w:val="auto"/>
                      <w:kern w:val="2"/>
                      <w:sz w:val="18"/>
                      <w:szCs w:val="18"/>
                    </w:rPr>
                    <w:t>mg/m</w:t>
                  </w:r>
                  <w:r>
                    <w:rPr>
                      <w:color w:val="auto"/>
                      <w:kern w:val="2"/>
                      <w:sz w:val="18"/>
                      <w:szCs w:val="18"/>
                      <w:vertAlign w:val="superscript"/>
                    </w:rPr>
                    <w:t>3</w:t>
                  </w:r>
                </w:p>
              </w:tc>
              <w:tc>
                <w:tcPr>
                  <w:tcW w:w="3183" w:type="dxa"/>
                  <w:tcBorders>
                    <w:tl2br w:val="nil"/>
                    <w:tr2bl w:val="nil"/>
                  </w:tcBorders>
                  <w:shd w:val="clear" w:color="auto" w:fill="auto"/>
                  <w:vAlign w:val="center"/>
                </w:tcPr>
                <w:p w14:paraId="6EAC2AB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kern w:val="2"/>
                      <w:sz w:val="18"/>
                      <w:szCs w:val="18"/>
                      <w:lang w:val="zh-CN" w:eastAsia="zh-CN" w:bidi="ar-SA"/>
                    </w:rPr>
                  </w:pPr>
                  <w:r>
                    <w:rPr>
                      <w:rFonts w:hint="default" w:ascii="Times New Roman" w:hAnsi="Times New Roman" w:eastAsia="宋体" w:cs="Times New Roman"/>
                      <w:bCs/>
                      <w:color w:val="auto"/>
                      <w:kern w:val="2"/>
                      <w:sz w:val="18"/>
                      <w:szCs w:val="18"/>
                      <w:lang w:val="en-US" w:eastAsia="zh-CN" w:bidi="ar-SA"/>
                    </w:rPr>
                    <w:t>《挥发性有机物排放标准 第6部分：有机化工行业》（DB37/2801.6-2018）表</w:t>
                  </w:r>
                  <w:r>
                    <w:rPr>
                      <w:rFonts w:hint="eastAsia" w:ascii="Times New Roman" w:hAnsi="Times New Roman" w:eastAsia="宋体" w:cs="Times New Roman"/>
                      <w:bCs/>
                      <w:color w:val="auto"/>
                      <w:kern w:val="2"/>
                      <w:sz w:val="18"/>
                      <w:szCs w:val="18"/>
                      <w:lang w:val="en-US" w:eastAsia="zh-CN" w:bidi="ar-SA"/>
                    </w:rPr>
                    <w:t>2</w:t>
                  </w:r>
                </w:p>
              </w:tc>
            </w:tr>
            <w:tr w14:paraId="6C973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486B2180">
                  <w:pPr>
                    <w:pStyle w:val="60"/>
                    <w:rPr>
                      <w:color w:val="auto"/>
                      <w:sz w:val="18"/>
                      <w:szCs w:val="18"/>
                    </w:rPr>
                  </w:pPr>
                </w:p>
              </w:tc>
              <w:tc>
                <w:tcPr>
                  <w:tcW w:w="780" w:type="dxa"/>
                  <w:vMerge w:val="continue"/>
                  <w:tcBorders>
                    <w:tl2br w:val="nil"/>
                    <w:tr2bl w:val="nil"/>
                  </w:tcBorders>
                  <w:vAlign w:val="center"/>
                </w:tcPr>
                <w:p w14:paraId="6392709E">
                  <w:pPr>
                    <w:pStyle w:val="60"/>
                    <w:rPr>
                      <w:rFonts w:hint="eastAsia"/>
                      <w:color w:val="auto"/>
                      <w:sz w:val="18"/>
                      <w:szCs w:val="18"/>
                      <w:lang w:val="en-US" w:eastAsia="zh-CN"/>
                    </w:rPr>
                  </w:pPr>
                </w:p>
              </w:tc>
              <w:tc>
                <w:tcPr>
                  <w:tcW w:w="772" w:type="dxa"/>
                  <w:tcBorders>
                    <w:tl2br w:val="nil"/>
                    <w:tr2bl w:val="nil"/>
                  </w:tcBorders>
                  <w:shd w:val="clear" w:color="auto" w:fill="auto"/>
                  <w:vAlign w:val="center"/>
                </w:tcPr>
                <w:p w14:paraId="7E36287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NOx</w:t>
                  </w:r>
                </w:p>
              </w:tc>
              <w:tc>
                <w:tcPr>
                  <w:tcW w:w="810" w:type="dxa"/>
                  <w:tcBorders>
                    <w:tl2br w:val="nil"/>
                    <w:tr2bl w:val="nil"/>
                  </w:tcBorders>
                  <w:shd w:val="clear" w:color="auto" w:fill="auto"/>
                  <w:vAlign w:val="center"/>
                </w:tcPr>
                <w:p w14:paraId="53721494">
                  <w:pPr>
                    <w:pStyle w:val="60"/>
                    <w:rPr>
                      <w:rFonts w:hint="eastAsia" w:ascii="Times New Roman" w:hAnsi="Times New Roman" w:eastAsia="宋体" w:cs="Times New Roman"/>
                      <w:color w:val="auto"/>
                      <w:kern w:val="2"/>
                      <w:sz w:val="18"/>
                      <w:szCs w:val="18"/>
                      <w:lang w:val="zh-CN" w:eastAsia="zh-CN" w:bidi="ar-SA"/>
                    </w:rPr>
                  </w:pPr>
                  <w:r>
                    <w:rPr>
                      <w:rFonts w:hint="eastAsia"/>
                      <w:color w:val="auto"/>
                      <w:sz w:val="18"/>
                      <w:szCs w:val="18"/>
                      <w:lang w:val="en-US" w:eastAsia="zh-CN"/>
                    </w:rPr>
                    <w:t>--</w:t>
                  </w:r>
                </w:p>
              </w:tc>
              <w:tc>
                <w:tcPr>
                  <w:tcW w:w="1755" w:type="dxa"/>
                  <w:tcBorders>
                    <w:tl2br w:val="nil"/>
                    <w:tr2bl w:val="nil"/>
                  </w:tcBorders>
                  <w:shd w:val="clear" w:color="auto" w:fill="auto"/>
                  <w:vAlign w:val="center"/>
                </w:tcPr>
                <w:p w14:paraId="450538CC">
                  <w:pPr>
                    <w:pStyle w:val="60"/>
                    <w:tabs>
                      <w:tab w:val="left" w:pos="334"/>
                    </w:tabs>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rPr>
                    <w:t>100</w:t>
                  </w:r>
                  <w:r>
                    <w:rPr>
                      <w:color w:val="auto"/>
                      <w:kern w:val="2"/>
                      <w:sz w:val="18"/>
                      <w:szCs w:val="18"/>
                    </w:rPr>
                    <w:t>mg/m</w:t>
                  </w:r>
                  <w:r>
                    <w:rPr>
                      <w:color w:val="auto"/>
                      <w:kern w:val="2"/>
                      <w:sz w:val="18"/>
                      <w:szCs w:val="18"/>
                      <w:vertAlign w:val="superscript"/>
                    </w:rPr>
                    <w:t>3</w:t>
                  </w:r>
                </w:p>
              </w:tc>
              <w:tc>
                <w:tcPr>
                  <w:tcW w:w="3183" w:type="dxa"/>
                  <w:tcBorders>
                    <w:tl2br w:val="nil"/>
                    <w:tr2bl w:val="nil"/>
                  </w:tcBorders>
                  <w:shd w:val="clear" w:color="auto" w:fill="auto"/>
                  <w:vAlign w:val="center"/>
                </w:tcPr>
                <w:p w14:paraId="01105B0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2"/>
                      <w:sz w:val="18"/>
                      <w:szCs w:val="18"/>
                      <w:lang w:val="en-US" w:eastAsia="zh-CN" w:bidi="ar-SA"/>
                    </w:rPr>
                  </w:pPr>
                  <w:r>
                    <w:rPr>
                      <w:color w:val="auto"/>
                      <w:sz w:val="18"/>
                      <w:szCs w:val="18"/>
                    </w:rPr>
                    <w:t>《区域性大气污染物综合排放标准》(DB37/2376-2019)表1中“重点控制区”</w:t>
                  </w:r>
                </w:p>
              </w:tc>
            </w:tr>
            <w:tr w14:paraId="6889B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38019FBF">
                  <w:pPr>
                    <w:pStyle w:val="60"/>
                    <w:rPr>
                      <w:color w:val="auto"/>
                      <w:sz w:val="18"/>
                      <w:szCs w:val="18"/>
                    </w:rPr>
                  </w:pPr>
                </w:p>
              </w:tc>
              <w:tc>
                <w:tcPr>
                  <w:tcW w:w="780" w:type="dxa"/>
                  <w:vMerge w:val="restart"/>
                  <w:tcBorders>
                    <w:tl2br w:val="nil"/>
                    <w:tr2bl w:val="nil"/>
                  </w:tcBorders>
                  <w:vAlign w:val="center"/>
                </w:tcPr>
                <w:p w14:paraId="7F307D37">
                  <w:pPr>
                    <w:pStyle w:val="60"/>
                    <w:rPr>
                      <w:rFonts w:hint="default" w:eastAsia="宋体"/>
                      <w:color w:val="auto"/>
                      <w:sz w:val="18"/>
                      <w:szCs w:val="18"/>
                      <w:lang w:val="en-US" w:eastAsia="zh-CN"/>
                    </w:rPr>
                  </w:pPr>
                  <w:r>
                    <w:rPr>
                      <w:rFonts w:hint="eastAsia"/>
                      <w:color w:val="auto"/>
                      <w:sz w:val="18"/>
                      <w:szCs w:val="18"/>
                      <w:lang w:val="en-US" w:eastAsia="zh-CN"/>
                    </w:rPr>
                    <w:t>厂界</w:t>
                  </w:r>
                </w:p>
              </w:tc>
              <w:tc>
                <w:tcPr>
                  <w:tcW w:w="772" w:type="dxa"/>
                  <w:tcBorders>
                    <w:tl2br w:val="nil"/>
                    <w:tr2bl w:val="nil"/>
                  </w:tcBorders>
                  <w:vAlign w:val="center"/>
                </w:tcPr>
                <w:p w14:paraId="5D625D3D">
                  <w:pPr>
                    <w:pStyle w:val="60"/>
                    <w:rPr>
                      <w:rFonts w:hint="default" w:eastAsia="宋体"/>
                      <w:color w:val="auto"/>
                      <w:sz w:val="18"/>
                      <w:szCs w:val="18"/>
                      <w:lang w:val="en-US" w:eastAsia="zh-CN"/>
                    </w:rPr>
                  </w:pPr>
                  <w:r>
                    <w:rPr>
                      <w:rFonts w:hint="eastAsia"/>
                      <w:color w:val="auto"/>
                      <w:sz w:val="18"/>
                      <w:szCs w:val="18"/>
                      <w:lang w:val="en-US" w:eastAsia="zh-CN"/>
                    </w:rPr>
                    <w:t>VOCs</w:t>
                  </w:r>
                </w:p>
              </w:tc>
              <w:tc>
                <w:tcPr>
                  <w:tcW w:w="810" w:type="dxa"/>
                  <w:vMerge w:val="restart"/>
                  <w:tcBorders>
                    <w:tl2br w:val="nil"/>
                    <w:tr2bl w:val="nil"/>
                  </w:tcBorders>
                  <w:vAlign w:val="center"/>
                </w:tcPr>
                <w:p w14:paraId="07FD581A">
                  <w:pPr>
                    <w:pStyle w:val="60"/>
                    <w:rPr>
                      <w:rFonts w:hint="default" w:eastAsia="宋体"/>
                      <w:color w:val="auto"/>
                      <w:sz w:val="18"/>
                      <w:szCs w:val="18"/>
                      <w:lang w:val="en-US" w:eastAsia="zh-CN"/>
                    </w:rPr>
                  </w:pPr>
                  <w:r>
                    <w:rPr>
                      <w:rFonts w:hint="eastAsia"/>
                      <w:color w:val="auto"/>
                      <w:sz w:val="18"/>
                      <w:szCs w:val="18"/>
                      <w:lang w:val="en-US" w:eastAsia="zh-CN"/>
                    </w:rPr>
                    <w:t>加强管理，进行LDAR泄漏修复与检测</w:t>
                  </w:r>
                </w:p>
              </w:tc>
              <w:tc>
                <w:tcPr>
                  <w:tcW w:w="1755" w:type="dxa"/>
                  <w:tcBorders>
                    <w:tl2br w:val="nil"/>
                    <w:tr2bl w:val="nil"/>
                  </w:tcBorders>
                  <w:vAlign w:val="center"/>
                </w:tcPr>
                <w:p w14:paraId="2DF3E596">
                  <w:pPr>
                    <w:pStyle w:val="60"/>
                    <w:tabs>
                      <w:tab w:val="left" w:pos="334"/>
                    </w:tabs>
                    <w:rPr>
                      <w:rFonts w:hint="default" w:eastAsia="宋体"/>
                      <w:color w:val="auto"/>
                      <w:sz w:val="18"/>
                      <w:szCs w:val="18"/>
                      <w:lang w:val="en-US" w:eastAsia="zh-CN"/>
                    </w:rPr>
                  </w:pPr>
                  <w:r>
                    <w:rPr>
                      <w:rFonts w:hint="eastAsia"/>
                      <w:color w:val="auto"/>
                      <w:sz w:val="18"/>
                      <w:szCs w:val="18"/>
                      <w:lang w:val="en-US" w:eastAsia="zh-CN"/>
                    </w:rPr>
                    <w:t>≤2mg/m</w:t>
                  </w:r>
                  <w:r>
                    <w:rPr>
                      <w:rFonts w:hint="eastAsia"/>
                      <w:color w:val="auto"/>
                      <w:sz w:val="18"/>
                      <w:szCs w:val="18"/>
                      <w:vertAlign w:val="superscript"/>
                      <w:lang w:val="en-US" w:eastAsia="zh-CN"/>
                    </w:rPr>
                    <w:t>3</w:t>
                  </w:r>
                </w:p>
              </w:tc>
              <w:tc>
                <w:tcPr>
                  <w:tcW w:w="3183" w:type="dxa"/>
                  <w:tcBorders>
                    <w:tl2br w:val="nil"/>
                    <w:tr2bl w:val="nil"/>
                  </w:tcBorders>
                  <w:shd w:val="clear" w:color="auto" w:fill="auto"/>
                  <w:vAlign w:val="center"/>
                </w:tcPr>
                <w:p w14:paraId="2AC76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bCs/>
                      <w:color w:val="auto"/>
                      <w:sz w:val="18"/>
                      <w:szCs w:val="18"/>
                    </w:rPr>
                    <w:t>《挥发性有机物排放标准 第6部分：有机化工行业》（DB37/2801.6-2018）表3</w:t>
                  </w:r>
                </w:p>
              </w:tc>
            </w:tr>
            <w:tr w14:paraId="0104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564EAFA8">
                  <w:pPr>
                    <w:pStyle w:val="60"/>
                    <w:rPr>
                      <w:color w:val="auto"/>
                      <w:sz w:val="18"/>
                      <w:szCs w:val="18"/>
                    </w:rPr>
                  </w:pPr>
                </w:p>
              </w:tc>
              <w:tc>
                <w:tcPr>
                  <w:tcW w:w="780" w:type="dxa"/>
                  <w:vMerge w:val="continue"/>
                  <w:tcBorders>
                    <w:tl2br w:val="nil"/>
                    <w:tr2bl w:val="nil"/>
                  </w:tcBorders>
                  <w:vAlign w:val="center"/>
                </w:tcPr>
                <w:p w14:paraId="291DCE1C">
                  <w:pPr>
                    <w:pStyle w:val="60"/>
                    <w:rPr>
                      <w:rFonts w:hint="eastAsia"/>
                      <w:color w:val="auto"/>
                      <w:sz w:val="18"/>
                      <w:szCs w:val="18"/>
                      <w:lang w:val="en-US" w:eastAsia="zh-CN"/>
                    </w:rPr>
                  </w:pPr>
                </w:p>
              </w:tc>
              <w:tc>
                <w:tcPr>
                  <w:tcW w:w="772" w:type="dxa"/>
                  <w:tcBorders>
                    <w:tl2br w:val="nil"/>
                    <w:tr2bl w:val="nil"/>
                  </w:tcBorders>
                  <w:vAlign w:val="center"/>
                </w:tcPr>
                <w:p w14:paraId="02D74477">
                  <w:pPr>
                    <w:pStyle w:val="60"/>
                    <w:rPr>
                      <w:rFonts w:hint="default"/>
                      <w:color w:val="auto"/>
                      <w:sz w:val="18"/>
                      <w:szCs w:val="18"/>
                      <w:lang w:val="en-US" w:eastAsia="zh-CN"/>
                    </w:rPr>
                  </w:pPr>
                  <w:r>
                    <w:rPr>
                      <w:rFonts w:hint="eastAsia"/>
                      <w:color w:val="auto"/>
                      <w:sz w:val="18"/>
                      <w:szCs w:val="18"/>
                      <w:lang w:val="en-US" w:eastAsia="zh-CN"/>
                    </w:rPr>
                    <w:t>甲醇</w:t>
                  </w:r>
                </w:p>
              </w:tc>
              <w:tc>
                <w:tcPr>
                  <w:tcW w:w="810" w:type="dxa"/>
                  <w:vMerge w:val="continue"/>
                  <w:tcBorders>
                    <w:tl2br w:val="nil"/>
                    <w:tr2bl w:val="nil"/>
                  </w:tcBorders>
                  <w:vAlign w:val="center"/>
                </w:tcPr>
                <w:p w14:paraId="2947B987">
                  <w:pPr>
                    <w:pStyle w:val="60"/>
                    <w:rPr>
                      <w:rFonts w:hint="eastAsia"/>
                      <w:color w:val="auto"/>
                      <w:sz w:val="18"/>
                      <w:szCs w:val="18"/>
                      <w:lang w:val="en-US" w:eastAsia="zh-CN"/>
                    </w:rPr>
                  </w:pPr>
                </w:p>
              </w:tc>
              <w:tc>
                <w:tcPr>
                  <w:tcW w:w="1755" w:type="dxa"/>
                  <w:tcBorders>
                    <w:tl2br w:val="nil"/>
                    <w:tr2bl w:val="nil"/>
                  </w:tcBorders>
                  <w:vAlign w:val="center"/>
                </w:tcPr>
                <w:p w14:paraId="4111FC44">
                  <w:pPr>
                    <w:pStyle w:val="60"/>
                    <w:tabs>
                      <w:tab w:val="left" w:pos="334"/>
                    </w:tabs>
                    <w:rPr>
                      <w:rFonts w:hint="eastAsia"/>
                      <w:color w:val="auto"/>
                      <w:sz w:val="18"/>
                      <w:szCs w:val="18"/>
                      <w:lang w:val="en-US" w:eastAsia="zh-CN"/>
                    </w:rPr>
                  </w:pPr>
                  <w:r>
                    <w:rPr>
                      <w:rFonts w:hint="eastAsia"/>
                      <w:color w:val="auto"/>
                      <w:sz w:val="18"/>
                      <w:szCs w:val="18"/>
                      <w:lang w:val="en-US" w:eastAsia="zh-CN"/>
                    </w:rPr>
                    <w:t>≤12mg/m</w:t>
                  </w:r>
                  <w:r>
                    <w:rPr>
                      <w:rFonts w:hint="eastAsia"/>
                      <w:color w:val="auto"/>
                      <w:sz w:val="18"/>
                      <w:szCs w:val="18"/>
                      <w:vertAlign w:val="superscript"/>
                      <w:lang w:val="en-US" w:eastAsia="zh-CN"/>
                    </w:rPr>
                    <w:t>3</w:t>
                  </w:r>
                </w:p>
              </w:tc>
              <w:tc>
                <w:tcPr>
                  <w:tcW w:w="3183" w:type="dxa"/>
                  <w:tcBorders>
                    <w:tl2br w:val="nil"/>
                    <w:tr2bl w:val="nil"/>
                  </w:tcBorders>
                  <w:shd w:val="clear" w:color="auto" w:fill="auto"/>
                  <w:vAlign w:val="center"/>
                </w:tcPr>
                <w:p w14:paraId="376C9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18"/>
                      <w:szCs w:val="18"/>
                    </w:rPr>
                  </w:pPr>
                  <w:r>
                    <w:rPr>
                      <w:rFonts w:hint="eastAsia"/>
                      <w:bCs/>
                      <w:color w:val="auto"/>
                      <w:sz w:val="18"/>
                      <w:szCs w:val="18"/>
                    </w:rPr>
                    <w:t>《大气污染物综合排放标准》（GB16297-1996）表2</w:t>
                  </w:r>
                </w:p>
              </w:tc>
            </w:tr>
            <w:tr w14:paraId="532F5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520" w:type="dxa"/>
                  <w:vMerge w:val="continue"/>
                  <w:tcBorders>
                    <w:tl2br w:val="nil"/>
                    <w:tr2bl w:val="nil"/>
                  </w:tcBorders>
                  <w:vAlign w:val="center"/>
                </w:tcPr>
                <w:p w14:paraId="77E13BF3">
                  <w:pPr>
                    <w:pStyle w:val="60"/>
                    <w:rPr>
                      <w:color w:val="auto"/>
                      <w:sz w:val="18"/>
                      <w:szCs w:val="18"/>
                    </w:rPr>
                  </w:pPr>
                </w:p>
              </w:tc>
              <w:tc>
                <w:tcPr>
                  <w:tcW w:w="780" w:type="dxa"/>
                  <w:tcBorders>
                    <w:tl2br w:val="nil"/>
                    <w:tr2bl w:val="nil"/>
                  </w:tcBorders>
                  <w:vAlign w:val="center"/>
                </w:tcPr>
                <w:p w14:paraId="791814BD">
                  <w:pPr>
                    <w:pStyle w:val="60"/>
                    <w:rPr>
                      <w:rFonts w:hint="default"/>
                      <w:color w:val="auto"/>
                      <w:sz w:val="18"/>
                      <w:szCs w:val="18"/>
                      <w:lang w:val="en-US" w:eastAsia="zh-CN"/>
                    </w:rPr>
                  </w:pPr>
                  <w:r>
                    <w:rPr>
                      <w:rFonts w:hint="eastAsia"/>
                      <w:color w:val="auto"/>
                      <w:sz w:val="18"/>
                      <w:szCs w:val="18"/>
                      <w:lang w:val="en-US" w:eastAsia="zh-CN"/>
                    </w:rPr>
                    <w:t>厂区内</w:t>
                  </w:r>
                </w:p>
              </w:tc>
              <w:tc>
                <w:tcPr>
                  <w:tcW w:w="772" w:type="dxa"/>
                  <w:tcBorders>
                    <w:tl2br w:val="nil"/>
                    <w:tr2bl w:val="nil"/>
                  </w:tcBorders>
                  <w:vAlign w:val="center"/>
                </w:tcPr>
                <w:p w14:paraId="671755FA">
                  <w:pPr>
                    <w:pStyle w:val="60"/>
                    <w:rPr>
                      <w:rFonts w:hint="eastAsia"/>
                      <w:color w:val="auto"/>
                      <w:sz w:val="18"/>
                      <w:szCs w:val="18"/>
                      <w:lang w:val="en-US" w:eastAsia="zh-CN"/>
                    </w:rPr>
                  </w:pPr>
                  <w:r>
                    <w:rPr>
                      <w:rFonts w:hint="eastAsia"/>
                      <w:color w:val="auto"/>
                      <w:sz w:val="18"/>
                      <w:szCs w:val="18"/>
                      <w:lang w:val="en-US" w:eastAsia="zh-CN"/>
                    </w:rPr>
                    <w:t>NMHC</w:t>
                  </w:r>
                </w:p>
              </w:tc>
              <w:tc>
                <w:tcPr>
                  <w:tcW w:w="810" w:type="dxa"/>
                  <w:vMerge w:val="continue"/>
                  <w:tcBorders>
                    <w:tl2br w:val="nil"/>
                    <w:tr2bl w:val="nil"/>
                  </w:tcBorders>
                  <w:vAlign w:val="center"/>
                </w:tcPr>
                <w:p w14:paraId="6EB3BC5D">
                  <w:pPr>
                    <w:pStyle w:val="60"/>
                    <w:rPr>
                      <w:rFonts w:hint="eastAsia"/>
                      <w:color w:val="auto"/>
                      <w:sz w:val="18"/>
                      <w:szCs w:val="18"/>
                      <w:lang w:val="en-US" w:eastAsia="zh-CN"/>
                    </w:rPr>
                  </w:pPr>
                </w:p>
              </w:tc>
              <w:tc>
                <w:tcPr>
                  <w:tcW w:w="1755" w:type="dxa"/>
                  <w:tcBorders>
                    <w:tl2br w:val="nil"/>
                    <w:tr2bl w:val="nil"/>
                  </w:tcBorders>
                  <w:vAlign w:val="center"/>
                </w:tcPr>
                <w:p w14:paraId="3FC2853B">
                  <w:pPr>
                    <w:pStyle w:val="60"/>
                    <w:tabs>
                      <w:tab w:val="left" w:pos="334"/>
                    </w:tabs>
                    <w:rPr>
                      <w:rFonts w:hint="eastAsia"/>
                      <w:color w:val="auto"/>
                      <w:sz w:val="18"/>
                      <w:szCs w:val="18"/>
                      <w:vertAlign w:val="superscript"/>
                      <w:lang w:val="en-US" w:eastAsia="zh-CN"/>
                    </w:rPr>
                  </w:pPr>
                  <w:r>
                    <w:rPr>
                      <w:rFonts w:hint="eastAsia"/>
                      <w:color w:val="auto"/>
                      <w:sz w:val="18"/>
                      <w:szCs w:val="18"/>
                      <w:lang w:val="en-US" w:eastAsia="zh-CN"/>
                    </w:rPr>
                    <w:t>1h浓度：≤6mg/m</w:t>
                  </w:r>
                  <w:r>
                    <w:rPr>
                      <w:rFonts w:hint="eastAsia"/>
                      <w:color w:val="auto"/>
                      <w:sz w:val="18"/>
                      <w:szCs w:val="18"/>
                      <w:vertAlign w:val="superscript"/>
                      <w:lang w:val="en-US" w:eastAsia="zh-CN"/>
                    </w:rPr>
                    <w:t>3</w:t>
                  </w:r>
                </w:p>
                <w:p w14:paraId="33D837F6">
                  <w:pPr>
                    <w:pStyle w:val="60"/>
                    <w:tabs>
                      <w:tab w:val="left" w:pos="334"/>
                    </w:tabs>
                    <w:rPr>
                      <w:rFonts w:hint="default"/>
                      <w:color w:val="auto"/>
                      <w:sz w:val="18"/>
                      <w:szCs w:val="18"/>
                      <w:vertAlign w:val="superscript"/>
                      <w:lang w:val="en-US" w:eastAsia="zh-CN"/>
                    </w:rPr>
                  </w:pPr>
                  <w:r>
                    <w:rPr>
                      <w:rFonts w:hint="eastAsia"/>
                      <w:color w:val="auto"/>
                      <w:sz w:val="18"/>
                      <w:szCs w:val="18"/>
                      <w:vertAlign w:val="baseline"/>
                      <w:lang w:val="en-US" w:eastAsia="zh-CN"/>
                    </w:rPr>
                    <w:t>任意一次：</w:t>
                  </w:r>
                  <w:r>
                    <w:rPr>
                      <w:rFonts w:hint="eastAsia"/>
                      <w:color w:val="auto"/>
                      <w:sz w:val="18"/>
                      <w:szCs w:val="18"/>
                      <w:lang w:val="en-US" w:eastAsia="zh-CN"/>
                    </w:rPr>
                    <w:t>≤20mg/m</w:t>
                  </w:r>
                  <w:r>
                    <w:rPr>
                      <w:rFonts w:hint="eastAsia"/>
                      <w:color w:val="auto"/>
                      <w:sz w:val="18"/>
                      <w:szCs w:val="18"/>
                      <w:vertAlign w:val="superscript"/>
                      <w:lang w:val="en-US" w:eastAsia="zh-CN"/>
                    </w:rPr>
                    <w:t>3</w:t>
                  </w:r>
                </w:p>
              </w:tc>
              <w:tc>
                <w:tcPr>
                  <w:tcW w:w="3183" w:type="dxa"/>
                  <w:tcBorders>
                    <w:tl2br w:val="nil"/>
                    <w:tr2bl w:val="nil"/>
                  </w:tcBorders>
                  <w:shd w:val="clear" w:color="auto" w:fill="auto"/>
                  <w:vAlign w:val="center"/>
                </w:tcPr>
                <w:p w14:paraId="2331FF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18"/>
                      <w:szCs w:val="18"/>
                    </w:rPr>
                  </w:pPr>
                  <w:r>
                    <w:rPr>
                      <w:rFonts w:hint="eastAsia"/>
                      <w:bCs/>
                      <w:color w:val="auto"/>
                      <w:sz w:val="18"/>
                      <w:szCs w:val="18"/>
                    </w:rPr>
                    <w:t>《挥发性有机物无组织排放控制标准》（GB37822-2019）附录A</w:t>
                  </w:r>
                </w:p>
              </w:tc>
            </w:tr>
            <w:tr w14:paraId="54FDD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tcBorders>
                    <w:tl2br w:val="nil"/>
                    <w:tr2bl w:val="nil"/>
                  </w:tcBorders>
                  <w:vAlign w:val="center"/>
                </w:tcPr>
                <w:p w14:paraId="317D942B">
                  <w:pPr>
                    <w:pStyle w:val="60"/>
                    <w:rPr>
                      <w:color w:val="auto"/>
                      <w:sz w:val="18"/>
                      <w:szCs w:val="18"/>
                    </w:rPr>
                  </w:pPr>
                  <w:r>
                    <w:rPr>
                      <w:rFonts w:hint="eastAsia"/>
                      <w:color w:val="auto"/>
                      <w:sz w:val="18"/>
                      <w:szCs w:val="18"/>
                    </w:rPr>
                    <w:t>废水</w:t>
                  </w:r>
                </w:p>
              </w:tc>
              <w:tc>
                <w:tcPr>
                  <w:tcW w:w="780" w:type="dxa"/>
                  <w:tcBorders>
                    <w:tl2br w:val="nil"/>
                    <w:tr2bl w:val="nil"/>
                  </w:tcBorders>
                  <w:vAlign w:val="center"/>
                </w:tcPr>
                <w:p w14:paraId="39A9F277">
                  <w:pPr>
                    <w:pStyle w:val="60"/>
                    <w:rPr>
                      <w:rFonts w:hint="default" w:eastAsia="宋体"/>
                      <w:color w:val="auto"/>
                      <w:sz w:val="18"/>
                      <w:szCs w:val="18"/>
                      <w:lang w:val="en-US" w:eastAsia="zh-CN"/>
                    </w:rPr>
                  </w:pPr>
                  <w:r>
                    <w:rPr>
                      <w:rFonts w:hint="eastAsia"/>
                      <w:color w:val="auto"/>
                      <w:sz w:val="18"/>
                      <w:szCs w:val="18"/>
                      <w:lang w:val="en-US" w:eastAsia="zh-CN"/>
                    </w:rPr>
                    <w:t>初期雨水</w:t>
                  </w:r>
                </w:p>
              </w:tc>
              <w:tc>
                <w:tcPr>
                  <w:tcW w:w="772" w:type="dxa"/>
                  <w:tcBorders>
                    <w:tl2br w:val="nil"/>
                    <w:tr2bl w:val="nil"/>
                  </w:tcBorders>
                  <w:vAlign w:val="center"/>
                </w:tcPr>
                <w:p w14:paraId="47C78597">
                  <w:pPr>
                    <w:pStyle w:val="60"/>
                    <w:rPr>
                      <w:rFonts w:hint="default" w:eastAsia="宋体"/>
                      <w:color w:val="auto"/>
                      <w:sz w:val="18"/>
                      <w:szCs w:val="18"/>
                      <w:lang w:val="en-US" w:eastAsia="zh-CN"/>
                    </w:rPr>
                  </w:pPr>
                  <w:r>
                    <w:rPr>
                      <w:rFonts w:hint="eastAsia"/>
                      <w:color w:val="auto"/>
                      <w:sz w:val="18"/>
                      <w:szCs w:val="18"/>
                      <w:lang w:val="en-US" w:eastAsia="zh-CN"/>
                    </w:rPr>
                    <w:t>COD、氨氮、SS、石油类</w:t>
                  </w:r>
                </w:p>
              </w:tc>
              <w:tc>
                <w:tcPr>
                  <w:tcW w:w="2565" w:type="dxa"/>
                  <w:gridSpan w:val="2"/>
                  <w:tcBorders>
                    <w:tl2br w:val="nil"/>
                    <w:tr2bl w:val="nil"/>
                  </w:tcBorders>
                  <w:vAlign w:val="center"/>
                </w:tcPr>
                <w:p w14:paraId="4C5CBAD6">
                  <w:pPr>
                    <w:pStyle w:val="60"/>
                    <w:jc w:val="center"/>
                    <w:rPr>
                      <w:rFonts w:hint="default" w:eastAsia="宋体"/>
                      <w:color w:val="auto"/>
                      <w:sz w:val="18"/>
                      <w:szCs w:val="18"/>
                      <w:lang w:val="en-US" w:eastAsia="zh-CN"/>
                    </w:rPr>
                  </w:pPr>
                  <w:r>
                    <w:rPr>
                      <w:rFonts w:hint="eastAsia"/>
                      <w:color w:val="auto"/>
                      <w:sz w:val="18"/>
                      <w:szCs w:val="18"/>
                      <w:lang w:val="en-US" w:eastAsia="zh-CN"/>
                    </w:rPr>
                    <w:t>经东厂区现有“絮凝沉淀+间接加热蒸发”处理</w:t>
                  </w:r>
                </w:p>
              </w:tc>
              <w:tc>
                <w:tcPr>
                  <w:tcW w:w="3183" w:type="dxa"/>
                  <w:tcBorders>
                    <w:tl2br w:val="nil"/>
                    <w:tr2bl w:val="nil"/>
                  </w:tcBorders>
                  <w:vAlign w:val="center"/>
                </w:tcPr>
                <w:p w14:paraId="1C787A70">
                  <w:pPr>
                    <w:pStyle w:val="60"/>
                    <w:jc w:val="center"/>
                    <w:rPr>
                      <w:rFonts w:hint="default" w:eastAsia="宋体"/>
                      <w:color w:val="auto"/>
                      <w:sz w:val="18"/>
                      <w:szCs w:val="18"/>
                      <w:lang w:val="en-US" w:eastAsia="zh-CN"/>
                    </w:rPr>
                  </w:pPr>
                  <w:r>
                    <w:rPr>
                      <w:rFonts w:hint="eastAsia"/>
                      <w:color w:val="auto"/>
                      <w:sz w:val="18"/>
                      <w:szCs w:val="18"/>
                      <w:lang w:val="en-US" w:eastAsia="zh-CN"/>
                    </w:rPr>
                    <w:t>蒸汽回用于甲醛生产装置，剩余固相作为危废定期委托处置</w:t>
                  </w:r>
                </w:p>
              </w:tc>
            </w:tr>
            <w:tr w14:paraId="063C6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tcBorders>
                    <w:tl2br w:val="nil"/>
                    <w:tr2bl w:val="nil"/>
                  </w:tcBorders>
                  <w:vAlign w:val="center"/>
                </w:tcPr>
                <w:p w14:paraId="28C3C875">
                  <w:pPr>
                    <w:pStyle w:val="60"/>
                    <w:rPr>
                      <w:color w:val="auto"/>
                      <w:sz w:val="18"/>
                      <w:szCs w:val="18"/>
                    </w:rPr>
                  </w:pPr>
                  <w:r>
                    <w:rPr>
                      <w:color w:val="auto"/>
                      <w:sz w:val="18"/>
                      <w:szCs w:val="18"/>
                    </w:rPr>
                    <w:t>噪声</w:t>
                  </w:r>
                </w:p>
              </w:tc>
              <w:tc>
                <w:tcPr>
                  <w:tcW w:w="780" w:type="dxa"/>
                  <w:tcBorders>
                    <w:tl2br w:val="nil"/>
                    <w:tr2bl w:val="nil"/>
                  </w:tcBorders>
                  <w:vAlign w:val="center"/>
                </w:tcPr>
                <w:p w14:paraId="79EDEEFE">
                  <w:pPr>
                    <w:pStyle w:val="60"/>
                    <w:rPr>
                      <w:color w:val="auto"/>
                      <w:sz w:val="18"/>
                      <w:szCs w:val="18"/>
                    </w:rPr>
                  </w:pPr>
                  <w:r>
                    <w:rPr>
                      <w:color w:val="auto"/>
                      <w:sz w:val="18"/>
                      <w:szCs w:val="18"/>
                    </w:rPr>
                    <w:t>机械设备</w:t>
                  </w:r>
                </w:p>
              </w:tc>
              <w:tc>
                <w:tcPr>
                  <w:tcW w:w="772" w:type="dxa"/>
                  <w:tcBorders>
                    <w:tl2br w:val="nil"/>
                    <w:tr2bl w:val="nil"/>
                  </w:tcBorders>
                  <w:vAlign w:val="center"/>
                </w:tcPr>
                <w:p w14:paraId="37F672D8">
                  <w:pPr>
                    <w:pStyle w:val="60"/>
                    <w:rPr>
                      <w:color w:val="auto"/>
                      <w:sz w:val="18"/>
                      <w:szCs w:val="18"/>
                    </w:rPr>
                  </w:pPr>
                  <w:r>
                    <w:rPr>
                      <w:color w:val="auto"/>
                      <w:sz w:val="18"/>
                      <w:szCs w:val="18"/>
                    </w:rPr>
                    <w:t>噪声</w:t>
                  </w:r>
                </w:p>
              </w:tc>
              <w:tc>
                <w:tcPr>
                  <w:tcW w:w="810" w:type="dxa"/>
                  <w:tcBorders>
                    <w:tl2br w:val="nil"/>
                    <w:tr2bl w:val="nil"/>
                  </w:tcBorders>
                  <w:vAlign w:val="center"/>
                </w:tcPr>
                <w:p w14:paraId="04A0A9F4">
                  <w:pPr>
                    <w:pStyle w:val="60"/>
                    <w:rPr>
                      <w:color w:val="auto"/>
                      <w:sz w:val="18"/>
                      <w:szCs w:val="18"/>
                    </w:rPr>
                  </w:pPr>
                  <w:r>
                    <w:rPr>
                      <w:color w:val="auto"/>
                      <w:sz w:val="18"/>
                      <w:szCs w:val="18"/>
                    </w:rPr>
                    <w:t>选用低噪声设备，基础减振、</w:t>
                  </w:r>
                  <w:r>
                    <w:rPr>
                      <w:rFonts w:hint="eastAsia"/>
                      <w:color w:val="auto"/>
                      <w:sz w:val="18"/>
                      <w:szCs w:val="18"/>
                    </w:rPr>
                    <w:t>消声</w:t>
                  </w:r>
                </w:p>
              </w:tc>
              <w:tc>
                <w:tcPr>
                  <w:tcW w:w="1755" w:type="dxa"/>
                  <w:tcBorders>
                    <w:tl2br w:val="nil"/>
                    <w:tr2bl w:val="nil"/>
                  </w:tcBorders>
                  <w:vAlign w:val="center"/>
                </w:tcPr>
                <w:p w14:paraId="22A4B52F">
                  <w:pPr>
                    <w:pStyle w:val="60"/>
                    <w:rPr>
                      <w:color w:val="auto"/>
                      <w:sz w:val="18"/>
                      <w:szCs w:val="18"/>
                    </w:rPr>
                  </w:pPr>
                  <w:r>
                    <w:rPr>
                      <w:color w:val="auto"/>
                      <w:sz w:val="18"/>
                      <w:szCs w:val="18"/>
                    </w:rPr>
                    <w:t>昼间≤6</w:t>
                  </w:r>
                  <w:r>
                    <w:rPr>
                      <w:rFonts w:hint="eastAsia"/>
                      <w:color w:val="auto"/>
                      <w:sz w:val="18"/>
                      <w:szCs w:val="18"/>
                      <w:lang w:val="en-US" w:eastAsia="zh-CN"/>
                    </w:rPr>
                    <w:t>0</w:t>
                  </w:r>
                  <w:r>
                    <w:rPr>
                      <w:rFonts w:hint="eastAsia"/>
                      <w:color w:val="auto"/>
                      <w:sz w:val="18"/>
                      <w:szCs w:val="18"/>
                    </w:rPr>
                    <w:t>dB(A)</w:t>
                  </w:r>
                </w:p>
                <w:p w14:paraId="23C780C0">
                  <w:pPr>
                    <w:pStyle w:val="60"/>
                    <w:rPr>
                      <w:color w:val="auto"/>
                      <w:sz w:val="18"/>
                      <w:szCs w:val="18"/>
                    </w:rPr>
                  </w:pPr>
                  <w:r>
                    <w:rPr>
                      <w:rFonts w:hint="eastAsia"/>
                      <w:color w:val="auto"/>
                      <w:sz w:val="18"/>
                      <w:szCs w:val="18"/>
                    </w:rPr>
                    <w:t>夜</w:t>
                  </w:r>
                  <w:r>
                    <w:rPr>
                      <w:color w:val="auto"/>
                      <w:sz w:val="18"/>
                      <w:szCs w:val="18"/>
                    </w:rPr>
                    <w:t>间≤</w:t>
                  </w:r>
                  <w:r>
                    <w:rPr>
                      <w:rFonts w:hint="eastAsia"/>
                      <w:color w:val="auto"/>
                      <w:sz w:val="18"/>
                      <w:szCs w:val="18"/>
                    </w:rPr>
                    <w:t>5</w:t>
                  </w:r>
                  <w:r>
                    <w:rPr>
                      <w:rFonts w:hint="eastAsia"/>
                      <w:color w:val="auto"/>
                      <w:sz w:val="18"/>
                      <w:szCs w:val="18"/>
                      <w:lang w:val="en-US" w:eastAsia="zh-CN"/>
                    </w:rPr>
                    <w:t>0</w:t>
                  </w:r>
                  <w:r>
                    <w:rPr>
                      <w:rFonts w:hint="eastAsia"/>
                      <w:color w:val="auto"/>
                      <w:sz w:val="18"/>
                      <w:szCs w:val="18"/>
                    </w:rPr>
                    <w:t>dB(A)</w:t>
                  </w:r>
                </w:p>
              </w:tc>
              <w:tc>
                <w:tcPr>
                  <w:tcW w:w="3183" w:type="dxa"/>
                  <w:tcBorders>
                    <w:tl2br w:val="nil"/>
                    <w:tr2bl w:val="nil"/>
                  </w:tcBorders>
                  <w:vAlign w:val="center"/>
                </w:tcPr>
                <w:p w14:paraId="37A313D3">
                  <w:pPr>
                    <w:pStyle w:val="60"/>
                    <w:keepNext w:val="0"/>
                    <w:keepLines w:val="0"/>
                    <w:pageBreakBefore w:val="0"/>
                    <w:widowControl w:val="0"/>
                    <w:kinsoku/>
                    <w:wordWrap w:val="0"/>
                    <w:overflowPunct/>
                    <w:topLinePunct w:val="0"/>
                    <w:autoSpaceDE/>
                    <w:autoSpaceDN/>
                    <w:bidi w:val="0"/>
                    <w:adjustRightInd w:val="0"/>
                    <w:snapToGrid w:val="0"/>
                    <w:jc w:val="both"/>
                    <w:textAlignment w:val="auto"/>
                    <w:rPr>
                      <w:color w:val="auto"/>
                      <w:sz w:val="18"/>
                      <w:szCs w:val="18"/>
                    </w:rPr>
                  </w:pPr>
                  <w:r>
                    <w:rPr>
                      <w:color w:val="auto"/>
                      <w:sz w:val="18"/>
                      <w:szCs w:val="18"/>
                    </w:rPr>
                    <w:t>《工业企业厂界环境噪声排放标准》（GB12348-2008）中的</w:t>
                  </w:r>
                  <w:r>
                    <w:rPr>
                      <w:rFonts w:hint="eastAsia"/>
                      <w:color w:val="auto"/>
                      <w:sz w:val="18"/>
                      <w:szCs w:val="18"/>
                      <w:lang w:val="en-US" w:eastAsia="zh-CN"/>
                    </w:rPr>
                    <w:t>2</w:t>
                  </w:r>
                  <w:r>
                    <w:rPr>
                      <w:color w:val="auto"/>
                      <w:sz w:val="18"/>
                      <w:szCs w:val="18"/>
                    </w:rPr>
                    <w:t>类区噪声排放限值</w:t>
                  </w:r>
                </w:p>
              </w:tc>
            </w:tr>
            <w:tr w14:paraId="6867B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restart"/>
                  <w:tcBorders>
                    <w:tl2br w:val="nil"/>
                    <w:tr2bl w:val="nil"/>
                  </w:tcBorders>
                  <w:vAlign w:val="center"/>
                </w:tcPr>
                <w:p w14:paraId="56B4E499">
                  <w:pPr>
                    <w:pStyle w:val="60"/>
                    <w:rPr>
                      <w:color w:val="auto"/>
                      <w:sz w:val="18"/>
                      <w:szCs w:val="18"/>
                    </w:rPr>
                  </w:pPr>
                  <w:r>
                    <w:rPr>
                      <w:rFonts w:hint="eastAsia"/>
                      <w:color w:val="auto"/>
                      <w:sz w:val="18"/>
                      <w:szCs w:val="18"/>
                    </w:rPr>
                    <w:t>固废</w:t>
                  </w:r>
                </w:p>
              </w:tc>
              <w:tc>
                <w:tcPr>
                  <w:tcW w:w="780" w:type="dxa"/>
                  <w:vMerge w:val="restart"/>
                  <w:tcBorders>
                    <w:tl2br w:val="nil"/>
                    <w:tr2bl w:val="nil"/>
                  </w:tcBorders>
                  <w:vAlign w:val="center"/>
                </w:tcPr>
                <w:p w14:paraId="74B2A1B6">
                  <w:pPr>
                    <w:pStyle w:val="60"/>
                    <w:rPr>
                      <w:rFonts w:hint="default" w:eastAsia="宋体"/>
                      <w:color w:val="auto"/>
                      <w:sz w:val="18"/>
                      <w:szCs w:val="18"/>
                      <w:lang w:val="en-US" w:eastAsia="zh-CN"/>
                    </w:rPr>
                  </w:pPr>
                  <w:r>
                    <w:rPr>
                      <w:rFonts w:hint="eastAsia"/>
                      <w:color w:val="auto"/>
                      <w:sz w:val="18"/>
                      <w:szCs w:val="18"/>
                      <w:lang w:val="en-US" w:eastAsia="zh-CN"/>
                    </w:rPr>
                    <w:t>危险废物</w:t>
                  </w:r>
                </w:p>
              </w:tc>
              <w:tc>
                <w:tcPr>
                  <w:tcW w:w="772" w:type="dxa"/>
                  <w:tcBorders>
                    <w:tl2br w:val="nil"/>
                    <w:tr2bl w:val="nil"/>
                  </w:tcBorders>
                  <w:shd w:val="clear" w:color="auto" w:fill="auto"/>
                  <w:vAlign w:val="center"/>
                </w:tcPr>
                <w:p w14:paraId="03F2C50C">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废水处理污泥</w:t>
                  </w:r>
                </w:p>
              </w:tc>
              <w:tc>
                <w:tcPr>
                  <w:tcW w:w="2565" w:type="dxa"/>
                  <w:gridSpan w:val="2"/>
                  <w:vMerge w:val="restart"/>
                  <w:tcBorders>
                    <w:tl2br w:val="nil"/>
                    <w:tr2bl w:val="nil"/>
                  </w:tcBorders>
                  <w:vAlign w:val="center"/>
                </w:tcPr>
                <w:p w14:paraId="662AB57B">
                  <w:pPr>
                    <w:pStyle w:val="60"/>
                    <w:jc w:val="center"/>
                    <w:rPr>
                      <w:rFonts w:hint="eastAsia" w:eastAsia="宋体"/>
                      <w:color w:val="auto"/>
                      <w:sz w:val="18"/>
                      <w:szCs w:val="18"/>
                      <w:lang w:val="en-US" w:eastAsia="zh-CN"/>
                    </w:rPr>
                  </w:pPr>
                  <w:r>
                    <w:rPr>
                      <w:rFonts w:hint="eastAsia"/>
                      <w:color w:val="auto"/>
                      <w:kern w:val="2"/>
                      <w:sz w:val="18"/>
                      <w:szCs w:val="18"/>
                    </w:rPr>
                    <w:t>暂存于危废间，定期委托有资质单位处置</w:t>
                  </w:r>
                </w:p>
              </w:tc>
              <w:tc>
                <w:tcPr>
                  <w:tcW w:w="3183" w:type="dxa"/>
                  <w:vMerge w:val="restart"/>
                  <w:tcBorders>
                    <w:tl2br w:val="nil"/>
                    <w:tr2bl w:val="nil"/>
                  </w:tcBorders>
                  <w:shd w:val="clear" w:color="auto" w:fill="auto"/>
                  <w:vAlign w:val="center"/>
                </w:tcPr>
                <w:p w14:paraId="0F8124A6">
                  <w:pPr>
                    <w:pStyle w:val="60"/>
                    <w:rPr>
                      <w:rFonts w:hint="eastAsia" w:ascii="Times New Roman" w:hAnsi="Times New Roman" w:eastAsia="宋体" w:cs="Times New Roman"/>
                      <w:color w:val="auto"/>
                      <w:kern w:val="2"/>
                      <w:sz w:val="18"/>
                      <w:szCs w:val="18"/>
                      <w:lang w:val="en-US" w:eastAsia="zh-CN" w:bidi="ar-SA"/>
                    </w:rPr>
                  </w:pPr>
                  <w:r>
                    <w:rPr>
                      <w:color w:val="auto"/>
                      <w:kern w:val="2"/>
                      <w:sz w:val="18"/>
                      <w:szCs w:val="18"/>
                    </w:rPr>
                    <w:t>《危险废物贮存污染控制标准》（GB18597-2023）</w:t>
                  </w:r>
                </w:p>
              </w:tc>
            </w:tr>
            <w:tr w14:paraId="2EEC1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1F989256">
                  <w:pPr>
                    <w:pStyle w:val="60"/>
                    <w:rPr>
                      <w:rFonts w:hint="eastAsia"/>
                      <w:color w:val="auto"/>
                      <w:sz w:val="18"/>
                      <w:szCs w:val="18"/>
                    </w:rPr>
                  </w:pPr>
                </w:p>
              </w:tc>
              <w:tc>
                <w:tcPr>
                  <w:tcW w:w="780" w:type="dxa"/>
                  <w:vMerge w:val="continue"/>
                  <w:tcBorders>
                    <w:tl2br w:val="nil"/>
                    <w:tr2bl w:val="nil"/>
                  </w:tcBorders>
                  <w:vAlign w:val="center"/>
                </w:tcPr>
                <w:p w14:paraId="0E1682EC">
                  <w:pPr>
                    <w:pStyle w:val="60"/>
                    <w:rPr>
                      <w:rFonts w:hint="default" w:eastAsia="宋体"/>
                      <w:color w:val="auto"/>
                      <w:sz w:val="18"/>
                      <w:szCs w:val="18"/>
                      <w:lang w:val="en-US" w:eastAsia="zh-CN"/>
                    </w:rPr>
                  </w:pPr>
                </w:p>
              </w:tc>
              <w:tc>
                <w:tcPr>
                  <w:tcW w:w="772" w:type="dxa"/>
                  <w:tcBorders>
                    <w:tl2br w:val="nil"/>
                    <w:tr2bl w:val="nil"/>
                  </w:tcBorders>
                  <w:shd w:val="clear" w:color="auto" w:fill="auto"/>
                  <w:vAlign w:val="center"/>
                </w:tcPr>
                <w:p w14:paraId="427A3470">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废润滑油</w:t>
                  </w:r>
                </w:p>
              </w:tc>
              <w:tc>
                <w:tcPr>
                  <w:tcW w:w="2565" w:type="dxa"/>
                  <w:gridSpan w:val="2"/>
                  <w:vMerge w:val="continue"/>
                  <w:tcBorders>
                    <w:tl2br w:val="nil"/>
                    <w:tr2bl w:val="nil"/>
                  </w:tcBorders>
                  <w:vAlign w:val="center"/>
                </w:tcPr>
                <w:p w14:paraId="00E1180A">
                  <w:pPr>
                    <w:pStyle w:val="60"/>
                    <w:jc w:val="center"/>
                    <w:rPr>
                      <w:rFonts w:hint="eastAsia" w:eastAsia="宋体"/>
                      <w:color w:val="auto"/>
                      <w:sz w:val="18"/>
                      <w:szCs w:val="18"/>
                      <w:lang w:val="en-US" w:eastAsia="zh-CN"/>
                    </w:rPr>
                  </w:pPr>
                </w:p>
              </w:tc>
              <w:tc>
                <w:tcPr>
                  <w:tcW w:w="3183" w:type="dxa"/>
                  <w:vMerge w:val="continue"/>
                  <w:tcBorders>
                    <w:tl2br w:val="nil"/>
                    <w:tr2bl w:val="nil"/>
                  </w:tcBorders>
                  <w:vAlign w:val="center"/>
                </w:tcPr>
                <w:p w14:paraId="72FD32EF">
                  <w:pPr>
                    <w:pStyle w:val="60"/>
                    <w:jc w:val="center"/>
                    <w:rPr>
                      <w:rFonts w:hint="eastAsia" w:eastAsia="宋体"/>
                      <w:color w:val="auto"/>
                      <w:sz w:val="18"/>
                      <w:szCs w:val="18"/>
                      <w:lang w:val="en-US" w:eastAsia="zh-CN"/>
                    </w:rPr>
                  </w:pPr>
                </w:p>
              </w:tc>
            </w:tr>
            <w:tr w14:paraId="2A115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20" w:type="dxa"/>
                  <w:vMerge w:val="continue"/>
                  <w:tcBorders>
                    <w:tl2br w:val="nil"/>
                    <w:tr2bl w:val="nil"/>
                  </w:tcBorders>
                  <w:vAlign w:val="center"/>
                </w:tcPr>
                <w:p w14:paraId="0EC13F83">
                  <w:pPr>
                    <w:pStyle w:val="60"/>
                    <w:rPr>
                      <w:rFonts w:hint="eastAsia"/>
                      <w:color w:val="auto"/>
                      <w:sz w:val="18"/>
                      <w:szCs w:val="18"/>
                    </w:rPr>
                  </w:pPr>
                </w:p>
              </w:tc>
              <w:tc>
                <w:tcPr>
                  <w:tcW w:w="780" w:type="dxa"/>
                  <w:vMerge w:val="continue"/>
                  <w:tcBorders>
                    <w:tl2br w:val="nil"/>
                    <w:tr2bl w:val="nil"/>
                  </w:tcBorders>
                  <w:vAlign w:val="center"/>
                </w:tcPr>
                <w:p w14:paraId="7ADBFABE">
                  <w:pPr>
                    <w:pStyle w:val="60"/>
                    <w:rPr>
                      <w:rFonts w:hint="default" w:eastAsia="宋体"/>
                      <w:color w:val="auto"/>
                      <w:sz w:val="18"/>
                      <w:szCs w:val="18"/>
                      <w:lang w:val="en-US" w:eastAsia="zh-CN"/>
                    </w:rPr>
                  </w:pPr>
                </w:p>
              </w:tc>
              <w:tc>
                <w:tcPr>
                  <w:tcW w:w="772" w:type="dxa"/>
                  <w:tcBorders>
                    <w:tl2br w:val="nil"/>
                    <w:tr2bl w:val="nil"/>
                  </w:tcBorders>
                  <w:shd w:val="clear" w:color="auto" w:fill="auto"/>
                  <w:vAlign w:val="center"/>
                </w:tcPr>
                <w:p w14:paraId="29B6BD25">
                  <w:pPr>
                    <w:pStyle w:val="6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废润滑油桶</w:t>
                  </w:r>
                </w:p>
              </w:tc>
              <w:tc>
                <w:tcPr>
                  <w:tcW w:w="2565" w:type="dxa"/>
                  <w:gridSpan w:val="2"/>
                  <w:vMerge w:val="continue"/>
                  <w:tcBorders>
                    <w:tl2br w:val="nil"/>
                    <w:tr2bl w:val="nil"/>
                  </w:tcBorders>
                  <w:vAlign w:val="center"/>
                </w:tcPr>
                <w:p w14:paraId="1C088356">
                  <w:pPr>
                    <w:pStyle w:val="60"/>
                    <w:jc w:val="center"/>
                    <w:rPr>
                      <w:rFonts w:hint="eastAsia" w:eastAsia="宋体"/>
                      <w:color w:val="auto"/>
                      <w:sz w:val="18"/>
                      <w:szCs w:val="18"/>
                      <w:lang w:val="en-US" w:eastAsia="zh-CN"/>
                    </w:rPr>
                  </w:pPr>
                </w:p>
              </w:tc>
              <w:tc>
                <w:tcPr>
                  <w:tcW w:w="3183" w:type="dxa"/>
                  <w:vMerge w:val="continue"/>
                  <w:tcBorders>
                    <w:tl2br w:val="nil"/>
                    <w:tr2bl w:val="nil"/>
                  </w:tcBorders>
                  <w:vAlign w:val="center"/>
                </w:tcPr>
                <w:p w14:paraId="3F54AE72">
                  <w:pPr>
                    <w:pStyle w:val="60"/>
                    <w:jc w:val="center"/>
                    <w:rPr>
                      <w:rFonts w:hint="eastAsia" w:eastAsia="宋体"/>
                      <w:color w:val="auto"/>
                      <w:sz w:val="18"/>
                      <w:szCs w:val="18"/>
                      <w:lang w:val="en-US" w:eastAsia="zh-CN"/>
                    </w:rPr>
                  </w:pPr>
                </w:p>
              </w:tc>
            </w:tr>
          </w:tbl>
          <w:p w14:paraId="06A5350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3、排放口信息化、规范化</w:t>
            </w:r>
          </w:p>
          <w:p w14:paraId="0AEFC15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根据国家《环境保护图形标志》（GB15562.1-1995）的规定，在污染物排放口处设置国家环保总局统一制作的环境保护图形标志牌，标志牌应设置在靠近采样点的醒目处。在废气排放源、废水排放口、固体废物贮存处置场、噪声产生点应设置环境保护图形标志，图形符号分为提示图形和警告图形符号两种，分别按GB15562.1-1995、GB15562.2-1995及其修改单执行。</w:t>
            </w:r>
          </w:p>
          <w:p w14:paraId="2AD89C6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按照《固定污染源废气监测点位设置技术规范》（DB37/T 3535-2019）、《污水监测技术规范》（HJ91.1-2019）要求，环保设施应设符合规范的进、出采样口及采样孔、采样平台和爬梯。</w:t>
            </w:r>
          </w:p>
          <w:p w14:paraId="24C3190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eastAsia="宋体"/>
                <w:color w:val="auto"/>
                <w:szCs w:val="21"/>
                <w:lang w:val="en-US" w:eastAsia="zh-CN"/>
              </w:rPr>
            </w:pPr>
            <w:r>
              <w:rPr>
                <w:rFonts w:hint="eastAsia"/>
                <w:color w:val="auto"/>
                <w:szCs w:val="21"/>
                <w:lang w:val="en-US" w:eastAsia="zh-CN"/>
              </w:rPr>
              <w:t>根据现场踏勘，现有DA001及DA002排气筒均按要求设置了</w:t>
            </w:r>
            <w:r>
              <w:rPr>
                <w:rFonts w:hint="eastAsia"/>
                <w:color w:val="auto"/>
                <w:szCs w:val="21"/>
              </w:rPr>
              <w:t>符合规范的进、出采样口及采样孔、采样平台和爬梯</w:t>
            </w:r>
            <w:r>
              <w:rPr>
                <w:rFonts w:hint="eastAsia"/>
                <w:color w:val="auto"/>
                <w:szCs w:val="21"/>
                <w:lang w:eastAsia="zh-CN"/>
              </w:rPr>
              <w:t>；</w:t>
            </w:r>
            <w:r>
              <w:rPr>
                <w:rFonts w:hint="eastAsia"/>
                <w:color w:val="auto"/>
                <w:szCs w:val="21"/>
                <w:lang w:val="en-US" w:eastAsia="zh-CN"/>
              </w:rPr>
              <w:t>危废暂存间、噪声产生点等均按要求设置了符合规范要求的</w:t>
            </w:r>
            <w:r>
              <w:rPr>
                <w:rFonts w:hint="eastAsia"/>
                <w:color w:val="auto"/>
                <w:szCs w:val="21"/>
              </w:rPr>
              <w:t>环境保护图形标志</w:t>
            </w:r>
            <w:r>
              <w:rPr>
                <w:rFonts w:hint="eastAsia"/>
                <w:color w:val="auto"/>
                <w:szCs w:val="21"/>
                <w:lang w:eastAsia="zh-CN"/>
              </w:rPr>
              <w:t>。</w:t>
            </w:r>
          </w:p>
          <w:p w14:paraId="204B62B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eastAsia="宋体"/>
                <w:color w:val="auto"/>
                <w:szCs w:val="21"/>
                <w:lang w:val="en-US" w:eastAsia="zh-CN"/>
              </w:rPr>
            </w:pPr>
            <w:r>
              <w:rPr>
                <w:rFonts w:hint="eastAsia" w:eastAsia="宋体"/>
                <w:color w:val="auto"/>
                <w:szCs w:val="21"/>
                <w:lang w:val="en-US" w:eastAsia="zh-CN"/>
              </w:rPr>
              <w:t>4、排污许可申报</w:t>
            </w:r>
          </w:p>
          <w:p w14:paraId="3EFA150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eastAsia="宋体"/>
                <w:color w:val="auto"/>
                <w:szCs w:val="21"/>
                <w:lang w:val="en-US" w:eastAsia="zh-CN"/>
              </w:rPr>
            </w:pPr>
            <w:r>
              <w:rPr>
                <w:rFonts w:hint="eastAsia" w:eastAsia="宋体"/>
                <w:color w:val="auto"/>
                <w:szCs w:val="21"/>
                <w:lang w:val="en-US" w:eastAsia="zh-CN"/>
              </w:rPr>
              <w:t>本项目属于技改项目，根据《排污许可管理办法》（部令第32号），项目需在取得本次环境影响评价审批意见后实际排污行为变化之前，向核发环保部门提出重新申请排污许可证。</w:t>
            </w:r>
          </w:p>
          <w:p w14:paraId="52F573B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lang w:val="en-US" w:eastAsia="zh-CN"/>
              </w:rPr>
              <w:t>5</w:t>
            </w:r>
            <w:r>
              <w:rPr>
                <w:rFonts w:hint="eastAsia"/>
                <w:color w:val="auto"/>
                <w:szCs w:val="21"/>
              </w:rPr>
              <w:t>、环境管理台账</w:t>
            </w:r>
          </w:p>
          <w:p w14:paraId="2D65DC5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企业应按照行业排污许可管理要求制度管理管理台账，落实环境管理台账记录的责任部门和责任人，明确工作职责，包括台账的记录、整理、维护和管理等，并对台账记录结果的真实性、完整性和规范性负责，台账保存期限不得少于五年。</w:t>
            </w:r>
          </w:p>
          <w:p w14:paraId="37C30F2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lang w:val="en-US" w:eastAsia="zh-CN"/>
              </w:rPr>
              <w:t>6</w:t>
            </w:r>
            <w:r>
              <w:rPr>
                <w:rFonts w:hint="eastAsia"/>
                <w:color w:val="auto"/>
                <w:szCs w:val="21"/>
              </w:rPr>
              <w:t>、环保信息公开</w:t>
            </w:r>
          </w:p>
          <w:p w14:paraId="51286C2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要求根据《企业环境信息依法披露管理办法》（部令第24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16CA2E7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1）基础信息，包括单位名称、组织机构代码、法定代表人、生产地址、联系方式，以及生产经营和管理服务的主要内容、产品及规模；</w:t>
            </w:r>
          </w:p>
          <w:p w14:paraId="6564A52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2）排污信息，包括主要污染物及其他污染物的名称、排放方式、排放口数量和分布情况、排放浓度和总量、超标情况，以及执行的污染物排放标准、核定的排放总量；</w:t>
            </w:r>
          </w:p>
          <w:p w14:paraId="6121A06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3）防治污染设施的建设和运行情况；</w:t>
            </w:r>
          </w:p>
          <w:p w14:paraId="6213E00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4）建设项目环境影响评价及其他环境保护行政许可情况；</w:t>
            </w:r>
          </w:p>
          <w:p w14:paraId="2F85EDA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5）其他应当公开的环境信息；</w:t>
            </w:r>
          </w:p>
          <w:p w14:paraId="3FFB886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color w:val="auto"/>
                <w:szCs w:val="21"/>
              </w:rPr>
            </w:pPr>
            <w:r>
              <w:rPr>
                <w:rFonts w:hint="eastAsia"/>
                <w:color w:val="auto"/>
                <w:szCs w:val="21"/>
              </w:rPr>
              <w:t>列入国家重点监控企业名单的重点排污单位还应当公开其环境自行监测方案。</w:t>
            </w:r>
          </w:p>
          <w:p w14:paraId="049C3B7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olor w:val="auto"/>
                <w:szCs w:val="21"/>
              </w:rPr>
            </w:pPr>
            <w:r>
              <w:rPr>
                <w:rFonts w:hint="eastAsia"/>
                <w:color w:val="auto"/>
                <w:szCs w:val="21"/>
              </w:rPr>
              <w:t>建设单位应按照上述要求公开建设项目的相关信息，采取的信息公开途径可包括：①公告或者公开发行的信息专刊；②广播、电视等新闻媒体；③信息公开服务、监督热线电话；④本单位的资料索取点、信息公开栏、信息亭、电子屏幕、电子触摸屏等场所或者设施；⑤其他便于公众及时、准确获得信息的方式。</w:t>
            </w:r>
          </w:p>
          <w:p w14:paraId="7C983B04">
            <w:pPr>
              <w:pStyle w:val="10"/>
              <w:rPr>
                <w:rFonts w:hint="eastAsia"/>
                <w:color w:val="auto"/>
                <w:szCs w:val="21"/>
              </w:rPr>
            </w:pPr>
          </w:p>
          <w:p w14:paraId="01218088">
            <w:pPr>
              <w:pStyle w:val="11"/>
              <w:rPr>
                <w:rFonts w:hint="eastAsia"/>
                <w:color w:val="auto"/>
                <w:szCs w:val="21"/>
              </w:rPr>
            </w:pPr>
          </w:p>
          <w:p w14:paraId="1F87F627">
            <w:pPr>
              <w:pStyle w:val="12"/>
              <w:rPr>
                <w:rFonts w:hint="eastAsia"/>
                <w:color w:val="auto"/>
                <w:szCs w:val="21"/>
              </w:rPr>
            </w:pPr>
          </w:p>
          <w:p w14:paraId="6AAE7858">
            <w:pPr>
              <w:rPr>
                <w:rFonts w:hint="eastAsia"/>
                <w:color w:val="auto"/>
                <w:szCs w:val="21"/>
              </w:rPr>
            </w:pPr>
          </w:p>
          <w:p w14:paraId="3D0ABF06">
            <w:pPr>
              <w:rPr>
                <w:color w:val="auto"/>
              </w:rPr>
            </w:pPr>
          </w:p>
        </w:tc>
      </w:tr>
    </w:tbl>
    <w:p w14:paraId="5801A481">
      <w:pPr>
        <w:pStyle w:val="18"/>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A322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5210D116">
            <w:pPr>
              <w:spacing w:line="500" w:lineRule="exact"/>
              <w:ind w:firstLine="420" w:firstLineChars="200"/>
              <w:jc w:val="left"/>
              <w:rPr>
                <w:color w:val="auto"/>
                <w:sz w:val="24"/>
              </w:rPr>
            </w:pPr>
            <w:r>
              <w:rPr>
                <w:color w:val="auto"/>
              </w:rPr>
              <w:t>本项目为</w:t>
            </w:r>
            <w:r>
              <w:rPr>
                <w:rFonts w:hint="eastAsia"/>
                <w:color w:val="auto"/>
                <w:lang w:val="en-US" w:eastAsia="zh-CN"/>
              </w:rPr>
              <w:t>山东诚光工贸有限公司罐区VOCs安全环保治理提升改造项目</w:t>
            </w:r>
            <w:r>
              <w:rPr>
                <w:color w:val="auto"/>
              </w:rPr>
              <w:t>，</w:t>
            </w:r>
            <w:r>
              <w:rPr>
                <w:rFonts w:hint="eastAsia"/>
                <w:color w:val="auto"/>
              </w:rPr>
              <w:t>项目位于</w:t>
            </w:r>
            <w:r>
              <w:rPr>
                <w:rFonts w:hint="eastAsia"/>
                <w:color w:val="auto"/>
                <w:lang w:val="en-US" w:eastAsia="zh-CN"/>
              </w:rPr>
              <w:t>朱台镇工业集聚区</w:t>
            </w:r>
            <w:r>
              <w:rPr>
                <w:rFonts w:hint="eastAsia"/>
                <w:color w:val="auto"/>
              </w:rPr>
              <w:t>内。</w:t>
            </w:r>
            <w:r>
              <w:rPr>
                <w:color w:val="auto"/>
              </w:rPr>
              <w:t>项目建设符合国家、地方产业政策和相关环保政策要求；项目用地属于</w:t>
            </w:r>
            <w:r>
              <w:rPr>
                <w:rFonts w:hint="eastAsia"/>
                <w:color w:val="auto"/>
              </w:rPr>
              <w:t>工业</w:t>
            </w:r>
            <w:r>
              <w:rPr>
                <w:color w:val="auto"/>
              </w:rPr>
              <w:t>用地，项目选址符合用地要求；</w:t>
            </w:r>
            <w:r>
              <w:rPr>
                <w:rFonts w:hint="eastAsia"/>
                <w:color w:val="auto"/>
              </w:rPr>
              <w:t>本</w:t>
            </w:r>
            <w:r>
              <w:rPr>
                <w:color w:val="auto"/>
              </w:rPr>
              <w:t>项目工艺设计合理，采取有效的环保治理、风险防范措施后，满足稳定达标排放等环境管理要求，对周围环境影响较小。在落实本报告表中提出的各项污染防治措施、风险防范措施前提下，从环保角度分析，本项目建设是可行的。</w:t>
            </w:r>
          </w:p>
        </w:tc>
      </w:tr>
    </w:tbl>
    <w:p w14:paraId="21D7BB36">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C35D00B">
      <w:pPr>
        <w:pStyle w:val="18"/>
        <w:adjustRightInd w:val="0"/>
        <w:snapToGrid w:val="0"/>
        <w:spacing w:before="0" w:beforeAutospacing="0" w:after="0" w:afterAutospacing="0" w:line="360" w:lineRule="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677B367F">
      <w:pPr>
        <w:pStyle w:val="18"/>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2"/>
        <w:tblW w:w="141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988"/>
        <w:gridCol w:w="779"/>
        <w:gridCol w:w="780"/>
        <w:gridCol w:w="1515"/>
        <w:gridCol w:w="1305"/>
        <w:gridCol w:w="1605"/>
        <w:gridCol w:w="1461"/>
        <w:gridCol w:w="1584"/>
        <w:gridCol w:w="1680"/>
        <w:gridCol w:w="1287"/>
      </w:tblGrid>
      <w:tr w14:paraId="687AC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162" w:type="dxa"/>
            <w:tcBorders>
              <w:tl2br w:val="single" w:color="auto" w:sz="4" w:space="0"/>
            </w:tcBorders>
            <w:tcMar>
              <w:left w:w="28" w:type="dxa"/>
              <w:right w:w="28" w:type="dxa"/>
            </w:tcMar>
            <w:vAlign w:val="center"/>
          </w:tcPr>
          <w:p w14:paraId="1BE97C08">
            <w:pPr>
              <w:pStyle w:val="41"/>
              <w:spacing w:beforeLines="0" w:afterLines="0" w:line="240" w:lineRule="auto"/>
              <w:rPr>
                <w:rFonts w:hint="eastAsia" w:hAnsi="宋体"/>
                <w:b/>
                <w:bCs/>
                <w:snapToGrid w:val="0"/>
                <w:color w:val="auto"/>
                <w:kern w:val="21"/>
                <w:szCs w:val="21"/>
                <w:lang w:val="en-US"/>
              </w:rPr>
            </w:pPr>
            <w:r>
              <w:rPr>
                <w:rFonts w:hint="eastAsia" w:hAnsi="宋体"/>
                <w:b/>
                <w:bCs/>
                <w:snapToGrid w:val="0"/>
                <w:color w:val="auto"/>
                <w:kern w:val="21"/>
                <w:szCs w:val="21"/>
                <w:lang w:val="en-US"/>
              </w:rPr>
              <w:t xml:space="preserve">     </w:t>
            </w:r>
            <w:r>
              <w:rPr>
                <w:rFonts w:hAnsi="宋体"/>
                <w:b/>
                <w:bCs/>
                <w:snapToGrid w:val="0"/>
                <w:color w:val="auto"/>
                <w:kern w:val="21"/>
                <w:szCs w:val="21"/>
                <w:lang w:val="en-US"/>
              </w:rPr>
              <w:t>项目</w:t>
            </w:r>
          </w:p>
          <w:p w14:paraId="516A39D1">
            <w:pPr>
              <w:pStyle w:val="41"/>
              <w:spacing w:beforeLines="0" w:afterLines="0" w:line="240" w:lineRule="auto"/>
              <w:jc w:val="both"/>
              <w:rPr>
                <w:rFonts w:hint="eastAsia" w:hAnsi="宋体"/>
                <w:b/>
                <w:bCs/>
                <w:snapToGrid w:val="0"/>
                <w:color w:val="auto"/>
                <w:kern w:val="21"/>
                <w:szCs w:val="21"/>
                <w:lang w:val="en-US"/>
              </w:rPr>
            </w:pPr>
            <w:r>
              <w:rPr>
                <w:rFonts w:hAnsi="宋体"/>
                <w:b/>
                <w:bCs/>
                <w:snapToGrid w:val="0"/>
                <w:color w:val="auto"/>
                <w:kern w:val="21"/>
                <w:szCs w:val="21"/>
                <w:lang w:val="en-US"/>
              </w:rPr>
              <w:t>分类</w:t>
            </w:r>
          </w:p>
        </w:tc>
        <w:tc>
          <w:tcPr>
            <w:tcW w:w="2547" w:type="dxa"/>
            <w:gridSpan w:val="3"/>
            <w:tcMar>
              <w:left w:w="28" w:type="dxa"/>
              <w:right w:w="28" w:type="dxa"/>
            </w:tcMar>
            <w:vAlign w:val="center"/>
          </w:tcPr>
          <w:p w14:paraId="5B61269D">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污染物名称</w:t>
            </w:r>
          </w:p>
        </w:tc>
        <w:tc>
          <w:tcPr>
            <w:tcW w:w="1515" w:type="dxa"/>
            <w:tcMar>
              <w:left w:w="28" w:type="dxa"/>
              <w:right w:w="28" w:type="dxa"/>
            </w:tcMar>
            <w:vAlign w:val="center"/>
          </w:tcPr>
          <w:p w14:paraId="22E98DF7">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现有工程</w:t>
            </w:r>
          </w:p>
          <w:p w14:paraId="47E146B7">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排放量（固体废物产生量）</w:t>
            </w: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1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①</w:t>
            </w:r>
            <w:r>
              <w:rPr>
                <w:rFonts w:hAnsi="宋体"/>
                <w:b/>
                <w:bCs/>
                <w:snapToGrid w:val="0"/>
                <w:color w:val="auto"/>
                <w:kern w:val="21"/>
                <w:szCs w:val="21"/>
                <w:lang w:val="en-US"/>
              </w:rPr>
              <w:fldChar w:fldCharType="end"/>
            </w:r>
          </w:p>
        </w:tc>
        <w:tc>
          <w:tcPr>
            <w:tcW w:w="1305" w:type="dxa"/>
            <w:tcMar>
              <w:left w:w="28" w:type="dxa"/>
              <w:right w:w="28" w:type="dxa"/>
            </w:tcMar>
            <w:vAlign w:val="center"/>
          </w:tcPr>
          <w:p w14:paraId="081274CC">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现有工程</w:t>
            </w:r>
          </w:p>
          <w:p w14:paraId="4AAFC036">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许可排放量</w:t>
            </w:r>
          </w:p>
          <w:p w14:paraId="0E9F5CE1">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2 \* GB3 \* MERGEFORMAT </w:instrText>
            </w:r>
            <w:r>
              <w:rPr>
                <w:rFonts w:hAnsi="宋体"/>
                <w:b/>
                <w:bCs/>
                <w:snapToGrid w:val="0"/>
                <w:color w:val="auto"/>
                <w:kern w:val="21"/>
                <w:szCs w:val="21"/>
                <w:lang w:val="en-US"/>
              </w:rPr>
              <w:fldChar w:fldCharType="separate"/>
            </w:r>
            <w:r>
              <w:rPr>
                <w:rFonts w:hAnsi="宋体" w:cs="Cambria Math"/>
                <w:b/>
                <w:bCs/>
                <w:snapToGrid w:val="0"/>
                <w:color w:val="auto"/>
                <w:kern w:val="21"/>
                <w:szCs w:val="21"/>
                <w:lang w:val="en-US"/>
              </w:rPr>
              <w:t>②</w:t>
            </w:r>
            <w:r>
              <w:rPr>
                <w:rFonts w:hAnsi="宋体"/>
                <w:b/>
                <w:bCs/>
                <w:snapToGrid w:val="0"/>
                <w:color w:val="auto"/>
                <w:kern w:val="21"/>
                <w:szCs w:val="21"/>
                <w:lang w:val="en-US"/>
              </w:rPr>
              <w:fldChar w:fldCharType="end"/>
            </w:r>
          </w:p>
        </w:tc>
        <w:tc>
          <w:tcPr>
            <w:tcW w:w="1605" w:type="dxa"/>
            <w:tcMar>
              <w:left w:w="28" w:type="dxa"/>
              <w:right w:w="28" w:type="dxa"/>
            </w:tcMar>
            <w:vAlign w:val="center"/>
          </w:tcPr>
          <w:p w14:paraId="632D0986">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在建工程</w:t>
            </w:r>
          </w:p>
          <w:p w14:paraId="45F0DBDA">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排放量（固体废物产生量）</w:t>
            </w: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3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③</w:t>
            </w:r>
            <w:r>
              <w:rPr>
                <w:rFonts w:hAnsi="宋体"/>
                <w:b/>
                <w:bCs/>
                <w:snapToGrid w:val="0"/>
                <w:color w:val="auto"/>
                <w:kern w:val="21"/>
                <w:szCs w:val="21"/>
                <w:lang w:val="en-US"/>
              </w:rPr>
              <w:fldChar w:fldCharType="end"/>
            </w:r>
          </w:p>
        </w:tc>
        <w:tc>
          <w:tcPr>
            <w:tcW w:w="1461" w:type="dxa"/>
            <w:tcMar>
              <w:left w:w="28" w:type="dxa"/>
              <w:right w:w="28" w:type="dxa"/>
            </w:tcMar>
            <w:vAlign w:val="center"/>
          </w:tcPr>
          <w:p w14:paraId="33452897">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本项目排放量（固体废物产生量）</w:t>
            </w: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4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④</w:t>
            </w:r>
            <w:r>
              <w:rPr>
                <w:rFonts w:hAnsi="宋体"/>
                <w:b/>
                <w:bCs/>
                <w:snapToGrid w:val="0"/>
                <w:color w:val="auto"/>
                <w:kern w:val="21"/>
                <w:szCs w:val="21"/>
                <w:lang w:val="en-US"/>
              </w:rPr>
              <w:fldChar w:fldCharType="end"/>
            </w:r>
          </w:p>
        </w:tc>
        <w:tc>
          <w:tcPr>
            <w:tcW w:w="1584" w:type="dxa"/>
            <w:tcMar>
              <w:left w:w="28" w:type="dxa"/>
              <w:right w:w="28" w:type="dxa"/>
            </w:tcMar>
            <w:vAlign w:val="center"/>
          </w:tcPr>
          <w:p w14:paraId="736DF66E">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以新带老削减量（新建项目不填）</w:t>
            </w: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5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⑤</w:t>
            </w:r>
            <w:r>
              <w:rPr>
                <w:rFonts w:hAnsi="宋体"/>
                <w:b/>
                <w:bCs/>
                <w:snapToGrid w:val="0"/>
                <w:color w:val="auto"/>
                <w:kern w:val="21"/>
                <w:szCs w:val="21"/>
                <w:lang w:val="en-US"/>
              </w:rPr>
              <w:fldChar w:fldCharType="end"/>
            </w:r>
          </w:p>
        </w:tc>
        <w:tc>
          <w:tcPr>
            <w:tcW w:w="1680" w:type="dxa"/>
            <w:tcMar>
              <w:left w:w="28" w:type="dxa"/>
              <w:right w:w="28" w:type="dxa"/>
            </w:tcMar>
            <w:vAlign w:val="center"/>
          </w:tcPr>
          <w:p w14:paraId="71F45184">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本项目建成后</w:t>
            </w:r>
          </w:p>
          <w:p w14:paraId="08C6B641">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全厂排放量（固体废物产生量）</w:t>
            </w: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6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⑥</w:t>
            </w:r>
            <w:r>
              <w:rPr>
                <w:rFonts w:hAnsi="宋体"/>
                <w:b/>
                <w:bCs/>
                <w:snapToGrid w:val="0"/>
                <w:color w:val="auto"/>
                <w:kern w:val="21"/>
                <w:szCs w:val="21"/>
                <w:lang w:val="en-US"/>
              </w:rPr>
              <w:fldChar w:fldCharType="end"/>
            </w:r>
          </w:p>
        </w:tc>
        <w:tc>
          <w:tcPr>
            <w:tcW w:w="1287" w:type="dxa"/>
            <w:tcMar>
              <w:left w:w="28" w:type="dxa"/>
              <w:right w:w="28" w:type="dxa"/>
            </w:tcMar>
            <w:vAlign w:val="center"/>
          </w:tcPr>
          <w:p w14:paraId="0FFB5863">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t>变化量</w:t>
            </w:r>
          </w:p>
          <w:p w14:paraId="7A455AE3">
            <w:pPr>
              <w:pStyle w:val="41"/>
              <w:spacing w:beforeLines="0" w:afterLines="0" w:line="240" w:lineRule="auto"/>
              <w:rPr>
                <w:rFonts w:hint="eastAsia" w:hAnsi="宋体"/>
                <w:b/>
                <w:bCs/>
                <w:snapToGrid w:val="0"/>
                <w:color w:val="auto"/>
                <w:kern w:val="21"/>
                <w:szCs w:val="21"/>
                <w:lang w:val="en-US"/>
              </w:rPr>
            </w:pPr>
            <w:r>
              <w:rPr>
                <w:rFonts w:hAnsi="宋体"/>
                <w:b/>
                <w:bCs/>
                <w:snapToGrid w:val="0"/>
                <w:color w:val="auto"/>
                <w:kern w:val="21"/>
                <w:szCs w:val="21"/>
                <w:lang w:val="en-US"/>
              </w:rPr>
              <w:fldChar w:fldCharType="begin"/>
            </w:r>
            <w:r>
              <w:rPr>
                <w:rFonts w:hAnsi="宋体"/>
                <w:b/>
                <w:bCs/>
                <w:snapToGrid w:val="0"/>
                <w:color w:val="auto"/>
                <w:kern w:val="21"/>
                <w:szCs w:val="21"/>
                <w:lang w:val="en-US"/>
              </w:rPr>
              <w:instrText xml:space="preserve"> = 7 \* GB3 \* MERGEFORMAT </w:instrText>
            </w:r>
            <w:r>
              <w:rPr>
                <w:rFonts w:hAnsi="宋体"/>
                <w:b/>
                <w:bCs/>
                <w:snapToGrid w:val="0"/>
                <w:color w:val="auto"/>
                <w:kern w:val="21"/>
                <w:szCs w:val="21"/>
                <w:lang w:val="en-US"/>
              </w:rPr>
              <w:fldChar w:fldCharType="separate"/>
            </w:r>
            <w:r>
              <w:rPr>
                <w:rFonts w:hAnsi="宋体" w:cs="Cambria Math"/>
                <w:b/>
                <w:bCs/>
                <w:color w:val="auto"/>
                <w:kern w:val="2"/>
                <w:szCs w:val="21"/>
                <w:lang w:val="en-US"/>
              </w:rPr>
              <w:t>⑦</w:t>
            </w:r>
            <w:r>
              <w:rPr>
                <w:rFonts w:hAnsi="宋体"/>
                <w:b/>
                <w:bCs/>
                <w:snapToGrid w:val="0"/>
                <w:color w:val="auto"/>
                <w:kern w:val="21"/>
                <w:szCs w:val="21"/>
                <w:lang w:val="en-US"/>
              </w:rPr>
              <w:fldChar w:fldCharType="end"/>
            </w:r>
          </w:p>
        </w:tc>
      </w:tr>
      <w:tr w14:paraId="5675B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vAlign w:val="center"/>
          </w:tcPr>
          <w:p w14:paraId="1260D1E3">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废气</w:t>
            </w:r>
          </w:p>
        </w:tc>
        <w:tc>
          <w:tcPr>
            <w:tcW w:w="988" w:type="dxa"/>
            <w:vMerge w:val="restart"/>
            <w:vAlign w:val="center"/>
          </w:tcPr>
          <w:p w14:paraId="182EFA45">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有组织</w:t>
            </w:r>
          </w:p>
        </w:tc>
        <w:tc>
          <w:tcPr>
            <w:tcW w:w="1559" w:type="dxa"/>
            <w:gridSpan w:val="2"/>
            <w:shd w:val="clear" w:color="auto" w:fill="auto"/>
            <w:vAlign w:val="center"/>
          </w:tcPr>
          <w:p w14:paraId="062368E5">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VOCs</w:t>
            </w:r>
            <w:r>
              <w:rPr>
                <w:rFonts w:hint="eastAsia" w:ascii="Times New Roman"/>
                <w:snapToGrid w:val="0"/>
                <w:color w:val="auto"/>
                <w:kern w:val="21"/>
                <w:szCs w:val="21"/>
                <w:lang w:val="en-US" w:eastAsia="zh-CN"/>
              </w:rPr>
              <w:t>小计</w:t>
            </w:r>
          </w:p>
        </w:tc>
        <w:tc>
          <w:tcPr>
            <w:tcW w:w="1515" w:type="dxa"/>
            <w:vAlign w:val="center"/>
          </w:tcPr>
          <w:p w14:paraId="79BA157A">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6.579t/a</w:t>
            </w:r>
          </w:p>
        </w:tc>
        <w:tc>
          <w:tcPr>
            <w:tcW w:w="1305" w:type="dxa"/>
            <w:vAlign w:val="center"/>
          </w:tcPr>
          <w:p w14:paraId="78BA05E5">
            <w:pPr>
              <w:pStyle w:val="60"/>
              <w:rPr>
                <w:rFonts w:hint="default" w:ascii="Times New Roman" w:eastAsia="宋体"/>
                <w:snapToGrid w:val="0"/>
                <w:color w:val="auto"/>
                <w:kern w:val="21"/>
                <w:sz w:val="21"/>
                <w:szCs w:val="21"/>
                <w:highlight w:val="yellow"/>
                <w:lang w:val="en-US" w:eastAsia="zh-CN"/>
              </w:rPr>
            </w:pPr>
            <w:r>
              <w:rPr>
                <w:rFonts w:hint="eastAsia"/>
                <w:color w:val="auto"/>
                <w:sz w:val="21"/>
                <w:szCs w:val="21"/>
                <w:highlight w:val="none"/>
                <w:lang w:val="en-US" w:eastAsia="zh-CN"/>
              </w:rPr>
              <w:t>7.408t/a</w:t>
            </w:r>
          </w:p>
        </w:tc>
        <w:tc>
          <w:tcPr>
            <w:tcW w:w="1605" w:type="dxa"/>
            <w:vAlign w:val="center"/>
          </w:tcPr>
          <w:p w14:paraId="0CDE600F">
            <w:pPr>
              <w:pStyle w:val="60"/>
              <w:rPr>
                <w:rFonts w:hint="eastAsia" w:ascii="Times New Roman" w:eastAsia="宋体"/>
                <w:snapToGrid w:val="0"/>
                <w:color w:val="auto"/>
                <w:kern w:val="21"/>
                <w:sz w:val="21"/>
                <w:szCs w:val="21"/>
                <w:lang w:val="en-US" w:eastAsia="zh-CN"/>
              </w:rPr>
            </w:pPr>
            <w:r>
              <w:rPr>
                <w:rFonts w:hint="eastAsia" w:cs="Times New Roman"/>
                <w:color w:val="auto"/>
                <w:kern w:val="2"/>
                <w:sz w:val="21"/>
                <w:szCs w:val="21"/>
                <w:highlight w:val="none"/>
                <w:lang w:val="en-US" w:eastAsia="zh-CN" w:bidi="ar-SA"/>
              </w:rPr>
              <w:t>/</w:t>
            </w:r>
          </w:p>
        </w:tc>
        <w:tc>
          <w:tcPr>
            <w:tcW w:w="1461" w:type="dxa"/>
            <w:shd w:val="clear" w:color="auto" w:fill="auto"/>
            <w:vAlign w:val="center"/>
          </w:tcPr>
          <w:p w14:paraId="61A9B53F">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0.318t/a</w:t>
            </w:r>
          </w:p>
        </w:tc>
        <w:tc>
          <w:tcPr>
            <w:tcW w:w="1584" w:type="dxa"/>
            <w:shd w:val="clear" w:color="auto" w:fill="auto"/>
            <w:vAlign w:val="center"/>
          </w:tcPr>
          <w:p w14:paraId="666C3663">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0.615t/a</w:t>
            </w:r>
          </w:p>
        </w:tc>
        <w:tc>
          <w:tcPr>
            <w:tcW w:w="1680" w:type="dxa"/>
            <w:shd w:val="clear" w:color="auto" w:fill="auto"/>
            <w:vAlign w:val="center"/>
          </w:tcPr>
          <w:p w14:paraId="35088CB3">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6.282t/a</w:t>
            </w:r>
          </w:p>
        </w:tc>
        <w:tc>
          <w:tcPr>
            <w:tcW w:w="1287" w:type="dxa"/>
            <w:shd w:val="clear" w:color="auto" w:fill="auto"/>
            <w:vAlign w:val="center"/>
          </w:tcPr>
          <w:p w14:paraId="62B7E2BA">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-0.297t/a</w:t>
            </w:r>
          </w:p>
        </w:tc>
      </w:tr>
      <w:tr w14:paraId="0C3A7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780A9A76">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5B6A997B">
            <w:pPr>
              <w:pStyle w:val="41"/>
              <w:spacing w:beforeLines="0" w:afterLines="0" w:line="240" w:lineRule="auto"/>
              <w:rPr>
                <w:rFonts w:hint="eastAsia" w:ascii="Times New Roman" w:eastAsia="宋体"/>
                <w:snapToGrid w:val="0"/>
                <w:color w:val="auto"/>
                <w:kern w:val="21"/>
                <w:szCs w:val="21"/>
                <w:lang w:val="en-US" w:eastAsia="zh-CN"/>
              </w:rPr>
            </w:pPr>
          </w:p>
        </w:tc>
        <w:tc>
          <w:tcPr>
            <w:tcW w:w="779" w:type="dxa"/>
            <w:vMerge w:val="restart"/>
            <w:shd w:val="clear" w:color="auto" w:fill="auto"/>
            <w:vAlign w:val="center"/>
          </w:tcPr>
          <w:p w14:paraId="01514FBE">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其中</w:t>
            </w:r>
          </w:p>
        </w:tc>
        <w:tc>
          <w:tcPr>
            <w:tcW w:w="780" w:type="dxa"/>
            <w:shd w:val="clear" w:color="auto" w:fill="auto"/>
            <w:vAlign w:val="center"/>
          </w:tcPr>
          <w:p w14:paraId="427091C7">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甲醇</w:t>
            </w:r>
          </w:p>
        </w:tc>
        <w:tc>
          <w:tcPr>
            <w:tcW w:w="1515" w:type="dxa"/>
            <w:vAlign w:val="center"/>
          </w:tcPr>
          <w:p w14:paraId="16B45D5E">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2.300t/a</w:t>
            </w:r>
          </w:p>
        </w:tc>
        <w:tc>
          <w:tcPr>
            <w:tcW w:w="1305" w:type="dxa"/>
            <w:vAlign w:val="center"/>
          </w:tcPr>
          <w:p w14:paraId="7C13326B">
            <w:pPr>
              <w:pStyle w:val="60"/>
              <w:rPr>
                <w:rFonts w:hint="default" w:ascii="Times New Roman"/>
                <w:snapToGrid w:val="0"/>
                <w:color w:val="auto"/>
                <w:kern w:val="21"/>
                <w:sz w:val="21"/>
                <w:szCs w:val="21"/>
                <w:highlight w:val="yellow"/>
                <w:lang w:val="en-US" w:eastAsia="zh-CN"/>
              </w:rPr>
            </w:pPr>
            <w:r>
              <w:rPr>
                <w:rFonts w:hint="eastAsia"/>
                <w:color w:val="auto"/>
                <w:sz w:val="21"/>
                <w:szCs w:val="21"/>
                <w:highlight w:val="none"/>
                <w:lang w:val="en-US" w:eastAsia="zh-CN"/>
              </w:rPr>
              <w:t>/</w:t>
            </w:r>
          </w:p>
        </w:tc>
        <w:tc>
          <w:tcPr>
            <w:tcW w:w="1605" w:type="dxa"/>
            <w:vAlign w:val="center"/>
          </w:tcPr>
          <w:p w14:paraId="666D153E">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w:t>
            </w:r>
          </w:p>
        </w:tc>
        <w:tc>
          <w:tcPr>
            <w:tcW w:w="1461" w:type="dxa"/>
            <w:shd w:val="clear" w:color="auto" w:fill="auto"/>
            <w:vAlign w:val="center"/>
          </w:tcPr>
          <w:p w14:paraId="3ADE866F">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0.211t/a</w:t>
            </w:r>
          </w:p>
        </w:tc>
        <w:tc>
          <w:tcPr>
            <w:tcW w:w="1584" w:type="dxa"/>
            <w:shd w:val="clear" w:color="auto" w:fill="auto"/>
            <w:vAlign w:val="center"/>
          </w:tcPr>
          <w:p w14:paraId="4BC920DA">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0.409t/a</w:t>
            </w:r>
          </w:p>
        </w:tc>
        <w:tc>
          <w:tcPr>
            <w:tcW w:w="1680" w:type="dxa"/>
            <w:shd w:val="clear" w:color="auto" w:fill="auto"/>
            <w:vAlign w:val="center"/>
          </w:tcPr>
          <w:p w14:paraId="74AE682C">
            <w:pPr>
              <w:pStyle w:val="6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highlight w:val="none"/>
                <w:lang w:val="en-US" w:eastAsia="zh-CN" w:bidi="ar-SA"/>
              </w:rPr>
              <w:t>2.102</w:t>
            </w:r>
            <w:r>
              <w:rPr>
                <w:rFonts w:hint="eastAsia"/>
                <w:color w:val="auto"/>
                <w:sz w:val="21"/>
                <w:szCs w:val="21"/>
                <w:highlight w:val="none"/>
                <w:lang w:val="en-US" w:eastAsia="zh-CN"/>
              </w:rPr>
              <w:t>t/a</w:t>
            </w:r>
          </w:p>
        </w:tc>
        <w:tc>
          <w:tcPr>
            <w:tcW w:w="1287" w:type="dxa"/>
            <w:shd w:val="clear" w:color="auto" w:fill="auto"/>
            <w:vAlign w:val="center"/>
          </w:tcPr>
          <w:p w14:paraId="1374F003">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-0.198t/a</w:t>
            </w:r>
          </w:p>
        </w:tc>
      </w:tr>
      <w:tr w14:paraId="53B8F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10AF2B4A">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39548E96">
            <w:pPr>
              <w:pStyle w:val="41"/>
              <w:spacing w:beforeLines="0" w:afterLines="0" w:line="240" w:lineRule="auto"/>
              <w:rPr>
                <w:rFonts w:hint="eastAsia" w:ascii="Times New Roman" w:eastAsia="宋体"/>
                <w:snapToGrid w:val="0"/>
                <w:color w:val="auto"/>
                <w:kern w:val="21"/>
                <w:szCs w:val="21"/>
                <w:lang w:val="en-US" w:eastAsia="zh-CN"/>
              </w:rPr>
            </w:pPr>
          </w:p>
        </w:tc>
        <w:tc>
          <w:tcPr>
            <w:tcW w:w="779" w:type="dxa"/>
            <w:vMerge w:val="continue"/>
            <w:shd w:val="clear" w:color="auto" w:fill="auto"/>
            <w:vAlign w:val="center"/>
          </w:tcPr>
          <w:p w14:paraId="2D7CA7CD">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p>
        </w:tc>
        <w:tc>
          <w:tcPr>
            <w:tcW w:w="780" w:type="dxa"/>
            <w:shd w:val="clear" w:color="auto" w:fill="auto"/>
            <w:vAlign w:val="center"/>
          </w:tcPr>
          <w:p w14:paraId="7603B334">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甲醛</w:t>
            </w:r>
          </w:p>
        </w:tc>
        <w:tc>
          <w:tcPr>
            <w:tcW w:w="1515" w:type="dxa"/>
            <w:vAlign w:val="center"/>
          </w:tcPr>
          <w:p w14:paraId="3C81D40F">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0.314t/a</w:t>
            </w:r>
          </w:p>
        </w:tc>
        <w:tc>
          <w:tcPr>
            <w:tcW w:w="1305" w:type="dxa"/>
            <w:vAlign w:val="center"/>
          </w:tcPr>
          <w:p w14:paraId="3D05E1DA">
            <w:pPr>
              <w:pStyle w:val="60"/>
              <w:rPr>
                <w:rFonts w:hint="default" w:ascii="Times New Roman"/>
                <w:snapToGrid w:val="0"/>
                <w:color w:val="auto"/>
                <w:kern w:val="21"/>
                <w:sz w:val="21"/>
                <w:szCs w:val="21"/>
                <w:highlight w:val="yellow"/>
                <w:lang w:val="en-US" w:eastAsia="zh-CN"/>
              </w:rPr>
            </w:pPr>
            <w:r>
              <w:rPr>
                <w:rFonts w:hint="eastAsia"/>
                <w:color w:val="auto"/>
                <w:sz w:val="21"/>
                <w:szCs w:val="21"/>
                <w:highlight w:val="none"/>
                <w:lang w:val="en-US" w:eastAsia="zh-CN"/>
              </w:rPr>
              <w:t>/</w:t>
            </w:r>
          </w:p>
        </w:tc>
        <w:tc>
          <w:tcPr>
            <w:tcW w:w="1605" w:type="dxa"/>
            <w:vAlign w:val="center"/>
          </w:tcPr>
          <w:p w14:paraId="6A821F85">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w:t>
            </w:r>
          </w:p>
        </w:tc>
        <w:tc>
          <w:tcPr>
            <w:tcW w:w="1461" w:type="dxa"/>
            <w:vAlign w:val="center"/>
          </w:tcPr>
          <w:p w14:paraId="7484F259">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w:t>
            </w:r>
          </w:p>
        </w:tc>
        <w:tc>
          <w:tcPr>
            <w:tcW w:w="1584" w:type="dxa"/>
            <w:vAlign w:val="center"/>
          </w:tcPr>
          <w:p w14:paraId="2C559111">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w:t>
            </w:r>
          </w:p>
        </w:tc>
        <w:tc>
          <w:tcPr>
            <w:tcW w:w="1680" w:type="dxa"/>
            <w:vAlign w:val="center"/>
          </w:tcPr>
          <w:p w14:paraId="7B34E9B6">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0.314</w:t>
            </w:r>
            <w:r>
              <w:rPr>
                <w:rFonts w:hint="eastAsia"/>
                <w:color w:val="auto"/>
                <w:sz w:val="21"/>
                <w:szCs w:val="21"/>
                <w:highlight w:val="none"/>
                <w:lang w:val="en-US" w:eastAsia="zh-CN"/>
              </w:rPr>
              <w:t>t/a</w:t>
            </w:r>
          </w:p>
        </w:tc>
        <w:tc>
          <w:tcPr>
            <w:tcW w:w="1287" w:type="dxa"/>
            <w:vAlign w:val="center"/>
          </w:tcPr>
          <w:p w14:paraId="7A558CBC">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w:t>
            </w:r>
          </w:p>
        </w:tc>
      </w:tr>
      <w:tr w14:paraId="015E8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5EAFCE2C">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555079FA">
            <w:pPr>
              <w:pStyle w:val="41"/>
              <w:spacing w:beforeLines="0" w:afterLines="0" w:line="240" w:lineRule="auto"/>
              <w:rPr>
                <w:rFonts w:hint="eastAsia" w:ascii="Times New Roman" w:eastAsia="宋体"/>
                <w:snapToGrid w:val="0"/>
                <w:color w:val="auto"/>
                <w:kern w:val="21"/>
                <w:szCs w:val="21"/>
                <w:lang w:val="en-US" w:eastAsia="zh-CN"/>
              </w:rPr>
            </w:pPr>
          </w:p>
        </w:tc>
        <w:tc>
          <w:tcPr>
            <w:tcW w:w="1559" w:type="dxa"/>
            <w:gridSpan w:val="2"/>
            <w:shd w:val="clear" w:color="auto" w:fill="auto"/>
            <w:vAlign w:val="center"/>
          </w:tcPr>
          <w:p w14:paraId="2103FC2E">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氮氧化物</w:t>
            </w:r>
          </w:p>
        </w:tc>
        <w:tc>
          <w:tcPr>
            <w:tcW w:w="1515" w:type="dxa"/>
            <w:vAlign w:val="center"/>
          </w:tcPr>
          <w:p w14:paraId="5F039EF6">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0.481t/a</w:t>
            </w:r>
          </w:p>
        </w:tc>
        <w:tc>
          <w:tcPr>
            <w:tcW w:w="1305" w:type="dxa"/>
            <w:vAlign w:val="center"/>
          </w:tcPr>
          <w:p w14:paraId="3A943030">
            <w:pPr>
              <w:pStyle w:val="60"/>
              <w:rPr>
                <w:rFonts w:hint="default" w:ascii="Times New Roman"/>
                <w:snapToGrid w:val="0"/>
                <w:color w:val="auto"/>
                <w:kern w:val="21"/>
                <w:sz w:val="21"/>
                <w:szCs w:val="21"/>
                <w:highlight w:val="yellow"/>
                <w:lang w:val="en-US" w:eastAsia="zh-CN"/>
              </w:rPr>
            </w:pPr>
            <w:r>
              <w:rPr>
                <w:rFonts w:hint="eastAsia"/>
                <w:color w:val="auto"/>
                <w:sz w:val="21"/>
                <w:szCs w:val="21"/>
                <w:highlight w:val="none"/>
                <w:lang w:val="en-US" w:eastAsia="zh-CN"/>
              </w:rPr>
              <w:t>2.198t/a</w:t>
            </w:r>
          </w:p>
        </w:tc>
        <w:tc>
          <w:tcPr>
            <w:tcW w:w="1605" w:type="dxa"/>
            <w:vAlign w:val="center"/>
          </w:tcPr>
          <w:p w14:paraId="028E0402">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w:t>
            </w:r>
          </w:p>
        </w:tc>
        <w:tc>
          <w:tcPr>
            <w:tcW w:w="1461" w:type="dxa"/>
            <w:vAlign w:val="center"/>
          </w:tcPr>
          <w:p w14:paraId="57D57CB2">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0.0403t/a</w:t>
            </w:r>
          </w:p>
        </w:tc>
        <w:tc>
          <w:tcPr>
            <w:tcW w:w="1584" w:type="dxa"/>
            <w:vAlign w:val="center"/>
          </w:tcPr>
          <w:p w14:paraId="6303662F">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0.0209t/a</w:t>
            </w:r>
          </w:p>
        </w:tc>
        <w:tc>
          <w:tcPr>
            <w:tcW w:w="1680" w:type="dxa"/>
            <w:vAlign w:val="center"/>
          </w:tcPr>
          <w:p w14:paraId="1F325C84">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0.5004</w:t>
            </w:r>
            <w:r>
              <w:rPr>
                <w:rFonts w:hint="eastAsia"/>
                <w:color w:val="auto"/>
                <w:sz w:val="21"/>
                <w:szCs w:val="21"/>
                <w:highlight w:val="none"/>
                <w:lang w:val="en-US" w:eastAsia="zh-CN"/>
              </w:rPr>
              <w:t>t/a</w:t>
            </w:r>
          </w:p>
        </w:tc>
        <w:tc>
          <w:tcPr>
            <w:tcW w:w="1287" w:type="dxa"/>
            <w:vAlign w:val="center"/>
          </w:tcPr>
          <w:p w14:paraId="1ADFF639">
            <w:pPr>
              <w:pStyle w:val="60"/>
              <w:rPr>
                <w:rFonts w:hint="default" w:ascii="Times New Roman"/>
                <w:snapToGrid w:val="0"/>
                <w:color w:val="auto"/>
                <w:kern w:val="21"/>
                <w:sz w:val="21"/>
                <w:szCs w:val="21"/>
                <w:lang w:val="en-US" w:eastAsia="zh-CN"/>
              </w:rPr>
            </w:pPr>
            <w:r>
              <w:rPr>
                <w:rFonts w:hint="eastAsia"/>
                <w:color w:val="auto"/>
                <w:sz w:val="21"/>
                <w:szCs w:val="21"/>
                <w:highlight w:val="none"/>
                <w:lang w:val="en-US" w:eastAsia="zh-CN"/>
              </w:rPr>
              <w:t>+0.0194t/a</w:t>
            </w:r>
          </w:p>
        </w:tc>
      </w:tr>
      <w:tr w14:paraId="402FA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6BBDEB6D">
            <w:pPr>
              <w:pStyle w:val="41"/>
              <w:spacing w:beforeLines="0" w:afterLines="0" w:line="240" w:lineRule="auto"/>
              <w:rPr>
                <w:rFonts w:ascii="Times New Roman"/>
                <w:snapToGrid w:val="0"/>
                <w:color w:val="auto"/>
                <w:kern w:val="21"/>
                <w:szCs w:val="21"/>
                <w:lang w:val="en-US"/>
              </w:rPr>
            </w:pPr>
          </w:p>
        </w:tc>
        <w:tc>
          <w:tcPr>
            <w:tcW w:w="988" w:type="dxa"/>
            <w:vMerge w:val="restart"/>
            <w:vAlign w:val="center"/>
          </w:tcPr>
          <w:p w14:paraId="3DDC1AD6">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无组织</w:t>
            </w:r>
          </w:p>
        </w:tc>
        <w:tc>
          <w:tcPr>
            <w:tcW w:w="1559" w:type="dxa"/>
            <w:gridSpan w:val="2"/>
            <w:shd w:val="clear" w:color="auto" w:fill="auto"/>
            <w:vAlign w:val="center"/>
          </w:tcPr>
          <w:p w14:paraId="0BCF3677">
            <w:pPr>
              <w:pStyle w:val="41"/>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VOCs小计</w:t>
            </w:r>
          </w:p>
        </w:tc>
        <w:tc>
          <w:tcPr>
            <w:tcW w:w="1515" w:type="dxa"/>
            <w:vAlign w:val="center"/>
          </w:tcPr>
          <w:p w14:paraId="39B07571">
            <w:pPr>
              <w:pStyle w:val="60"/>
              <w:rPr>
                <w:rFonts w:hint="eastAsia" w:ascii="Times New Roman"/>
                <w:snapToGrid w:val="0"/>
                <w:color w:val="auto"/>
                <w:kern w:val="21"/>
                <w:sz w:val="21"/>
                <w:szCs w:val="21"/>
                <w:lang w:val="en-US" w:eastAsia="zh-CN"/>
              </w:rPr>
            </w:pPr>
            <w:r>
              <w:rPr>
                <w:rFonts w:hint="eastAsia"/>
                <w:color w:val="auto"/>
                <w:sz w:val="21"/>
                <w:szCs w:val="21"/>
                <w:highlight w:val="none"/>
                <w:lang w:val="en-US" w:eastAsia="zh-CN"/>
              </w:rPr>
              <w:t>1.142t/a</w:t>
            </w:r>
          </w:p>
        </w:tc>
        <w:tc>
          <w:tcPr>
            <w:tcW w:w="1305" w:type="dxa"/>
            <w:vAlign w:val="center"/>
          </w:tcPr>
          <w:p w14:paraId="4E12D8FE">
            <w:pPr>
              <w:pStyle w:val="60"/>
              <w:rPr>
                <w:rFonts w:hint="eastAsia" w:ascii="Times New Roman"/>
                <w:snapToGrid w:val="0"/>
                <w:color w:val="auto"/>
                <w:kern w:val="21"/>
                <w:sz w:val="21"/>
                <w:szCs w:val="21"/>
                <w:highlight w:val="yellow"/>
                <w:lang w:val="en-US" w:eastAsia="zh-CN"/>
              </w:rPr>
            </w:pPr>
            <w:r>
              <w:rPr>
                <w:rFonts w:hint="eastAsia"/>
                <w:color w:val="auto"/>
                <w:sz w:val="21"/>
                <w:szCs w:val="21"/>
                <w:highlight w:val="none"/>
                <w:lang w:val="en-US" w:eastAsia="zh-CN"/>
              </w:rPr>
              <w:t>2.026t/a</w:t>
            </w:r>
          </w:p>
        </w:tc>
        <w:tc>
          <w:tcPr>
            <w:tcW w:w="1605" w:type="dxa"/>
            <w:vAlign w:val="center"/>
          </w:tcPr>
          <w:p w14:paraId="20F2AC65">
            <w:pPr>
              <w:pStyle w:val="60"/>
              <w:rPr>
                <w:rFonts w:hint="default"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w:t>
            </w:r>
          </w:p>
        </w:tc>
        <w:tc>
          <w:tcPr>
            <w:tcW w:w="1461" w:type="dxa"/>
            <w:vAlign w:val="center"/>
          </w:tcPr>
          <w:p w14:paraId="74C9BCBA">
            <w:pPr>
              <w:pStyle w:val="60"/>
              <w:rPr>
                <w:rFonts w:hint="eastAsia" w:ascii="Times New Roman"/>
                <w:snapToGrid w:val="0"/>
                <w:color w:val="auto"/>
                <w:kern w:val="21"/>
                <w:sz w:val="21"/>
                <w:szCs w:val="21"/>
                <w:lang w:val="en-US" w:eastAsia="zh-CN"/>
              </w:rPr>
            </w:pPr>
            <w:r>
              <w:rPr>
                <w:rFonts w:hint="eastAsia"/>
                <w:color w:val="auto"/>
                <w:sz w:val="21"/>
                <w:szCs w:val="21"/>
                <w:highlight w:val="none"/>
                <w:lang w:val="en-US" w:eastAsia="zh-CN"/>
              </w:rPr>
              <w:t>2.034t/a</w:t>
            </w:r>
          </w:p>
        </w:tc>
        <w:tc>
          <w:tcPr>
            <w:tcW w:w="1584" w:type="dxa"/>
            <w:vAlign w:val="center"/>
          </w:tcPr>
          <w:p w14:paraId="430A9580">
            <w:pPr>
              <w:pStyle w:val="60"/>
              <w:rPr>
                <w:rFonts w:hint="eastAsia" w:ascii="Times New Roman"/>
                <w:snapToGrid w:val="0"/>
                <w:color w:val="auto"/>
                <w:kern w:val="21"/>
                <w:sz w:val="21"/>
                <w:szCs w:val="21"/>
                <w:lang w:val="en-US" w:eastAsia="zh-CN"/>
              </w:rPr>
            </w:pPr>
            <w:r>
              <w:rPr>
                <w:rFonts w:hint="eastAsia"/>
                <w:color w:val="auto"/>
                <w:sz w:val="21"/>
                <w:szCs w:val="21"/>
                <w:highlight w:val="none"/>
                <w:lang w:val="en-US" w:eastAsia="zh-CN"/>
              </w:rPr>
              <w:t>0.677t/a</w:t>
            </w:r>
          </w:p>
        </w:tc>
        <w:tc>
          <w:tcPr>
            <w:tcW w:w="1680" w:type="dxa"/>
            <w:vAlign w:val="center"/>
          </w:tcPr>
          <w:p w14:paraId="082EB13B">
            <w:pPr>
              <w:pStyle w:val="60"/>
              <w:rPr>
                <w:rFonts w:hint="eastAsia" w:ascii="Times New Roman"/>
                <w:snapToGrid w:val="0"/>
                <w:color w:val="auto"/>
                <w:kern w:val="21"/>
                <w:sz w:val="21"/>
                <w:szCs w:val="21"/>
                <w:lang w:val="en-US" w:eastAsia="zh-CN"/>
              </w:rPr>
            </w:pPr>
            <w:r>
              <w:rPr>
                <w:rFonts w:hint="eastAsia" w:cs="Times New Roman"/>
                <w:color w:val="auto"/>
                <w:kern w:val="2"/>
                <w:sz w:val="21"/>
                <w:szCs w:val="21"/>
                <w:highlight w:val="none"/>
                <w:lang w:val="en-US" w:eastAsia="zh-CN" w:bidi="ar-SA"/>
              </w:rPr>
              <w:t>2.499</w:t>
            </w:r>
            <w:r>
              <w:rPr>
                <w:rFonts w:hint="eastAsia"/>
                <w:color w:val="auto"/>
                <w:sz w:val="21"/>
                <w:szCs w:val="21"/>
                <w:highlight w:val="none"/>
                <w:lang w:val="en-US" w:eastAsia="zh-CN"/>
              </w:rPr>
              <w:t>t/a</w:t>
            </w:r>
          </w:p>
        </w:tc>
        <w:tc>
          <w:tcPr>
            <w:tcW w:w="1287" w:type="dxa"/>
            <w:vAlign w:val="center"/>
          </w:tcPr>
          <w:p w14:paraId="02EA0D8B">
            <w:pPr>
              <w:pStyle w:val="60"/>
              <w:rPr>
                <w:rFonts w:hint="eastAsia" w:ascii="Times New Roman"/>
                <w:snapToGrid w:val="0"/>
                <w:color w:val="auto"/>
                <w:kern w:val="21"/>
                <w:sz w:val="21"/>
                <w:szCs w:val="21"/>
                <w:lang w:val="en-US" w:eastAsia="zh-CN"/>
              </w:rPr>
            </w:pPr>
            <w:r>
              <w:rPr>
                <w:rFonts w:hint="eastAsia"/>
                <w:color w:val="auto"/>
                <w:sz w:val="21"/>
                <w:szCs w:val="21"/>
                <w:highlight w:val="none"/>
                <w:lang w:val="en-US" w:eastAsia="zh-CN"/>
              </w:rPr>
              <w:t>+1.357t/a</w:t>
            </w:r>
          </w:p>
        </w:tc>
      </w:tr>
      <w:tr w14:paraId="4B4C1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0AF9C42B">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318345CE">
            <w:pPr>
              <w:pStyle w:val="41"/>
              <w:spacing w:beforeLines="0" w:afterLines="0" w:line="240" w:lineRule="auto"/>
              <w:rPr>
                <w:rFonts w:hint="eastAsia" w:ascii="Times New Roman"/>
                <w:snapToGrid w:val="0"/>
                <w:color w:val="auto"/>
                <w:kern w:val="21"/>
                <w:szCs w:val="21"/>
                <w:lang w:val="en-US" w:eastAsia="zh-CN"/>
              </w:rPr>
            </w:pPr>
          </w:p>
        </w:tc>
        <w:tc>
          <w:tcPr>
            <w:tcW w:w="779" w:type="dxa"/>
            <w:vMerge w:val="restart"/>
            <w:shd w:val="clear" w:color="auto" w:fill="auto"/>
            <w:vAlign w:val="center"/>
          </w:tcPr>
          <w:p w14:paraId="407F42B6">
            <w:pPr>
              <w:pStyle w:val="41"/>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其中</w:t>
            </w:r>
          </w:p>
        </w:tc>
        <w:tc>
          <w:tcPr>
            <w:tcW w:w="780" w:type="dxa"/>
            <w:shd w:val="clear" w:color="auto" w:fill="auto"/>
            <w:vAlign w:val="center"/>
          </w:tcPr>
          <w:p w14:paraId="28F2583B">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甲醇</w:t>
            </w:r>
          </w:p>
        </w:tc>
        <w:tc>
          <w:tcPr>
            <w:tcW w:w="1515" w:type="dxa"/>
            <w:shd w:val="clear" w:color="auto" w:fill="auto"/>
            <w:vAlign w:val="center"/>
          </w:tcPr>
          <w:p w14:paraId="49B100CD">
            <w:pPr>
              <w:pStyle w:val="60"/>
              <w:rPr>
                <w:rFonts w:hint="eastAsia"/>
                <w:color w:val="auto"/>
                <w:sz w:val="21"/>
                <w:szCs w:val="21"/>
                <w:highlight w:val="none"/>
                <w:lang w:val="en-US" w:eastAsia="zh-CN"/>
              </w:rPr>
            </w:pPr>
            <w:r>
              <w:rPr>
                <w:rFonts w:hint="eastAsia"/>
                <w:color w:val="auto"/>
                <w:sz w:val="21"/>
                <w:szCs w:val="21"/>
                <w:highlight w:val="none"/>
                <w:lang w:val="en-US" w:eastAsia="zh-CN"/>
              </w:rPr>
              <w:t>0.572t/a</w:t>
            </w:r>
          </w:p>
        </w:tc>
        <w:tc>
          <w:tcPr>
            <w:tcW w:w="1305" w:type="dxa"/>
            <w:shd w:val="clear" w:color="auto" w:fill="auto"/>
            <w:vAlign w:val="center"/>
          </w:tcPr>
          <w:p w14:paraId="72D3EFEB">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05" w:type="dxa"/>
            <w:shd w:val="clear" w:color="auto" w:fill="auto"/>
            <w:vAlign w:val="center"/>
          </w:tcPr>
          <w:p w14:paraId="331094E6">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461" w:type="dxa"/>
            <w:shd w:val="clear" w:color="auto" w:fill="auto"/>
            <w:vAlign w:val="center"/>
          </w:tcPr>
          <w:p w14:paraId="4D0B8EB7">
            <w:pPr>
              <w:pStyle w:val="60"/>
              <w:rPr>
                <w:rFonts w:hint="eastAsia"/>
                <w:color w:val="auto"/>
                <w:sz w:val="21"/>
                <w:szCs w:val="21"/>
                <w:highlight w:val="none"/>
                <w:lang w:val="en-US" w:eastAsia="zh-CN"/>
              </w:rPr>
            </w:pPr>
            <w:r>
              <w:rPr>
                <w:rFonts w:hint="eastAsia"/>
                <w:color w:val="auto"/>
                <w:sz w:val="21"/>
                <w:szCs w:val="21"/>
                <w:highlight w:val="none"/>
                <w:lang w:val="en-US" w:eastAsia="zh-CN"/>
              </w:rPr>
              <w:t>1.495t/a</w:t>
            </w:r>
          </w:p>
        </w:tc>
        <w:tc>
          <w:tcPr>
            <w:tcW w:w="1584" w:type="dxa"/>
            <w:shd w:val="clear" w:color="auto" w:fill="auto"/>
            <w:vAlign w:val="center"/>
          </w:tcPr>
          <w:p w14:paraId="756C2E2D">
            <w:pPr>
              <w:pStyle w:val="60"/>
              <w:rPr>
                <w:rFonts w:hint="eastAsia"/>
                <w:color w:val="auto"/>
                <w:sz w:val="21"/>
                <w:szCs w:val="21"/>
                <w:highlight w:val="none"/>
                <w:lang w:val="en-US" w:eastAsia="zh-CN"/>
              </w:rPr>
            </w:pPr>
            <w:r>
              <w:rPr>
                <w:rFonts w:hint="eastAsia"/>
                <w:color w:val="auto"/>
                <w:sz w:val="21"/>
                <w:szCs w:val="21"/>
                <w:highlight w:val="none"/>
                <w:lang w:val="en-US" w:eastAsia="zh-CN"/>
              </w:rPr>
              <w:t>0.542t/a</w:t>
            </w:r>
          </w:p>
        </w:tc>
        <w:tc>
          <w:tcPr>
            <w:tcW w:w="1680" w:type="dxa"/>
            <w:shd w:val="clear" w:color="auto" w:fill="auto"/>
            <w:vAlign w:val="center"/>
          </w:tcPr>
          <w:p w14:paraId="08BE37E9">
            <w:pPr>
              <w:pStyle w:val="60"/>
              <w:rPr>
                <w:rFonts w:hint="eastAsia"/>
                <w:color w:val="auto"/>
                <w:sz w:val="21"/>
                <w:szCs w:val="21"/>
                <w:highlight w:val="none"/>
                <w:lang w:val="en-US" w:eastAsia="zh-CN"/>
              </w:rPr>
            </w:pPr>
            <w:r>
              <w:rPr>
                <w:rFonts w:hint="eastAsia"/>
                <w:color w:val="auto"/>
                <w:sz w:val="21"/>
                <w:szCs w:val="21"/>
                <w:highlight w:val="none"/>
                <w:lang w:val="en-US" w:eastAsia="zh-CN"/>
              </w:rPr>
              <w:t>1.314t/a</w:t>
            </w:r>
          </w:p>
        </w:tc>
        <w:tc>
          <w:tcPr>
            <w:tcW w:w="1287" w:type="dxa"/>
            <w:shd w:val="clear" w:color="auto" w:fill="auto"/>
            <w:vAlign w:val="center"/>
          </w:tcPr>
          <w:p w14:paraId="764B46B8">
            <w:pPr>
              <w:pStyle w:val="60"/>
              <w:rPr>
                <w:rFonts w:hint="eastAsia"/>
                <w:color w:val="auto"/>
                <w:sz w:val="21"/>
                <w:szCs w:val="21"/>
                <w:highlight w:val="none"/>
                <w:lang w:val="en-US" w:eastAsia="zh-CN"/>
              </w:rPr>
            </w:pPr>
            <w:r>
              <w:rPr>
                <w:rFonts w:hint="eastAsia"/>
                <w:color w:val="auto"/>
                <w:sz w:val="21"/>
                <w:szCs w:val="21"/>
                <w:highlight w:val="none"/>
                <w:lang w:val="en-US" w:eastAsia="zh-CN"/>
              </w:rPr>
              <w:t>+0.742t/a</w:t>
            </w:r>
          </w:p>
        </w:tc>
      </w:tr>
      <w:tr w14:paraId="2EDBE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5E086154">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783C4990">
            <w:pPr>
              <w:pStyle w:val="41"/>
              <w:spacing w:beforeLines="0" w:afterLines="0" w:line="240" w:lineRule="auto"/>
              <w:rPr>
                <w:rFonts w:hint="eastAsia" w:ascii="Times New Roman"/>
                <w:snapToGrid w:val="0"/>
                <w:color w:val="auto"/>
                <w:kern w:val="21"/>
                <w:szCs w:val="21"/>
                <w:lang w:val="en-US" w:eastAsia="zh-CN"/>
              </w:rPr>
            </w:pPr>
          </w:p>
        </w:tc>
        <w:tc>
          <w:tcPr>
            <w:tcW w:w="779" w:type="dxa"/>
            <w:vMerge w:val="continue"/>
            <w:shd w:val="clear" w:color="auto" w:fill="auto"/>
            <w:vAlign w:val="center"/>
          </w:tcPr>
          <w:p w14:paraId="505DBF89">
            <w:pPr>
              <w:pStyle w:val="41"/>
              <w:spacing w:beforeLines="0" w:afterLines="0" w:line="240" w:lineRule="auto"/>
              <w:rPr>
                <w:rFonts w:hint="eastAsia" w:ascii="Times New Roman"/>
                <w:snapToGrid w:val="0"/>
                <w:color w:val="auto"/>
                <w:kern w:val="21"/>
                <w:szCs w:val="21"/>
                <w:lang w:val="en-US" w:eastAsia="zh-CN"/>
              </w:rPr>
            </w:pPr>
          </w:p>
        </w:tc>
        <w:tc>
          <w:tcPr>
            <w:tcW w:w="780" w:type="dxa"/>
            <w:shd w:val="clear" w:color="auto" w:fill="auto"/>
            <w:vAlign w:val="center"/>
          </w:tcPr>
          <w:p w14:paraId="7ECCF01D">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甲醛</w:t>
            </w:r>
          </w:p>
        </w:tc>
        <w:tc>
          <w:tcPr>
            <w:tcW w:w="1515" w:type="dxa"/>
            <w:shd w:val="clear" w:color="auto" w:fill="auto"/>
            <w:vAlign w:val="center"/>
          </w:tcPr>
          <w:p w14:paraId="1E21ED0C">
            <w:pPr>
              <w:pStyle w:val="60"/>
              <w:rPr>
                <w:rFonts w:hint="eastAsia"/>
                <w:color w:val="auto"/>
                <w:sz w:val="21"/>
                <w:szCs w:val="21"/>
                <w:highlight w:val="none"/>
                <w:lang w:val="en-US" w:eastAsia="zh-CN"/>
              </w:rPr>
            </w:pPr>
            <w:r>
              <w:rPr>
                <w:rFonts w:hint="eastAsia"/>
                <w:color w:val="auto"/>
                <w:sz w:val="21"/>
                <w:szCs w:val="21"/>
                <w:highlight w:val="none"/>
                <w:lang w:val="en-US" w:eastAsia="zh-CN"/>
              </w:rPr>
              <w:t>0.456t/a</w:t>
            </w:r>
          </w:p>
        </w:tc>
        <w:tc>
          <w:tcPr>
            <w:tcW w:w="1305" w:type="dxa"/>
            <w:shd w:val="clear" w:color="auto" w:fill="auto"/>
            <w:vAlign w:val="center"/>
          </w:tcPr>
          <w:p w14:paraId="3858AB77">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05" w:type="dxa"/>
            <w:shd w:val="clear" w:color="auto" w:fill="auto"/>
            <w:vAlign w:val="center"/>
          </w:tcPr>
          <w:p w14:paraId="4A97EEB5">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461" w:type="dxa"/>
            <w:shd w:val="clear" w:color="auto" w:fill="auto"/>
            <w:vAlign w:val="center"/>
          </w:tcPr>
          <w:p w14:paraId="02461BC7">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584" w:type="dxa"/>
            <w:shd w:val="clear" w:color="auto" w:fill="auto"/>
            <w:vAlign w:val="center"/>
          </w:tcPr>
          <w:p w14:paraId="0F4AA208">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80" w:type="dxa"/>
            <w:shd w:val="clear" w:color="auto" w:fill="auto"/>
            <w:vAlign w:val="center"/>
          </w:tcPr>
          <w:p w14:paraId="0E7ABFF3">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87" w:type="dxa"/>
            <w:shd w:val="clear" w:color="auto" w:fill="auto"/>
            <w:vAlign w:val="center"/>
          </w:tcPr>
          <w:p w14:paraId="30F57285">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14852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58C970CC">
            <w:pPr>
              <w:pStyle w:val="41"/>
              <w:spacing w:beforeLines="0" w:afterLines="0" w:line="240" w:lineRule="auto"/>
              <w:rPr>
                <w:rFonts w:ascii="Times New Roman"/>
                <w:snapToGrid w:val="0"/>
                <w:color w:val="auto"/>
                <w:kern w:val="21"/>
                <w:szCs w:val="21"/>
                <w:lang w:val="en-US"/>
              </w:rPr>
            </w:pPr>
          </w:p>
        </w:tc>
        <w:tc>
          <w:tcPr>
            <w:tcW w:w="988" w:type="dxa"/>
            <w:vMerge w:val="restart"/>
            <w:vAlign w:val="center"/>
          </w:tcPr>
          <w:p w14:paraId="677379FB">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合计</w:t>
            </w:r>
          </w:p>
        </w:tc>
        <w:tc>
          <w:tcPr>
            <w:tcW w:w="1559" w:type="dxa"/>
            <w:gridSpan w:val="2"/>
            <w:shd w:val="clear" w:color="auto" w:fill="auto"/>
            <w:vAlign w:val="center"/>
          </w:tcPr>
          <w:p w14:paraId="393BF90F">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rPr>
              <w:t>VOCs</w:t>
            </w:r>
            <w:r>
              <w:rPr>
                <w:rFonts w:hint="eastAsia" w:ascii="Times New Roman"/>
                <w:snapToGrid w:val="0"/>
                <w:color w:val="auto"/>
                <w:kern w:val="21"/>
                <w:szCs w:val="21"/>
                <w:lang w:val="en-US" w:eastAsia="zh-CN"/>
              </w:rPr>
              <w:t>合计</w:t>
            </w:r>
          </w:p>
        </w:tc>
        <w:tc>
          <w:tcPr>
            <w:tcW w:w="1515" w:type="dxa"/>
            <w:vAlign w:val="center"/>
          </w:tcPr>
          <w:p w14:paraId="3F90EBA1">
            <w:pPr>
              <w:pStyle w:val="60"/>
              <w:rPr>
                <w:rFonts w:hint="eastAsia"/>
                <w:color w:val="auto"/>
                <w:sz w:val="21"/>
                <w:szCs w:val="21"/>
                <w:highlight w:val="none"/>
                <w:lang w:val="en-US" w:eastAsia="zh-CN"/>
              </w:rPr>
            </w:pPr>
            <w:r>
              <w:rPr>
                <w:rFonts w:hint="eastAsia"/>
                <w:color w:val="auto"/>
                <w:sz w:val="21"/>
                <w:szCs w:val="21"/>
                <w:highlight w:val="none"/>
                <w:lang w:val="en-US" w:eastAsia="zh-CN"/>
              </w:rPr>
              <w:t>7.721t/a</w:t>
            </w:r>
          </w:p>
        </w:tc>
        <w:tc>
          <w:tcPr>
            <w:tcW w:w="1305" w:type="dxa"/>
            <w:vAlign w:val="center"/>
          </w:tcPr>
          <w:p w14:paraId="0FFBB061">
            <w:pPr>
              <w:pStyle w:val="60"/>
              <w:rPr>
                <w:rFonts w:hint="eastAsia"/>
                <w:color w:val="auto"/>
                <w:sz w:val="21"/>
                <w:szCs w:val="21"/>
                <w:highlight w:val="none"/>
                <w:lang w:val="en-US" w:eastAsia="zh-CN"/>
              </w:rPr>
            </w:pPr>
            <w:r>
              <w:rPr>
                <w:rFonts w:hint="eastAsia"/>
                <w:color w:val="auto"/>
                <w:sz w:val="21"/>
                <w:szCs w:val="21"/>
                <w:highlight w:val="none"/>
                <w:lang w:val="en-US" w:eastAsia="zh-CN"/>
              </w:rPr>
              <w:t>9.434t/a</w:t>
            </w:r>
          </w:p>
        </w:tc>
        <w:tc>
          <w:tcPr>
            <w:tcW w:w="1605" w:type="dxa"/>
            <w:vAlign w:val="center"/>
          </w:tcPr>
          <w:p w14:paraId="4CC3AD54">
            <w:pPr>
              <w:pStyle w:val="6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61" w:type="dxa"/>
            <w:vAlign w:val="center"/>
          </w:tcPr>
          <w:p w14:paraId="4CB88A98">
            <w:pPr>
              <w:pStyle w:val="60"/>
              <w:rPr>
                <w:rFonts w:hint="eastAsia"/>
                <w:color w:val="auto"/>
                <w:sz w:val="21"/>
                <w:szCs w:val="21"/>
                <w:highlight w:val="none"/>
                <w:lang w:val="en-US" w:eastAsia="zh-CN"/>
              </w:rPr>
            </w:pPr>
            <w:r>
              <w:rPr>
                <w:rFonts w:hint="eastAsia"/>
                <w:color w:val="auto"/>
                <w:sz w:val="21"/>
                <w:szCs w:val="21"/>
                <w:highlight w:val="none"/>
                <w:lang w:val="en-US" w:eastAsia="zh-CN"/>
              </w:rPr>
              <w:t>2.352t/a</w:t>
            </w:r>
          </w:p>
        </w:tc>
        <w:tc>
          <w:tcPr>
            <w:tcW w:w="1584" w:type="dxa"/>
            <w:vAlign w:val="center"/>
          </w:tcPr>
          <w:p w14:paraId="3D48EB94">
            <w:pPr>
              <w:pStyle w:val="60"/>
              <w:rPr>
                <w:rFonts w:hint="eastAsia"/>
                <w:color w:val="auto"/>
                <w:sz w:val="21"/>
                <w:szCs w:val="21"/>
                <w:highlight w:val="none"/>
                <w:lang w:val="en-US" w:eastAsia="zh-CN"/>
              </w:rPr>
            </w:pPr>
            <w:r>
              <w:rPr>
                <w:rFonts w:hint="eastAsia"/>
                <w:color w:val="auto"/>
                <w:sz w:val="21"/>
                <w:szCs w:val="21"/>
                <w:highlight w:val="none"/>
                <w:lang w:val="en-US" w:eastAsia="zh-CN"/>
              </w:rPr>
              <w:t>1.292t/a</w:t>
            </w:r>
          </w:p>
        </w:tc>
        <w:tc>
          <w:tcPr>
            <w:tcW w:w="1680" w:type="dxa"/>
            <w:vAlign w:val="center"/>
          </w:tcPr>
          <w:p w14:paraId="10494654">
            <w:pPr>
              <w:pStyle w:val="60"/>
              <w:rPr>
                <w:rFonts w:hint="eastAsia"/>
                <w:color w:val="auto"/>
                <w:sz w:val="21"/>
                <w:szCs w:val="21"/>
                <w:highlight w:val="none"/>
                <w:lang w:val="en-US" w:eastAsia="zh-CN"/>
              </w:rPr>
            </w:pPr>
            <w:r>
              <w:rPr>
                <w:rFonts w:hint="eastAsia"/>
                <w:color w:val="auto"/>
                <w:sz w:val="21"/>
                <w:szCs w:val="21"/>
                <w:highlight w:val="none"/>
                <w:lang w:val="en-US" w:eastAsia="zh-CN"/>
              </w:rPr>
              <w:t>8.781t/a</w:t>
            </w:r>
          </w:p>
        </w:tc>
        <w:tc>
          <w:tcPr>
            <w:tcW w:w="1287" w:type="dxa"/>
            <w:vAlign w:val="center"/>
          </w:tcPr>
          <w:p w14:paraId="2A1E487C">
            <w:pPr>
              <w:pStyle w:val="60"/>
              <w:rPr>
                <w:rFonts w:hint="eastAsia"/>
                <w:color w:val="auto"/>
                <w:sz w:val="21"/>
                <w:szCs w:val="21"/>
                <w:highlight w:val="none"/>
                <w:lang w:val="en-US" w:eastAsia="zh-CN"/>
              </w:rPr>
            </w:pPr>
            <w:r>
              <w:rPr>
                <w:rFonts w:hint="eastAsia"/>
                <w:color w:val="auto"/>
                <w:sz w:val="21"/>
                <w:szCs w:val="21"/>
                <w:highlight w:val="none"/>
                <w:lang w:val="en-US" w:eastAsia="zh-CN"/>
              </w:rPr>
              <w:t>+1.060t/a</w:t>
            </w:r>
          </w:p>
        </w:tc>
      </w:tr>
      <w:tr w14:paraId="79C27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6E7C820D">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7E1032F1">
            <w:pPr>
              <w:pStyle w:val="41"/>
              <w:spacing w:beforeLines="0" w:afterLines="0" w:line="240" w:lineRule="auto"/>
              <w:rPr>
                <w:rFonts w:hint="eastAsia" w:ascii="Times New Roman"/>
                <w:snapToGrid w:val="0"/>
                <w:color w:val="auto"/>
                <w:kern w:val="21"/>
                <w:szCs w:val="21"/>
                <w:lang w:val="en-US" w:eastAsia="zh-CN"/>
              </w:rPr>
            </w:pPr>
          </w:p>
        </w:tc>
        <w:tc>
          <w:tcPr>
            <w:tcW w:w="779" w:type="dxa"/>
            <w:vMerge w:val="restart"/>
            <w:shd w:val="clear" w:color="auto" w:fill="auto"/>
            <w:vAlign w:val="center"/>
          </w:tcPr>
          <w:p w14:paraId="28133E0B">
            <w:pPr>
              <w:pStyle w:val="41"/>
              <w:spacing w:beforeLines="0" w:afterLines="0" w:line="240" w:lineRule="auto"/>
              <w:rPr>
                <w:rFonts w:hint="eastAsia" w:ascii="Times New Roman"/>
                <w:snapToGrid w:val="0"/>
                <w:color w:val="auto"/>
                <w:kern w:val="21"/>
                <w:szCs w:val="21"/>
                <w:lang w:val="en-US"/>
              </w:rPr>
            </w:pPr>
            <w:r>
              <w:rPr>
                <w:rFonts w:hint="eastAsia" w:ascii="Times New Roman"/>
                <w:snapToGrid w:val="0"/>
                <w:color w:val="auto"/>
                <w:kern w:val="21"/>
                <w:szCs w:val="21"/>
                <w:lang w:val="en-US" w:eastAsia="zh-CN"/>
              </w:rPr>
              <w:t>其中</w:t>
            </w:r>
          </w:p>
        </w:tc>
        <w:tc>
          <w:tcPr>
            <w:tcW w:w="780" w:type="dxa"/>
            <w:shd w:val="clear" w:color="auto" w:fill="auto"/>
            <w:vAlign w:val="center"/>
          </w:tcPr>
          <w:p w14:paraId="384991FD">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甲醇</w:t>
            </w:r>
          </w:p>
        </w:tc>
        <w:tc>
          <w:tcPr>
            <w:tcW w:w="1515" w:type="dxa"/>
            <w:vAlign w:val="center"/>
          </w:tcPr>
          <w:p w14:paraId="5CBCB901">
            <w:pPr>
              <w:pStyle w:val="60"/>
              <w:rPr>
                <w:rFonts w:hint="eastAsia"/>
                <w:color w:val="auto"/>
                <w:sz w:val="21"/>
                <w:szCs w:val="21"/>
                <w:highlight w:val="none"/>
                <w:lang w:val="en-US" w:eastAsia="zh-CN"/>
              </w:rPr>
            </w:pPr>
            <w:r>
              <w:rPr>
                <w:rFonts w:hint="eastAsia"/>
                <w:color w:val="auto"/>
                <w:sz w:val="21"/>
                <w:szCs w:val="21"/>
                <w:highlight w:val="none"/>
                <w:lang w:val="en-US" w:eastAsia="zh-CN"/>
              </w:rPr>
              <w:t>2.872t/a</w:t>
            </w:r>
          </w:p>
        </w:tc>
        <w:tc>
          <w:tcPr>
            <w:tcW w:w="1305" w:type="dxa"/>
            <w:vAlign w:val="center"/>
          </w:tcPr>
          <w:p w14:paraId="2FC61B02">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05" w:type="dxa"/>
            <w:vAlign w:val="center"/>
          </w:tcPr>
          <w:p w14:paraId="40C85F2C">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461" w:type="dxa"/>
            <w:vAlign w:val="center"/>
          </w:tcPr>
          <w:p w14:paraId="5FF22BE1">
            <w:pPr>
              <w:pStyle w:val="60"/>
              <w:rPr>
                <w:rFonts w:hint="eastAsia"/>
                <w:color w:val="auto"/>
                <w:sz w:val="21"/>
                <w:szCs w:val="21"/>
                <w:highlight w:val="none"/>
                <w:lang w:val="en-US" w:eastAsia="zh-CN"/>
              </w:rPr>
            </w:pPr>
            <w:r>
              <w:rPr>
                <w:rFonts w:hint="eastAsia"/>
                <w:color w:val="auto"/>
                <w:sz w:val="21"/>
                <w:szCs w:val="21"/>
                <w:highlight w:val="none"/>
                <w:lang w:val="en-US" w:eastAsia="zh-CN"/>
              </w:rPr>
              <w:t>1.580t/a</w:t>
            </w:r>
          </w:p>
        </w:tc>
        <w:tc>
          <w:tcPr>
            <w:tcW w:w="1584" w:type="dxa"/>
            <w:vAlign w:val="center"/>
          </w:tcPr>
          <w:p w14:paraId="225F3062">
            <w:pPr>
              <w:pStyle w:val="60"/>
              <w:rPr>
                <w:rFonts w:hint="eastAsia"/>
                <w:color w:val="auto"/>
                <w:sz w:val="21"/>
                <w:szCs w:val="21"/>
                <w:highlight w:val="none"/>
                <w:lang w:val="en-US" w:eastAsia="zh-CN"/>
              </w:rPr>
            </w:pPr>
            <w:r>
              <w:rPr>
                <w:rFonts w:hint="eastAsia"/>
                <w:color w:val="auto"/>
                <w:sz w:val="21"/>
                <w:szCs w:val="21"/>
                <w:highlight w:val="none"/>
                <w:lang w:val="en-US" w:eastAsia="zh-CN"/>
              </w:rPr>
              <w:t>0.951t/a</w:t>
            </w:r>
          </w:p>
        </w:tc>
        <w:tc>
          <w:tcPr>
            <w:tcW w:w="1680" w:type="dxa"/>
            <w:vAlign w:val="center"/>
          </w:tcPr>
          <w:p w14:paraId="75AF16A0">
            <w:pPr>
              <w:pStyle w:val="60"/>
              <w:rPr>
                <w:rFonts w:hint="eastAsia"/>
                <w:color w:val="auto"/>
                <w:sz w:val="21"/>
                <w:szCs w:val="21"/>
                <w:highlight w:val="none"/>
                <w:lang w:val="en-US" w:eastAsia="zh-CN"/>
              </w:rPr>
            </w:pPr>
            <w:r>
              <w:rPr>
                <w:rFonts w:hint="eastAsia"/>
                <w:color w:val="auto"/>
                <w:sz w:val="21"/>
                <w:szCs w:val="21"/>
                <w:highlight w:val="none"/>
                <w:lang w:val="en-US" w:eastAsia="zh-CN"/>
              </w:rPr>
              <w:t>3.416t/a</w:t>
            </w:r>
          </w:p>
        </w:tc>
        <w:tc>
          <w:tcPr>
            <w:tcW w:w="1287" w:type="dxa"/>
            <w:vAlign w:val="center"/>
          </w:tcPr>
          <w:p w14:paraId="4F45E31B">
            <w:pPr>
              <w:pStyle w:val="60"/>
              <w:rPr>
                <w:rFonts w:hint="eastAsia"/>
                <w:color w:val="auto"/>
                <w:sz w:val="21"/>
                <w:szCs w:val="21"/>
                <w:highlight w:val="none"/>
                <w:lang w:val="en-US" w:eastAsia="zh-CN"/>
              </w:rPr>
            </w:pPr>
            <w:r>
              <w:rPr>
                <w:rFonts w:hint="eastAsia"/>
                <w:color w:val="auto"/>
                <w:sz w:val="21"/>
                <w:szCs w:val="21"/>
                <w:highlight w:val="none"/>
                <w:lang w:val="en-US" w:eastAsia="zh-CN"/>
              </w:rPr>
              <w:t>+0.544t/a</w:t>
            </w:r>
          </w:p>
        </w:tc>
      </w:tr>
      <w:tr w14:paraId="57306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14227943">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17595D6F">
            <w:pPr>
              <w:pStyle w:val="41"/>
              <w:spacing w:beforeLines="0" w:afterLines="0" w:line="240" w:lineRule="auto"/>
              <w:rPr>
                <w:rFonts w:hint="eastAsia" w:ascii="Times New Roman"/>
                <w:snapToGrid w:val="0"/>
                <w:color w:val="auto"/>
                <w:kern w:val="21"/>
                <w:szCs w:val="21"/>
                <w:lang w:val="en-US" w:eastAsia="zh-CN"/>
              </w:rPr>
            </w:pPr>
          </w:p>
        </w:tc>
        <w:tc>
          <w:tcPr>
            <w:tcW w:w="779" w:type="dxa"/>
            <w:vMerge w:val="continue"/>
            <w:shd w:val="clear" w:color="auto" w:fill="auto"/>
            <w:vAlign w:val="center"/>
          </w:tcPr>
          <w:p w14:paraId="52739630">
            <w:pPr>
              <w:pStyle w:val="41"/>
              <w:spacing w:beforeLines="0" w:afterLines="0" w:line="240" w:lineRule="auto"/>
              <w:rPr>
                <w:rFonts w:hint="eastAsia" w:ascii="Times New Roman"/>
                <w:snapToGrid w:val="0"/>
                <w:color w:val="auto"/>
                <w:kern w:val="21"/>
                <w:szCs w:val="21"/>
                <w:lang w:val="en-US"/>
              </w:rPr>
            </w:pPr>
          </w:p>
        </w:tc>
        <w:tc>
          <w:tcPr>
            <w:tcW w:w="780" w:type="dxa"/>
            <w:shd w:val="clear" w:color="auto" w:fill="auto"/>
            <w:vAlign w:val="center"/>
          </w:tcPr>
          <w:p w14:paraId="01A066E1">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甲醛</w:t>
            </w:r>
          </w:p>
        </w:tc>
        <w:tc>
          <w:tcPr>
            <w:tcW w:w="1515" w:type="dxa"/>
            <w:vAlign w:val="center"/>
          </w:tcPr>
          <w:p w14:paraId="1F7C5A8F">
            <w:pPr>
              <w:pStyle w:val="60"/>
              <w:rPr>
                <w:rFonts w:hint="eastAsia"/>
                <w:color w:val="auto"/>
                <w:sz w:val="21"/>
                <w:szCs w:val="21"/>
                <w:highlight w:val="none"/>
                <w:lang w:val="en-US" w:eastAsia="zh-CN"/>
              </w:rPr>
            </w:pPr>
            <w:r>
              <w:rPr>
                <w:rFonts w:hint="eastAsia"/>
                <w:color w:val="auto"/>
                <w:sz w:val="21"/>
                <w:szCs w:val="21"/>
                <w:highlight w:val="none"/>
                <w:lang w:val="en-US" w:eastAsia="zh-CN"/>
              </w:rPr>
              <w:t>0.770t/a</w:t>
            </w:r>
          </w:p>
        </w:tc>
        <w:tc>
          <w:tcPr>
            <w:tcW w:w="1305" w:type="dxa"/>
            <w:vAlign w:val="center"/>
          </w:tcPr>
          <w:p w14:paraId="5830539D">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05" w:type="dxa"/>
            <w:vAlign w:val="center"/>
          </w:tcPr>
          <w:p w14:paraId="5B1E551F">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461" w:type="dxa"/>
            <w:vAlign w:val="center"/>
          </w:tcPr>
          <w:p w14:paraId="57D3DCA4">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584" w:type="dxa"/>
            <w:vAlign w:val="center"/>
          </w:tcPr>
          <w:p w14:paraId="2F6140D8">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80" w:type="dxa"/>
            <w:vAlign w:val="center"/>
          </w:tcPr>
          <w:p w14:paraId="48B616C5">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87" w:type="dxa"/>
            <w:vAlign w:val="center"/>
          </w:tcPr>
          <w:p w14:paraId="69933295">
            <w:pPr>
              <w:pStyle w:val="6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62BA5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7F721E95">
            <w:pPr>
              <w:pStyle w:val="41"/>
              <w:spacing w:beforeLines="0" w:afterLines="0" w:line="240" w:lineRule="auto"/>
              <w:rPr>
                <w:rFonts w:ascii="Times New Roman"/>
                <w:snapToGrid w:val="0"/>
                <w:color w:val="auto"/>
                <w:kern w:val="21"/>
                <w:szCs w:val="21"/>
                <w:lang w:val="en-US"/>
              </w:rPr>
            </w:pPr>
          </w:p>
        </w:tc>
        <w:tc>
          <w:tcPr>
            <w:tcW w:w="988" w:type="dxa"/>
            <w:vMerge w:val="continue"/>
            <w:vAlign w:val="center"/>
          </w:tcPr>
          <w:p w14:paraId="084F071F">
            <w:pPr>
              <w:pStyle w:val="41"/>
              <w:spacing w:beforeLines="0" w:afterLines="0" w:line="240" w:lineRule="auto"/>
              <w:rPr>
                <w:rFonts w:hint="eastAsia" w:ascii="Times New Roman" w:eastAsia="宋体"/>
                <w:snapToGrid w:val="0"/>
                <w:color w:val="auto"/>
                <w:kern w:val="21"/>
                <w:szCs w:val="21"/>
                <w:lang w:val="en-US" w:eastAsia="zh-CN"/>
              </w:rPr>
            </w:pPr>
          </w:p>
        </w:tc>
        <w:tc>
          <w:tcPr>
            <w:tcW w:w="1559" w:type="dxa"/>
            <w:gridSpan w:val="2"/>
            <w:shd w:val="clear" w:color="auto" w:fill="auto"/>
            <w:vAlign w:val="center"/>
          </w:tcPr>
          <w:p w14:paraId="7142B029">
            <w:pPr>
              <w:pStyle w:val="41"/>
              <w:spacing w:beforeLines="0" w:afterLines="0"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氮氧化物</w:t>
            </w:r>
          </w:p>
        </w:tc>
        <w:tc>
          <w:tcPr>
            <w:tcW w:w="1515" w:type="dxa"/>
            <w:vAlign w:val="center"/>
          </w:tcPr>
          <w:p w14:paraId="5A58D1F2">
            <w:pPr>
              <w:pStyle w:val="60"/>
              <w:rPr>
                <w:rFonts w:hint="eastAsia"/>
                <w:color w:val="auto"/>
                <w:sz w:val="21"/>
                <w:szCs w:val="21"/>
                <w:highlight w:val="none"/>
                <w:lang w:val="en-US" w:eastAsia="zh-CN"/>
              </w:rPr>
            </w:pPr>
            <w:r>
              <w:rPr>
                <w:rFonts w:hint="eastAsia"/>
                <w:color w:val="auto"/>
                <w:sz w:val="21"/>
                <w:szCs w:val="21"/>
                <w:highlight w:val="none"/>
                <w:lang w:val="en-US" w:eastAsia="zh-CN"/>
              </w:rPr>
              <w:t>0.481t/a</w:t>
            </w:r>
          </w:p>
        </w:tc>
        <w:tc>
          <w:tcPr>
            <w:tcW w:w="1305" w:type="dxa"/>
            <w:vAlign w:val="center"/>
          </w:tcPr>
          <w:p w14:paraId="51EFBA0D">
            <w:pPr>
              <w:pStyle w:val="60"/>
              <w:rPr>
                <w:rFonts w:hint="eastAsia"/>
                <w:color w:val="auto"/>
                <w:sz w:val="21"/>
                <w:szCs w:val="21"/>
                <w:highlight w:val="none"/>
                <w:lang w:val="en-US" w:eastAsia="zh-CN"/>
              </w:rPr>
            </w:pPr>
            <w:r>
              <w:rPr>
                <w:rFonts w:hint="eastAsia"/>
                <w:color w:val="auto"/>
                <w:sz w:val="21"/>
                <w:szCs w:val="21"/>
                <w:highlight w:val="none"/>
                <w:lang w:val="en-US" w:eastAsia="zh-CN"/>
              </w:rPr>
              <w:t>2.198t/a</w:t>
            </w:r>
          </w:p>
        </w:tc>
        <w:tc>
          <w:tcPr>
            <w:tcW w:w="1605" w:type="dxa"/>
            <w:vAlign w:val="center"/>
          </w:tcPr>
          <w:p w14:paraId="45FAC4B7">
            <w:pPr>
              <w:pStyle w:val="6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61" w:type="dxa"/>
            <w:vAlign w:val="center"/>
          </w:tcPr>
          <w:p w14:paraId="7CE0B691">
            <w:pPr>
              <w:pStyle w:val="60"/>
              <w:rPr>
                <w:rFonts w:hint="eastAsia"/>
                <w:color w:val="auto"/>
                <w:sz w:val="21"/>
                <w:szCs w:val="21"/>
                <w:highlight w:val="none"/>
                <w:lang w:val="en-US" w:eastAsia="zh-CN"/>
              </w:rPr>
            </w:pPr>
            <w:r>
              <w:rPr>
                <w:rFonts w:hint="eastAsia"/>
                <w:color w:val="auto"/>
                <w:sz w:val="21"/>
                <w:szCs w:val="21"/>
                <w:highlight w:val="none"/>
                <w:lang w:val="en-US" w:eastAsia="zh-CN"/>
              </w:rPr>
              <w:t>0.0403t/a</w:t>
            </w:r>
          </w:p>
        </w:tc>
        <w:tc>
          <w:tcPr>
            <w:tcW w:w="1584" w:type="dxa"/>
            <w:vAlign w:val="center"/>
          </w:tcPr>
          <w:p w14:paraId="1F32630F">
            <w:pPr>
              <w:pStyle w:val="60"/>
              <w:rPr>
                <w:rFonts w:hint="eastAsia"/>
                <w:color w:val="auto"/>
                <w:sz w:val="21"/>
                <w:szCs w:val="21"/>
                <w:highlight w:val="none"/>
                <w:lang w:val="en-US" w:eastAsia="zh-CN"/>
              </w:rPr>
            </w:pPr>
            <w:r>
              <w:rPr>
                <w:rFonts w:hint="eastAsia"/>
                <w:color w:val="auto"/>
                <w:sz w:val="21"/>
                <w:szCs w:val="21"/>
                <w:highlight w:val="none"/>
                <w:lang w:val="en-US" w:eastAsia="zh-CN"/>
              </w:rPr>
              <w:t>0.0209t/a</w:t>
            </w:r>
          </w:p>
        </w:tc>
        <w:tc>
          <w:tcPr>
            <w:tcW w:w="1680" w:type="dxa"/>
            <w:vAlign w:val="center"/>
          </w:tcPr>
          <w:p w14:paraId="021F898F">
            <w:pPr>
              <w:pStyle w:val="60"/>
              <w:rPr>
                <w:rFonts w:hint="eastAsia"/>
                <w:color w:val="auto"/>
                <w:sz w:val="21"/>
                <w:szCs w:val="21"/>
                <w:highlight w:val="none"/>
                <w:lang w:val="en-US" w:eastAsia="zh-CN"/>
              </w:rPr>
            </w:pPr>
            <w:r>
              <w:rPr>
                <w:rFonts w:hint="eastAsia"/>
                <w:color w:val="auto"/>
                <w:sz w:val="21"/>
                <w:szCs w:val="21"/>
                <w:highlight w:val="none"/>
                <w:lang w:val="en-US" w:eastAsia="zh-CN"/>
              </w:rPr>
              <w:t>0.5004t/a</w:t>
            </w:r>
          </w:p>
        </w:tc>
        <w:tc>
          <w:tcPr>
            <w:tcW w:w="1287" w:type="dxa"/>
            <w:vAlign w:val="center"/>
          </w:tcPr>
          <w:p w14:paraId="27A5C9A5">
            <w:pPr>
              <w:pStyle w:val="60"/>
              <w:rPr>
                <w:rFonts w:hint="eastAsia"/>
                <w:color w:val="auto"/>
                <w:sz w:val="21"/>
                <w:szCs w:val="21"/>
                <w:highlight w:val="none"/>
                <w:lang w:val="en-US" w:eastAsia="zh-CN"/>
              </w:rPr>
            </w:pPr>
            <w:r>
              <w:rPr>
                <w:rFonts w:hint="eastAsia"/>
                <w:color w:val="auto"/>
                <w:sz w:val="21"/>
                <w:szCs w:val="21"/>
                <w:highlight w:val="none"/>
                <w:lang w:val="en-US" w:eastAsia="zh-CN"/>
              </w:rPr>
              <w:t>+0.0194t/a</w:t>
            </w:r>
          </w:p>
        </w:tc>
      </w:tr>
      <w:tr w14:paraId="50AAC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vAlign w:val="center"/>
          </w:tcPr>
          <w:p w14:paraId="28B9437F">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废水</w:t>
            </w:r>
          </w:p>
        </w:tc>
        <w:tc>
          <w:tcPr>
            <w:tcW w:w="2547" w:type="dxa"/>
            <w:gridSpan w:val="3"/>
            <w:vAlign w:val="center"/>
          </w:tcPr>
          <w:p w14:paraId="604BF7B9">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废水量</w:t>
            </w:r>
          </w:p>
        </w:tc>
        <w:tc>
          <w:tcPr>
            <w:tcW w:w="1515" w:type="dxa"/>
            <w:vAlign w:val="center"/>
          </w:tcPr>
          <w:p w14:paraId="6A4CEF7A">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305" w:type="dxa"/>
            <w:vAlign w:val="center"/>
          </w:tcPr>
          <w:p w14:paraId="571959CD">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c>
          <w:tcPr>
            <w:tcW w:w="1605" w:type="dxa"/>
            <w:vAlign w:val="center"/>
          </w:tcPr>
          <w:p w14:paraId="3FB1D730">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461" w:type="dxa"/>
            <w:vAlign w:val="center"/>
          </w:tcPr>
          <w:p w14:paraId="3928BBD6">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84" w:type="dxa"/>
            <w:vAlign w:val="center"/>
          </w:tcPr>
          <w:p w14:paraId="0E19B81C">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c>
          <w:tcPr>
            <w:tcW w:w="1680" w:type="dxa"/>
            <w:vAlign w:val="center"/>
          </w:tcPr>
          <w:p w14:paraId="0E4DA1CA">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287" w:type="dxa"/>
            <w:vAlign w:val="center"/>
          </w:tcPr>
          <w:p w14:paraId="015B4B58">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r>
      <w:tr w14:paraId="6AB8A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63FB079C">
            <w:pPr>
              <w:pStyle w:val="41"/>
              <w:spacing w:beforeLines="0" w:afterLines="0" w:line="240" w:lineRule="auto"/>
              <w:rPr>
                <w:rFonts w:ascii="Times New Roman"/>
                <w:snapToGrid w:val="0"/>
                <w:color w:val="auto"/>
                <w:kern w:val="21"/>
                <w:szCs w:val="21"/>
                <w:lang w:val="en-US"/>
              </w:rPr>
            </w:pPr>
          </w:p>
        </w:tc>
        <w:tc>
          <w:tcPr>
            <w:tcW w:w="2547" w:type="dxa"/>
            <w:gridSpan w:val="3"/>
            <w:vAlign w:val="center"/>
          </w:tcPr>
          <w:p w14:paraId="317877CE">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COD</w:t>
            </w:r>
          </w:p>
        </w:tc>
        <w:tc>
          <w:tcPr>
            <w:tcW w:w="1515" w:type="dxa"/>
            <w:vAlign w:val="center"/>
          </w:tcPr>
          <w:p w14:paraId="294F0119">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305" w:type="dxa"/>
            <w:vAlign w:val="center"/>
          </w:tcPr>
          <w:p w14:paraId="62C0EBBE">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c>
          <w:tcPr>
            <w:tcW w:w="1605" w:type="dxa"/>
            <w:vAlign w:val="center"/>
          </w:tcPr>
          <w:p w14:paraId="49C721A2">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461" w:type="dxa"/>
            <w:vAlign w:val="center"/>
          </w:tcPr>
          <w:p w14:paraId="526C851B">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84" w:type="dxa"/>
            <w:vAlign w:val="center"/>
          </w:tcPr>
          <w:p w14:paraId="72E37982">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c>
          <w:tcPr>
            <w:tcW w:w="1680" w:type="dxa"/>
            <w:vAlign w:val="center"/>
          </w:tcPr>
          <w:p w14:paraId="62815F24">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287" w:type="dxa"/>
            <w:vAlign w:val="center"/>
          </w:tcPr>
          <w:p w14:paraId="7A651981">
            <w:pPr>
              <w:pStyle w:val="41"/>
              <w:spacing w:beforeLines="0" w:afterLines="0" w:line="240" w:lineRule="auto"/>
              <w:rPr>
                <w:rFonts w:ascii="Times New Roman"/>
                <w:snapToGrid w:val="0"/>
                <w:color w:val="auto"/>
                <w:kern w:val="21"/>
                <w:szCs w:val="21"/>
                <w:lang w:val="en-US"/>
              </w:rPr>
            </w:pPr>
            <w:r>
              <w:rPr>
                <w:rFonts w:hint="eastAsia" w:ascii="Times New Roman"/>
                <w:snapToGrid w:val="0"/>
                <w:color w:val="auto"/>
                <w:kern w:val="21"/>
                <w:szCs w:val="21"/>
                <w:lang w:val="en-US"/>
              </w:rPr>
              <w:t>/</w:t>
            </w:r>
          </w:p>
        </w:tc>
      </w:tr>
      <w:tr w14:paraId="7D0BC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6C1A16B5">
            <w:pPr>
              <w:pStyle w:val="41"/>
              <w:spacing w:beforeLines="0" w:afterLines="0" w:line="240" w:lineRule="auto"/>
              <w:rPr>
                <w:rFonts w:ascii="Times New Roman"/>
                <w:snapToGrid w:val="0"/>
                <w:color w:val="auto"/>
                <w:kern w:val="21"/>
                <w:szCs w:val="21"/>
                <w:lang w:val="en-US"/>
              </w:rPr>
            </w:pPr>
          </w:p>
        </w:tc>
        <w:tc>
          <w:tcPr>
            <w:tcW w:w="2547" w:type="dxa"/>
            <w:gridSpan w:val="3"/>
            <w:vAlign w:val="center"/>
          </w:tcPr>
          <w:p w14:paraId="20F6659E">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氨氮</w:t>
            </w:r>
          </w:p>
        </w:tc>
        <w:tc>
          <w:tcPr>
            <w:tcW w:w="1515" w:type="dxa"/>
            <w:shd w:val="clear" w:color="auto" w:fill="auto"/>
            <w:vAlign w:val="center"/>
          </w:tcPr>
          <w:p w14:paraId="6AA4B852">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305" w:type="dxa"/>
            <w:shd w:val="clear" w:color="auto" w:fill="auto"/>
            <w:vAlign w:val="center"/>
          </w:tcPr>
          <w:p w14:paraId="2C5BE300">
            <w:pPr>
              <w:pStyle w:val="41"/>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w:t>
            </w:r>
          </w:p>
        </w:tc>
        <w:tc>
          <w:tcPr>
            <w:tcW w:w="1605" w:type="dxa"/>
            <w:shd w:val="clear" w:color="auto" w:fill="auto"/>
            <w:vAlign w:val="center"/>
          </w:tcPr>
          <w:p w14:paraId="5D206741">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69D3862C">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584" w:type="dxa"/>
            <w:shd w:val="clear" w:color="auto" w:fill="auto"/>
            <w:vAlign w:val="center"/>
          </w:tcPr>
          <w:p w14:paraId="5D72A429">
            <w:pPr>
              <w:pStyle w:val="41"/>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w:t>
            </w:r>
          </w:p>
        </w:tc>
        <w:tc>
          <w:tcPr>
            <w:tcW w:w="1680" w:type="dxa"/>
            <w:shd w:val="clear" w:color="auto" w:fill="auto"/>
            <w:vAlign w:val="center"/>
          </w:tcPr>
          <w:p w14:paraId="5C21032D">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287" w:type="dxa"/>
            <w:shd w:val="clear" w:color="auto" w:fill="auto"/>
            <w:vAlign w:val="center"/>
          </w:tcPr>
          <w:p w14:paraId="59F27B4D">
            <w:pPr>
              <w:pStyle w:val="41"/>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w:t>
            </w:r>
          </w:p>
        </w:tc>
      </w:tr>
      <w:tr w14:paraId="28885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vAlign w:val="center"/>
          </w:tcPr>
          <w:p w14:paraId="53F94CC1">
            <w:pPr>
              <w:pStyle w:val="41"/>
              <w:spacing w:beforeLines="0" w:afterLines="0" w:line="240" w:lineRule="auto"/>
              <w:rPr>
                <w:rFonts w:ascii="Times New Roman"/>
                <w:snapToGrid w:val="0"/>
                <w:color w:val="auto"/>
                <w:kern w:val="21"/>
                <w:szCs w:val="21"/>
                <w:lang w:val="en-US"/>
              </w:rPr>
            </w:pPr>
            <w:r>
              <w:rPr>
                <w:rFonts w:ascii="Times New Roman"/>
                <w:snapToGrid w:val="0"/>
                <w:color w:val="auto"/>
                <w:kern w:val="21"/>
                <w:szCs w:val="21"/>
                <w:lang w:val="en-US"/>
              </w:rPr>
              <w:t>危险废物</w:t>
            </w:r>
          </w:p>
        </w:tc>
        <w:tc>
          <w:tcPr>
            <w:tcW w:w="2547" w:type="dxa"/>
            <w:gridSpan w:val="3"/>
            <w:vAlign w:val="center"/>
          </w:tcPr>
          <w:p w14:paraId="360761B0">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废活性炭</w:t>
            </w:r>
          </w:p>
        </w:tc>
        <w:tc>
          <w:tcPr>
            <w:tcW w:w="1515" w:type="dxa"/>
            <w:shd w:val="clear" w:color="auto" w:fill="auto"/>
            <w:vAlign w:val="center"/>
          </w:tcPr>
          <w:p w14:paraId="6BE48FAF">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5t/a</w:t>
            </w:r>
          </w:p>
        </w:tc>
        <w:tc>
          <w:tcPr>
            <w:tcW w:w="1305" w:type="dxa"/>
            <w:vAlign w:val="center"/>
          </w:tcPr>
          <w:p w14:paraId="4C6142BA">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51BA9E3F">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w:t>
            </w:r>
          </w:p>
        </w:tc>
        <w:tc>
          <w:tcPr>
            <w:tcW w:w="1461" w:type="dxa"/>
            <w:shd w:val="clear" w:color="auto" w:fill="auto"/>
            <w:vAlign w:val="center"/>
          </w:tcPr>
          <w:p w14:paraId="39A78C06">
            <w:pPr>
              <w:pStyle w:val="41"/>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rPr>
              <w:t>/</w:t>
            </w:r>
          </w:p>
        </w:tc>
        <w:tc>
          <w:tcPr>
            <w:tcW w:w="1584" w:type="dxa"/>
            <w:vAlign w:val="center"/>
          </w:tcPr>
          <w:p w14:paraId="4A450C3C">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58F3A20F">
            <w:pPr>
              <w:pStyle w:val="6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5t/a</w:t>
            </w:r>
          </w:p>
        </w:tc>
        <w:tc>
          <w:tcPr>
            <w:tcW w:w="1287" w:type="dxa"/>
            <w:vAlign w:val="center"/>
          </w:tcPr>
          <w:p w14:paraId="3EDE79D4">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0097A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3001AD3D">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7E67586D">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污泥</w:t>
            </w:r>
          </w:p>
        </w:tc>
        <w:tc>
          <w:tcPr>
            <w:tcW w:w="1515" w:type="dxa"/>
            <w:shd w:val="clear" w:color="auto" w:fill="auto"/>
            <w:vAlign w:val="center"/>
          </w:tcPr>
          <w:p w14:paraId="0894250D">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1.5t/a</w:t>
            </w:r>
          </w:p>
        </w:tc>
        <w:tc>
          <w:tcPr>
            <w:tcW w:w="1305" w:type="dxa"/>
            <w:vAlign w:val="center"/>
          </w:tcPr>
          <w:p w14:paraId="6394DED4">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43554FD8">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0918213E">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0.5t/a</w:t>
            </w:r>
          </w:p>
        </w:tc>
        <w:tc>
          <w:tcPr>
            <w:tcW w:w="1584" w:type="dxa"/>
            <w:vAlign w:val="center"/>
          </w:tcPr>
          <w:p w14:paraId="6B659FDA">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338A4C0C">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2t/a</w:t>
            </w:r>
          </w:p>
        </w:tc>
        <w:tc>
          <w:tcPr>
            <w:tcW w:w="1287" w:type="dxa"/>
            <w:vAlign w:val="center"/>
          </w:tcPr>
          <w:p w14:paraId="50584461">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+0.5t/a</w:t>
            </w:r>
          </w:p>
        </w:tc>
      </w:tr>
      <w:tr w14:paraId="05BD0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7AED86BB">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37677346">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废润滑油</w:t>
            </w:r>
          </w:p>
        </w:tc>
        <w:tc>
          <w:tcPr>
            <w:tcW w:w="1515" w:type="dxa"/>
            <w:shd w:val="clear" w:color="auto" w:fill="auto"/>
            <w:vAlign w:val="center"/>
          </w:tcPr>
          <w:p w14:paraId="1D023D7D">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0.5t/a</w:t>
            </w:r>
          </w:p>
        </w:tc>
        <w:tc>
          <w:tcPr>
            <w:tcW w:w="1305" w:type="dxa"/>
            <w:vAlign w:val="center"/>
          </w:tcPr>
          <w:p w14:paraId="3015BD23">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47A5452B">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1E22C389">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0.01t/a</w:t>
            </w:r>
          </w:p>
        </w:tc>
        <w:tc>
          <w:tcPr>
            <w:tcW w:w="1584" w:type="dxa"/>
            <w:vAlign w:val="center"/>
          </w:tcPr>
          <w:p w14:paraId="1A69C7BF">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492686EE">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0.51t/a</w:t>
            </w:r>
          </w:p>
        </w:tc>
        <w:tc>
          <w:tcPr>
            <w:tcW w:w="1287" w:type="dxa"/>
            <w:vAlign w:val="center"/>
          </w:tcPr>
          <w:p w14:paraId="15DE6660">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+0.01t/a</w:t>
            </w:r>
          </w:p>
        </w:tc>
      </w:tr>
      <w:tr w14:paraId="6A1F4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6B7BF594">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40C32EC5">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废润滑油桶</w:t>
            </w:r>
          </w:p>
        </w:tc>
        <w:tc>
          <w:tcPr>
            <w:tcW w:w="1515" w:type="dxa"/>
            <w:shd w:val="clear" w:color="auto" w:fill="auto"/>
            <w:vAlign w:val="center"/>
          </w:tcPr>
          <w:p w14:paraId="71B9F01F">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0.01t/a</w:t>
            </w:r>
          </w:p>
        </w:tc>
        <w:tc>
          <w:tcPr>
            <w:tcW w:w="1305" w:type="dxa"/>
            <w:vAlign w:val="center"/>
          </w:tcPr>
          <w:p w14:paraId="28D9E4A5">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56C939AF">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75ECCA1D">
            <w:pPr>
              <w:pStyle w:val="4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0.001t/a</w:t>
            </w:r>
          </w:p>
        </w:tc>
        <w:tc>
          <w:tcPr>
            <w:tcW w:w="1584" w:type="dxa"/>
            <w:vAlign w:val="center"/>
          </w:tcPr>
          <w:p w14:paraId="27EA2380">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1E465EB2">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0.011t/a</w:t>
            </w:r>
          </w:p>
        </w:tc>
        <w:tc>
          <w:tcPr>
            <w:tcW w:w="1287" w:type="dxa"/>
            <w:vAlign w:val="center"/>
          </w:tcPr>
          <w:p w14:paraId="34051F93">
            <w:pPr>
              <w:pStyle w:val="4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+0.001t/a</w:t>
            </w:r>
          </w:p>
        </w:tc>
      </w:tr>
      <w:tr w14:paraId="192A5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restart"/>
            <w:vAlign w:val="center"/>
          </w:tcPr>
          <w:p w14:paraId="36CD1051">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一般固体废物</w:t>
            </w:r>
          </w:p>
        </w:tc>
        <w:tc>
          <w:tcPr>
            <w:tcW w:w="2547" w:type="dxa"/>
            <w:gridSpan w:val="3"/>
            <w:shd w:val="clear" w:color="auto" w:fill="auto"/>
            <w:vAlign w:val="center"/>
          </w:tcPr>
          <w:p w14:paraId="5CDC8397">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废银触媒</w:t>
            </w:r>
          </w:p>
        </w:tc>
        <w:tc>
          <w:tcPr>
            <w:tcW w:w="1515" w:type="dxa"/>
            <w:shd w:val="clear" w:color="auto" w:fill="auto"/>
            <w:vAlign w:val="center"/>
          </w:tcPr>
          <w:p w14:paraId="27EAB66E">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0.08t/a</w:t>
            </w:r>
          </w:p>
        </w:tc>
        <w:tc>
          <w:tcPr>
            <w:tcW w:w="1305" w:type="dxa"/>
            <w:vAlign w:val="center"/>
          </w:tcPr>
          <w:p w14:paraId="074440BE">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25B99069">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60EF35CE">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584" w:type="dxa"/>
            <w:vAlign w:val="center"/>
          </w:tcPr>
          <w:p w14:paraId="3D1FAA63">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041ED66F">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0.08t/a</w:t>
            </w:r>
          </w:p>
        </w:tc>
        <w:tc>
          <w:tcPr>
            <w:tcW w:w="1287" w:type="dxa"/>
            <w:vAlign w:val="center"/>
          </w:tcPr>
          <w:p w14:paraId="17DE4865">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06C81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32F181CD">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37CA63DE">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废包装材料</w:t>
            </w:r>
          </w:p>
        </w:tc>
        <w:tc>
          <w:tcPr>
            <w:tcW w:w="1515" w:type="dxa"/>
            <w:shd w:val="clear" w:color="auto" w:fill="auto"/>
            <w:vAlign w:val="center"/>
          </w:tcPr>
          <w:p w14:paraId="18086223">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1t/a</w:t>
            </w:r>
          </w:p>
        </w:tc>
        <w:tc>
          <w:tcPr>
            <w:tcW w:w="1305" w:type="dxa"/>
            <w:vAlign w:val="center"/>
          </w:tcPr>
          <w:p w14:paraId="08CF56FC">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471E17F6">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505F2283">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584" w:type="dxa"/>
            <w:vAlign w:val="center"/>
          </w:tcPr>
          <w:p w14:paraId="24596EBA">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5A47F0E7">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1t/a</w:t>
            </w:r>
          </w:p>
        </w:tc>
        <w:tc>
          <w:tcPr>
            <w:tcW w:w="1287" w:type="dxa"/>
            <w:vAlign w:val="center"/>
          </w:tcPr>
          <w:p w14:paraId="6AA86D11">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18342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16C7776E">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17D75661">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废离子交换树脂</w:t>
            </w:r>
          </w:p>
        </w:tc>
        <w:tc>
          <w:tcPr>
            <w:tcW w:w="1515" w:type="dxa"/>
            <w:shd w:val="clear" w:color="auto" w:fill="auto"/>
            <w:vAlign w:val="center"/>
          </w:tcPr>
          <w:p w14:paraId="2BFCADE0">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0.05t/a</w:t>
            </w:r>
          </w:p>
        </w:tc>
        <w:tc>
          <w:tcPr>
            <w:tcW w:w="1305" w:type="dxa"/>
            <w:vAlign w:val="center"/>
          </w:tcPr>
          <w:p w14:paraId="509CEC69">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2F3C4B23">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559471E3">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584" w:type="dxa"/>
            <w:vAlign w:val="center"/>
          </w:tcPr>
          <w:p w14:paraId="1726C4BD">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3F34A34B">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0.05t/a</w:t>
            </w:r>
          </w:p>
        </w:tc>
        <w:tc>
          <w:tcPr>
            <w:tcW w:w="1287" w:type="dxa"/>
            <w:vAlign w:val="center"/>
          </w:tcPr>
          <w:p w14:paraId="19F8FBF7">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718C2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2" w:type="dxa"/>
            <w:vMerge w:val="continue"/>
            <w:vAlign w:val="center"/>
          </w:tcPr>
          <w:p w14:paraId="7CB29282">
            <w:pPr>
              <w:pStyle w:val="41"/>
              <w:spacing w:beforeLines="0" w:afterLines="0" w:line="240" w:lineRule="auto"/>
              <w:rPr>
                <w:rFonts w:ascii="Times New Roman"/>
                <w:snapToGrid w:val="0"/>
                <w:color w:val="auto"/>
                <w:kern w:val="21"/>
                <w:szCs w:val="21"/>
                <w:lang w:val="en-US"/>
              </w:rPr>
            </w:pPr>
          </w:p>
        </w:tc>
        <w:tc>
          <w:tcPr>
            <w:tcW w:w="2547" w:type="dxa"/>
            <w:gridSpan w:val="3"/>
            <w:shd w:val="clear" w:color="auto" w:fill="auto"/>
            <w:vAlign w:val="center"/>
          </w:tcPr>
          <w:p w14:paraId="2A7A754B">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废反渗透膜</w:t>
            </w:r>
          </w:p>
        </w:tc>
        <w:tc>
          <w:tcPr>
            <w:tcW w:w="1515" w:type="dxa"/>
            <w:shd w:val="clear" w:color="auto" w:fill="auto"/>
            <w:vAlign w:val="center"/>
          </w:tcPr>
          <w:p w14:paraId="5BCAB7C2">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0.02t/a</w:t>
            </w:r>
          </w:p>
        </w:tc>
        <w:tc>
          <w:tcPr>
            <w:tcW w:w="1305" w:type="dxa"/>
            <w:vAlign w:val="center"/>
          </w:tcPr>
          <w:p w14:paraId="7D1E1204">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05" w:type="dxa"/>
            <w:shd w:val="clear" w:color="auto" w:fill="auto"/>
            <w:vAlign w:val="center"/>
          </w:tcPr>
          <w:p w14:paraId="750C3739">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461" w:type="dxa"/>
            <w:shd w:val="clear" w:color="auto" w:fill="auto"/>
            <w:vAlign w:val="center"/>
          </w:tcPr>
          <w:p w14:paraId="10E4CBD4">
            <w:pPr>
              <w:pStyle w:val="4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c>
          <w:tcPr>
            <w:tcW w:w="1584" w:type="dxa"/>
            <w:vAlign w:val="center"/>
          </w:tcPr>
          <w:p w14:paraId="15C5A402">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0" w:type="dxa"/>
            <w:shd w:val="clear" w:color="auto" w:fill="auto"/>
            <w:vAlign w:val="center"/>
          </w:tcPr>
          <w:p w14:paraId="6FEEEAD3">
            <w:pPr>
              <w:pStyle w:val="6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0.02t/a</w:t>
            </w:r>
          </w:p>
        </w:tc>
        <w:tc>
          <w:tcPr>
            <w:tcW w:w="1287" w:type="dxa"/>
            <w:vAlign w:val="center"/>
          </w:tcPr>
          <w:p w14:paraId="1312705E">
            <w:pPr>
              <w:pStyle w:val="4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bl>
    <w:p w14:paraId="4230827F">
      <w:pPr>
        <w:pStyle w:val="41"/>
        <w:snapToGrid/>
        <w:spacing w:beforeLines="0" w:afterLines="0" w:line="240" w:lineRule="auto"/>
        <w:jc w:val="left"/>
        <w:rPr>
          <w:rFonts w:hint="default" w:ascii="Times New Roman" w:eastAsia="宋体"/>
          <w:color w:val="auto"/>
          <w:lang w:val="en-US" w:eastAsia="zh-CN"/>
        </w:rPr>
      </w:pPr>
      <w:r>
        <w:rPr>
          <w:rFonts w:ascii="Times New Roman"/>
          <w:snapToGrid w:val="0"/>
          <w:color w:val="auto"/>
          <w:kern w:val="21"/>
          <w:szCs w:val="21"/>
        </w:rPr>
        <w:t>注</w:t>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lang w:val="en-US"/>
        </w:rPr>
        <w:t>⑥</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lang w:val="en-US"/>
        </w:rPr>
        <w:t>①</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3 \* GB3 \* MERGEFORMAT </w:instrText>
      </w:r>
      <w:r>
        <w:rPr>
          <w:rFonts w:ascii="Times New Roman"/>
          <w:snapToGrid w:val="0"/>
          <w:color w:val="auto"/>
          <w:kern w:val="21"/>
          <w:szCs w:val="21"/>
        </w:rPr>
        <w:fldChar w:fldCharType="separate"/>
      </w:r>
      <w:r>
        <w:rPr>
          <w:rFonts w:hint="eastAsia" w:hAnsi="宋体" w:cs="宋体"/>
          <w:color w:val="auto"/>
          <w:szCs w:val="21"/>
          <w:lang w:val="en-US"/>
        </w:rPr>
        <w:t>③</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4 \* GB3 \* MERGEFORMAT </w:instrText>
      </w:r>
      <w:r>
        <w:rPr>
          <w:rFonts w:ascii="Times New Roman"/>
          <w:snapToGrid w:val="0"/>
          <w:color w:val="auto"/>
          <w:kern w:val="21"/>
          <w:szCs w:val="21"/>
        </w:rPr>
        <w:fldChar w:fldCharType="separate"/>
      </w:r>
      <w:r>
        <w:rPr>
          <w:rFonts w:hint="eastAsia" w:hAnsi="宋体" w:cs="宋体"/>
          <w:color w:val="auto"/>
          <w:szCs w:val="21"/>
          <w:lang w:val="en-US"/>
        </w:rPr>
        <w:t>④</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5 \* GB3 \* MERGEFORMAT </w:instrText>
      </w:r>
      <w:r>
        <w:rPr>
          <w:rFonts w:ascii="Times New Roman"/>
          <w:snapToGrid w:val="0"/>
          <w:color w:val="auto"/>
          <w:kern w:val="21"/>
          <w:szCs w:val="21"/>
        </w:rPr>
        <w:fldChar w:fldCharType="separate"/>
      </w:r>
      <w:r>
        <w:rPr>
          <w:rFonts w:hint="eastAsia" w:hAnsi="宋体" w:cs="宋体"/>
          <w:color w:val="auto"/>
          <w:szCs w:val="21"/>
          <w:lang w:val="en-US"/>
        </w:rPr>
        <w:t>⑤</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7 \* GB3 \* MERGEFORMAT </w:instrText>
      </w:r>
      <w:r>
        <w:rPr>
          <w:rFonts w:ascii="Times New Roman"/>
          <w:snapToGrid w:val="0"/>
          <w:color w:val="auto"/>
          <w:kern w:val="21"/>
          <w:szCs w:val="21"/>
        </w:rPr>
        <w:fldChar w:fldCharType="separate"/>
      </w:r>
      <w:r>
        <w:rPr>
          <w:rFonts w:hint="eastAsia" w:hAnsi="宋体" w:cs="宋体"/>
          <w:color w:val="auto"/>
          <w:szCs w:val="21"/>
          <w:lang w:val="en-US"/>
        </w:rPr>
        <w:t>⑦</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6 \* GB3 \* MERGEFORMAT </w:instrText>
      </w:r>
      <w:r>
        <w:rPr>
          <w:rFonts w:ascii="Times New Roman"/>
          <w:snapToGrid w:val="0"/>
          <w:color w:val="auto"/>
          <w:kern w:val="21"/>
          <w:szCs w:val="21"/>
        </w:rPr>
        <w:fldChar w:fldCharType="separate"/>
      </w:r>
      <w:r>
        <w:rPr>
          <w:rFonts w:hint="eastAsia" w:hAnsi="宋体" w:cs="宋体"/>
          <w:color w:val="auto"/>
          <w:szCs w:val="21"/>
          <w:lang w:val="en-US"/>
        </w:rPr>
        <w:t>⑥</w:t>
      </w:r>
      <w:r>
        <w:rPr>
          <w:rFonts w:ascii="Times New Roman"/>
          <w:snapToGrid w:val="0"/>
          <w:color w:val="auto"/>
          <w:kern w:val="21"/>
          <w:szCs w:val="21"/>
        </w:rPr>
        <w:fldChar w:fldCharType="end"/>
      </w:r>
      <w:r>
        <w:rPr>
          <w:rFonts w:ascii="Times New Roman"/>
          <w:snapToGrid w:val="0"/>
          <w:color w:val="auto"/>
          <w:kern w:val="21"/>
          <w:szCs w:val="21"/>
          <w:lang w:val="en-US"/>
        </w:rPr>
        <w:t>-</w:t>
      </w:r>
      <w:r>
        <w:rPr>
          <w:rFonts w:ascii="Times New Roman"/>
          <w:snapToGrid w:val="0"/>
          <w:color w:val="auto"/>
          <w:kern w:val="21"/>
          <w:szCs w:val="21"/>
        </w:rPr>
        <w:fldChar w:fldCharType="begin"/>
      </w:r>
      <w:r>
        <w:rPr>
          <w:rFonts w:ascii="Times New Roman"/>
          <w:snapToGrid w:val="0"/>
          <w:color w:val="auto"/>
          <w:kern w:val="21"/>
          <w:szCs w:val="21"/>
          <w:lang w:val="en-US"/>
        </w:rPr>
        <w:instrText xml:space="preserve"> = 1 \* GB3 \* MERGEFORMAT </w:instrText>
      </w:r>
      <w:r>
        <w:rPr>
          <w:rFonts w:ascii="Times New Roman"/>
          <w:snapToGrid w:val="0"/>
          <w:color w:val="auto"/>
          <w:kern w:val="21"/>
          <w:szCs w:val="21"/>
        </w:rPr>
        <w:fldChar w:fldCharType="separate"/>
      </w:r>
      <w:r>
        <w:rPr>
          <w:rFonts w:hint="eastAsia" w:hAnsi="宋体" w:cs="宋体"/>
          <w:color w:val="auto"/>
          <w:szCs w:val="21"/>
          <w:lang w:val="en-US"/>
        </w:rPr>
        <w:t>①</w:t>
      </w:r>
      <w:r>
        <w:rPr>
          <w:rFonts w:ascii="Times New Roman"/>
          <w:snapToGrid w:val="0"/>
          <w:color w:val="auto"/>
          <w:kern w:val="21"/>
          <w:szCs w:val="21"/>
        </w:rPr>
        <w:fldChar w:fldCharType="end"/>
      </w:r>
      <w:r>
        <w:rPr>
          <w:rFonts w:hint="eastAsia" w:ascii="Times New Roman"/>
          <w:snapToGrid w:val="0"/>
          <w:color w:val="auto"/>
          <w:kern w:val="21"/>
          <w:szCs w:val="21"/>
          <w:lang w:eastAsia="zh-CN"/>
        </w:rPr>
        <w:t>；</w:t>
      </w:r>
    </w:p>
    <w:sectPr>
      <w:footerReference r:id="rId6" w:type="default"/>
      <w:pgSz w:w="16838" w:h="11906" w:orient="landscape"/>
      <w:pgMar w:top="1276" w:right="1701" w:bottom="1134"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43AAB4-5C57-46CD-9CA9-F4CD177AE3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2" w:fontKey="{4A03F729-E79B-4E77-A4C6-9222496FF215}"/>
  </w:font>
  <w:font w:name="楷体_GB2312">
    <w:altName w:val="楷体"/>
    <w:panose1 w:val="00000000000000000000"/>
    <w:charset w:val="86"/>
    <w:family w:val="modern"/>
    <w:pitch w:val="default"/>
    <w:sig w:usb0="00000000" w:usb1="00000000" w:usb2="00000000" w:usb3="00000000" w:csb0="00040000" w:csb1="00000000"/>
    <w:embedRegular r:id="rId3" w:fontKey="{25E3AEAD-EDD3-4E70-8E16-B3DF6A052C8D}"/>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4" w:fontKey="{68B96B93-E5F9-460E-B72E-0EEEC5FE2924}"/>
  </w:font>
  <w:font w:name="仿宋">
    <w:panose1 w:val="02010609060101010101"/>
    <w:charset w:val="86"/>
    <w:family w:val="modern"/>
    <w:pitch w:val="default"/>
    <w:sig w:usb0="800002BF" w:usb1="38CF7CFA" w:usb2="00000016" w:usb3="00000000" w:csb0="00040001" w:csb1="00000000"/>
    <w:embedRegular r:id="rId5" w:fontKey="{17F69452-7804-4539-99E7-906BE7AB0060}"/>
  </w:font>
  <w:font w:name="方正小标宋_GBK">
    <w:panose1 w:val="02000000000000000000"/>
    <w:charset w:val="86"/>
    <w:family w:val="script"/>
    <w:pitch w:val="default"/>
    <w:sig w:usb0="A00002BF" w:usb1="38CF7CFA" w:usb2="00082016" w:usb3="00000000" w:csb0="00040001" w:csb1="00000000"/>
    <w:embedRegular r:id="rId6" w:fontKey="{758EAD33-248E-4DB5-983B-1997FCB6C2D7}"/>
  </w:font>
  <w:font w:name="华文仿宋">
    <w:panose1 w:val="02010600040101010101"/>
    <w:charset w:val="86"/>
    <w:family w:val="auto"/>
    <w:pitch w:val="default"/>
    <w:sig w:usb0="00000287" w:usb1="080F0000" w:usb2="00000000" w:usb3="00000000" w:csb0="0004009F" w:csb1="DFD70000"/>
    <w:embedRegular r:id="rId7" w:fontKey="{BA7FD75E-0587-47CB-A711-1D9712E230C9}"/>
  </w:font>
  <w:font w:name="Wingdings 2">
    <w:panose1 w:val="05020102010507070707"/>
    <w:charset w:val="02"/>
    <w:family w:val="roman"/>
    <w:pitch w:val="default"/>
    <w:sig w:usb0="00000000" w:usb1="00000000" w:usb2="00000000" w:usb3="00000000" w:csb0="80000000" w:csb1="00000000"/>
    <w:embedRegular r:id="rId8" w:fontKey="{B42B1C74-40BB-406E-8AE7-BA08EF1FCA41}"/>
  </w:font>
  <w:font w:name="微软雅黑">
    <w:panose1 w:val="020B0503020204020204"/>
    <w:charset w:val="86"/>
    <w:family w:val="swiss"/>
    <w:pitch w:val="default"/>
    <w:sig w:usb0="80000287" w:usb1="2ACF3C50" w:usb2="00000016" w:usb3="00000000" w:csb0="0004001F" w:csb1="00000000"/>
    <w:embedRegular r:id="rId9" w:fontKey="{C84F789F-8E46-4027-BDA5-440A76F1E627}"/>
  </w:font>
  <w:font w:name="Cambria Math">
    <w:panose1 w:val="02040503050406030204"/>
    <w:charset w:val="00"/>
    <w:family w:val="roman"/>
    <w:pitch w:val="default"/>
    <w:sig w:usb0="E00006FF" w:usb1="420024FF" w:usb2="02000000" w:usb3="00000000" w:csb0="2000019F" w:csb1="00000000"/>
    <w:embedRegular r:id="rId10" w:fontKey="{5539495A-ED1A-4A0D-B8FB-6A177F057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1536">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F0BCD">
    <w:pPr>
      <w:pStyle w:val="14"/>
      <w:framePr w:wrap="around" w:vAnchor="text" w:hAnchor="margin" w:xAlign="center" w:y="1"/>
      <w:rPr>
        <w:rStyle w:val="25"/>
      </w:rPr>
    </w:pPr>
    <w:r>
      <w:fldChar w:fldCharType="begin"/>
    </w:r>
    <w:r>
      <w:rPr>
        <w:rStyle w:val="25"/>
      </w:rPr>
      <w:instrText xml:space="preserve">PAGE  </w:instrText>
    </w:r>
    <w:r>
      <w:fldChar w:fldCharType="end"/>
    </w:r>
  </w:p>
  <w:p w14:paraId="1594A2C6">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3CFD">
    <w:pPr>
      <w:pStyle w:val="14"/>
      <w:jc w:val="center"/>
    </w:pPr>
    <w:r>
      <w:fldChar w:fldCharType="begin"/>
    </w:r>
    <w:r>
      <w:instrText xml:space="preserve">PAGE   \* MERGEFORMAT</w:instrText>
    </w:r>
    <w:r>
      <w:fldChar w:fldCharType="separate"/>
    </w:r>
    <w:r>
      <w:t>50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A197C">
    <w:pPr>
      <w:pStyle w:val="14"/>
      <w:jc w:val="center"/>
    </w:pPr>
    <w:r>
      <w:fldChar w:fldCharType="begin"/>
    </w:r>
    <w:r>
      <w:instrText xml:space="preserve">PAGE   \* MERGEFORMAT</w:instrText>
    </w:r>
    <w:r>
      <w:fldChar w:fldCharType="separate"/>
    </w:r>
    <w:r>
      <w:t>51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7DD16"/>
    <w:multiLevelType w:val="singleLevel"/>
    <w:tmpl w:val="FAF7DD16"/>
    <w:lvl w:ilvl="0" w:tentative="0">
      <w:start w:val="1"/>
      <w:numFmt w:val="decimal"/>
      <w:suff w:val="nothing"/>
      <w:lvlText w:val="%1）"/>
      <w:lvlJc w:val="left"/>
    </w:lvl>
  </w:abstractNum>
  <w:abstractNum w:abstractNumId="1">
    <w:nsid w:val="FB88BC4A"/>
    <w:multiLevelType w:val="singleLevel"/>
    <w:tmpl w:val="FB88BC4A"/>
    <w:lvl w:ilvl="0" w:tentative="0">
      <w:start w:val="1"/>
      <w:numFmt w:val="lowerLetter"/>
      <w:suff w:val="nothing"/>
      <w:lvlText w:val="%1）"/>
      <w:lvlJc w:val="left"/>
    </w:lvl>
  </w:abstractNum>
  <w:abstractNum w:abstractNumId="2">
    <w:nsid w:val="0541849E"/>
    <w:multiLevelType w:val="singleLevel"/>
    <w:tmpl w:val="0541849E"/>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2N2MzZGMyYWY4N2ZjYWIzOGVlNTdlNmZmNjQ4MWIifQ=="/>
  </w:docVars>
  <w:rsids>
    <w:rsidRoot w:val="00A14947"/>
    <w:rsid w:val="00002B94"/>
    <w:rsid w:val="000060B3"/>
    <w:rsid w:val="000064E9"/>
    <w:rsid w:val="0000652E"/>
    <w:rsid w:val="0001082A"/>
    <w:rsid w:val="00010E12"/>
    <w:rsid w:val="00013230"/>
    <w:rsid w:val="00013835"/>
    <w:rsid w:val="00014535"/>
    <w:rsid w:val="0001479C"/>
    <w:rsid w:val="00014E20"/>
    <w:rsid w:val="00026749"/>
    <w:rsid w:val="00032868"/>
    <w:rsid w:val="000339D9"/>
    <w:rsid w:val="00037114"/>
    <w:rsid w:val="0004364B"/>
    <w:rsid w:val="00044EA4"/>
    <w:rsid w:val="000470FA"/>
    <w:rsid w:val="00047F68"/>
    <w:rsid w:val="00050FBC"/>
    <w:rsid w:val="00051097"/>
    <w:rsid w:val="000523A7"/>
    <w:rsid w:val="00053444"/>
    <w:rsid w:val="00054619"/>
    <w:rsid w:val="00056922"/>
    <w:rsid w:val="0005693D"/>
    <w:rsid w:val="00057159"/>
    <w:rsid w:val="0005730D"/>
    <w:rsid w:val="00057CEB"/>
    <w:rsid w:val="00060065"/>
    <w:rsid w:val="000610D4"/>
    <w:rsid w:val="00061B1F"/>
    <w:rsid w:val="00063471"/>
    <w:rsid w:val="00065836"/>
    <w:rsid w:val="000669D7"/>
    <w:rsid w:val="00072182"/>
    <w:rsid w:val="000733C4"/>
    <w:rsid w:val="000738A8"/>
    <w:rsid w:val="000743C3"/>
    <w:rsid w:val="00074783"/>
    <w:rsid w:val="00075230"/>
    <w:rsid w:val="00075FAE"/>
    <w:rsid w:val="0008070B"/>
    <w:rsid w:val="000810AC"/>
    <w:rsid w:val="00081A02"/>
    <w:rsid w:val="00082231"/>
    <w:rsid w:val="00086046"/>
    <w:rsid w:val="00086A48"/>
    <w:rsid w:val="00087175"/>
    <w:rsid w:val="00090009"/>
    <w:rsid w:val="000921FD"/>
    <w:rsid w:val="00092D38"/>
    <w:rsid w:val="0009377B"/>
    <w:rsid w:val="00095F1B"/>
    <w:rsid w:val="000A13FF"/>
    <w:rsid w:val="000A1FE8"/>
    <w:rsid w:val="000A20C9"/>
    <w:rsid w:val="000A2C1D"/>
    <w:rsid w:val="000A2FAE"/>
    <w:rsid w:val="000A7FBC"/>
    <w:rsid w:val="000B058F"/>
    <w:rsid w:val="000B1CB4"/>
    <w:rsid w:val="000B2289"/>
    <w:rsid w:val="000B3ADE"/>
    <w:rsid w:val="000B4467"/>
    <w:rsid w:val="000B4874"/>
    <w:rsid w:val="000B4DB9"/>
    <w:rsid w:val="000B6C2B"/>
    <w:rsid w:val="000C09AC"/>
    <w:rsid w:val="000C19EB"/>
    <w:rsid w:val="000C24D9"/>
    <w:rsid w:val="000C32EE"/>
    <w:rsid w:val="000C3572"/>
    <w:rsid w:val="000C5384"/>
    <w:rsid w:val="000C767F"/>
    <w:rsid w:val="000D0154"/>
    <w:rsid w:val="000D08D6"/>
    <w:rsid w:val="000D2379"/>
    <w:rsid w:val="000D439E"/>
    <w:rsid w:val="000D46BD"/>
    <w:rsid w:val="000D5036"/>
    <w:rsid w:val="000D5A44"/>
    <w:rsid w:val="000E048A"/>
    <w:rsid w:val="000E0AB5"/>
    <w:rsid w:val="000E0B45"/>
    <w:rsid w:val="000E165A"/>
    <w:rsid w:val="000E22D0"/>
    <w:rsid w:val="000E3ED2"/>
    <w:rsid w:val="000E5E32"/>
    <w:rsid w:val="000E722B"/>
    <w:rsid w:val="000E77AE"/>
    <w:rsid w:val="000E799D"/>
    <w:rsid w:val="000F1005"/>
    <w:rsid w:val="000F1EB1"/>
    <w:rsid w:val="000F3A37"/>
    <w:rsid w:val="000F5C6D"/>
    <w:rsid w:val="000F6EAB"/>
    <w:rsid w:val="00102BB5"/>
    <w:rsid w:val="001036AC"/>
    <w:rsid w:val="0010425F"/>
    <w:rsid w:val="00104B96"/>
    <w:rsid w:val="001052A3"/>
    <w:rsid w:val="00110462"/>
    <w:rsid w:val="001106BC"/>
    <w:rsid w:val="00111DCF"/>
    <w:rsid w:val="001144CC"/>
    <w:rsid w:val="0011505D"/>
    <w:rsid w:val="00115641"/>
    <w:rsid w:val="00116D98"/>
    <w:rsid w:val="001226B8"/>
    <w:rsid w:val="00122952"/>
    <w:rsid w:val="00122BCE"/>
    <w:rsid w:val="00127839"/>
    <w:rsid w:val="00127B41"/>
    <w:rsid w:val="00130D21"/>
    <w:rsid w:val="00131F42"/>
    <w:rsid w:val="00133394"/>
    <w:rsid w:val="0013408A"/>
    <w:rsid w:val="00134644"/>
    <w:rsid w:val="00134C1A"/>
    <w:rsid w:val="00135093"/>
    <w:rsid w:val="001357F1"/>
    <w:rsid w:val="00135C92"/>
    <w:rsid w:val="00135EA2"/>
    <w:rsid w:val="00136561"/>
    <w:rsid w:val="00136C9A"/>
    <w:rsid w:val="00137BE5"/>
    <w:rsid w:val="00140887"/>
    <w:rsid w:val="00140FA8"/>
    <w:rsid w:val="00141A09"/>
    <w:rsid w:val="00141F43"/>
    <w:rsid w:val="00142D46"/>
    <w:rsid w:val="00142FEB"/>
    <w:rsid w:val="00143A2D"/>
    <w:rsid w:val="00145062"/>
    <w:rsid w:val="00145A41"/>
    <w:rsid w:val="001504D6"/>
    <w:rsid w:val="00151675"/>
    <w:rsid w:val="0015575F"/>
    <w:rsid w:val="00157435"/>
    <w:rsid w:val="00157AAF"/>
    <w:rsid w:val="00161054"/>
    <w:rsid w:val="001626C0"/>
    <w:rsid w:val="00163054"/>
    <w:rsid w:val="0016308F"/>
    <w:rsid w:val="001674A2"/>
    <w:rsid w:val="001704B3"/>
    <w:rsid w:val="001718AC"/>
    <w:rsid w:val="00172057"/>
    <w:rsid w:val="001739BC"/>
    <w:rsid w:val="0017504D"/>
    <w:rsid w:val="0017562D"/>
    <w:rsid w:val="001758AA"/>
    <w:rsid w:val="00175A13"/>
    <w:rsid w:val="0017671A"/>
    <w:rsid w:val="00176756"/>
    <w:rsid w:val="00177422"/>
    <w:rsid w:val="00177FE4"/>
    <w:rsid w:val="00180B80"/>
    <w:rsid w:val="00181472"/>
    <w:rsid w:val="00181FD3"/>
    <w:rsid w:val="001830B4"/>
    <w:rsid w:val="00183D67"/>
    <w:rsid w:val="00184590"/>
    <w:rsid w:val="00186119"/>
    <w:rsid w:val="001862AE"/>
    <w:rsid w:val="001870D1"/>
    <w:rsid w:val="0018781E"/>
    <w:rsid w:val="0019262D"/>
    <w:rsid w:val="00195F8A"/>
    <w:rsid w:val="00197042"/>
    <w:rsid w:val="001A0420"/>
    <w:rsid w:val="001A1380"/>
    <w:rsid w:val="001A1B35"/>
    <w:rsid w:val="001A28A8"/>
    <w:rsid w:val="001A31C0"/>
    <w:rsid w:val="001A3B2A"/>
    <w:rsid w:val="001A3D75"/>
    <w:rsid w:val="001A48A2"/>
    <w:rsid w:val="001A6F61"/>
    <w:rsid w:val="001A7296"/>
    <w:rsid w:val="001B357D"/>
    <w:rsid w:val="001B5D44"/>
    <w:rsid w:val="001B6888"/>
    <w:rsid w:val="001B72B8"/>
    <w:rsid w:val="001C0851"/>
    <w:rsid w:val="001C0DA5"/>
    <w:rsid w:val="001C1F35"/>
    <w:rsid w:val="001C28A0"/>
    <w:rsid w:val="001C435D"/>
    <w:rsid w:val="001C5AC6"/>
    <w:rsid w:val="001C69B3"/>
    <w:rsid w:val="001C75D0"/>
    <w:rsid w:val="001D0E8F"/>
    <w:rsid w:val="001D33AD"/>
    <w:rsid w:val="001D3476"/>
    <w:rsid w:val="001D4621"/>
    <w:rsid w:val="001D5053"/>
    <w:rsid w:val="001D5595"/>
    <w:rsid w:val="001D5C20"/>
    <w:rsid w:val="001D7874"/>
    <w:rsid w:val="001D7F22"/>
    <w:rsid w:val="001E093A"/>
    <w:rsid w:val="001E31A1"/>
    <w:rsid w:val="001E37B2"/>
    <w:rsid w:val="001E3F75"/>
    <w:rsid w:val="001E62F3"/>
    <w:rsid w:val="001F0F17"/>
    <w:rsid w:val="001F2052"/>
    <w:rsid w:val="001F2519"/>
    <w:rsid w:val="001F3347"/>
    <w:rsid w:val="001F3AC5"/>
    <w:rsid w:val="001F550D"/>
    <w:rsid w:val="001F5864"/>
    <w:rsid w:val="001F6204"/>
    <w:rsid w:val="001F69E4"/>
    <w:rsid w:val="00201B19"/>
    <w:rsid w:val="00203477"/>
    <w:rsid w:val="0020704B"/>
    <w:rsid w:val="002125B4"/>
    <w:rsid w:val="00212731"/>
    <w:rsid w:val="0021329F"/>
    <w:rsid w:val="00213C3C"/>
    <w:rsid w:val="00213FF2"/>
    <w:rsid w:val="0021438A"/>
    <w:rsid w:val="002155B8"/>
    <w:rsid w:val="00215F66"/>
    <w:rsid w:val="00221135"/>
    <w:rsid w:val="0022367C"/>
    <w:rsid w:val="00224839"/>
    <w:rsid w:val="002249B2"/>
    <w:rsid w:val="00225D55"/>
    <w:rsid w:val="00226574"/>
    <w:rsid w:val="002275E5"/>
    <w:rsid w:val="002278EC"/>
    <w:rsid w:val="00230835"/>
    <w:rsid w:val="002309F6"/>
    <w:rsid w:val="002311F1"/>
    <w:rsid w:val="00231EEF"/>
    <w:rsid w:val="00232776"/>
    <w:rsid w:val="0023280E"/>
    <w:rsid w:val="00234ED7"/>
    <w:rsid w:val="00236866"/>
    <w:rsid w:val="002377D1"/>
    <w:rsid w:val="00241511"/>
    <w:rsid w:val="0024204A"/>
    <w:rsid w:val="002428F0"/>
    <w:rsid w:val="002458EC"/>
    <w:rsid w:val="00246328"/>
    <w:rsid w:val="00246437"/>
    <w:rsid w:val="002506BC"/>
    <w:rsid w:val="00253074"/>
    <w:rsid w:val="00254345"/>
    <w:rsid w:val="00255404"/>
    <w:rsid w:val="00257D95"/>
    <w:rsid w:val="0026083B"/>
    <w:rsid w:val="002613E2"/>
    <w:rsid w:val="00262BDA"/>
    <w:rsid w:val="00264155"/>
    <w:rsid w:val="002643F7"/>
    <w:rsid w:val="00264557"/>
    <w:rsid w:val="0026510D"/>
    <w:rsid w:val="00265852"/>
    <w:rsid w:val="00265A37"/>
    <w:rsid w:val="00274CB0"/>
    <w:rsid w:val="00275470"/>
    <w:rsid w:val="00275A36"/>
    <w:rsid w:val="00275FC0"/>
    <w:rsid w:val="00275FE3"/>
    <w:rsid w:val="002805AB"/>
    <w:rsid w:val="00281921"/>
    <w:rsid w:val="00282B1B"/>
    <w:rsid w:val="00284204"/>
    <w:rsid w:val="00284416"/>
    <w:rsid w:val="0028528F"/>
    <w:rsid w:val="00285A76"/>
    <w:rsid w:val="00285D72"/>
    <w:rsid w:val="0028628C"/>
    <w:rsid w:val="002911ED"/>
    <w:rsid w:val="00291773"/>
    <w:rsid w:val="00293967"/>
    <w:rsid w:val="0029579F"/>
    <w:rsid w:val="002A00BA"/>
    <w:rsid w:val="002A13D2"/>
    <w:rsid w:val="002A168C"/>
    <w:rsid w:val="002A1FCA"/>
    <w:rsid w:val="002A3DC7"/>
    <w:rsid w:val="002A4E73"/>
    <w:rsid w:val="002A4EA5"/>
    <w:rsid w:val="002A5051"/>
    <w:rsid w:val="002A7062"/>
    <w:rsid w:val="002B0938"/>
    <w:rsid w:val="002B0FD2"/>
    <w:rsid w:val="002B49E2"/>
    <w:rsid w:val="002B5BE1"/>
    <w:rsid w:val="002B7598"/>
    <w:rsid w:val="002B77A1"/>
    <w:rsid w:val="002B7B00"/>
    <w:rsid w:val="002B7C44"/>
    <w:rsid w:val="002C09FC"/>
    <w:rsid w:val="002C0C84"/>
    <w:rsid w:val="002C2B17"/>
    <w:rsid w:val="002C3269"/>
    <w:rsid w:val="002C7C6A"/>
    <w:rsid w:val="002D3331"/>
    <w:rsid w:val="002D3DD0"/>
    <w:rsid w:val="002D45B8"/>
    <w:rsid w:val="002D743A"/>
    <w:rsid w:val="002E1952"/>
    <w:rsid w:val="002E1A61"/>
    <w:rsid w:val="002E1F3A"/>
    <w:rsid w:val="002E298A"/>
    <w:rsid w:val="002E3B30"/>
    <w:rsid w:val="002E57FE"/>
    <w:rsid w:val="002E5CA0"/>
    <w:rsid w:val="002F22A4"/>
    <w:rsid w:val="002F2734"/>
    <w:rsid w:val="002F2762"/>
    <w:rsid w:val="002F4669"/>
    <w:rsid w:val="002F4759"/>
    <w:rsid w:val="002F5479"/>
    <w:rsid w:val="002F60CF"/>
    <w:rsid w:val="00301978"/>
    <w:rsid w:val="00301C90"/>
    <w:rsid w:val="0030260A"/>
    <w:rsid w:val="0030332C"/>
    <w:rsid w:val="0030511D"/>
    <w:rsid w:val="003051C2"/>
    <w:rsid w:val="003115C2"/>
    <w:rsid w:val="0031164B"/>
    <w:rsid w:val="00312296"/>
    <w:rsid w:val="00313767"/>
    <w:rsid w:val="00313C8A"/>
    <w:rsid w:val="00314F0E"/>
    <w:rsid w:val="00315DFA"/>
    <w:rsid w:val="0032103D"/>
    <w:rsid w:val="003218CF"/>
    <w:rsid w:val="00321D8E"/>
    <w:rsid w:val="00322021"/>
    <w:rsid w:val="003227D1"/>
    <w:rsid w:val="00323B52"/>
    <w:rsid w:val="0032525E"/>
    <w:rsid w:val="00325928"/>
    <w:rsid w:val="0033133E"/>
    <w:rsid w:val="0033238A"/>
    <w:rsid w:val="00332863"/>
    <w:rsid w:val="00334D0C"/>
    <w:rsid w:val="00334E81"/>
    <w:rsid w:val="0033684D"/>
    <w:rsid w:val="00337B42"/>
    <w:rsid w:val="00340D6F"/>
    <w:rsid w:val="00341235"/>
    <w:rsid w:val="00341AAF"/>
    <w:rsid w:val="00341B42"/>
    <w:rsid w:val="0034348F"/>
    <w:rsid w:val="00343ED2"/>
    <w:rsid w:val="00344BE3"/>
    <w:rsid w:val="00345849"/>
    <w:rsid w:val="00352355"/>
    <w:rsid w:val="00352410"/>
    <w:rsid w:val="0035328B"/>
    <w:rsid w:val="0035526E"/>
    <w:rsid w:val="00356653"/>
    <w:rsid w:val="00357318"/>
    <w:rsid w:val="0035743F"/>
    <w:rsid w:val="00357BE2"/>
    <w:rsid w:val="0036170C"/>
    <w:rsid w:val="0036171C"/>
    <w:rsid w:val="00362FC4"/>
    <w:rsid w:val="00363DB6"/>
    <w:rsid w:val="00364223"/>
    <w:rsid w:val="00365752"/>
    <w:rsid w:val="00366E0F"/>
    <w:rsid w:val="00367228"/>
    <w:rsid w:val="00374982"/>
    <w:rsid w:val="0037514B"/>
    <w:rsid w:val="00376CB0"/>
    <w:rsid w:val="00377095"/>
    <w:rsid w:val="0037757E"/>
    <w:rsid w:val="00377FCF"/>
    <w:rsid w:val="00381A72"/>
    <w:rsid w:val="003821E5"/>
    <w:rsid w:val="00383429"/>
    <w:rsid w:val="00384676"/>
    <w:rsid w:val="0038499F"/>
    <w:rsid w:val="003857DA"/>
    <w:rsid w:val="00387211"/>
    <w:rsid w:val="003907E9"/>
    <w:rsid w:val="00390857"/>
    <w:rsid w:val="00391F1A"/>
    <w:rsid w:val="00392C3B"/>
    <w:rsid w:val="00394B71"/>
    <w:rsid w:val="003A4BD9"/>
    <w:rsid w:val="003A4BF3"/>
    <w:rsid w:val="003A5DC5"/>
    <w:rsid w:val="003A748D"/>
    <w:rsid w:val="003B0CEC"/>
    <w:rsid w:val="003B16DE"/>
    <w:rsid w:val="003B205A"/>
    <w:rsid w:val="003B420D"/>
    <w:rsid w:val="003B528E"/>
    <w:rsid w:val="003B6080"/>
    <w:rsid w:val="003B6574"/>
    <w:rsid w:val="003B6CA7"/>
    <w:rsid w:val="003B71E4"/>
    <w:rsid w:val="003B75EB"/>
    <w:rsid w:val="003C019F"/>
    <w:rsid w:val="003C0D22"/>
    <w:rsid w:val="003C235A"/>
    <w:rsid w:val="003C3230"/>
    <w:rsid w:val="003C3871"/>
    <w:rsid w:val="003C4398"/>
    <w:rsid w:val="003C6C16"/>
    <w:rsid w:val="003C71BA"/>
    <w:rsid w:val="003C724F"/>
    <w:rsid w:val="003D1321"/>
    <w:rsid w:val="003D5FA5"/>
    <w:rsid w:val="003D794D"/>
    <w:rsid w:val="003E20C9"/>
    <w:rsid w:val="003E3058"/>
    <w:rsid w:val="003E76A9"/>
    <w:rsid w:val="003F04B6"/>
    <w:rsid w:val="003F0809"/>
    <w:rsid w:val="003F4395"/>
    <w:rsid w:val="003F49A6"/>
    <w:rsid w:val="003F51D1"/>
    <w:rsid w:val="003F6A8C"/>
    <w:rsid w:val="003F755C"/>
    <w:rsid w:val="003F7A1E"/>
    <w:rsid w:val="003F7E43"/>
    <w:rsid w:val="0040103B"/>
    <w:rsid w:val="004014EC"/>
    <w:rsid w:val="00405631"/>
    <w:rsid w:val="00405F66"/>
    <w:rsid w:val="00406F01"/>
    <w:rsid w:val="004104DC"/>
    <w:rsid w:val="0041367A"/>
    <w:rsid w:val="00414DA6"/>
    <w:rsid w:val="00416D50"/>
    <w:rsid w:val="00416FD5"/>
    <w:rsid w:val="00417772"/>
    <w:rsid w:val="00420E6A"/>
    <w:rsid w:val="00423B03"/>
    <w:rsid w:val="0042509B"/>
    <w:rsid w:val="00425331"/>
    <w:rsid w:val="00425A9E"/>
    <w:rsid w:val="00425CAD"/>
    <w:rsid w:val="00426D6B"/>
    <w:rsid w:val="00431E6C"/>
    <w:rsid w:val="00432B9A"/>
    <w:rsid w:val="00433CE7"/>
    <w:rsid w:val="00435253"/>
    <w:rsid w:val="0043543D"/>
    <w:rsid w:val="00436DE1"/>
    <w:rsid w:val="00437A25"/>
    <w:rsid w:val="00442A86"/>
    <w:rsid w:val="00443C88"/>
    <w:rsid w:val="00445041"/>
    <w:rsid w:val="0044672F"/>
    <w:rsid w:val="00446C30"/>
    <w:rsid w:val="00452738"/>
    <w:rsid w:val="0045316D"/>
    <w:rsid w:val="004558C1"/>
    <w:rsid w:val="00456091"/>
    <w:rsid w:val="00456BC1"/>
    <w:rsid w:val="004577B4"/>
    <w:rsid w:val="00461B36"/>
    <w:rsid w:val="004621B4"/>
    <w:rsid w:val="00462356"/>
    <w:rsid w:val="00463513"/>
    <w:rsid w:val="00463F55"/>
    <w:rsid w:val="004648ED"/>
    <w:rsid w:val="00466321"/>
    <w:rsid w:val="0046704A"/>
    <w:rsid w:val="004672FC"/>
    <w:rsid w:val="00471960"/>
    <w:rsid w:val="00471A90"/>
    <w:rsid w:val="00472495"/>
    <w:rsid w:val="00472F94"/>
    <w:rsid w:val="00473929"/>
    <w:rsid w:val="00473ED5"/>
    <w:rsid w:val="004767DF"/>
    <w:rsid w:val="00477646"/>
    <w:rsid w:val="004805BE"/>
    <w:rsid w:val="00480F78"/>
    <w:rsid w:val="00484B9B"/>
    <w:rsid w:val="00484F0D"/>
    <w:rsid w:val="004855F6"/>
    <w:rsid w:val="00485DB0"/>
    <w:rsid w:val="0048661E"/>
    <w:rsid w:val="00494670"/>
    <w:rsid w:val="00494C22"/>
    <w:rsid w:val="00497FB7"/>
    <w:rsid w:val="004A05BD"/>
    <w:rsid w:val="004A25CC"/>
    <w:rsid w:val="004A3823"/>
    <w:rsid w:val="004A543D"/>
    <w:rsid w:val="004A6395"/>
    <w:rsid w:val="004A7E25"/>
    <w:rsid w:val="004B057C"/>
    <w:rsid w:val="004B0F05"/>
    <w:rsid w:val="004B1F91"/>
    <w:rsid w:val="004B69D3"/>
    <w:rsid w:val="004B6FC3"/>
    <w:rsid w:val="004C0019"/>
    <w:rsid w:val="004C3025"/>
    <w:rsid w:val="004C44E0"/>
    <w:rsid w:val="004D0B8F"/>
    <w:rsid w:val="004D108E"/>
    <w:rsid w:val="004D33C7"/>
    <w:rsid w:val="004D743D"/>
    <w:rsid w:val="004E0726"/>
    <w:rsid w:val="004E150A"/>
    <w:rsid w:val="004E4D74"/>
    <w:rsid w:val="004E5D13"/>
    <w:rsid w:val="004E5E02"/>
    <w:rsid w:val="004E6946"/>
    <w:rsid w:val="004E7A52"/>
    <w:rsid w:val="004F1AD8"/>
    <w:rsid w:val="004F1ADC"/>
    <w:rsid w:val="004F42AE"/>
    <w:rsid w:val="004F7018"/>
    <w:rsid w:val="00500BD5"/>
    <w:rsid w:val="005039CB"/>
    <w:rsid w:val="0050558F"/>
    <w:rsid w:val="00506286"/>
    <w:rsid w:val="00506901"/>
    <w:rsid w:val="0051069C"/>
    <w:rsid w:val="005106B7"/>
    <w:rsid w:val="00510813"/>
    <w:rsid w:val="00511990"/>
    <w:rsid w:val="00511DE0"/>
    <w:rsid w:val="00513C3D"/>
    <w:rsid w:val="00514870"/>
    <w:rsid w:val="00514B9B"/>
    <w:rsid w:val="00515729"/>
    <w:rsid w:val="00515CB3"/>
    <w:rsid w:val="00517F02"/>
    <w:rsid w:val="00522469"/>
    <w:rsid w:val="005241F3"/>
    <w:rsid w:val="00524303"/>
    <w:rsid w:val="005258A2"/>
    <w:rsid w:val="00527E22"/>
    <w:rsid w:val="00531695"/>
    <w:rsid w:val="0053345B"/>
    <w:rsid w:val="00536824"/>
    <w:rsid w:val="005369EE"/>
    <w:rsid w:val="0053767C"/>
    <w:rsid w:val="005401AE"/>
    <w:rsid w:val="00542E07"/>
    <w:rsid w:val="00545424"/>
    <w:rsid w:val="00547846"/>
    <w:rsid w:val="0055166B"/>
    <w:rsid w:val="00554A7B"/>
    <w:rsid w:val="0055572C"/>
    <w:rsid w:val="00555F0B"/>
    <w:rsid w:val="005563D3"/>
    <w:rsid w:val="005572F1"/>
    <w:rsid w:val="00557D1C"/>
    <w:rsid w:val="0056106A"/>
    <w:rsid w:val="00563FB9"/>
    <w:rsid w:val="00564AD7"/>
    <w:rsid w:val="00565D38"/>
    <w:rsid w:val="00570560"/>
    <w:rsid w:val="005708D4"/>
    <w:rsid w:val="005711B4"/>
    <w:rsid w:val="005720AE"/>
    <w:rsid w:val="005725E9"/>
    <w:rsid w:val="00572A35"/>
    <w:rsid w:val="00574185"/>
    <w:rsid w:val="005741C7"/>
    <w:rsid w:val="005746B5"/>
    <w:rsid w:val="005751A2"/>
    <w:rsid w:val="00576F89"/>
    <w:rsid w:val="00576F91"/>
    <w:rsid w:val="005813F8"/>
    <w:rsid w:val="00583790"/>
    <w:rsid w:val="00586FFE"/>
    <w:rsid w:val="00587899"/>
    <w:rsid w:val="00587FF7"/>
    <w:rsid w:val="005905E2"/>
    <w:rsid w:val="00590905"/>
    <w:rsid w:val="00591C14"/>
    <w:rsid w:val="00594A22"/>
    <w:rsid w:val="00594D77"/>
    <w:rsid w:val="005969E4"/>
    <w:rsid w:val="005A06B7"/>
    <w:rsid w:val="005A16E9"/>
    <w:rsid w:val="005A1759"/>
    <w:rsid w:val="005A1A32"/>
    <w:rsid w:val="005A38F2"/>
    <w:rsid w:val="005A3B2D"/>
    <w:rsid w:val="005A58C8"/>
    <w:rsid w:val="005A68A7"/>
    <w:rsid w:val="005A6E24"/>
    <w:rsid w:val="005A7A9C"/>
    <w:rsid w:val="005B4B11"/>
    <w:rsid w:val="005B5738"/>
    <w:rsid w:val="005B60C3"/>
    <w:rsid w:val="005B6F1F"/>
    <w:rsid w:val="005B7B91"/>
    <w:rsid w:val="005C37B2"/>
    <w:rsid w:val="005D36AB"/>
    <w:rsid w:val="005D45E0"/>
    <w:rsid w:val="005D68A2"/>
    <w:rsid w:val="005E1181"/>
    <w:rsid w:val="005E13CC"/>
    <w:rsid w:val="005E35FE"/>
    <w:rsid w:val="005E641C"/>
    <w:rsid w:val="005F037B"/>
    <w:rsid w:val="005F249A"/>
    <w:rsid w:val="006008FA"/>
    <w:rsid w:val="006016B0"/>
    <w:rsid w:val="00601B36"/>
    <w:rsid w:val="00601F27"/>
    <w:rsid w:val="006033DD"/>
    <w:rsid w:val="00604B1C"/>
    <w:rsid w:val="00607B97"/>
    <w:rsid w:val="00613506"/>
    <w:rsid w:val="0061511A"/>
    <w:rsid w:val="00615916"/>
    <w:rsid w:val="00617CC3"/>
    <w:rsid w:val="00622AF6"/>
    <w:rsid w:val="00624395"/>
    <w:rsid w:val="0062556D"/>
    <w:rsid w:val="006265B6"/>
    <w:rsid w:val="00626797"/>
    <w:rsid w:val="00627FCF"/>
    <w:rsid w:val="006310B7"/>
    <w:rsid w:val="00631910"/>
    <w:rsid w:val="00633335"/>
    <w:rsid w:val="00635AEB"/>
    <w:rsid w:val="006368D0"/>
    <w:rsid w:val="0063733A"/>
    <w:rsid w:val="006377A6"/>
    <w:rsid w:val="00637A3D"/>
    <w:rsid w:val="00637B1E"/>
    <w:rsid w:val="0064060F"/>
    <w:rsid w:val="00640EEC"/>
    <w:rsid w:val="006411EF"/>
    <w:rsid w:val="00642026"/>
    <w:rsid w:val="006431EE"/>
    <w:rsid w:val="00643688"/>
    <w:rsid w:val="00644A6C"/>
    <w:rsid w:val="00645BF4"/>
    <w:rsid w:val="00650A4F"/>
    <w:rsid w:val="00655459"/>
    <w:rsid w:val="00655FD9"/>
    <w:rsid w:val="006572DC"/>
    <w:rsid w:val="006638CF"/>
    <w:rsid w:val="00665DAB"/>
    <w:rsid w:val="0066660B"/>
    <w:rsid w:val="00670FBD"/>
    <w:rsid w:val="00671375"/>
    <w:rsid w:val="00672F42"/>
    <w:rsid w:val="0067348A"/>
    <w:rsid w:val="006748B8"/>
    <w:rsid w:val="006775C3"/>
    <w:rsid w:val="006777C9"/>
    <w:rsid w:val="00684744"/>
    <w:rsid w:val="00684B2E"/>
    <w:rsid w:val="0069233A"/>
    <w:rsid w:val="00692696"/>
    <w:rsid w:val="006926B4"/>
    <w:rsid w:val="0069290A"/>
    <w:rsid w:val="006936BA"/>
    <w:rsid w:val="006937FC"/>
    <w:rsid w:val="0069775A"/>
    <w:rsid w:val="00697813"/>
    <w:rsid w:val="006A133E"/>
    <w:rsid w:val="006A3EE8"/>
    <w:rsid w:val="006A456B"/>
    <w:rsid w:val="006A636F"/>
    <w:rsid w:val="006A72BF"/>
    <w:rsid w:val="006A7CAF"/>
    <w:rsid w:val="006B03F2"/>
    <w:rsid w:val="006B0A21"/>
    <w:rsid w:val="006B0B77"/>
    <w:rsid w:val="006B218C"/>
    <w:rsid w:val="006B28AF"/>
    <w:rsid w:val="006B37DC"/>
    <w:rsid w:val="006B4F68"/>
    <w:rsid w:val="006B5D45"/>
    <w:rsid w:val="006B719C"/>
    <w:rsid w:val="006B7EF9"/>
    <w:rsid w:val="006C02DE"/>
    <w:rsid w:val="006C0592"/>
    <w:rsid w:val="006C20F2"/>
    <w:rsid w:val="006C272E"/>
    <w:rsid w:val="006C325D"/>
    <w:rsid w:val="006C3DE2"/>
    <w:rsid w:val="006C4F32"/>
    <w:rsid w:val="006C4F37"/>
    <w:rsid w:val="006C5479"/>
    <w:rsid w:val="006C5BEE"/>
    <w:rsid w:val="006C62EE"/>
    <w:rsid w:val="006C74A4"/>
    <w:rsid w:val="006D0666"/>
    <w:rsid w:val="006D13B5"/>
    <w:rsid w:val="006D35B7"/>
    <w:rsid w:val="006D4696"/>
    <w:rsid w:val="006D5541"/>
    <w:rsid w:val="006D6828"/>
    <w:rsid w:val="006D7376"/>
    <w:rsid w:val="006E12FF"/>
    <w:rsid w:val="006E2BA2"/>
    <w:rsid w:val="006E2C9E"/>
    <w:rsid w:val="006E2E9F"/>
    <w:rsid w:val="006E31F9"/>
    <w:rsid w:val="006E607E"/>
    <w:rsid w:val="006E7004"/>
    <w:rsid w:val="006E7A24"/>
    <w:rsid w:val="006F1F0D"/>
    <w:rsid w:val="006F2726"/>
    <w:rsid w:val="007010B0"/>
    <w:rsid w:val="00704374"/>
    <w:rsid w:val="007048B9"/>
    <w:rsid w:val="007068F4"/>
    <w:rsid w:val="00706C5D"/>
    <w:rsid w:val="00717811"/>
    <w:rsid w:val="00717C40"/>
    <w:rsid w:val="00726FD3"/>
    <w:rsid w:val="00727AF9"/>
    <w:rsid w:val="007326BB"/>
    <w:rsid w:val="00732922"/>
    <w:rsid w:val="00741F06"/>
    <w:rsid w:val="0074233A"/>
    <w:rsid w:val="007445C3"/>
    <w:rsid w:val="007501D5"/>
    <w:rsid w:val="007505BC"/>
    <w:rsid w:val="00750907"/>
    <w:rsid w:val="0075162E"/>
    <w:rsid w:val="00752E61"/>
    <w:rsid w:val="007535E4"/>
    <w:rsid w:val="00754034"/>
    <w:rsid w:val="00754C48"/>
    <w:rsid w:val="00754D97"/>
    <w:rsid w:val="00756524"/>
    <w:rsid w:val="00756556"/>
    <w:rsid w:val="00757402"/>
    <w:rsid w:val="00760D82"/>
    <w:rsid w:val="007618C4"/>
    <w:rsid w:val="00762250"/>
    <w:rsid w:val="007639DA"/>
    <w:rsid w:val="00764F84"/>
    <w:rsid w:val="00765056"/>
    <w:rsid w:val="00766EDB"/>
    <w:rsid w:val="00767980"/>
    <w:rsid w:val="00770B19"/>
    <w:rsid w:val="00773071"/>
    <w:rsid w:val="00773273"/>
    <w:rsid w:val="00773B60"/>
    <w:rsid w:val="0077463F"/>
    <w:rsid w:val="00774952"/>
    <w:rsid w:val="007751F7"/>
    <w:rsid w:val="00782806"/>
    <w:rsid w:val="007836EA"/>
    <w:rsid w:val="00784CDA"/>
    <w:rsid w:val="00785E03"/>
    <w:rsid w:val="007906C4"/>
    <w:rsid w:val="007940EA"/>
    <w:rsid w:val="007967E8"/>
    <w:rsid w:val="007A2170"/>
    <w:rsid w:val="007A2171"/>
    <w:rsid w:val="007A22BF"/>
    <w:rsid w:val="007A3323"/>
    <w:rsid w:val="007A6328"/>
    <w:rsid w:val="007A6E2D"/>
    <w:rsid w:val="007A7AE1"/>
    <w:rsid w:val="007B0269"/>
    <w:rsid w:val="007B1206"/>
    <w:rsid w:val="007B2518"/>
    <w:rsid w:val="007B2620"/>
    <w:rsid w:val="007B4670"/>
    <w:rsid w:val="007B59E0"/>
    <w:rsid w:val="007B72B8"/>
    <w:rsid w:val="007B7A31"/>
    <w:rsid w:val="007B7A58"/>
    <w:rsid w:val="007C068C"/>
    <w:rsid w:val="007C087D"/>
    <w:rsid w:val="007C21B5"/>
    <w:rsid w:val="007C5798"/>
    <w:rsid w:val="007C6786"/>
    <w:rsid w:val="007C7000"/>
    <w:rsid w:val="007D4AA3"/>
    <w:rsid w:val="007D4F7E"/>
    <w:rsid w:val="007D5EA3"/>
    <w:rsid w:val="007D69E5"/>
    <w:rsid w:val="007D78E2"/>
    <w:rsid w:val="007D7C17"/>
    <w:rsid w:val="007E0815"/>
    <w:rsid w:val="007E4654"/>
    <w:rsid w:val="007E4BD2"/>
    <w:rsid w:val="007F0990"/>
    <w:rsid w:val="007F0BDD"/>
    <w:rsid w:val="007F427C"/>
    <w:rsid w:val="007F72D9"/>
    <w:rsid w:val="0080042D"/>
    <w:rsid w:val="0080052C"/>
    <w:rsid w:val="00801393"/>
    <w:rsid w:val="00802F88"/>
    <w:rsid w:val="00806B67"/>
    <w:rsid w:val="008076C8"/>
    <w:rsid w:val="0081002C"/>
    <w:rsid w:val="008106FB"/>
    <w:rsid w:val="0081293E"/>
    <w:rsid w:val="00814172"/>
    <w:rsid w:val="00815465"/>
    <w:rsid w:val="00815C8D"/>
    <w:rsid w:val="00816984"/>
    <w:rsid w:val="00816E10"/>
    <w:rsid w:val="00817E9A"/>
    <w:rsid w:val="008218B3"/>
    <w:rsid w:val="00821E3E"/>
    <w:rsid w:val="008236D8"/>
    <w:rsid w:val="0082466C"/>
    <w:rsid w:val="00827273"/>
    <w:rsid w:val="00827521"/>
    <w:rsid w:val="008306BD"/>
    <w:rsid w:val="00831A80"/>
    <w:rsid w:val="0083364C"/>
    <w:rsid w:val="00833743"/>
    <w:rsid w:val="008340A4"/>
    <w:rsid w:val="0083450B"/>
    <w:rsid w:val="00834AD7"/>
    <w:rsid w:val="00842256"/>
    <w:rsid w:val="00842602"/>
    <w:rsid w:val="0084442D"/>
    <w:rsid w:val="00846C11"/>
    <w:rsid w:val="00855E35"/>
    <w:rsid w:val="00855EBB"/>
    <w:rsid w:val="00856C81"/>
    <w:rsid w:val="0085762F"/>
    <w:rsid w:val="008603E9"/>
    <w:rsid w:val="00861539"/>
    <w:rsid w:val="00862BBB"/>
    <w:rsid w:val="008706AF"/>
    <w:rsid w:val="0087135F"/>
    <w:rsid w:val="00871F7A"/>
    <w:rsid w:val="00872C09"/>
    <w:rsid w:val="00872D94"/>
    <w:rsid w:val="00873B0B"/>
    <w:rsid w:val="008742A7"/>
    <w:rsid w:val="00880364"/>
    <w:rsid w:val="00880830"/>
    <w:rsid w:val="008809BB"/>
    <w:rsid w:val="00881448"/>
    <w:rsid w:val="00882CB0"/>
    <w:rsid w:val="00885B6A"/>
    <w:rsid w:val="008913DE"/>
    <w:rsid w:val="00891592"/>
    <w:rsid w:val="00891E9E"/>
    <w:rsid w:val="00893A36"/>
    <w:rsid w:val="00896906"/>
    <w:rsid w:val="008A03EF"/>
    <w:rsid w:val="008A0D49"/>
    <w:rsid w:val="008A1977"/>
    <w:rsid w:val="008A1C59"/>
    <w:rsid w:val="008A2F68"/>
    <w:rsid w:val="008A4D90"/>
    <w:rsid w:val="008A4FE5"/>
    <w:rsid w:val="008A753D"/>
    <w:rsid w:val="008B301F"/>
    <w:rsid w:val="008B402C"/>
    <w:rsid w:val="008B4FA6"/>
    <w:rsid w:val="008B5282"/>
    <w:rsid w:val="008B5330"/>
    <w:rsid w:val="008B67AC"/>
    <w:rsid w:val="008B7C17"/>
    <w:rsid w:val="008C2281"/>
    <w:rsid w:val="008C2D01"/>
    <w:rsid w:val="008C3234"/>
    <w:rsid w:val="008C40E6"/>
    <w:rsid w:val="008C4440"/>
    <w:rsid w:val="008C50BD"/>
    <w:rsid w:val="008C6424"/>
    <w:rsid w:val="008C7EF0"/>
    <w:rsid w:val="008D0925"/>
    <w:rsid w:val="008D0F7A"/>
    <w:rsid w:val="008D12C3"/>
    <w:rsid w:val="008D13E5"/>
    <w:rsid w:val="008D5D47"/>
    <w:rsid w:val="008D68E4"/>
    <w:rsid w:val="008E0506"/>
    <w:rsid w:val="008E0CFF"/>
    <w:rsid w:val="008E3387"/>
    <w:rsid w:val="008E34E8"/>
    <w:rsid w:val="008E5636"/>
    <w:rsid w:val="008E5D6B"/>
    <w:rsid w:val="008E704E"/>
    <w:rsid w:val="008E76F0"/>
    <w:rsid w:val="008F1119"/>
    <w:rsid w:val="008F1403"/>
    <w:rsid w:val="008F15FE"/>
    <w:rsid w:val="008F2D29"/>
    <w:rsid w:val="008F5187"/>
    <w:rsid w:val="008F51BA"/>
    <w:rsid w:val="008F60D8"/>
    <w:rsid w:val="00900F9B"/>
    <w:rsid w:val="00902727"/>
    <w:rsid w:val="0090312B"/>
    <w:rsid w:val="00903702"/>
    <w:rsid w:val="009049B4"/>
    <w:rsid w:val="00907B27"/>
    <w:rsid w:val="00911A18"/>
    <w:rsid w:val="00912466"/>
    <w:rsid w:val="00912AAD"/>
    <w:rsid w:val="00913FFA"/>
    <w:rsid w:val="009166BE"/>
    <w:rsid w:val="0091736D"/>
    <w:rsid w:val="00923FFA"/>
    <w:rsid w:val="009271C8"/>
    <w:rsid w:val="00927F3C"/>
    <w:rsid w:val="00930012"/>
    <w:rsid w:val="0093037A"/>
    <w:rsid w:val="00931185"/>
    <w:rsid w:val="00931F80"/>
    <w:rsid w:val="00932D2D"/>
    <w:rsid w:val="0093313D"/>
    <w:rsid w:val="00934C66"/>
    <w:rsid w:val="009354DC"/>
    <w:rsid w:val="0094154D"/>
    <w:rsid w:val="0094287A"/>
    <w:rsid w:val="0094316D"/>
    <w:rsid w:val="00944C99"/>
    <w:rsid w:val="00946A07"/>
    <w:rsid w:val="00946B4F"/>
    <w:rsid w:val="0095155F"/>
    <w:rsid w:val="00952FFC"/>
    <w:rsid w:val="009535BE"/>
    <w:rsid w:val="0095425F"/>
    <w:rsid w:val="00954429"/>
    <w:rsid w:val="00954C4E"/>
    <w:rsid w:val="00955126"/>
    <w:rsid w:val="00955799"/>
    <w:rsid w:val="009563CE"/>
    <w:rsid w:val="0095674A"/>
    <w:rsid w:val="00957525"/>
    <w:rsid w:val="00957B2B"/>
    <w:rsid w:val="009604E8"/>
    <w:rsid w:val="00960661"/>
    <w:rsid w:val="009606CE"/>
    <w:rsid w:val="00963366"/>
    <w:rsid w:val="00965D2B"/>
    <w:rsid w:val="00965DA7"/>
    <w:rsid w:val="00967A27"/>
    <w:rsid w:val="00970364"/>
    <w:rsid w:val="00970B14"/>
    <w:rsid w:val="00971A9F"/>
    <w:rsid w:val="00974265"/>
    <w:rsid w:val="00974B7B"/>
    <w:rsid w:val="009758F1"/>
    <w:rsid w:val="00976328"/>
    <w:rsid w:val="0097680D"/>
    <w:rsid w:val="0098083D"/>
    <w:rsid w:val="0098141B"/>
    <w:rsid w:val="00982438"/>
    <w:rsid w:val="009838D1"/>
    <w:rsid w:val="00983AE8"/>
    <w:rsid w:val="0098404C"/>
    <w:rsid w:val="00985283"/>
    <w:rsid w:val="00990C6C"/>
    <w:rsid w:val="00991C01"/>
    <w:rsid w:val="00992DF6"/>
    <w:rsid w:val="00992FF3"/>
    <w:rsid w:val="00995992"/>
    <w:rsid w:val="00995DA7"/>
    <w:rsid w:val="00996268"/>
    <w:rsid w:val="00996F6C"/>
    <w:rsid w:val="00997227"/>
    <w:rsid w:val="009A0327"/>
    <w:rsid w:val="009A03E5"/>
    <w:rsid w:val="009A0F3B"/>
    <w:rsid w:val="009A16B1"/>
    <w:rsid w:val="009A1BB4"/>
    <w:rsid w:val="009A2628"/>
    <w:rsid w:val="009A3200"/>
    <w:rsid w:val="009A4E16"/>
    <w:rsid w:val="009B0897"/>
    <w:rsid w:val="009B1FF9"/>
    <w:rsid w:val="009B299E"/>
    <w:rsid w:val="009B2D58"/>
    <w:rsid w:val="009B3EEF"/>
    <w:rsid w:val="009B456D"/>
    <w:rsid w:val="009B4881"/>
    <w:rsid w:val="009B4D6D"/>
    <w:rsid w:val="009B5155"/>
    <w:rsid w:val="009B6E1F"/>
    <w:rsid w:val="009B7116"/>
    <w:rsid w:val="009B7456"/>
    <w:rsid w:val="009B7BD9"/>
    <w:rsid w:val="009C075F"/>
    <w:rsid w:val="009C1DED"/>
    <w:rsid w:val="009C2FC9"/>
    <w:rsid w:val="009C388E"/>
    <w:rsid w:val="009C4A53"/>
    <w:rsid w:val="009C6B06"/>
    <w:rsid w:val="009C7450"/>
    <w:rsid w:val="009C748C"/>
    <w:rsid w:val="009C7DD5"/>
    <w:rsid w:val="009D13B0"/>
    <w:rsid w:val="009D1A9B"/>
    <w:rsid w:val="009D2B3E"/>
    <w:rsid w:val="009D4BD0"/>
    <w:rsid w:val="009D5224"/>
    <w:rsid w:val="009D5D04"/>
    <w:rsid w:val="009D6B2E"/>
    <w:rsid w:val="009D761A"/>
    <w:rsid w:val="009E0C7F"/>
    <w:rsid w:val="009E0CB0"/>
    <w:rsid w:val="009E227D"/>
    <w:rsid w:val="009E455A"/>
    <w:rsid w:val="009E5019"/>
    <w:rsid w:val="009E61DF"/>
    <w:rsid w:val="009E6CA6"/>
    <w:rsid w:val="009F09BD"/>
    <w:rsid w:val="009F2799"/>
    <w:rsid w:val="009F2E81"/>
    <w:rsid w:val="009F450D"/>
    <w:rsid w:val="009F5EEA"/>
    <w:rsid w:val="009F69EB"/>
    <w:rsid w:val="00A01291"/>
    <w:rsid w:val="00A04F1B"/>
    <w:rsid w:val="00A0501B"/>
    <w:rsid w:val="00A10DAA"/>
    <w:rsid w:val="00A14947"/>
    <w:rsid w:val="00A22ACA"/>
    <w:rsid w:val="00A231B9"/>
    <w:rsid w:val="00A2397C"/>
    <w:rsid w:val="00A2466B"/>
    <w:rsid w:val="00A24CD3"/>
    <w:rsid w:val="00A279E6"/>
    <w:rsid w:val="00A30B8A"/>
    <w:rsid w:val="00A31E38"/>
    <w:rsid w:val="00A32A83"/>
    <w:rsid w:val="00A354A1"/>
    <w:rsid w:val="00A368DB"/>
    <w:rsid w:val="00A40877"/>
    <w:rsid w:val="00A40B74"/>
    <w:rsid w:val="00A40C76"/>
    <w:rsid w:val="00A423AA"/>
    <w:rsid w:val="00A42579"/>
    <w:rsid w:val="00A438A3"/>
    <w:rsid w:val="00A43B5C"/>
    <w:rsid w:val="00A45DC5"/>
    <w:rsid w:val="00A45FCD"/>
    <w:rsid w:val="00A51147"/>
    <w:rsid w:val="00A53EC6"/>
    <w:rsid w:val="00A543D6"/>
    <w:rsid w:val="00A5447F"/>
    <w:rsid w:val="00A55C0F"/>
    <w:rsid w:val="00A566F5"/>
    <w:rsid w:val="00A56A55"/>
    <w:rsid w:val="00A61E27"/>
    <w:rsid w:val="00A62E61"/>
    <w:rsid w:val="00A659F8"/>
    <w:rsid w:val="00A70E12"/>
    <w:rsid w:val="00A71290"/>
    <w:rsid w:val="00A73AB5"/>
    <w:rsid w:val="00A73EDD"/>
    <w:rsid w:val="00A8097F"/>
    <w:rsid w:val="00A82A41"/>
    <w:rsid w:val="00A85C66"/>
    <w:rsid w:val="00A866E0"/>
    <w:rsid w:val="00A8713F"/>
    <w:rsid w:val="00A90BA1"/>
    <w:rsid w:val="00A90DF9"/>
    <w:rsid w:val="00A93858"/>
    <w:rsid w:val="00A94335"/>
    <w:rsid w:val="00A957E9"/>
    <w:rsid w:val="00A97A9A"/>
    <w:rsid w:val="00AA0671"/>
    <w:rsid w:val="00AA1F65"/>
    <w:rsid w:val="00AA2531"/>
    <w:rsid w:val="00AA348F"/>
    <w:rsid w:val="00AA3604"/>
    <w:rsid w:val="00AB0A05"/>
    <w:rsid w:val="00AB1407"/>
    <w:rsid w:val="00AB1E09"/>
    <w:rsid w:val="00AB2B6C"/>
    <w:rsid w:val="00AB4B65"/>
    <w:rsid w:val="00AB5330"/>
    <w:rsid w:val="00AB7747"/>
    <w:rsid w:val="00AC14CE"/>
    <w:rsid w:val="00AC2A56"/>
    <w:rsid w:val="00AC33E3"/>
    <w:rsid w:val="00AC3965"/>
    <w:rsid w:val="00AC5902"/>
    <w:rsid w:val="00AD055E"/>
    <w:rsid w:val="00AD08AB"/>
    <w:rsid w:val="00AD2CE4"/>
    <w:rsid w:val="00AD47A7"/>
    <w:rsid w:val="00AD6B68"/>
    <w:rsid w:val="00AE0366"/>
    <w:rsid w:val="00AE15AA"/>
    <w:rsid w:val="00AE2BF0"/>
    <w:rsid w:val="00AF0CBF"/>
    <w:rsid w:val="00AF0D0B"/>
    <w:rsid w:val="00AF1827"/>
    <w:rsid w:val="00AF257F"/>
    <w:rsid w:val="00AF33CF"/>
    <w:rsid w:val="00AF4D50"/>
    <w:rsid w:val="00AF6179"/>
    <w:rsid w:val="00AF6A04"/>
    <w:rsid w:val="00B010E1"/>
    <w:rsid w:val="00B0210B"/>
    <w:rsid w:val="00B03022"/>
    <w:rsid w:val="00B0627D"/>
    <w:rsid w:val="00B11993"/>
    <w:rsid w:val="00B1295A"/>
    <w:rsid w:val="00B12B60"/>
    <w:rsid w:val="00B202EA"/>
    <w:rsid w:val="00B209BD"/>
    <w:rsid w:val="00B20A45"/>
    <w:rsid w:val="00B2188A"/>
    <w:rsid w:val="00B22C5C"/>
    <w:rsid w:val="00B24E45"/>
    <w:rsid w:val="00B24F30"/>
    <w:rsid w:val="00B2628C"/>
    <w:rsid w:val="00B31ABF"/>
    <w:rsid w:val="00B31EED"/>
    <w:rsid w:val="00B33BE3"/>
    <w:rsid w:val="00B37C21"/>
    <w:rsid w:val="00B40151"/>
    <w:rsid w:val="00B40A70"/>
    <w:rsid w:val="00B40BE1"/>
    <w:rsid w:val="00B40CD1"/>
    <w:rsid w:val="00B4118A"/>
    <w:rsid w:val="00B42AAF"/>
    <w:rsid w:val="00B42F97"/>
    <w:rsid w:val="00B45F1A"/>
    <w:rsid w:val="00B46FCC"/>
    <w:rsid w:val="00B50911"/>
    <w:rsid w:val="00B50BEE"/>
    <w:rsid w:val="00B53B5D"/>
    <w:rsid w:val="00B53E96"/>
    <w:rsid w:val="00B54427"/>
    <w:rsid w:val="00B6055E"/>
    <w:rsid w:val="00B621F4"/>
    <w:rsid w:val="00B6317D"/>
    <w:rsid w:val="00B637B3"/>
    <w:rsid w:val="00B707A9"/>
    <w:rsid w:val="00B71BDC"/>
    <w:rsid w:val="00B73EB1"/>
    <w:rsid w:val="00B7497D"/>
    <w:rsid w:val="00B7723F"/>
    <w:rsid w:val="00B77E81"/>
    <w:rsid w:val="00B80534"/>
    <w:rsid w:val="00B8072A"/>
    <w:rsid w:val="00B80FBF"/>
    <w:rsid w:val="00B8233C"/>
    <w:rsid w:val="00B8433C"/>
    <w:rsid w:val="00B84CC6"/>
    <w:rsid w:val="00B851C5"/>
    <w:rsid w:val="00B87491"/>
    <w:rsid w:val="00B93147"/>
    <w:rsid w:val="00B94086"/>
    <w:rsid w:val="00B961BD"/>
    <w:rsid w:val="00B96B0A"/>
    <w:rsid w:val="00B96B8D"/>
    <w:rsid w:val="00B96CDE"/>
    <w:rsid w:val="00B96EC7"/>
    <w:rsid w:val="00B97243"/>
    <w:rsid w:val="00BA1F94"/>
    <w:rsid w:val="00BA29E9"/>
    <w:rsid w:val="00BA4165"/>
    <w:rsid w:val="00BA4560"/>
    <w:rsid w:val="00BA69D3"/>
    <w:rsid w:val="00BA7142"/>
    <w:rsid w:val="00BB01D0"/>
    <w:rsid w:val="00BB1081"/>
    <w:rsid w:val="00BB237C"/>
    <w:rsid w:val="00BB2993"/>
    <w:rsid w:val="00BB3C69"/>
    <w:rsid w:val="00BB41A3"/>
    <w:rsid w:val="00BB4ED1"/>
    <w:rsid w:val="00BB64BD"/>
    <w:rsid w:val="00BB6D14"/>
    <w:rsid w:val="00BB750F"/>
    <w:rsid w:val="00BB7ED0"/>
    <w:rsid w:val="00BC1126"/>
    <w:rsid w:val="00BC1898"/>
    <w:rsid w:val="00BC1A99"/>
    <w:rsid w:val="00BC32DC"/>
    <w:rsid w:val="00BC35B6"/>
    <w:rsid w:val="00BC46C7"/>
    <w:rsid w:val="00BC5E14"/>
    <w:rsid w:val="00BD1B51"/>
    <w:rsid w:val="00BD2BD8"/>
    <w:rsid w:val="00BD35D6"/>
    <w:rsid w:val="00BD4596"/>
    <w:rsid w:val="00BD4F72"/>
    <w:rsid w:val="00BD7291"/>
    <w:rsid w:val="00BD7EEC"/>
    <w:rsid w:val="00BE06A5"/>
    <w:rsid w:val="00BE1405"/>
    <w:rsid w:val="00BE14FC"/>
    <w:rsid w:val="00BE1976"/>
    <w:rsid w:val="00BE312D"/>
    <w:rsid w:val="00BE5A10"/>
    <w:rsid w:val="00BE5E83"/>
    <w:rsid w:val="00BF15C6"/>
    <w:rsid w:val="00BF1C20"/>
    <w:rsid w:val="00BF1EA8"/>
    <w:rsid w:val="00BF2C0E"/>
    <w:rsid w:val="00BF445D"/>
    <w:rsid w:val="00C002C6"/>
    <w:rsid w:val="00C011F4"/>
    <w:rsid w:val="00C01581"/>
    <w:rsid w:val="00C02626"/>
    <w:rsid w:val="00C02928"/>
    <w:rsid w:val="00C02A88"/>
    <w:rsid w:val="00C047F4"/>
    <w:rsid w:val="00C059DD"/>
    <w:rsid w:val="00C102C2"/>
    <w:rsid w:val="00C10578"/>
    <w:rsid w:val="00C113A7"/>
    <w:rsid w:val="00C1149B"/>
    <w:rsid w:val="00C12847"/>
    <w:rsid w:val="00C135BC"/>
    <w:rsid w:val="00C15C95"/>
    <w:rsid w:val="00C205A1"/>
    <w:rsid w:val="00C227EC"/>
    <w:rsid w:val="00C24619"/>
    <w:rsid w:val="00C24A5E"/>
    <w:rsid w:val="00C2596A"/>
    <w:rsid w:val="00C27537"/>
    <w:rsid w:val="00C313D5"/>
    <w:rsid w:val="00C31A05"/>
    <w:rsid w:val="00C31B06"/>
    <w:rsid w:val="00C327D3"/>
    <w:rsid w:val="00C328FE"/>
    <w:rsid w:val="00C33507"/>
    <w:rsid w:val="00C33A7F"/>
    <w:rsid w:val="00C34B61"/>
    <w:rsid w:val="00C37566"/>
    <w:rsid w:val="00C41DB1"/>
    <w:rsid w:val="00C41FBA"/>
    <w:rsid w:val="00C42D3C"/>
    <w:rsid w:val="00C4409D"/>
    <w:rsid w:val="00C440AF"/>
    <w:rsid w:val="00C44E72"/>
    <w:rsid w:val="00C45A06"/>
    <w:rsid w:val="00C47E5B"/>
    <w:rsid w:val="00C51694"/>
    <w:rsid w:val="00C537F9"/>
    <w:rsid w:val="00C53C5B"/>
    <w:rsid w:val="00C53E66"/>
    <w:rsid w:val="00C55946"/>
    <w:rsid w:val="00C561DC"/>
    <w:rsid w:val="00C57741"/>
    <w:rsid w:val="00C57D5C"/>
    <w:rsid w:val="00C60082"/>
    <w:rsid w:val="00C60185"/>
    <w:rsid w:val="00C61E4B"/>
    <w:rsid w:val="00C63A71"/>
    <w:rsid w:val="00C64BFF"/>
    <w:rsid w:val="00C65C45"/>
    <w:rsid w:val="00C66484"/>
    <w:rsid w:val="00C704E9"/>
    <w:rsid w:val="00C72279"/>
    <w:rsid w:val="00C7491A"/>
    <w:rsid w:val="00C763C9"/>
    <w:rsid w:val="00C80057"/>
    <w:rsid w:val="00C80BD1"/>
    <w:rsid w:val="00C813D7"/>
    <w:rsid w:val="00C82232"/>
    <w:rsid w:val="00C82422"/>
    <w:rsid w:val="00C82913"/>
    <w:rsid w:val="00C83DA0"/>
    <w:rsid w:val="00C851C1"/>
    <w:rsid w:val="00C867DA"/>
    <w:rsid w:val="00C86895"/>
    <w:rsid w:val="00C90D89"/>
    <w:rsid w:val="00C918B1"/>
    <w:rsid w:val="00C91A69"/>
    <w:rsid w:val="00C921FE"/>
    <w:rsid w:val="00C92313"/>
    <w:rsid w:val="00C92A3A"/>
    <w:rsid w:val="00C92B4F"/>
    <w:rsid w:val="00C92C00"/>
    <w:rsid w:val="00C97079"/>
    <w:rsid w:val="00C97186"/>
    <w:rsid w:val="00C972B1"/>
    <w:rsid w:val="00CA2CCE"/>
    <w:rsid w:val="00CA394F"/>
    <w:rsid w:val="00CA43FD"/>
    <w:rsid w:val="00CA52F3"/>
    <w:rsid w:val="00CA766D"/>
    <w:rsid w:val="00CA7EF8"/>
    <w:rsid w:val="00CB0859"/>
    <w:rsid w:val="00CB1182"/>
    <w:rsid w:val="00CB1464"/>
    <w:rsid w:val="00CB2404"/>
    <w:rsid w:val="00CB2BF1"/>
    <w:rsid w:val="00CB3718"/>
    <w:rsid w:val="00CB3A62"/>
    <w:rsid w:val="00CB7535"/>
    <w:rsid w:val="00CC2782"/>
    <w:rsid w:val="00CC2BF0"/>
    <w:rsid w:val="00CC472A"/>
    <w:rsid w:val="00CC489B"/>
    <w:rsid w:val="00CC5F6F"/>
    <w:rsid w:val="00CC62D7"/>
    <w:rsid w:val="00CC70B1"/>
    <w:rsid w:val="00CD05AC"/>
    <w:rsid w:val="00CD1CAD"/>
    <w:rsid w:val="00CD1D45"/>
    <w:rsid w:val="00CD1DFA"/>
    <w:rsid w:val="00CD28D0"/>
    <w:rsid w:val="00CD2BCD"/>
    <w:rsid w:val="00CD364F"/>
    <w:rsid w:val="00CD3A4C"/>
    <w:rsid w:val="00CD454B"/>
    <w:rsid w:val="00CD659C"/>
    <w:rsid w:val="00CE10E9"/>
    <w:rsid w:val="00CE1263"/>
    <w:rsid w:val="00CE2910"/>
    <w:rsid w:val="00CE49E7"/>
    <w:rsid w:val="00CE5393"/>
    <w:rsid w:val="00CE578A"/>
    <w:rsid w:val="00CE75EF"/>
    <w:rsid w:val="00CF2726"/>
    <w:rsid w:val="00CF2900"/>
    <w:rsid w:val="00CF2E77"/>
    <w:rsid w:val="00CF36BE"/>
    <w:rsid w:val="00CF3B8E"/>
    <w:rsid w:val="00CF6000"/>
    <w:rsid w:val="00CF63C6"/>
    <w:rsid w:val="00CF6D4D"/>
    <w:rsid w:val="00D003F3"/>
    <w:rsid w:val="00D00EED"/>
    <w:rsid w:val="00D0364F"/>
    <w:rsid w:val="00D04958"/>
    <w:rsid w:val="00D04ABC"/>
    <w:rsid w:val="00D06834"/>
    <w:rsid w:val="00D102A3"/>
    <w:rsid w:val="00D15140"/>
    <w:rsid w:val="00D15B64"/>
    <w:rsid w:val="00D15C26"/>
    <w:rsid w:val="00D15EAD"/>
    <w:rsid w:val="00D167D3"/>
    <w:rsid w:val="00D20043"/>
    <w:rsid w:val="00D20A8B"/>
    <w:rsid w:val="00D20ABF"/>
    <w:rsid w:val="00D22569"/>
    <w:rsid w:val="00D308ED"/>
    <w:rsid w:val="00D30D06"/>
    <w:rsid w:val="00D31CC0"/>
    <w:rsid w:val="00D34CDD"/>
    <w:rsid w:val="00D36D86"/>
    <w:rsid w:val="00D40604"/>
    <w:rsid w:val="00D40E4B"/>
    <w:rsid w:val="00D4180A"/>
    <w:rsid w:val="00D428AA"/>
    <w:rsid w:val="00D42E18"/>
    <w:rsid w:val="00D447DF"/>
    <w:rsid w:val="00D46E31"/>
    <w:rsid w:val="00D50A34"/>
    <w:rsid w:val="00D537E4"/>
    <w:rsid w:val="00D53EFA"/>
    <w:rsid w:val="00D542AB"/>
    <w:rsid w:val="00D5498E"/>
    <w:rsid w:val="00D56B20"/>
    <w:rsid w:val="00D60143"/>
    <w:rsid w:val="00D6284E"/>
    <w:rsid w:val="00D6469C"/>
    <w:rsid w:val="00D64D92"/>
    <w:rsid w:val="00D65E85"/>
    <w:rsid w:val="00D67AC1"/>
    <w:rsid w:val="00D73236"/>
    <w:rsid w:val="00D76B19"/>
    <w:rsid w:val="00D8302A"/>
    <w:rsid w:val="00D848A5"/>
    <w:rsid w:val="00D84CCB"/>
    <w:rsid w:val="00D87B26"/>
    <w:rsid w:val="00D90414"/>
    <w:rsid w:val="00D938A1"/>
    <w:rsid w:val="00D9439C"/>
    <w:rsid w:val="00D94A7C"/>
    <w:rsid w:val="00D95449"/>
    <w:rsid w:val="00D95896"/>
    <w:rsid w:val="00D96A75"/>
    <w:rsid w:val="00D97663"/>
    <w:rsid w:val="00D97D39"/>
    <w:rsid w:val="00DA071B"/>
    <w:rsid w:val="00DA14F7"/>
    <w:rsid w:val="00DA3805"/>
    <w:rsid w:val="00DA3EDC"/>
    <w:rsid w:val="00DA46E8"/>
    <w:rsid w:val="00DA508C"/>
    <w:rsid w:val="00DA78BA"/>
    <w:rsid w:val="00DB0243"/>
    <w:rsid w:val="00DB0BCD"/>
    <w:rsid w:val="00DB0C36"/>
    <w:rsid w:val="00DB111F"/>
    <w:rsid w:val="00DB2983"/>
    <w:rsid w:val="00DB5101"/>
    <w:rsid w:val="00DB56CD"/>
    <w:rsid w:val="00DB6A7F"/>
    <w:rsid w:val="00DB6BA2"/>
    <w:rsid w:val="00DC1257"/>
    <w:rsid w:val="00DC29D7"/>
    <w:rsid w:val="00DC2D29"/>
    <w:rsid w:val="00DC3DC0"/>
    <w:rsid w:val="00DC58BC"/>
    <w:rsid w:val="00DC5B2B"/>
    <w:rsid w:val="00DC7BF0"/>
    <w:rsid w:val="00DD263B"/>
    <w:rsid w:val="00DD318D"/>
    <w:rsid w:val="00DD3663"/>
    <w:rsid w:val="00DD656E"/>
    <w:rsid w:val="00DD7DE1"/>
    <w:rsid w:val="00DE04E9"/>
    <w:rsid w:val="00DE1604"/>
    <w:rsid w:val="00DE1991"/>
    <w:rsid w:val="00DE559C"/>
    <w:rsid w:val="00DE56D3"/>
    <w:rsid w:val="00DE5C01"/>
    <w:rsid w:val="00DF2E12"/>
    <w:rsid w:val="00DF3916"/>
    <w:rsid w:val="00DF514A"/>
    <w:rsid w:val="00DF595E"/>
    <w:rsid w:val="00DF62FC"/>
    <w:rsid w:val="00DF6690"/>
    <w:rsid w:val="00DF6804"/>
    <w:rsid w:val="00E007C1"/>
    <w:rsid w:val="00E0119F"/>
    <w:rsid w:val="00E0356B"/>
    <w:rsid w:val="00E0358D"/>
    <w:rsid w:val="00E041B4"/>
    <w:rsid w:val="00E04323"/>
    <w:rsid w:val="00E05E17"/>
    <w:rsid w:val="00E070A2"/>
    <w:rsid w:val="00E070F9"/>
    <w:rsid w:val="00E07D99"/>
    <w:rsid w:val="00E13E7C"/>
    <w:rsid w:val="00E17C70"/>
    <w:rsid w:val="00E22ADA"/>
    <w:rsid w:val="00E2593D"/>
    <w:rsid w:val="00E2656A"/>
    <w:rsid w:val="00E314E7"/>
    <w:rsid w:val="00E31885"/>
    <w:rsid w:val="00E323DF"/>
    <w:rsid w:val="00E3549E"/>
    <w:rsid w:val="00E412D0"/>
    <w:rsid w:val="00E41673"/>
    <w:rsid w:val="00E41A6E"/>
    <w:rsid w:val="00E41ABC"/>
    <w:rsid w:val="00E41DDC"/>
    <w:rsid w:val="00E435C6"/>
    <w:rsid w:val="00E4655F"/>
    <w:rsid w:val="00E50799"/>
    <w:rsid w:val="00E50AF0"/>
    <w:rsid w:val="00E51978"/>
    <w:rsid w:val="00E5216C"/>
    <w:rsid w:val="00E53F56"/>
    <w:rsid w:val="00E55236"/>
    <w:rsid w:val="00E56322"/>
    <w:rsid w:val="00E60982"/>
    <w:rsid w:val="00E60A9C"/>
    <w:rsid w:val="00E62378"/>
    <w:rsid w:val="00E6283A"/>
    <w:rsid w:val="00E62C62"/>
    <w:rsid w:val="00E63319"/>
    <w:rsid w:val="00E63E1A"/>
    <w:rsid w:val="00E654C1"/>
    <w:rsid w:val="00E65D97"/>
    <w:rsid w:val="00E72A5A"/>
    <w:rsid w:val="00E73354"/>
    <w:rsid w:val="00E7499C"/>
    <w:rsid w:val="00E76324"/>
    <w:rsid w:val="00E76B99"/>
    <w:rsid w:val="00E77243"/>
    <w:rsid w:val="00E779EE"/>
    <w:rsid w:val="00E77B60"/>
    <w:rsid w:val="00E83A95"/>
    <w:rsid w:val="00E87651"/>
    <w:rsid w:val="00E90550"/>
    <w:rsid w:val="00E9242D"/>
    <w:rsid w:val="00E9499B"/>
    <w:rsid w:val="00E9556A"/>
    <w:rsid w:val="00EA2B96"/>
    <w:rsid w:val="00EA375E"/>
    <w:rsid w:val="00EA4DD0"/>
    <w:rsid w:val="00EB01B3"/>
    <w:rsid w:val="00EB167F"/>
    <w:rsid w:val="00EB22C3"/>
    <w:rsid w:val="00EB38EC"/>
    <w:rsid w:val="00EB5255"/>
    <w:rsid w:val="00EB5C47"/>
    <w:rsid w:val="00EB7637"/>
    <w:rsid w:val="00EC6DDF"/>
    <w:rsid w:val="00EC6E43"/>
    <w:rsid w:val="00ED0279"/>
    <w:rsid w:val="00ED0639"/>
    <w:rsid w:val="00ED1092"/>
    <w:rsid w:val="00ED140E"/>
    <w:rsid w:val="00ED430B"/>
    <w:rsid w:val="00ED4D03"/>
    <w:rsid w:val="00EE04D0"/>
    <w:rsid w:val="00EE0541"/>
    <w:rsid w:val="00EE57DB"/>
    <w:rsid w:val="00EE72B0"/>
    <w:rsid w:val="00EF2CA6"/>
    <w:rsid w:val="00EF4755"/>
    <w:rsid w:val="00EF69B9"/>
    <w:rsid w:val="00EF6F0E"/>
    <w:rsid w:val="00EF7135"/>
    <w:rsid w:val="00F00C1A"/>
    <w:rsid w:val="00F019CC"/>
    <w:rsid w:val="00F027DB"/>
    <w:rsid w:val="00F02BA7"/>
    <w:rsid w:val="00F0381E"/>
    <w:rsid w:val="00F078E2"/>
    <w:rsid w:val="00F108C6"/>
    <w:rsid w:val="00F10984"/>
    <w:rsid w:val="00F12BB7"/>
    <w:rsid w:val="00F14A7A"/>
    <w:rsid w:val="00F16ECD"/>
    <w:rsid w:val="00F200E6"/>
    <w:rsid w:val="00F22985"/>
    <w:rsid w:val="00F245DE"/>
    <w:rsid w:val="00F2567E"/>
    <w:rsid w:val="00F25A02"/>
    <w:rsid w:val="00F265C6"/>
    <w:rsid w:val="00F26E64"/>
    <w:rsid w:val="00F3383E"/>
    <w:rsid w:val="00F34FBD"/>
    <w:rsid w:val="00F35698"/>
    <w:rsid w:val="00F371B5"/>
    <w:rsid w:val="00F40120"/>
    <w:rsid w:val="00F415B8"/>
    <w:rsid w:val="00F44F67"/>
    <w:rsid w:val="00F454A5"/>
    <w:rsid w:val="00F465A7"/>
    <w:rsid w:val="00F472C0"/>
    <w:rsid w:val="00F50B7C"/>
    <w:rsid w:val="00F54EFF"/>
    <w:rsid w:val="00F550E6"/>
    <w:rsid w:val="00F553B4"/>
    <w:rsid w:val="00F57035"/>
    <w:rsid w:val="00F57E24"/>
    <w:rsid w:val="00F57F90"/>
    <w:rsid w:val="00F60BAF"/>
    <w:rsid w:val="00F6185C"/>
    <w:rsid w:val="00F631B2"/>
    <w:rsid w:val="00F63355"/>
    <w:rsid w:val="00F64744"/>
    <w:rsid w:val="00F6599D"/>
    <w:rsid w:val="00F676A6"/>
    <w:rsid w:val="00F67783"/>
    <w:rsid w:val="00F7091D"/>
    <w:rsid w:val="00F72681"/>
    <w:rsid w:val="00F7272D"/>
    <w:rsid w:val="00F74345"/>
    <w:rsid w:val="00F75B6F"/>
    <w:rsid w:val="00F80A0A"/>
    <w:rsid w:val="00F82B19"/>
    <w:rsid w:val="00F82FE2"/>
    <w:rsid w:val="00F83FCC"/>
    <w:rsid w:val="00F84F30"/>
    <w:rsid w:val="00F85D47"/>
    <w:rsid w:val="00F86B4C"/>
    <w:rsid w:val="00F90C8F"/>
    <w:rsid w:val="00F916B3"/>
    <w:rsid w:val="00F9197C"/>
    <w:rsid w:val="00F9212D"/>
    <w:rsid w:val="00F92629"/>
    <w:rsid w:val="00F96341"/>
    <w:rsid w:val="00F965DA"/>
    <w:rsid w:val="00F97230"/>
    <w:rsid w:val="00F97FF0"/>
    <w:rsid w:val="00FA0B13"/>
    <w:rsid w:val="00FA0DE7"/>
    <w:rsid w:val="00FA102C"/>
    <w:rsid w:val="00FA298B"/>
    <w:rsid w:val="00FA3266"/>
    <w:rsid w:val="00FA406A"/>
    <w:rsid w:val="00FA43AC"/>
    <w:rsid w:val="00FA44A9"/>
    <w:rsid w:val="00FA44FF"/>
    <w:rsid w:val="00FA4BBA"/>
    <w:rsid w:val="00FA7B12"/>
    <w:rsid w:val="00FA7D98"/>
    <w:rsid w:val="00FB0C51"/>
    <w:rsid w:val="00FB1F01"/>
    <w:rsid w:val="00FB3572"/>
    <w:rsid w:val="00FB41AE"/>
    <w:rsid w:val="00FB503A"/>
    <w:rsid w:val="00FB516C"/>
    <w:rsid w:val="00FC37C3"/>
    <w:rsid w:val="00FC43D5"/>
    <w:rsid w:val="00FC4646"/>
    <w:rsid w:val="00FC5737"/>
    <w:rsid w:val="00FC7DE9"/>
    <w:rsid w:val="00FD0236"/>
    <w:rsid w:val="00FD0E96"/>
    <w:rsid w:val="00FD146A"/>
    <w:rsid w:val="00FD18F4"/>
    <w:rsid w:val="00FD421F"/>
    <w:rsid w:val="00FD54DB"/>
    <w:rsid w:val="00FD619F"/>
    <w:rsid w:val="00FD630F"/>
    <w:rsid w:val="00FD638F"/>
    <w:rsid w:val="00FD65F7"/>
    <w:rsid w:val="00FE0D89"/>
    <w:rsid w:val="00FE18CD"/>
    <w:rsid w:val="00FE23F3"/>
    <w:rsid w:val="00FE25A9"/>
    <w:rsid w:val="00FE4F49"/>
    <w:rsid w:val="00FF00FE"/>
    <w:rsid w:val="00FF08DA"/>
    <w:rsid w:val="00FF1A96"/>
    <w:rsid w:val="00FF444B"/>
    <w:rsid w:val="00FF4C7C"/>
    <w:rsid w:val="00FF53A5"/>
    <w:rsid w:val="00FF6F6C"/>
    <w:rsid w:val="00FF7983"/>
    <w:rsid w:val="01290F7E"/>
    <w:rsid w:val="015D1E09"/>
    <w:rsid w:val="0180172E"/>
    <w:rsid w:val="01BF64E7"/>
    <w:rsid w:val="01E46D29"/>
    <w:rsid w:val="01E4734E"/>
    <w:rsid w:val="01E66FA5"/>
    <w:rsid w:val="020A7FD2"/>
    <w:rsid w:val="02421687"/>
    <w:rsid w:val="024F4142"/>
    <w:rsid w:val="02697903"/>
    <w:rsid w:val="02821CF6"/>
    <w:rsid w:val="02F96569"/>
    <w:rsid w:val="0355333D"/>
    <w:rsid w:val="03555A42"/>
    <w:rsid w:val="035E0E73"/>
    <w:rsid w:val="03627B41"/>
    <w:rsid w:val="03E7037A"/>
    <w:rsid w:val="03E73AF0"/>
    <w:rsid w:val="03EA7B21"/>
    <w:rsid w:val="040F1016"/>
    <w:rsid w:val="041D29A4"/>
    <w:rsid w:val="043E3AAB"/>
    <w:rsid w:val="04826D2E"/>
    <w:rsid w:val="04FE70B1"/>
    <w:rsid w:val="05305441"/>
    <w:rsid w:val="05B839EE"/>
    <w:rsid w:val="05BF488C"/>
    <w:rsid w:val="05C649F8"/>
    <w:rsid w:val="05F83EAE"/>
    <w:rsid w:val="063E7D85"/>
    <w:rsid w:val="06B5438C"/>
    <w:rsid w:val="06F61413"/>
    <w:rsid w:val="0714309F"/>
    <w:rsid w:val="072542A6"/>
    <w:rsid w:val="07293586"/>
    <w:rsid w:val="07295285"/>
    <w:rsid w:val="075966C6"/>
    <w:rsid w:val="07632E46"/>
    <w:rsid w:val="07636392"/>
    <w:rsid w:val="077319B0"/>
    <w:rsid w:val="07770C56"/>
    <w:rsid w:val="07B90CB8"/>
    <w:rsid w:val="07CA28F2"/>
    <w:rsid w:val="07F92E63"/>
    <w:rsid w:val="07FB3B8A"/>
    <w:rsid w:val="0824564F"/>
    <w:rsid w:val="087B7018"/>
    <w:rsid w:val="088E0F57"/>
    <w:rsid w:val="08E52F2F"/>
    <w:rsid w:val="08F2393E"/>
    <w:rsid w:val="092217DD"/>
    <w:rsid w:val="093A7294"/>
    <w:rsid w:val="09B4286D"/>
    <w:rsid w:val="09CB6D29"/>
    <w:rsid w:val="09D8591F"/>
    <w:rsid w:val="09E359CE"/>
    <w:rsid w:val="09E43023"/>
    <w:rsid w:val="09EF5BD2"/>
    <w:rsid w:val="0A0147F5"/>
    <w:rsid w:val="0A0E4694"/>
    <w:rsid w:val="0A263993"/>
    <w:rsid w:val="0A2D3AC2"/>
    <w:rsid w:val="0AA755DF"/>
    <w:rsid w:val="0ABB5B86"/>
    <w:rsid w:val="0ABD50D5"/>
    <w:rsid w:val="0B05329D"/>
    <w:rsid w:val="0B120D44"/>
    <w:rsid w:val="0B1F051E"/>
    <w:rsid w:val="0B5E610D"/>
    <w:rsid w:val="0BA723C6"/>
    <w:rsid w:val="0BB07410"/>
    <w:rsid w:val="0BD27BF6"/>
    <w:rsid w:val="0BE60E87"/>
    <w:rsid w:val="0BE6239B"/>
    <w:rsid w:val="0BEA72E3"/>
    <w:rsid w:val="0C1B5E0D"/>
    <w:rsid w:val="0C3B3C7D"/>
    <w:rsid w:val="0C450D6C"/>
    <w:rsid w:val="0C500240"/>
    <w:rsid w:val="0C9F6F9F"/>
    <w:rsid w:val="0CAB2EAE"/>
    <w:rsid w:val="0CB14882"/>
    <w:rsid w:val="0CC2278B"/>
    <w:rsid w:val="0D166265"/>
    <w:rsid w:val="0D2D03D9"/>
    <w:rsid w:val="0D557661"/>
    <w:rsid w:val="0D621C7D"/>
    <w:rsid w:val="0D846D0F"/>
    <w:rsid w:val="0DD558B1"/>
    <w:rsid w:val="0E27642E"/>
    <w:rsid w:val="0E39220B"/>
    <w:rsid w:val="0E45315D"/>
    <w:rsid w:val="0E633F0E"/>
    <w:rsid w:val="0E73034D"/>
    <w:rsid w:val="0E9F1E20"/>
    <w:rsid w:val="0EA74452"/>
    <w:rsid w:val="0EAB4FAD"/>
    <w:rsid w:val="0F13775A"/>
    <w:rsid w:val="0F346E76"/>
    <w:rsid w:val="0F5F45FE"/>
    <w:rsid w:val="0F5F764E"/>
    <w:rsid w:val="0F6A20AB"/>
    <w:rsid w:val="0F6F1C49"/>
    <w:rsid w:val="0F916699"/>
    <w:rsid w:val="0F9A112B"/>
    <w:rsid w:val="10210EB9"/>
    <w:rsid w:val="103D1A5F"/>
    <w:rsid w:val="106D2F64"/>
    <w:rsid w:val="10793DC0"/>
    <w:rsid w:val="10B63710"/>
    <w:rsid w:val="10F10820"/>
    <w:rsid w:val="111C2F7A"/>
    <w:rsid w:val="11665CA1"/>
    <w:rsid w:val="11C32457"/>
    <w:rsid w:val="11EB233C"/>
    <w:rsid w:val="11EE3D2C"/>
    <w:rsid w:val="11F7014F"/>
    <w:rsid w:val="120E1C01"/>
    <w:rsid w:val="12453E6F"/>
    <w:rsid w:val="12541552"/>
    <w:rsid w:val="130A4823"/>
    <w:rsid w:val="13233CBA"/>
    <w:rsid w:val="13922D96"/>
    <w:rsid w:val="13951726"/>
    <w:rsid w:val="14125390"/>
    <w:rsid w:val="14396509"/>
    <w:rsid w:val="145F6743"/>
    <w:rsid w:val="14691C04"/>
    <w:rsid w:val="14B33B5C"/>
    <w:rsid w:val="14D230D3"/>
    <w:rsid w:val="14DD2C3C"/>
    <w:rsid w:val="14E15661"/>
    <w:rsid w:val="14E54E9B"/>
    <w:rsid w:val="155D0768"/>
    <w:rsid w:val="15845446"/>
    <w:rsid w:val="158C5316"/>
    <w:rsid w:val="1594066F"/>
    <w:rsid w:val="15981B0C"/>
    <w:rsid w:val="15D8187F"/>
    <w:rsid w:val="16087E1D"/>
    <w:rsid w:val="161500A2"/>
    <w:rsid w:val="162A52B6"/>
    <w:rsid w:val="16640041"/>
    <w:rsid w:val="168406E3"/>
    <w:rsid w:val="168E5998"/>
    <w:rsid w:val="16E750A1"/>
    <w:rsid w:val="170344A1"/>
    <w:rsid w:val="1704730A"/>
    <w:rsid w:val="173E1866"/>
    <w:rsid w:val="175C5A0C"/>
    <w:rsid w:val="17701D14"/>
    <w:rsid w:val="17716EB9"/>
    <w:rsid w:val="17735226"/>
    <w:rsid w:val="17D47340"/>
    <w:rsid w:val="1830679F"/>
    <w:rsid w:val="183E4041"/>
    <w:rsid w:val="18401869"/>
    <w:rsid w:val="189F624C"/>
    <w:rsid w:val="18A230A3"/>
    <w:rsid w:val="199724DC"/>
    <w:rsid w:val="19E22634"/>
    <w:rsid w:val="1A1A6381"/>
    <w:rsid w:val="1A1C66C0"/>
    <w:rsid w:val="1A42393B"/>
    <w:rsid w:val="1A4359C9"/>
    <w:rsid w:val="1A6B2B2D"/>
    <w:rsid w:val="1A963400"/>
    <w:rsid w:val="1AAD45DE"/>
    <w:rsid w:val="1AFC6A9A"/>
    <w:rsid w:val="1B046F80"/>
    <w:rsid w:val="1B202E8E"/>
    <w:rsid w:val="1B3267B5"/>
    <w:rsid w:val="1B40161D"/>
    <w:rsid w:val="1B441859"/>
    <w:rsid w:val="1B650AE3"/>
    <w:rsid w:val="1B6606B1"/>
    <w:rsid w:val="1B690B14"/>
    <w:rsid w:val="1B7215F3"/>
    <w:rsid w:val="1BAC40C8"/>
    <w:rsid w:val="1BC61D9A"/>
    <w:rsid w:val="1C154E8C"/>
    <w:rsid w:val="1C4761A4"/>
    <w:rsid w:val="1C5E7925"/>
    <w:rsid w:val="1C675930"/>
    <w:rsid w:val="1CED0A8A"/>
    <w:rsid w:val="1CFD070F"/>
    <w:rsid w:val="1D286825"/>
    <w:rsid w:val="1D474FA1"/>
    <w:rsid w:val="1D475930"/>
    <w:rsid w:val="1D5F6196"/>
    <w:rsid w:val="1D6132A5"/>
    <w:rsid w:val="1D840FC9"/>
    <w:rsid w:val="1D8E56D5"/>
    <w:rsid w:val="1D9552C7"/>
    <w:rsid w:val="1DC064A5"/>
    <w:rsid w:val="1DD85CCC"/>
    <w:rsid w:val="1DF60D84"/>
    <w:rsid w:val="1E016615"/>
    <w:rsid w:val="1E0A6F35"/>
    <w:rsid w:val="1E18008F"/>
    <w:rsid w:val="1E2F3DFE"/>
    <w:rsid w:val="1E720D82"/>
    <w:rsid w:val="1E7A43DA"/>
    <w:rsid w:val="1EBF7CA3"/>
    <w:rsid w:val="1ECE5EA1"/>
    <w:rsid w:val="1EDF3258"/>
    <w:rsid w:val="1EE52E38"/>
    <w:rsid w:val="1EFA3E49"/>
    <w:rsid w:val="1F1A41DD"/>
    <w:rsid w:val="1F937EEE"/>
    <w:rsid w:val="1F9D2ABE"/>
    <w:rsid w:val="1FBC4983"/>
    <w:rsid w:val="1FE7539E"/>
    <w:rsid w:val="20531F73"/>
    <w:rsid w:val="205E01F7"/>
    <w:rsid w:val="20671BE0"/>
    <w:rsid w:val="206A07AA"/>
    <w:rsid w:val="206C021E"/>
    <w:rsid w:val="207B61F5"/>
    <w:rsid w:val="20963CB8"/>
    <w:rsid w:val="20A81A1B"/>
    <w:rsid w:val="20B07FB6"/>
    <w:rsid w:val="20B646FB"/>
    <w:rsid w:val="20E82047"/>
    <w:rsid w:val="20FB5A46"/>
    <w:rsid w:val="211C10ED"/>
    <w:rsid w:val="2126121F"/>
    <w:rsid w:val="213B74B1"/>
    <w:rsid w:val="214174ED"/>
    <w:rsid w:val="215A2310"/>
    <w:rsid w:val="215F5519"/>
    <w:rsid w:val="21CC2936"/>
    <w:rsid w:val="21D8278C"/>
    <w:rsid w:val="21DE318A"/>
    <w:rsid w:val="21EF5B80"/>
    <w:rsid w:val="22031056"/>
    <w:rsid w:val="224646FC"/>
    <w:rsid w:val="22576990"/>
    <w:rsid w:val="226B475F"/>
    <w:rsid w:val="226F67E3"/>
    <w:rsid w:val="226F7696"/>
    <w:rsid w:val="22822F8D"/>
    <w:rsid w:val="22925160"/>
    <w:rsid w:val="22F47480"/>
    <w:rsid w:val="230218D6"/>
    <w:rsid w:val="233629C0"/>
    <w:rsid w:val="23476D20"/>
    <w:rsid w:val="23C07A6D"/>
    <w:rsid w:val="23D279AA"/>
    <w:rsid w:val="23DE1C48"/>
    <w:rsid w:val="240210CD"/>
    <w:rsid w:val="24021793"/>
    <w:rsid w:val="246748A2"/>
    <w:rsid w:val="24920DA8"/>
    <w:rsid w:val="24BF09F7"/>
    <w:rsid w:val="24C54938"/>
    <w:rsid w:val="24FD7417"/>
    <w:rsid w:val="250234D5"/>
    <w:rsid w:val="25031F8F"/>
    <w:rsid w:val="250C0318"/>
    <w:rsid w:val="252D3F34"/>
    <w:rsid w:val="252D53FE"/>
    <w:rsid w:val="25AC4A6C"/>
    <w:rsid w:val="25CC4144"/>
    <w:rsid w:val="25E82A3D"/>
    <w:rsid w:val="25EC2D81"/>
    <w:rsid w:val="26533D49"/>
    <w:rsid w:val="26780C2E"/>
    <w:rsid w:val="26C26C02"/>
    <w:rsid w:val="26F02F73"/>
    <w:rsid w:val="26FB1D67"/>
    <w:rsid w:val="277057A2"/>
    <w:rsid w:val="27AF32F2"/>
    <w:rsid w:val="27D2215A"/>
    <w:rsid w:val="28127A43"/>
    <w:rsid w:val="2818046B"/>
    <w:rsid w:val="28744AC4"/>
    <w:rsid w:val="287E3552"/>
    <w:rsid w:val="287E7BAC"/>
    <w:rsid w:val="28A31A82"/>
    <w:rsid w:val="28D8706B"/>
    <w:rsid w:val="28EF4214"/>
    <w:rsid w:val="28F41B38"/>
    <w:rsid w:val="28FD596E"/>
    <w:rsid w:val="29087B34"/>
    <w:rsid w:val="29206EB8"/>
    <w:rsid w:val="294E3484"/>
    <w:rsid w:val="29595666"/>
    <w:rsid w:val="296C74E1"/>
    <w:rsid w:val="29874881"/>
    <w:rsid w:val="29B03D77"/>
    <w:rsid w:val="29E325E0"/>
    <w:rsid w:val="2A102562"/>
    <w:rsid w:val="2A452503"/>
    <w:rsid w:val="2A606C48"/>
    <w:rsid w:val="2A6B7BF3"/>
    <w:rsid w:val="2A767E40"/>
    <w:rsid w:val="2ADA5A13"/>
    <w:rsid w:val="2B106E1E"/>
    <w:rsid w:val="2B2F07C6"/>
    <w:rsid w:val="2B3202B6"/>
    <w:rsid w:val="2B6761B2"/>
    <w:rsid w:val="2B810A71"/>
    <w:rsid w:val="2B8A546E"/>
    <w:rsid w:val="2BA936A8"/>
    <w:rsid w:val="2C315A5A"/>
    <w:rsid w:val="2C395664"/>
    <w:rsid w:val="2C4037F0"/>
    <w:rsid w:val="2C4B1C25"/>
    <w:rsid w:val="2C636D0A"/>
    <w:rsid w:val="2C7B35D9"/>
    <w:rsid w:val="2C981FDC"/>
    <w:rsid w:val="2CA42811"/>
    <w:rsid w:val="2CCC0C62"/>
    <w:rsid w:val="2D2C071D"/>
    <w:rsid w:val="2D885329"/>
    <w:rsid w:val="2D8945F5"/>
    <w:rsid w:val="2D9E56F5"/>
    <w:rsid w:val="2DA73D14"/>
    <w:rsid w:val="2E667F96"/>
    <w:rsid w:val="2E81786D"/>
    <w:rsid w:val="2E8226AB"/>
    <w:rsid w:val="2EB16FFD"/>
    <w:rsid w:val="2EC64D45"/>
    <w:rsid w:val="2F2223E6"/>
    <w:rsid w:val="2FAC6B18"/>
    <w:rsid w:val="2FC47CEE"/>
    <w:rsid w:val="2FD065E6"/>
    <w:rsid w:val="2FD96870"/>
    <w:rsid w:val="2FED0C50"/>
    <w:rsid w:val="30043CB4"/>
    <w:rsid w:val="304978F8"/>
    <w:rsid w:val="304B41AB"/>
    <w:rsid w:val="30580BC9"/>
    <w:rsid w:val="307873BE"/>
    <w:rsid w:val="30F009F7"/>
    <w:rsid w:val="30F60551"/>
    <w:rsid w:val="30FB6C5B"/>
    <w:rsid w:val="311E2ED7"/>
    <w:rsid w:val="312E7E81"/>
    <w:rsid w:val="31391A99"/>
    <w:rsid w:val="31400316"/>
    <w:rsid w:val="315619EE"/>
    <w:rsid w:val="315C449C"/>
    <w:rsid w:val="3163566D"/>
    <w:rsid w:val="317C672F"/>
    <w:rsid w:val="31B82709"/>
    <w:rsid w:val="31C36664"/>
    <w:rsid w:val="31D05482"/>
    <w:rsid w:val="31E27ACB"/>
    <w:rsid w:val="320712B6"/>
    <w:rsid w:val="321E350E"/>
    <w:rsid w:val="32400B34"/>
    <w:rsid w:val="326110A7"/>
    <w:rsid w:val="329E6876"/>
    <w:rsid w:val="332238EF"/>
    <w:rsid w:val="33253098"/>
    <w:rsid w:val="333015F2"/>
    <w:rsid w:val="334B6320"/>
    <w:rsid w:val="33586468"/>
    <w:rsid w:val="336D27D3"/>
    <w:rsid w:val="33877E1D"/>
    <w:rsid w:val="338E3AD6"/>
    <w:rsid w:val="339972D7"/>
    <w:rsid w:val="339D5005"/>
    <w:rsid w:val="33D934D4"/>
    <w:rsid w:val="33FE2F6A"/>
    <w:rsid w:val="340E07E5"/>
    <w:rsid w:val="341C45F6"/>
    <w:rsid w:val="34235BF7"/>
    <w:rsid w:val="346B247C"/>
    <w:rsid w:val="34E014AB"/>
    <w:rsid w:val="34F8462F"/>
    <w:rsid w:val="351F4567"/>
    <w:rsid w:val="354C0577"/>
    <w:rsid w:val="358C5FA8"/>
    <w:rsid w:val="35AF2720"/>
    <w:rsid w:val="35C15DF1"/>
    <w:rsid w:val="35D33DEF"/>
    <w:rsid w:val="36074A7F"/>
    <w:rsid w:val="360D029D"/>
    <w:rsid w:val="36350BF2"/>
    <w:rsid w:val="363B0967"/>
    <w:rsid w:val="366A3FA7"/>
    <w:rsid w:val="367E6AA5"/>
    <w:rsid w:val="36923549"/>
    <w:rsid w:val="36B75FBF"/>
    <w:rsid w:val="36BD0C45"/>
    <w:rsid w:val="36EB29C2"/>
    <w:rsid w:val="36FD062F"/>
    <w:rsid w:val="37076411"/>
    <w:rsid w:val="37105839"/>
    <w:rsid w:val="37151B6A"/>
    <w:rsid w:val="37500442"/>
    <w:rsid w:val="37517216"/>
    <w:rsid w:val="37C952E0"/>
    <w:rsid w:val="37DA7D33"/>
    <w:rsid w:val="37E00298"/>
    <w:rsid w:val="37E81713"/>
    <w:rsid w:val="38080550"/>
    <w:rsid w:val="38237904"/>
    <w:rsid w:val="38384864"/>
    <w:rsid w:val="386677F1"/>
    <w:rsid w:val="38720D56"/>
    <w:rsid w:val="387F6690"/>
    <w:rsid w:val="38A30A45"/>
    <w:rsid w:val="38B302F9"/>
    <w:rsid w:val="38F12CD3"/>
    <w:rsid w:val="38F94775"/>
    <w:rsid w:val="390A3BC4"/>
    <w:rsid w:val="391225D3"/>
    <w:rsid w:val="39184892"/>
    <w:rsid w:val="392971ED"/>
    <w:rsid w:val="39325651"/>
    <w:rsid w:val="3A872856"/>
    <w:rsid w:val="3ACE6825"/>
    <w:rsid w:val="3AEC2ED6"/>
    <w:rsid w:val="3AED4E3A"/>
    <w:rsid w:val="3B1B0D67"/>
    <w:rsid w:val="3B2319C9"/>
    <w:rsid w:val="3B3763D1"/>
    <w:rsid w:val="3B46049C"/>
    <w:rsid w:val="3B9E249A"/>
    <w:rsid w:val="3C163C9F"/>
    <w:rsid w:val="3C2F6E1E"/>
    <w:rsid w:val="3C4F64BA"/>
    <w:rsid w:val="3C84708D"/>
    <w:rsid w:val="3CC46B42"/>
    <w:rsid w:val="3CDA245A"/>
    <w:rsid w:val="3CF673F0"/>
    <w:rsid w:val="3D13095E"/>
    <w:rsid w:val="3D1E06B7"/>
    <w:rsid w:val="3D6267D9"/>
    <w:rsid w:val="3D8A6933"/>
    <w:rsid w:val="3DB12913"/>
    <w:rsid w:val="3E1D5E61"/>
    <w:rsid w:val="3E2E0DB1"/>
    <w:rsid w:val="3EC1783F"/>
    <w:rsid w:val="3EDA0523"/>
    <w:rsid w:val="3EE96829"/>
    <w:rsid w:val="3F1B27FE"/>
    <w:rsid w:val="3F36616F"/>
    <w:rsid w:val="3F652E52"/>
    <w:rsid w:val="3F8013FE"/>
    <w:rsid w:val="3F9960CF"/>
    <w:rsid w:val="3FB22A63"/>
    <w:rsid w:val="3FE060DB"/>
    <w:rsid w:val="40021269"/>
    <w:rsid w:val="40624203"/>
    <w:rsid w:val="40781FFC"/>
    <w:rsid w:val="407A6407"/>
    <w:rsid w:val="40DB08E1"/>
    <w:rsid w:val="40DF579E"/>
    <w:rsid w:val="40ED15DE"/>
    <w:rsid w:val="40EE3293"/>
    <w:rsid w:val="412D0DAF"/>
    <w:rsid w:val="415A074A"/>
    <w:rsid w:val="415D420F"/>
    <w:rsid w:val="416C5E78"/>
    <w:rsid w:val="4176005F"/>
    <w:rsid w:val="41932A81"/>
    <w:rsid w:val="41A41306"/>
    <w:rsid w:val="41B276DF"/>
    <w:rsid w:val="41B62089"/>
    <w:rsid w:val="41D32ACE"/>
    <w:rsid w:val="41E724E0"/>
    <w:rsid w:val="4200449D"/>
    <w:rsid w:val="421660CA"/>
    <w:rsid w:val="423A3BCC"/>
    <w:rsid w:val="424E57D2"/>
    <w:rsid w:val="42935686"/>
    <w:rsid w:val="42AB09A8"/>
    <w:rsid w:val="42B26C49"/>
    <w:rsid w:val="42BC698B"/>
    <w:rsid w:val="43315D2E"/>
    <w:rsid w:val="433A6FE6"/>
    <w:rsid w:val="43480868"/>
    <w:rsid w:val="4350713C"/>
    <w:rsid w:val="436653E0"/>
    <w:rsid w:val="439D4A0F"/>
    <w:rsid w:val="43A97902"/>
    <w:rsid w:val="43C4431A"/>
    <w:rsid w:val="43EA0995"/>
    <w:rsid w:val="446337B7"/>
    <w:rsid w:val="447137A5"/>
    <w:rsid w:val="447D40A7"/>
    <w:rsid w:val="44990EC8"/>
    <w:rsid w:val="44B951CC"/>
    <w:rsid w:val="44CD14E0"/>
    <w:rsid w:val="44F20B0B"/>
    <w:rsid w:val="44F52628"/>
    <w:rsid w:val="452E5F4C"/>
    <w:rsid w:val="453B719B"/>
    <w:rsid w:val="454F5C50"/>
    <w:rsid w:val="455530C7"/>
    <w:rsid w:val="45612018"/>
    <w:rsid w:val="4577128F"/>
    <w:rsid w:val="458946E9"/>
    <w:rsid w:val="45A47C0E"/>
    <w:rsid w:val="45E768B6"/>
    <w:rsid w:val="464237AE"/>
    <w:rsid w:val="46577FD6"/>
    <w:rsid w:val="465B295F"/>
    <w:rsid w:val="46792CE5"/>
    <w:rsid w:val="46A64978"/>
    <w:rsid w:val="46AD7505"/>
    <w:rsid w:val="46C71DA3"/>
    <w:rsid w:val="46D955A7"/>
    <w:rsid w:val="47133957"/>
    <w:rsid w:val="47164C49"/>
    <w:rsid w:val="47363675"/>
    <w:rsid w:val="47563B01"/>
    <w:rsid w:val="475F191C"/>
    <w:rsid w:val="47813652"/>
    <w:rsid w:val="47A07E0C"/>
    <w:rsid w:val="485D6B46"/>
    <w:rsid w:val="4870272E"/>
    <w:rsid w:val="488F069E"/>
    <w:rsid w:val="489A5AB9"/>
    <w:rsid w:val="48AE1366"/>
    <w:rsid w:val="48C12F4D"/>
    <w:rsid w:val="48FA645F"/>
    <w:rsid w:val="4923246B"/>
    <w:rsid w:val="494C5EB9"/>
    <w:rsid w:val="49813612"/>
    <w:rsid w:val="498B13F1"/>
    <w:rsid w:val="49DC02BB"/>
    <w:rsid w:val="49DC7715"/>
    <w:rsid w:val="4A023139"/>
    <w:rsid w:val="4A0C3E42"/>
    <w:rsid w:val="4A2A6522"/>
    <w:rsid w:val="4A3664F5"/>
    <w:rsid w:val="4A7B576F"/>
    <w:rsid w:val="4A871F75"/>
    <w:rsid w:val="4A9A4FB9"/>
    <w:rsid w:val="4AD22714"/>
    <w:rsid w:val="4AF561A9"/>
    <w:rsid w:val="4B2C48CA"/>
    <w:rsid w:val="4B6D44D5"/>
    <w:rsid w:val="4BB225EC"/>
    <w:rsid w:val="4BB60526"/>
    <w:rsid w:val="4BEE02FE"/>
    <w:rsid w:val="4C1641F0"/>
    <w:rsid w:val="4C4A0649"/>
    <w:rsid w:val="4C5C2FD0"/>
    <w:rsid w:val="4C7E5ECA"/>
    <w:rsid w:val="4C876AA5"/>
    <w:rsid w:val="4C976DD3"/>
    <w:rsid w:val="4C9E1B63"/>
    <w:rsid w:val="4CBB4158"/>
    <w:rsid w:val="4D001A2A"/>
    <w:rsid w:val="4D0E00FB"/>
    <w:rsid w:val="4D176606"/>
    <w:rsid w:val="4D571290"/>
    <w:rsid w:val="4DC546CE"/>
    <w:rsid w:val="4DD428CA"/>
    <w:rsid w:val="4DDE0B01"/>
    <w:rsid w:val="4DE67291"/>
    <w:rsid w:val="4DEC4FB0"/>
    <w:rsid w:val="4DFA6731"/>
    <w:rsid w:val="4E075D8A"/>
    <w:rsid w:val="4E2976AF"/>
    <w:rsid w:val="4E2B1EB6"/>
    <w:rsid w:val="4E3D03D0"/>
    <w:rsid w:val="4E43098E"/>
    <w:rsid w:val="4E6039F2"/>
    <w:rsid w:val="4E652EBF"/>
    <w:rsid w:val="4E6C47E6"/>
    <w:rsid w:val="4EC00FAD"/>
    <w:rsid w:val="4EF1795F"/>
    <w:rsid w:val="4F192BEB"/>
    <w:rsid w:val="4F395980"/>
    <w:rsid w:val="4F3D0F2F"/>
    <w:rsid w:val="4F9843DC"/>
    <w:rsid w:val="4FC62A8C"/>
    <w:rsid w:val="4FE20F0D"/>
    <w:rsid w:val="4FE51552"/>
    <w:rsid w:val="4FE56FE4"/>
    <w:rsid w:val="4FFA0AF3"/>
    <w:rsid w:val="50000B5A"/>
    <w:rsid w:val="502C04CD"/>
    <w:rsid w:val="50504C4B"/>
    <w:rsid w:val="505C355C"/>
    <w:rsid w:val="506A411A"/>
    <w:rsid w:val="509C6E7C"/>
    <w:rsid w:val="50A85992"/>
    <w:rsid w:val="50CF1211"/>
    <w:rsid w:val="50D37CC2"/>
    <w:rsid w:val="510D405A"/>
    <w:rsid w:val="515728C8"/>
    <w:rsid w:val="5162104E"/>
    <w:rsid w:val="523E2EB8"/>
    <w:rsid w:val="52427E1B"/>
    <w:rsid w:val="529A3874"/>
    <w:rsid w:val="529C622C"/>
    <w:rsid w:val="52A152C5"/>
    <w:rsid w:val="52B53007"/>
    <w:rsid w:val="52B72B8D"/>
    <w:rsid w:val="52DF7376"/>
    <w:rsid w:val="531909A3"/>
    <w:rsid w:val="531B4E0C"/>
    <w:rsid w:val="53284092"/>
    <w:rsid w:val="532D7253"/>
    <w:rsid w:val="537276EC"/>
    <w:rsid w:val="539B5EAA"/>
    <w:rsid w:val="53A039CC"/>
    <w:rsid w:val="53A1505A"/>
    <w:rsid w:val="53D53D51"/>
    <w:rsid w:val="54063E08"/>
    <w:rsid w:val="543437E8"/>
    <w:rsid w:val="548D39A8"/>
    <w:rsid w:val="54BF243D"/>
    <w:rsid w:val="54F20DCE"/>
    <w:rsid w:val="54F73313"/>
    <w:rsid w:val="54F80955"/>
    <w:rsid w:val="54FF5CDD"/>
    <w:rsid w:val="552833BA"/>
    <w:rsid w:val="555170A7"/>
    <w:rsid w:val="55774994"/>
    <w:rsid w:val="5587536D"/>
    <w:rsid w:val="55903884"/>
    <w:rsid w:val="559B174B"/>
    <w:rsid w:val="55BD7D21"/>
    <w:rsid w:val="55CE0CF4"/>
    <w:rsid w:val="55DA1C13"/>
    <w:rsid w:val="55DA41E9"/>
    <w:rsid w:val="55E738C7"/>
    <w:rsid w:val="55FB6468"/>
    <w:rsid w:val="56053FE1"/>
    <w:rsid w:val="56714899"/>
    <w:rsid w:val="5678632B"/>
    <w:rsid w:val="56AA7253"/>
    <w:rsid w:val="56B22A9C"/>
    <w:rsid w:val="56D54068"/>
    <w:rsid w:val="56DE2A1A"/>
    <w:rsid w:val="57323268"/>
    <w:rsid w:val="573D5406"/>
    <w:rsid w:val="5743028E"/>
    <w:rsid w:val="576D24F2"/>
    <w:rsid w:val="577B69BD"/>
    <w:rsid w:val="57B72A76"/>
    <w:rsid w:val="57C3426C"/>
    <w:rsid w:val="57C56133"/>
    <w:rsid w:val="57CE1F93"/>
    <w:rsid w:val="582D1B3F"/>
    <w:rsid w:val="588743D1"/>
    <w:rsid w:val="5887701A"/>
    <w:rsid w:val="58E467E4"/>
    <w:rsid w:val="59193799"/>
    <w:rsid w:val="595C637A"/>
    <w:rsid w:val="598E4D1D"/>
    <w:rsid w:val="5991071A"/>
    <w:rsid w:val="59A11117"/>
    <w:rsid w:val="59C0439F"/>
    <w:rsid w:val="59D52229"/>
    <w:rsid w:val="5A0F3962"/>
    <w:rsid w:val="5A33137C"/>
    <w:rsid w:val="5A615B3F"/>
    <w:rsid w:val="5A7909E2"/>
    <w:rsid w:val="5AB907FF"/>
    <w:rsid w:val="5ABE2233"/>
    <w:rsid w:val="5ADB459A"/>
    <w:rsid w:val="5B3873CB"/>
    <w:rsid w:val="5B793A38"/>
    <w:rsid w:val="5BAB606F"/>
    <w:rsid w:val="5BB624EC"/>
    <w:rsid w:val="5BCB77E7"/>
    <w:rsid w:val="5BDF5D95"/>
    <w:rsid w:val="5BE10A34"/>
    <w:rsid w:val="5BE94155"/>
    <w:rsid w:val="5BFE7528"/>
    <w:rsid w:val="5C0C59CD"/>
    <w:rsid w:val="5C132DB7"/>
    <w:rsid w:val="5C2A6D8B"/>
    <w:rsid w:val="5CC34C0B"/>
    <w:rsid w:val="5D2966EF"/>
    <w:rsid w:val="5D957CCF"/>
    <w:rsid w:val="5DFE1B05"/>
    <w:rsid w:val="5DFF0907"/>
    <w:rsid w:val="5E0E4FE7"/>
    <w:rsid w:val="5E0E50AA"/>
    <w:rsid w:val="5E2467F1"/>
    <w:rsid w:val="5E52522F"/>
    <w:rsid w:val="5E6C1DF1"/>
    <w:rsid w:val="5E8F75CC"/>
    <w:rsid w:val="5EA25D7E"/>
    <w:rsid w:val="5EC80EE2"/>
    <w:rsid w:val="5F1A2B43"/>
    <w:rsid w:val="5F3357ED"/>
    <w:rsid w:val="5F336989"/>
    <w:rsid w:val="5FB62F94"/>
    <w:rsid w:val="5FB837BB"/>
    <w:rsid w:val="5FF47C92"/>
    <w:rsid w:val="600627FB"/>
    <w:rsid w:val="601609C4"/>
    <w:rsid w:val="60191561"/>
    <w:rsid w:val="601A70BA"/>
    <w:rsid w:val="606A1432"/>
    <w:rsid w:val="60707F73"/>
    <w:rsid w:val="60CC405A"/>
    <w:rsid w:val="60E36CD0"/>
    <w:rsid w:val="60F01056"/>
    <w:rsid w:val="612973CF"/>
    <w:rsid w:val="61BD763D"/>
    <w:rsid w:val="61C70EBD"/>
    <w:rsid w:val="61C7734E"/>
    <w:rsid w:val="61E215D8"/>
    <w:rsid w:val="61E873C0"/>
    <w:rsid w:val="621B3775"/>
    <w:rsid w:val="622A12CE"/>
    <w:rsid w:val="622A1F3F"/>
    <w:rsid w:val="62364782"/>
    <w:rsid w:val="625325D0"/>
    <w:rsid w:val="62620AD5"/>
    <w:rsid w:val="627201C2"/>
    <w:rsid w:val="628C5F22"/>
    <w:rsid w:val="6291077F"/>
    <w:rsid w:val="62A95E43"/>
    <w:rsid w:val="63017935"/>
    <w:rsid w:val="6394356A"/>
    <w:rsid w:val="63AE0CF3"/>
    <w:rsid w:val="63B21468"/>
    <w:rsid w:val="63C61B2C"/>
    <w:rsid w:val="63D40BE9"/>
    <w:rsid w:val="64102431"/>
    <w:rsid w:val="643A2EDC"/>
    <w:rsid w:val="647307E7"/>
    <w:rsid w:val="64853241"/>
    <w:rsid w:val="64A1037E"/>
    <w:rsid w:val="64A5243A"/>
    <w:rsid w:val="64F12019"/>
    <w:rsid w:val="64F531DE"/>
    <w:rsid w:val="653147AB"/>
    <w:rsid w:val="65373578"/>
    <w:rsid w:val="65492E0A"/>
    <w:rsid w:val="656D3E7F"/>
    <w:rsid w:val="65873526"/>
    <w:rsid w:val="659D40E6"/>
    <w:rsid w:val="65B64C93"/>
    <w:rsid w:val="65C94D98"/>
    <w:rsid w:val="65F71905"/>
    <w:rsid w:val="65F82548"/>
    <w:rsid w:val="661E1587"/>
    <w:rsid w:val="66380DB3"/>
    <w:rsid w:val="664B7098"/>
    <w:rsid w:val="665E1AD1"/>
    <w:rsid w:val="66CA4A9F"/>
    <w:rsid w:val="66DE58E4"/>
    <w:rsid w:val="66E96B4B"/>
    <w:rsid w:val="66F41FEF"/>
    <w:rsid w:val="671F124A"/>
    <w:rsid w:val="67236729"/>
    <w:rsid w:val="676A128B"/>
    <w:rsid w:val="676D18CE"/>
    <w:rsid w:val="677A33C6"/>
    <w:rsid w:val="6785339F"/>
    <w:rsid w:val="67FF1A00"/>
    <w:rsid w:val="680A489C"/>
    <w:rsid w:val="681F6961"/>
    <w:rsid w:val="68610A2F"/>
    <w:rsid w:val="686F5C83"/>
    <w:rsid w:val="68805514"/>
    <w:rsid w:val="68E203DF"/>
    <w:rsid w:val="68EC14C9"/>
    <w:rsid w:val="690D0CB2"/>
    <w:rsid w:val="691F5F9D"/>
    <w:rsid w:val="69316E2F"/>
    <w:rsid w:val="694E2071"/>
    <w:rsid w:val="69766163"/>
    <w:rsid w:val="697A3B33"/>
    <w:rsid w:val="69D44760"/>
    <w:rsid w:val="69D501AF"/>
    <w:rsid w:val="6A520EC7"/>
    <w:rsid w:val="6ACE18B7"/>
    <w:rsid w:val="6ADF6E0B"/>
    <w:rsid w:val="6AF820DD"/>
    <w:rsid w:val="6AF87E20"/>
    <w:rsid w:val="6B10517F"/>
    <w:rsid w:val="6B136FFE"/>
    <w:rsid w:val="6B234845"/>
    <w:rsid w:val="6B322639"/>
    <w:rsid w:val="6B70289C"/>
    <w:rsid w:val="6B8C294C"/>
    <w:rsid w:val="6BC32289"/>
    <w:rsid w:val="6BC90AFA"/>
    <w:rsid w:val="6BE57CE7"/>
    <w:rsid w:val="6C264CF2"/>
    <w:rsid w:val="6C335661"/>
    <w:rsid w:val="6C636C38"/>
    <w:rsid w:val="6CAD3227"/>
    <w:rsid w:val="6CAE57C5"/>
    <w:rsid w:val="6CBC4936"/>
    <w:rsid w:val="6CCC34B4"/>
    <w:rsid w:val="6D0900F7"/>
    <w:rsid w:val="6D626A21"/>
    <w:rsid w:val="6D6F603F"/>
    <w:rsid w:val="6D951507"/>
    <w:rsid w:val="6D9B60FD"/>
    <w:rsid w:val="6DB34098"/>
    <w:rsid w:val="6DB545B6"/>
    <w:rsid w:val="6DBF33B4"/>
    <w:rsid w:val="6DE02FB4"/>
    <w:rsid w:val="6DE41BBE"/>
    <w:rsid w:val="6DEE66D7"/>
    <w:rsid w:val="6E4F6FA5"/>
    <w:rsid w:val="6E514CED"/>
    <w:rsid w:val="6EB563D5"/>
    <w:rsid w:val="6ED92677"/>
    <w:rsid w:val="6F225983"/>
    <w:rsid w:val="6F4F5A0A"/>
    <w:rsid w:val="6F7910D6"/>
    <w:rsid w:val="6FFC5590"/>
    <w:rsid w:val="70544CE8"/>
    <w:rsid w:val="706D1DD0"/>
    <w:rsid w:val="706F7AE0"/>
    <w:rsid w:val="707567AC"/>
    <w:rsid w:val="70856B87"/>
    <w:rsid w:val="70B7018D"/>
    <w:rsid w:val="70D527EE"/>
    <w:rsid w:val="70FD14A2"/>
    <w:rsid w:val="7100399E"/>
    <w:rsid w:val="71036215"/>
    <w:rsid w:val="710837BA"/>
    <w:rsid w:val="715B5300"/>
    <w:rsid w:val="715C11B6"/>
    <w:rsid w:val="715F0720"/>
    <w:rsid w:val="718E586B"/>
    <w:rsid w:val="719C0DEF"/>
    <w:rsid w:val="71AB7A47"/>
    <w:rsid w:val="71D27F8A"/>
    <w:rsid w:val="720553A9"/>
    <w:rsid w:val="72553024"/>
    <w:rsid w:val="72955037"/>
    <w:rsid w:val="72B77964"/>
    <w:rsid w:val="72CF3717"/>
    <w:rsid w:val="72DF3E4C"/>
    <w:rsid w:val="72F3719B"/>
    <w:rsid w:val="72F71B50"/>
    <w:rsid w:val="73122968"/>
    <w:rsid w:val="731F5D5E"/>
    <w:rsid w:val="732D4BB8"/>
    <w:rsid w:val="7338722F"/>
    <w:rsid w:val="73602CDF"/>
    <w:rsid w:val="7361024C"/>
    <w:rsid w:val="73797DFD"/>
    <w:rsid w:val="73C51AD5"/>
    <w:rsid w:val="74130252"/>
    <w:rsid w:val="74134415"/>
    <w:rsid w:val="741E793C"/>
    <w:rsid w:val="745E3944"/>
    <w:rsid w:val="74D06143"/>
    <w:rsid w:val="74F50668"/>
    <w:rsid w:val="75493F93"/>
    <w:rsid w:val="75EC2616"/>
    <w:rsid w:val="7635099D"/>
    <w:rsid w:val="76807BB1"/>
    <w:rsid w:val="772A2F15"/>
    <w:rsid w:val="772D1276"/>
    <w:rsid w:val="77762421"/>
    <w:rsid w:val="7783749C"/>
    <w:rsid w:val="779A3DF4"/>
    <w:rsid w:val="77B56B1F"/>
    <w:rsid w:val="77D76355"/>
    <w:rsid w:val="77F75778"/>
    <w:rsid w:val="780F09F4"/>
    <w:rsid w:val="78104AA8"/>
    <w:rsid w:val="7816156D"/>
    <w:rsid w:val="7880191D"/>
    <w:rsid w:val="78A90480"/>
    <w:rsid w:val="78C700B3"/>
    <w:rsid w:val="78C870A9"/>
    <w:rsid w:val="78D86D07"/>
    <w:rsid w:val="79046FD5"/>
    <w:rsid w:val="791276E0"/>
    <w:rsid w:val="79211391"/>
    <w:rsid w:val="796D20BF"/>
    <w:rsid w:val="7A2B53FD"/>
    <w:rsid w:val="7A364017"/>
    <w:rsid w:val="7A3B68BD"/>
    <w:rsid w:val="7A8265E1"/>
    <w:rsid w:val="7A8F2090"/>
    <w:rsid w:val="7AE7341D"/>
    <w:rsid w:val="7B5638F0"/>
    <w:rsid w:val="7B686D42"/>
    <w:rsid w:val="7B6D5160"/>
    <w:rsid w:val="7B7E43BA"/>
    <w:rsid w:val="7B841746"/>
    <w:rsid w:val="7B90191F"/>
    <w:rsid w:val="7C121251"/>
    <w:rsid w:val="7C3E1071"/>
    <w:rsid w:val="7C587916"/>
    <w:rsid w:val="7C6C5AC7"/>
    <w:rsid w:val="7CC6544B"/>
    <w:rsid w:val="7D0239FF"/>
    <w:rsid w:val="7D447508"/>
    <w:rsid w:val="7D555D52"/>
    <w:rsid w:val="7D5E40CD"/>
    <w:rsid w:val="7D6637D4"/>
    <w:rsid w:val="7DB06767"/>
    <w:rsid w:val="7DC15D8D"/>
    <w:rsid w:val="7DCA45F7"/>
    <w:rsid w:val="7DCD56F2"/>
    <w:rsid w:val="7DE112D7"/>
    <w:rsid w:val="7E13106F"/>
    <w:rsid w:val="7E2E3956"/>
    <w:rsid w:val="7E4D5198"/>
    <w:rsid w:val="7E550B3A"/>
    <w:rsid w:val="7E5C1847"/>
    <w:rsid w:val="7EAB1087"/>
    <w:rsid w:val="7EB4618D"/>
    <w:rsid w:val="7EF26D9E"/>
    <w:rsid w:val="7F001CE7"/>
    <w:rsid w:val="7F027DD1"/>
    <w:rsid w:val="7F5F73AD"/>
    <w:rsid w:val="7F8518D8"/>
    <w:rsid w:val="7FA95315"/>
    <w:rsid w:val="7FC6372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99"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64"/>
    <w:semiHidden/>
    <w:unhideWhenUsed/>
    <w:qFormat/>
    <w:locked/>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84"/>
    <w:qFormat/>
    <w:locked/>
    <w:uiPriority w:val="99"/>
    <w:pPr>
      <w:spacing w:line="360" w:lineRule="auto"/>
      <w:ind w:firstLine="420" w:firstLineChars="200"/>
    </w:pPr>
    <w:rPr>
      <w:szCs w:val="20"/>
    </w:rPr>
  </w:style>
  <w:style w:type="paragraph" w:styleId="5">
    <w:name w:val="annotation text"/>
    <w:basedOn w:val="1"/>
    <w:link w:val="39"/>
    <w:semiHidden/>
    <w:qFormat/>
    <w:uiPriority w:val="0"/>
    <w:pPr>
      <w:jc w:val="left"/>
    </w:pPr>
    <w:rPr>
      <w:kern w:val="0"/>
      <w:sz w:val="24"/>
      <w:szCs w:val="20"/>
      <w:lang w:val="zh-CN"/>
    </w:rPr>
  </w:style>
  <w:style w:type="paragraph" w:styleId="6">
    <w:name w:val="Body Text"/>
    <w:basedOn w:val="1"/>
    <w:link w:val="38"/>
    <w:qFormat/>
    <w:uiPriority w:val="0"/>
    <w:pPr>
      <w:widowControl/>
      <w:snapToGrid w:val="0"/>
      <w:spacing w:before="60" w:after="160" w:line="259" w:lineRule="auto"/>
      <w:ind w:right="113"/>
    </w:pPr>
    <w:rPr>
      <w:kern w:val="0"/>
      <w:sz w:val="18"/>
      <w:szCs w:val="20"/>
      <w:lang w:val="zh-CN"/>
    </w:rPr>
  </w:style>
  <w:style w:type="paragraph" w:styleId="7">
    <w:name w:val="Body Text Indent"/>
    <w:basedOn w:val="1"/>
    <w:link w:val="47"/>
    <w:qFormat/>
    <w:uiPriority w:val="0"/>
    <w:pPr>
      <w:spacing w:after="120"/>
      <w:ind w:left="420" w:leftChars="200"/>
    </w:pPr>
    <w:rPr>
      <w:kern w:val="0"/>
      <w:sz w:val="24"/>
      <w:szCs w:val="20"/>
      <w:lang w:val="zh-CN"/>
    </w:rPr>
  </w:style>
  <w:style w:type="paragraph" w:styleId="8">
    <w:name w:val="Plain Text"/>
    <w:basedOn w:val="1"/>
    <w:qFormat/>
    <w:locked/>
    <w:uiPriority w:val="0"/>
    <w:pPr>
      <w:snapToGrid/>
      <w:jc w:val="both"/>
    </w:pPr>
    <w:rPr>
      <w:kern w:val="0"/>
      <w:sz w:val="20"/>
      <w:szCs w:val="20"/>
    </w:rPr>
  </w:style>
  <w:style w:type="paragraph" w:styleId="9">
    <w:name w:val="Date"/>
    <w:basedOn w:val="1"/>
    <w:next w:val="1"/>
    <w:link w:val="34"/>
    <w:qFormat/>
    <w:uiPriority w:val="99"/>
    <w:pPr>
      <w:ind w:left="100" w:leftChars="2500"/>
    </w:pPr>
    <w:rPr>
      <w:kern w:val="0"/>
      <w:sz w:val="24"/>
      <w:szCs w:val="20"/>
      <w:lang w:val="zh-CN"/>
    </w:rPr>
  </w:style>
  <w:style w:type="paragraph" w:styleId="10">
    <w:name w:val="Body Text Indent 2"/>
    <w:basedOn w:val="1"/>
    <w:next w:val="11"/>
    <w:link w:val="61"/>
    <w:qFormat/>
    <w:locked/>
    <w:uiPriority w:val="0"/>
    <w:pPr>
      <w:spacing w:after="120" w:line="480" w:lineRule="auto"/>
      <w:ind w:left="420" w:leftChars="200"/>
    </w:pPr>
    <w:rPr>
      <w:lang w:val="zh-CN"/>
    </w:rPr>
  </w:style>
  <w:style w:type="paragraph" w:customStyle="1" w:styleId="11">
    <w:name w:val="reader-word-layer reader-word-s46-2"/>
    <w:basedOn w:val="1"/>
    <w:next w:val="12"/>
    <w:qFormat/>
    <w:uiPriority w:val="0"/>
    <w:pPr>
      <w:widowControl/>
      <w:spacing w:before="280" w:after="280" w:line="240" w:lineRule="auto"/>
    </w:pPr>
    <w:rPr>
      <w:rFonts w:ascii="宋体"/>
      <w:sz w:val="24"/>
    </w:rPr>
  </w:style>
  <w:style w:type="paragraph" w:customStyle="1" w:styleId="12">
    <w:name w:val="xl35"/>
    <w:basedOn w:val="1"/>
    <w:next w:val="1"/>
    <w:qFormat/>
    <w:uiPriority w:val="0"/>
    <w:pPr>
      <w:widowControl/>
      <w:shd w:val="clear" w:color="FFFFFF" w:fill="FFFFFF"/>
      <w:spacing w:before="280" w:after="280" w:line="240" w:lineRule="auto"/>
    </w:pPr>
    <w:rPr>
      <w:rFonts w:ascii="Arial Unicode MS" w:eastAsia="Arial Unicode MS"/>
      <w:sz w:val="24"/>
    </w:rPr>
  </w:style>
  <w:style w:type="paragraph" w:styleId="13">
    <w:name w:val="Balloon Text"/>
    <w:basedOn w:val="1"/>
    <w:link w:val="43"/>
    <w:semiHidden/>
    <w:qFormat/>
    <w:uiPriority w:val="0"/>
    <w:rPr>
      <w:kern w:val="0"/>
      <w:sz w:val="18"/>
      <w:szCs w:val="20"/>
      <w:lang w:val="zh-CN"/>
    </w:rPr>
  </w:style>
  <w:style w:type="paragraph" w:styleId="14">
    <w:name w:val="footer"/>
    <w:basedOn w:val="1"/>
    <w:link w:val="33"/>
    <w:qFormat/>
    <w:uiPriority w:val="99"/>
    <w:pPr>
      <w:tabs>
        <w:tab w:val="center" w:pos="4153"/>
        <w:tab w:val="right" w:pos="8306"/>
      </w:tabs>
      <w:snapToGrid w:val="0"/>
      <w:jc w:val="left"/>
    </w:pPr>
    <w:rPr>
      <w:kern w:val="0"/>
      <w:sz w:val="18"/>
      <w:szCs w:val="20"/>
      <w:lang w:val="zh-CN"/>
    </w:rPr>
  </w:style>
  <w:style w:type="paragraph" w:styleId="15">
    <w:name w:val="header"/>
    <w:basedOn w:val="1"/>
    <w:link w:val="45"/>
    <w:qFormat/>
    <w:uiPriority w:val="0"/>
    <w:pPr>
      <w:pBdr>
        <w:bottom w:val="single" w:color="auto" w:sz="6" w:space="1"/>
      </w:pBdr>
      <w:tabs>
        <w:tab w:val="center" w:pos="4153"/>
        <w:tab w:val="right" w:pos="8306"/>
      </w:tabs>
      <w:snapToGrid w:val="0"/>
      <w:jc w:val="center"/>
    </w:pPr>
    <w:rPr>
      <w:kern w:val="0"/>
      <w:sz w:val="18"/>
      <w:szCs w:val="20"/>
      <w:lang w:val="zh-CN"/>
    </w:rPr>
  </w:style>
  <w:style w:type="paragraph" w:styleId="16">
    <w:name w:val="toc 6"/>
    <w:basedOn w:val="1"/>
    <w:next w:val="1"/>
    <w:qFormat/>
    <w:locked/>
    <w:uiPriority w:val="0"/>
    <w:pPr>
      <w:ind w:left="1050"/>
      <w:jc w:val="left"/>
    </w:pPr>
    <w:rPr>
      <w:rFonts w:ascii="等线" w:eastAsia="等线"/>
      <w:sz w:val="18"/>
      <w:szCs w:val="18"/>
    </w:rPr>
  </w:style>
  <w:style w:type="paragraph" w:styleId="17">
    <w:name w:val="List Continue 2"/>
    <w:basedOn w:val="1"/>
    <w:next w:val="16"/>
    <w:qFormat/>
    <w:locked/>
    <w:uiPriority w:val="0"/>
    <w:pPr>
      <w:spacing w:after="120"/>
      <w:ind w:left="840" w:firstLine="5632"/>
    </w:pPr>
  </w:style>
  <w:style w:type="paragraph" w:styleId="18">
    <w:name w:val="Normal (Web)"/>
    <w:basedOn w:val="1"/>
    <w:link w:val="36"/>
    <w:qFormat/>
    <w:uiPriority w:val="0"/>
    <w:pPr>
      <w:widowControl/>
      <w:spacing w:before="100" w:beforeAutospacing="1" w:after="100" w:afterAutospacing="1"/>
      <w:jc w:val="left"/>
    </w:pPr>
    <w:rPr>
      <w:rFonts w:ascii="宋体" w:hAnsi="宋体"/>
      <w:kern w:val="0"/>
      <w:sz w:val="24"/>
      <w:szCs w:val="20"/>
      <w:lang w:val="zh-CN"/>
    </w:rPr>
  </w:style>
  <w:style w:type="paragraph" w:styleId="19">
    <w:name w:val="annotation subject"/>
    <w:basedOn w:val="5"/>
    <w:next w:val="5"/>
    <w:link w:val="44"/>
    <w:semiHidden/>
    <w:qFormat/>
    <w:uiPriority w:val="0"/>
    <w:rPr>
      <w:b/>
      <w:kern w:val="2"/>
    </w:rPr>
  </w:style>
  <w:style w:type="paragraph" w:styleId="20">
    <w:name w:val="Body Text First Indent"/>
    <w:basedOn w:val="6"/>
    <w:link w:val="54"/>
    <w:qFormat/>
    <w:locked/>
    <w:uiPriority w:val="0"/>
    <w:pPr>
      <w:widowControl w:val="0"/>
      <w:snapToGrid/>
      <w:spacing w:before="0" w:after="120" w:line="240" w:lineRule="auto"/>
      <w:ind w:right="0" w:firstLine="420" w:firstLineChars="100"/>
    </w:pPr>
    <w:rPr>
      <w:kern w:val="2"/>
      <w:sz w:val="21"/>
      <w:szCs w:val="24"/>
    </w:rPr>
  </w:style>
  <w:style w:type="paragraph" w:styleId="21">
    <w:name w:val="Body Text First Indent 2"/>
    <w:basedOn w:val="7"/>
    <w:next w:val="1"/>
    <w:link w:val="50"/>
    <w:unhideWhenUsed/>
    <w:qFormat/>
    <w:locked/>
    <w:uiPriority w:val="0"/>
    <w:pPr>
      <w:ind w:firstLine="420" w:firstLineChars="200"/>
    </w:pPr>
    <w:rPr>
      <w:rFonts w:ascii="Calibri" w:hAnsi="Calibri"/>
      <w:kern w:val="2"/>
      <w:sz w:val="21"/>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unhideWhenUsed/>
    <w:qFormat/>
    <w:locked/>
    <w:uiPriority w:val="99"/>
    <w:rPr>
      <w:color w:val="0000FF"/>
      <w:u w:val="single"/>
    </w:rPr>
  </w:style>
  <w:style w:type="character" w:styleId="27">
    <w:name w:val="annotation reference"/>
    <w:semiHidden/>
    <w:qFormat/>
    <w:uiPriority w:val="0"/>
    <w:rPr>
      <w:sz w:val="21"/>
    </w:rPr>
  </w:style>
  <w:style w:type="paragraph" w:customStyle="1" w:styleId="28">
    <w:name w:val="样式 正文文本缩进 + 行距: 1.5 倍行距"/>
    <w:basedOn w:val="29"/>
    <w:next w:val="1"/>
    <w:qFormat/>
    <w:uiPriority w:val="99"/>
    <w:pPr>
      <w:spacing w:line="360" w:lineRule="auto"/>
      <w:ind w:left="90" w:leftChars="32" w:firstLine="560" w:firstLineChars="200"/>
    </w:pPr>
    <w:rPr>
      <w:rFonts w:cs="宋体"/>
    </w:rPr>
  </w:style>
  <w:style w:type="paragraph" w:customStyle="1" w:styleId="29">
    <w:name w:val="Body Text Indent"/>
    <w:basedOn w:val="1"/>
    <w:next w:val="28"/>
    <w:qFormat/>
    <w:uiPriority w:val="99"/>
    <w:pPr>
      <w:snapToGrid/>
      <w:spacing w:after="120" w:line="240" w:lineRule="auto"/>
      <w:ind w:left="420"/>
      <w:jc w:val="both"/>
    </w:pPr>
    <w:rPr>
      <w:sz w:val="21"/>
      <w:szCs w:val="21"/>
    </w:rPr>
  </w:style>
  <w:style w:type="paragraph" w:customStyle="1" w:styleId="30">
    <w:name w:val="报告正文"/>
    <w:basedOn w:val="1"/>
    <w:next w:val="31"/>
    <w:qFormat/>
    <w:uiPriority w:val="0"/>
    <w:pPr>
      <w:spacing w:line="480" w:lineRule="exact"/>
      <w:ind w:firstLine="200"/>
    </w:pPr>
    <w:rPr>
      <w:color w:val="000000"/>
      <w:sz w:val="24"/>
    </w:rPr>
  </w:style>
  <w:style w:type="paragraph" w:customStyle="1" w:styleId="31">
    <w:name w:val="样式 小四 行距: 1.5 倍行距"/>
    <w:basedOn w:val="1"/>
    <w:next w:val="32"/>
    <w:qFormat/>
    <w:uiPriority w:val="0"/>
    <w:pPr>
      <w:spacing w:line="360" w:lineRule="auto"/>
      <w:ind w:firstLine="6144"/>
    </w:pPr>
  </w:style>
  <w:style w:type="paragraph" w:customStyle="1" w:styleId="32">
    <w:name w:val="标题3"/>
    <w:basedOn w:val="2"/>
    <w:next w:val="17"/>
    <w:qFormat/>
    <w:uiPriority w:val="0"/>
    <w:pPr>
      <w:tabs>
        <w:tab w:val="left" w:pos="432"/>
      </w:tabs>
      <w:spacing w:before="200" w:after="280" w:line="240" w:lineRule="auto"/>
      <w:ind w:left="0" w:firstLine="24"/>
      <w:jc w:val="center"/>
      <w:outlineLvl w:val="2"/>
    </w:pPr>
  </w:style>
  <w:style w:type="character" w:customStyle="1" w:styleId="33">
    <w:name w:val="页脚 字符1"/>
    <w:link w:val="14"/>
    <w:qFormat/>
    <w:locked/>
    <w:uiPriority w:val="99"/>
    <w:rPr>
      <w:sz w:val="18"/>
    </w:rPr>
  </w:style>
  <w:style w:type="character" w:customStyle="1" w:styleId="34">
    <w:name w:val="日期 字符1"/>
    <w:link w:val="9"/>
    <w:qFormat/>
    <w:locked/>
    <w:uiPriority w:val="99"/>
    <w:rPr>
      <w:rFonts w:ascii="Times New Roman" w:hAnsi="Times New Roman" w:eastAsia="宋体"/>
      <w:sz w:val="24"/>
    </w:rPr>
  </w:style>
  <w:style w:type="character" w:customStyle="1" w:styleId="35">
    <w:name w:val="页脚 字符"/>
    <w:basedOn w:val="24"/>
    <w:qFormat/>
    <w:uiPriority w:val="99"/>
  </w:style>
  <w:style w:type="character" w:customStyle="1" w:styleId="36">
    <w:name w:val="普通(网站) 字符"/>
    <w:link w:val="18"/>
    <w:qFormat/>
    <w:locked/>
    <w:uiPriority w:val="0"/>
    <w:rPr>
      <w:rFonts w:ascii="宋体" w:hAnsi="宋体"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正文文本 字符"/>
    <w:link w:val="6"/>
    <w:qFormat/>
    <w:locked/>
    <w:uiPriority w:val="0"/>
    <w:rPr>
      <w:sz w:val="18"/>
    </w:rPr>
  </w:style>
  <w:style w:type="character" w:customStyle="1" w:styleId="39">
    <w:name w:val="批注文字 字符"/>
    <w:link w:val="5"/>
    <w:qFormat/>
    <w:locked/>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lang w:val="zh-CN"/>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框文本 字符"/>
    <w:link w:val="13"/>
    <w:semiHidden/>
    <w:qFormat/>
    <w:locked/>
    <w:uiPriority w:val="0"/>
    <w:rPr>
      <w:rFonts w:ascii="Times New Roman" w:hAnsi="Times New Roman" w:eastAsia="宋体"/>
      <w:sz w:val="18"/>
    </w:rPr>
  </w:style>
  <w:style w:type="character" w:customStyle="1" w:styleId="44">
    <w:name w:val="批注主题 字符"/>
    <w:link w:val="19"/>
    <w:semiHidden/>
    <w:qFormat/>
    <w:locked/>
    <w:uiPriority w:val="0"/>
    <w:rPr>
      <w:rFonts w:ascii="Times New Roman" w:hAnsi="Times New Roman" w:eastAsia="宋体"/>
      <w:b/>
      <w:kern w:val="2"/>
      <w:sz w:val="24"/>
    </w:rPr>
  </w:style>
  <w:style w:type="character" w:customStyle="1" w:styleId="45">
    <w:name w:val="页眉 字符"/>
    <w:link w:val="15"/>
    <w:qFormat/>
    <w:locked/>
    <w:uiPriority w:val="0"/>
    <w:rPr>
      <w:sz w:val="18"/>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缩进 字符"/>
    <w:link w:val="7"/>
    <w:qFormat/>
    <w:locked/>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正文文本首行缩进 2 字符"/>
    <w:link w:val="21"/>
    <w:qFormat/>
    <w:uiPriority w:val="0"/>
    <w:rPr>
      <w:rFonts w:ascii="Calibri" w:hAnsi="Calibri" w:eastAsia="宋体"/>
      <w:kern w:val="2"/>
      <w:sz w:val="21"/>
      <w:szCs w:val="24"/>
    </w:rPr>
  </w:style>
  <w:style w:type="paragraph" w:customStyle="1" w:styleId="51">
    <w:name w:val="表格文字"/>
    <w:basedOn w:val="1"/>
    <w:link w:val="52"/>
    <w:qFormat/>
    <w:uiPriority w:val="0"/>
    <w:pPr>
      <w:jc w:val="center"/>
    </w:pPr>
    <w:rPr>
      <w:rFonts w:ascii="宋体"/>
      <w:sz w:val="24"/>
      <w:szCs w:val="20"/>
      <w:lang w:val="zh-CN"/>
    </w:rPr>
  </w:style>
  <w:style w:type="character" w:customStyle="1" w:styleId="52">
    <w:name w:val="表格文字 Char1"/>
    <w:link w:val="51"/>
    <w:qFormat/>
    <w:uiPriority w:val="0"/>
    <w:rPr>
      <w:rFonts w:ascii="宋体"/>
      <w:kern w:val="2"/>
      <w:sz w:val="24"/>
      <w:lang w:val="zh-CN" w:eastAsia="zh-CN"/>
    </w:rPr>
  </w:style>
  <w:style w:type="paragraph" w:customStyle="1" w:styleId="53">
    <w:name w:val="表标题"/>
    <w:basedOn w:val="20"/>
    <w:qFormat/>
    <w:uiPriority w:val="0"/>
    <w:pPr>
      <w:adjustRightInd w:val="0"/>
      <w:snapToGrid w:val="0"/>
      <w:spacing w:before="60" w:after="60" w:line="500" w:lineRule="exact"/>
      <w:ind w:firstLine="0" w:firstLineChars="0"/>
      <w:jc w:val="center"/>
    </w:pPr>
    <w:rPr>
      <w:b/>
      <w:bCs/>
      <w:kern w:val="0"/>
      <w:sz w:val="24"/>
      <w:szCs w:val="18"/>
    </w:rPr>
  </w:style>
  <w:style w:type="character" w:customStyle="1" w:styleId="54">
    <w:name w:val="正文文本首行缩进 字符"/>
    <w:link w:val="20"/>
    <w:qFormat/>
    <w:uiPriority w:val="0"/>
    <w:rPr>
      <w:kern w:val="2"/>
      <w:sz w:val="21"/>
      <w:szCs w:val="24"/>
    </w:rPr>
  </w:style>
  <w:style w:type="paragraph" w:customStyle="1" w:styleId="55">
    <w:name w:val="表头"/>
    <w:link w:val="56"/>
    <w:qFormat/>
    <w:uiPriority w:val="0"/>
    <w:pPr>
      <w:jc w:val="center"/>
    </w:pPr>
    <w:rPr>
      <w:rFonts w:ascii="黑体" w:hAnsi="Times New Roman" w:eastAsia="黑体" w:cs="Times New Roman"/>
      <w:b/>
      <w:sz w:val="24"/>
      <w:lang w:val="en-US" w:eastAsia="zh-CN" w:bidi="ar-SA"/>
    </w:rPr>
  </w:style>
  <w:style w:type="character" w:customStyle="1" w:styleId="56">
    <w:name w:val="表头 Char"/>
    <w:link w:val="55"/>
    <w:qFormat/>
    <w:uiPriority w:val="0"/>
    <w:rPr>
      <w:rFonts w:ascii="黑体" w:eastAsia="黑体"/>
      <w:b/>
      <w:sz w:val="24"/>
      <w:lang w:bidi="ar-SA"/>
    </w:rPr>
  </w:style>
  <w:style w:type="character" w:customStyle="1" w:styleId="57">
    <w:name w:val="报告书的正文 Char"/>
    <w:link w:val="58"/>
    <w:qFormat/>
    <w:uiPriority w:val="0"/>
    <w:rPr>
      <w:rFonts w:cs="Arial"/>
      <w:sz w:val="24"/>
    </w:rPr>
  </w:style>
  <w:style w:type="paragraph" w:customStyle="1" w:styleId="58">
    <w:name w:val="报告书的正文"/>
    <w:basedOn w:val="1"/>
    <w:link w:val="57"/>
    <w:qFormat/>
    <w:uiPriority w:val="0"/>
    <w:pPr>
      <w:snapToGrid w:val="0"/>
      <w:spacing w:line="360" w:lineRule="auto"/>
      <w:ind w:firstLine="200" w:firstLineChars="200"/>
      <w:jc w:val="left"/>
    </w:pPr>
    <w:rPr>
      <w:kern w:val="0"/>
      <w:sz w:val="24"/>
      <w:szCs w:val="20"/>
      <w:lang w:val="zh-CN"/>
    </w:rPr>
  </w:style>
  <w:style w:type="character" w:customStyle="1" w:styleId="59">
    <w:name w:val="表格内容 Char"/>
    <w:link w:val="60"/>
    <w:qFormat/>
    <w:uiPriority w:val="0"/>
    <w:rPr>
      <w:color w:val="000000"/>
      <w:kern w:val="2"/>
      <w:sz w:val="21"/>
      <w:szCs w:val="21"/>
    </w:rPr>
  </w:style>
  <w:style w:type="paragraph" w:customStyle="1" w:styleId="60">
    <w:name w:val="表格内容"/>
    <w:basedOn w:val="1"/>
    <w:link w:val="59"/>
    <w:qFormat/>
    <w:uiPriority w:val="0"/>
    <w:pPr>
      <w:adjustRightInd w:val="0"/>
      <w:snapToGrid w:val="0"/>
      <w:jc w:val="center"/>
    </w:pPr>
    <w:rPr>
      <w:color w:val="000000"/>
      <w:szCs w:val="21"/>
      <w:lang w:val="zh-CN"/>
    </w:rPr>
  </w:style>
  <w:style w:type="character" w:customStyle="1" w:styleId="61">
    <w:name w:val="正文文本缩进 2 字符"/>
    <w:link w:val="10"/>
    <w:qFormat/>
    <w:uiPriority w:val="0"/>
    <w:rPr>
      <w:kern w:val="2"/>
      <w:sz w:val="21"/>
      <w:szCs w:val="24"/>
    </w:rPr>
  </w:style>
  <w:style w:type="paragraph" w:customStyle="1" w:styleId="62">
    <w:name w:val="报告书正文"/>
    <w:basedOn w:val="1"/>
    <w:link w:val="63"/>
    <w:qFormat/>
    <w:uiPriority w:val="0"/>
    <w:pPr>
      <w:widowControl/>
      <w:adjustRightInd w:val="0"/>
      <w:snapToGrid w:val="0"/>
      <w:spacing w:line="360" w:lineRule="auto"/>
      <w:ind w:firstLine="480" w:firstLineChars="200"/>
      <w:jc w:val="left"/>
      <w:textAlignment w:val="baseline"/>
    </w:pPr>
    <w:rPr>
      <w:sz w:val="24"/>
      <w:lang w:val="zh-CN"/>
    </w:rPr>
  </w:style>
  <w:style w:type="character" w:customStyle="1" w:styleId="63">
    <w:name w:val="报告书正文 Char1"/>
    <w:link w:val="62"/>
    <w:qFormat/>
    <w:uiPriority w:val="0"/>
    <w:rPr>
      <w:kern w:val="2"/>
      <w:sz w:val="24"/>
      <w:szCs w:val="24"/>
    </w:rPr>
  </w:style>
  <w:style w:type="character" w:customStyle="1" w:styleId="64">
    <w:name w:val="标题 3 字符"/>
    <w:link w:val="3"/>
    <w:semiHidden/>
    <w:qFormat/>
    <w:uiPriority w:val="0"/>
    <w:rPr>
      <w:b/>
      <w:bCs/>
      <w:kern w:val="2"/>
      <w:sz w:val="32"/>
      <w:szCs w:val="32"/>
    </w:rPr>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Table Paragraph"/>
    <w:basedOn w:val="1"/>
    <w:qFormat/>
    <w:uiPriority w:val="0"/>
    <w:pPr>
      <w:widowControl/>
      <w:jc w:val="left"/>
    </w:pPr>
    <w:rPr>
      <w:rFonts w:ascii="Calibri" w:hAnsi="Calibri"/>
      <w:kern w:val="0"/>
      <w:sz w:val="22"/>
      <w:szCs w:val="22"/>
    </w:rPr>
  </w:style>
  <w:style w:type="paragraph" w:customStyle="1" w:styleId="67">
    <w:name w:val="正文55555"/>
    <w:basedOn w:val="1"/>
    <w:qFormat/>
    <w:uiPriority w:val="0"/>
    <w:pPr>
      <w:widowControl/>
      <w:spacing w:line="360" w:lineRule="auto"/>
      <w:ind w:firstLine="200" w:firstLineChars="200"/>
      <w:jc w:val="left"/>
    </w:pPr>
    <w:rPr>
      <w:kern w:val="0"/>
      <w:sz w:val="24"/>
    </w:rPr>
  </w:style>
  <w:style w:type="character" w:customStyle="1" w:styleId="68">
    <w:name w:val="未处理的提及1"/>
    <w:basedOn w:val="24"/>
    <w:semiHidden/>
    <w:unhideWhenUsed/>
    <w:qFormat/>
    <w:uiPriority w:val="99"/>
    <w:rPr>
      <w:color w:val="605E5C"/>
      <w:shd w:val="clear" w:color="auto" w:fill="E1DFDD"/>
    </w:rPr>
  </w:style>
  <w:style w:type="paragraph" w:styleId="69">
    <w:name w:val="List Paragraph"/>
    <w:basedOn w:val="1"/>
    <w:qFormat/>
    <w:uiPriority w:val="34"/>
    <w:pPr>
      <w:ind w:firstLine="420" w:firstLineChars="200"/>
    </w:pPr>
  </w:style>
  <w:style w:type="character" w:customStyle="1" w:styleId="70">
    <w:name w:val="批注文字 Char"/>
    <w:qFormat/>
    <w:locked/>
    <w:uiPriority w:val="0"/>
    <w:rPr>
      <w:rFonts w:ascii="Times New Roman" w:hAnsi="Times New Roman" w:eastAsia="宋体"/>
      <w:sz w:val="24"/>
    </w:rPr>
  </w:style>
  <w:style w:type="paragraph" w:customStyle="1" w:styleId="71">
    <w:name w:val="_Style 10"/>
    <w:basedOn w:val="1"/>
    <w:qFormat/>
    <w:uiPriority w:val="0"/>
    <w:pPr>
      <w:snapToGrid w:val="0"/>
      <w:spacing w:line="500" w:lineRule="exact"/>
    </w:pPr>
    <w:rPr>
      <w:sz w:val="24"/>
    </w:rPr>
  </w:style>
  <w:style w:type="character" w:customStyle="1" w:styleId="72">
    <w:name w:val="表格标题 Char"/>
    <w:link w:val="73"/>
    <w:qFormat/>
    <w:uiPriority w:val="0"/>
    <w:rPr>
      <w:b/>
    </w:rPr>
  </w:style>
  <w:style w:type="paragraph" w:customStyle="1" w:styleId="73">
    <w:name w:val="表格标题"/>
    <w:basedOn w:val="1"/>
    <w:link w:val="72"/>
    <w:qFormat/>
    <w:uiPriority w:val="0"/>
    <w:pPr>
      <w:spacing w:beforeLines="50" w:line="360" w:lineRule="auto"/>
      <w:jc w:val="center"/>
    </w:pPr>
    <w:rPr>
      <w:b/>
      <w:kern w:val="0"/>
      <w:sz w:val="20"/>
      <w:szCs w:val="20"/>
    </w:rPr>
  </w:style>
  <w:style w:type="paragraph" w:customStyle="1" w:styleId="74">
    <w:name w:val="正文表格5号"/>
    <w:basedOn w:val="1"/>
    <w:qFormat/>
    <w:uiPriority w:val="0"/>
    <w:pPr>
      <w:adjustRightInd w:val="0"/>
      <w:spacing w:line="460" w:lineRule="exact"/>
      <w:textAlignment w:val="baseline"/>
    </w:pPr>
    <w:rPr>
      <w:rFonts w:ascii="宋体"/>
      <w:kern w:val="0"/>
      <w:szCs w:val="20"/>
    </w:rPr>
  </w:style>
  <w:style w:type="character" w:customStyle="1" w:styleId="75">
    <w:name w:val="样式 正文 行距: 固定值 25 磅 Char"/>
    <w:link w:val="76"/>
    <w:qFormat/>
    <w:uiPriority w:val="0"/>
    <w:rPr>
      <w:sz w:val="24"/>
      <w:szCs w:val="24"/>
    </w:rPr>
  </w:style>
  <w:style w:type="paragraph" w:customStyle="1" w:styleId="76">
    <w:name w:val="样式 正文 行距: 固定值 25 磅"/>
    <w:basedOn w:val="1"/>
    <w:link w:val="75"/>
    <w:qFormat/>
    <w:uiPriority w:val="0"/>
    <w:pPr>
      <w:adjustRightInd w:val="0"/>
      <w:spacing w:line="500" w:lineRule="exact"/>
      <w:ind w:firstLine="200" w:firstLineChars="200"/>
    </w:pPr>
    <w:rPr>
      <w:kern w:val="0"/>
      <w:sz w:val="24"/>
    </w:rPr>
  </w:style>
  <w:style w:type="character" w:customStyle="1" w:styleId="77">
    <w:name w:val="表格标题 Char Char"/>
    <w:basedOn w:val="24"/>
    <w:qFormat/>
    <w:uiPriority w:val="0"/>
    <w:rPr>
      <w:rFonts w:ascii="Times New Roman" w:hAnsi="Times New Roman" w:eastAsia="黑体" w:cs="Times New Roman"/>
      <w:szCs w:val="24"/>
    </w:rPr>
  </w:style>
  <w:style w:type="character" w:customStyle="1" w:styleId="78">
    <w:name w:val="未处理的提及2"/>
    <w:basedOn w:val="24"/>
    <w:semiHidden/>
    <w:unhideWhenUsed/>
    <w:qFormat/>
    <w:uiPriority w:val="99"/>
    <w:rPr>
      <w:color w:val="605E5C"/>
      <w:shd w:val="clear" w:color="auto" w:fill="E1DFDD"/>
    </w:rPr>
  </w:style>
  <w:style w:type="paragraph" w:customStyle="1" w:styleId="79">
    <w:name w:val="正文 首行缩进:  2 字符"/>
    <w:basedOn w:val="1"/>
    <w:link w:val="80"/>
    <w:qFormat/>
    <w:uiPriority w:val="0"/>
    <w:pPr>
      <w:snapToGrid w:val="0"/>
      <w:spacing w:line="500" w:lineRule="exact"/>
      <w:ind w:firstLine="200" w:firstLineChars="200"/>
    </w:pPr>
    <w:rPr>
      <w:rFonts w:cs="宋体"/>
      <w:sz w:val="24"/>
      <w:szCs w:val="20"/>
    </w:rPr>
  </w:style>
  <w:style w:type="character" w:customStyle="1" w:styleId="80">
    <w:name w:val="正文 首行缩进:  2 字符 Char"/>
    <w:basedOn w:val="24"/>
    <w:link w:val="79"/>
    <w:qFormat/>
    <w:uiPriority w:val="0"/>
    <w:rPr>
      <w:rFonts w:cs="宋体"/>
      <w:kern w:val="2"/>
      <w:sz w:val="24"/>
    </w:rPr>
  </w:style>
  <w:style w:type="paragraph" w:customStyle="1" w:styleId="81">
    <w:name w:val="格"/>
    <w:basedOn w:val="1"/>
    <w:qFormat/>
    <w:uiPriority w:val="0"/>
    <w:pPr>
      <w:widowControl/>
      <w:jc w:val="center"/>
    </w:pPr>
    <w:rPr>
      <w:bCs/>
      <w:snapToGrid w:val="0"/>
      <w:kern w:val="0"/>
    </w:rPr>
  </w:style>
  <w:style w:type="character" w:customStyle="1" w:styleId="82">
    <w:name w:val="表格文字 Char"/>
    <w:qFormat/>
    <w:uiPriority w:val="0"/>
    <w:rPr>
      <w:position w:val="-10"/>
      <w:sz w:val="18"/>
    </w:rPr>
  </w:style>
  <w:style w:type="paragraph" w:customStyle="1" w:styleId="83">
    <w:name w:val="表格文字（小）"/>
    <w:basedOn w:val="1"/>
    <w:qFormat/>
    <w:uiPriority w:val="0"/>
    <w:pPr>
      <w:spacing w:line="240" w:lineRule="atLeast"/>
      <w:jc w:val="center"/>
    </w:pPr>
  </w:style>
  <w:style w:type="character" w:customStyle="1" w:styleId="84">
    <w:name w:val="正文缩进 字符"/>
    <w:link w:val="4"/>
    <w:qFormat/>
    <w:locked/>
    <w:uiPriority w:val="99"/>
    <w:rPr>
      <w:kern w:val="2"/>
      <w:sz w:val="21"/>
    </w:rPr>
  </w:style>
  <w:style w:type="paragraph" w:customStyle="1" w:styleId="85">
    <w:name w:val="店子正文"/>
    <w:basedOn w:val="1"/>
    <w:qFormat/>
    <w:uiPriority w:val="0"/>
    <w:pPr>
      <w:spacing w:line="360" w:lineRule="auto"/>
      <w:ind w:firstLine="200" w:firstLineChars="200"/>
    </w:pPr>
    <w:rPr>
      <w:sz w:val="24"/>
    </w:rPr>
  </w:style>
  <w:style w:type="paragraph" w:customStyle="1" w:styleId="86">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0"/>
      <w:szCs w:val="20"/>
    </w:rPr>
  </w:style>
  <w:style w:type="paragraph" w:customStyle="1" w:styleId="87">
    <w:name w:val="表图标题"/>
    <w:basedOn w:val="1"/>
    <w:next w:val="1"/>
    <w:qFormat/>
    <w:uiPriority w:val="0"/>
    <w:pPr>
      <w:adjustRightInd w:val="0"/>
      <w:snapToGrid w:val="0"/>
      <w:spacing w:line="240" w:lineRule="auto"/>
      <w:ind w:firstLine="0" w:firstLineChars="0"/>
      <w:jc w:val="center"/>
    </w:pPr>
    <w:rPr>
      <w:rFonts w:cs="宋体"/>
      <w:b/>
      <w:snapToGrid w:val="0"/>
      <w:color w:val="000000"/>
      <w:kern w:val="16"/>
      <w:szCs w:val="21"/>
    </w:rPr>
  </w:style>
  <w:style w:type="character" w:customStyle="1" w:styleId="88">
    <w:name w:val="font12"/>
    <w:basedOn w:val="24"/>
    <w:qFormat/>
    <w:uiPriority w:val="0"/>
    <w:rPr>
      <w:rFonts w:hint="eastAsia" w:ascii="宋体" w:hAnsi="宋体" w:eastAsia="宋体" w:cs="宋体"/>
      <w:color w:val="000000"/>
      <w:sz w:val="21"/>
      <w:szCs w:val="21"/>
      <w:u w:val="none"/>
    </w:rPr>
  </w:style>
  <w:style w:type="character" w:customStyle="1" w:styleId="89">
    <w:name w:val="font91"/>
    <w:basedOn w:val="24"/>
    <w:qFormat/>
    <w:uiPriority w:val="0"/>
    <w:rPr>
      <w:rFonts w:hint="eastAsia" w:ascii="宋体" w:hAnsi="宋体" w:eastAsia="宋体" w:cs="宋体"/>
      <w:color w:val="FF0000"/>
      <w:sz w:val="21"/>
      <w:szCs w:val="21"/>
      <w:u w:val="none"/>
    </w:rPr>
  </w:style>
  <w:style w:type="character" w:customStyle="1" w:styleId="90">
    <w:name w:val="font41"/>
    <w:basedOn w:val="24"/>
    <w:qFormat/>
    <w:uiPriority w:val="0"/>
    <w:rPr>
      <w:rFonts w:hint="default" w:ascii="Times New Roman" w:hAnsi="Times New Roman" w:cs="Times New Roman"/>
      <w:color w:val="000000"/>
      <w:sz w:val="21"/>
      <w:szCs w:val="21"/>
      <w:u w:val="none"/>
    </w:rPr>
  </w:style>
  <w:style w:type="paragraph" w:customStyle="1" w:styleId="91">
    <w:name w:val="表格样式"/>
    <w:basedOn w:val="1"/>
    <w:autoRedefine/>
    <w:qFormat/>
    <w:uiPriority w:val="0"/>
    <w:pPr>
      <w:spacing w:line="360" w:lineRule="exact"/>
      <w:jc w:val="center"/>
    </w:pPr>
    <w:rPr>
      <w:color w:val="000000"/>
      <w:szCs w:val="21"/>
    </w:rPr>
  </w:style>
  <w:style w:type="paragraph" w:customStyle="1" w:styleId="92">
    <w:name w:val="样式 正文 首行缩进:  2 字符 + (中文) 楷体_GB2312"/>
    <w:basedOn w:val="79"/>
    <w:qFormat/>
    <w:uiPriority w:val="0"/>
    <w:pPr>
      <w:adjustRightInd w:val="0"/>
    </w:pPr>
    <w:rPr>
      <w:rFonts w:eastAsia="楷体_GB231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wmf"/><Relationship Id="rId32" Type="http://schemas.openxmlformats.org/officeDocument/2006/relationships/oleObject" Target="embeddings/oleObject7.bin"/><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265E-6822-4132-BDF8-65A206AC0A4B}">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80</Pages>
  <Words>19449</Words>
  <Characters>20707</Characters>
  <Lines>523</Lines>
  <Paragraphs>147</Paragraphs>
  <TotalTime>23</TotalTime>
  <ScaleCrop>false</ScaleCrop>
  <LinksUpToDate>false</LinksUpToDate>
  <CharactersWithSpaces>20751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2024-08-22T07:42:00Z</dcterms:created>
  <dc:creator>lhj</dc:creator>
  <cp:lastModifiedBy>巴扎嘿ヾ</cp:lastModifiedBy>
  <cp:lastPrinted>2025-06-13T01:42:00Z</cp:lastPrinted>
  <dcterms:modified xsi:type="dcterms:W3CDTF">2026-06-15T02:12:47Z</dcterms:modified>
  <dc:title>附件2</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E7C1DA591A48410F8CC665E146DD4D18_12</vt:lpwstr>
  </property>
  <property fmtid="{D5CDD505-2E9C-101B-9397-08002B2CF9AE}" pid="4" name="KSOTemplateDocerSaveRecord">
    <vt:lpwstr>eyJoZGlkIjoiMDE4MTFiMmRjYWIwZjhiOGFiZTI0MDM4NGE1ODk4NDkiLCJ1c2VySWQiOiI1MjgwNzM3MjYifQ==</vt:lpwstr>
  </property>
</Properties>
</file>