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333333"/>
          <w:kern w:val="0"/>
          <w:sz w:val="43"/>
          <w:szCs w:val="43"/>
          <w:lang w:val="en-US" w:eastAsia="zh-CN" w:bidi="ar"/>
        </w:rPr>
      </w:pPr>
      <w:r>
        <w:rPr>
          <w:rFonts w:hint="eastAsia" w:ascii="Times New Roman" w:hAnsi="Times New Roman" w:eastAsia="方正小标宋简体" w:cs="Times New Roman"/>
          <w:color w:val="333333"/>
          <w:kern w:val="0"/>
          <w:sz w:val="43"/>
          <w:szCs w:val="43"/>
          <w:lang w:val="en-US" w:eastAsia="zh-CN" w:bidi="ar"/>
        </w:rPr>
        <w:t>临淄区商务</w:t>
      </w:r>
      <w:r>
        <w:rPr>
          <w:rFonts w:hint="default" w:ascii="Times New Roman" w:hAnsi="Times New Roman" w:eastAsia="方正小标宋简体" w:cs="Times New Roman"/>
          <w:color w:val="333333"/>
          <w:kern w:val="0"/>
          <w:sz w:val="43"/>
          <w:szCs w:val="43"/>
          <w:lang w:val="en-US" w:eastAsia="zh-CN" w:bidi="ar"/>
        </w:rPr>
        <w:t>局2023年政府信息公开工作</w:t>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default" w:ascii="Times New Roman" w:hAnsi="Times New Roman" w:cs="Times New Roman"/>
        </w:rPr>
      </w:pPr>
      <w:r>
        <w:rPr>
          <w:rFonts w:hint="default" w:ascii="Times New Roman" w:hAnsi="Times New Roman" w:eastAsia="方正小标宋简体" w:cs="Times New Roman"/>
          <w:color w:val="333333"/>
          <w:kern w:val="0"/>
          <w:sz w:val="43"/>
          <w:szCs w:val="43"/>
          <w:lang w:val="en-US" w:eastAsia="zh-CN" w:bidi="ar"/>
        </w:rPr>
        <w:t>年度报告</w:t>
      </w:r>
    </w:p>
    <w:p>
      <w:pPr>
        <w:rPr>
          <w:rFonts w:hint="default" w:ascii="Times New Roman" w:hAnsi="Times New Roman" w:cs="Times New Roman"/>
        </w:rPr>
      </w:pP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本报告按照《国务院办公厅政府信息与政务公开办公室关于印发&lt;中华人民共和国政府信息公开工作年度报告格式&gt;的通知》（国办公开办函〔20</w:t>
      </w:r>
      <w:r>
        <w:rPr>
          <w:rFonts w:hint="default" w:ascii="Times New Roman" w:hAnsi="Times New Roman" w:eastAsia="仿宋_GB2312" w:cs="Times New Roman"/>
          <w:color w:val="auto"/>
          <w:kern w:val="0"/>
          <w:sz w:val="32"/>
          <w:szCs w:val="32"/>
          <w:lang w:val="en-US" w:eastAsia="zh-CN" w:bidi="ar"/>
        </w:rPr>
        <w:t>21</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3</w:t>
      </w:r>
      <w:r>
        <w:rPr>
          <w:rFonts w:hint="eastAsia" w:ascii="Times New Roman" w:hAnsi="Times New Roman" w:eastAsia="仿宋_GB2312" w:cs="Times New Roman"/>
          <w:color w:val="auto"/>
          <w:kern w:val="0"/>
          <w:sz w:val="32"/>
          <w:szCs w:val="32"/>
          <w:lang w:val="en-US" w:eastAsia="zh-CN" w:bidi="ar"/>
        </w:rPr>
        <w:t>0号）和《中华人民共和国政府信息公开条例》要求编制，全文包括总体情况、主动公开政府信息情况、收到和处理政府信息公开申请情况、政府信息公开行政复议及行政诉讼情况、政府信息公开工作存在的主要问题及改进情况、其他需要报告的事项。</w:t>
      </w:r>
      <w:r>
        <w:rPr>
          <w:rFonts w:hint="default" w:ascii="Times New Roman" w:hAnsi="Times New Roman" w:eastAsia="仿宋_GB2312" w:cs="Times New Roman"/>
          <w:color w:val="auto"/>
          <w:kern w:val="0"/>
          <w:sz w:val="32"/>
          <w:szCs w:val="32"/>
          <w:lang w:val="en-US" w:eastAsia="zh-CN" w:bidi="ar"/>
        </w:rPr>
        <w:t>本年度报告中所列数据的统计期限自2023年1月1日起，至2023年12月31日止。如对报告内容有疑问，请与</w:t>
      </w:r>
      <w:r>
        <w:rPr>
          <w:rFonts w:hint="eastAsia" w:ascii="Times New Roman" w:hAnsi="Times New Roman" w:eastAsia="仿宋_GB2312" w:cs="Times New Roman"/>
          <w:color w:val="auto"/>
          <w:kern w:val="0"/>
          <w:sz w:val="32"/>
          <w:szCs w:val="32"/>
          <w:lang w:val="en-US" w:eastAsia="zh-CN" w:bidi="ar"/>
        </w:rPr>
        <w:t>临淄区商务</w:t>
      </w:r>
      <w:r>
        <w:rPr>
          <w:rFonts w:hint="default" w:ascii="Times New Roman" w:hAnsi="Times New Roman" w:eastAsia="仿宋_GB2312" w:cs="Times New Roman"/>
          <w:color w:val="auto"/>
          <w:kern w:val="0"/>
          <w:sz w:val="32"/>
          <w:szCs w:val="32"/>
          <w:lang w:val="en-US" w:eastAsia="zh-CN" w:bidi="ar"/>
        </w:rPr>
        <w:t>局联系（地址：</w:t>
      </w:r>
      <w:r>
        <w:rPr>
          <w:rFonts w:hint="eastAsia" w:ascii="Times New Roman" w:hAnsi="Times New Roman" w:eastAsia="仿宋_GB2312" w:cs="Times New Roman"/>
          <w:color w:val="auto"/>
          <w:kern w:val="0"/>
          <w:sz w:val="32"/>
          <w:szCs w:val="32"/>
          <w:lang w:val="en-US" w:eastAsia="zh-CN" w:bidi="ar"/>
        </w:rPr>
        <w:t>临淄区齐兴路101号;</w:t>
      </w:r>
      <w:r>
        <w:rPr>
          <w:rFonts w:hint="default" w:ascii="Times New Roman" w:hAnsi="Times New Roman" w:eastAsia="仿宋_GB2312" w:cs="Times New Roman"/>
          <w:color w:val="auto"/>
          <w:kern w:val="0"/>
          <w:sz w:val="32"/>
          <w:szCs w:val="32"/>
          <w:lang w:val="en-US" w:eastAsia="zh-CN" w:bidi="ar"/>
        </w:rPr>
        <w:t>邮编：</w:t>
      </w:r>
      <w:r>
        <w:rPr>
          <w:rFonts w:hint="eastAsia" w:ascii="Times New Roman" w:hAnsi="Times New Roman" w:eastAsia="仿宋_GB2312" w:cs="Times New Roman"/>
          <w:color w:val="auto"/>
          <w:kern w:val="0"/>
          <w:sz w:val="32"/>
          <w:szCs w:val="32"/>
          <w:lang w:val="en-US" w:eastAsia="zh-CN" w:bidi="ar"/>
        </w:rPr>
        <w:t>255400</w:t>
      </w:r>
      <w:r>
        <w:rPr>
          <w:rFonts w:hint="default" w:ascii="Times New Roman" w:hAnsi="Times New Roman" w:eastAsia="仿宋_GB2312" w:cs="Times New Roman"/>
          <w:color w:val="auto"/>
          <w:kern w:val="0"/>
          <w:sz w:val="32"/>
          <w:szCs w:val="32"/>
          <w:lang w:val="en-US" w:eastAsia="zh-CN" w:bidi="ar"/>
        </w:rPr>
        <w:t>；电话：0533-</w:t>
      </w:r>
      <w:r>
        <w:rPr>
          <w:rFonts w:hint="eastAsia" w:ascii="Times New Roman" w:hAnsi="Times New Roman" w:eastAsia="仿宋_GB2312" w:cs="Times New Roman"/>
          <w:color w:val="auto"/>
          <w:kern w:val="0"/>
          <w:sz w:val="32"/>
          <w:szCs w:val="32"/>
          <w:lang w:val="en-US" w:eastAsia="zh-CN" w:bidi="ar"/>
        </w:rPr>
        <w:t>7210266</w:t>
      </w:r>
      <w:r>
        <w:rPr>
          <w:rFonts w:hint="default" w:ascii="Times New Roman" w:hAnsi="Times New Roman" w:eastAsia="仿宋_GB2312" w:cs="Times New Roman"/>
          <w:color w:val="auto"/>
          <w:kern w:val="0"/>
          <w:sz w:val="32"/>
          <w:szCs w:val="32"/>
          <w:lang w:val="en-US" w:eastAsia="zh-CN" w:bidi="ar"/>
        </w:rPr>
        <w:t>；电子邮箱：</w:t>
      </w:r>
      <w:r>
        <w:rPr>
          <w:rFonts w:hint="eastAsia" w:ascii="Times New Roman" w:hAnsi="Times New Roman" w:eastAsia="仿宋_GB2312" w:cs="Times New Roman"/>
          <w:color w:val="auto"/>
          <w:kern w:val="0"/>
          <w:sz w:val="32"/>
          <w:szCs w:val="32"/>
          <w:lang w:val="en-US" w:eastAsia="zh-CN" w:bidi="ar"/>
        </w:rPr>
        <w:fldChar w:fldCharType="begin"/>
      </w:r>
      <w:r>
        <w:rPr>
          <w:rFonts w:hint="eastAsia" w:ascii="Times New Roman" w:hAnsi="Times New Roman" w:eastAsia="仿宋_GB2312" w:cs="Times New Roman"/>
          <w:color w:val="auto"/>
          <w:kern w:val="0"/>
          <w:sz w:val="32"/>
          <w:szCs w:val="32"/>
          <w:lang w:val="en-US" w:eastAsia="zh-CN" w:bidi="ar"/>
        </w:rPr>
        <w:instrText xml:space="preserve"> HYPERLINK "mailto:lzqswj7210266@zb.shandong.com）。" </w:instrText>
      </w:r>
      <w:r>
        <w:rPr>
          <w:rFonts w:hint="eastAsia" w:ascii="Times New Roman" w:hAnsi="Times New Roman" w:eastAsia="仿宋_GB2312" w:cs="Times New Roman"/>
          <w:color w:val="auto"/>
          <w:kern w:val="0"/>
          <w:sz w:val="32"/>
          <w:szCs w:val="32"/>
          <w:lang w:val="en-US" w:eastAsia="zh-CN" w:bidi="ar"/>
        </w:rPr>
        <w:fldChar w:fldCharType="separate"/>
      </w:r>
      <w:r>
        <w:rPr>
          <w:rStyle w:val="6"/>
          <w:rFonts w:hint="eastAsia" w:ascii="Times New Roman" w:hAnsi="Times New Roman" w:eastAsia="仿宋_GB2312" w:cs="Times New Roman"/>
          <w:kern w:val="0"/>
          <w:sz w:val="32"/>
          <w:szCs w:val="32"/>
          <w:lang w:val="en-US" w:eastAsia="zh-CN" w:bidi="ar"/>
        </w:rPr>
        <w:t>lzqswj7210266</w:t>
      </w:r>
      <w:r>
        <w:rPr>
          <w:rStyle w:val="6"/>
          <w:rFonts w:hint="default" w:ascii="Times New Roman" w:hAnsi="Times New Roman" w:eastAsia="仿宋_GB2312" w:cs="Times New Roman"/>
          <w:kern w:val="0"/>
          <w:sz w:val="32"/>
          <w:szCs w:val="32"/>
          <w:lang w:val="en-US" w:eastAsia="zh-CN" w:bidi="ar"/>
        </w:rPr>
        <w:t>@</w:t>
      </w:r>
      <w:r>
        <w:rPr>
          <w:rStyle w:val="6"/>
          <w:rFonts w:hint="eastAsia" w:ascii="Times New Roman" w:hAnsi="Times New Roman" w:eastAsia="仿宋_GB2312" w:cs="Times New Roman"/>
          <w:kern w:val="0"/>
          <w:sz w:val="32"/>
          <w:szCs w:val="32"/>
          <w:lang w:val="en-US" w:eastAsia="zh-CN" w:bidi="ar"/>
        </w:rPr>
        <w:t>zb.shandong</w:t>
      </w:r>
      <w:r>
        <w:rPr>
          <w:rStyle w:val="6"/>
          <w:rFonts w:hint="default" w:ascii="Times New Roman" w:hAnsi="Times New Roman" w:eastAsia="仿宋_GB2312" w:cs="Times New Roman"/>
          <w:kern w:val="0"/>
          <w:sz w:val="32"/>
          <w:szCs w:val="32"/>
          <w:lang w:val="en-US" w:eastAsia="zh-CN" w:bidi="ar"/>
        </w:rPr>
        <w:t>.com）。</w:t>
      </w:r>
      <w:r>
        <w:rPr>
          <w:rFonts w:hint="eastAsia" w:ascii="Times New Roman" w:hAnsi="Times New Roman" w:eastAsia="仿宋_GB2312" w:cs="Times New Roman"/>
          <w:color w:val="auto"/>
          <w:kern w:val="0"/>
          <w:sz w:val="32"/>
          <w:szCs w:val="32"/>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黑体" w:hAnsi="黑体" w:eastAsia="黑体"/>
          <w:sz w:val="32"/>
          <w:szCs w:val="32"/>
        </w:rPr>
        <w:t>一、总体情况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2023年</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临淄区</w:t>
      </w:r>
      <w:r>
        <w:rPr>
          <w:rFonts w:hint="eastAsia" w:ascii="Times New Roman" w:hAnsi="Times New Roman" w:eastAsia="仿宋_GB2312" w:cs="Times New Roman"/>
          <w:color w:val="000000"/>
          <w:kern w:val="0"/>
          <w:sz w:val="32"/>
          <w:szCs w:val="32"/>
          <w:lang w:val="en-US" w:eastAsia="zh-CN" w:bidi="ar"/>
        </w:rPr>
        <w:t>商务</w:t>
      </w:r>
      <w:r>
        <w:rPr>
          <w:rFonts w:hint="default" w:ascii="Times New Roman" w:hAnsi="Times New Roman" w:eastAsia="仿宋_GB2312" w:cs="Times New Roman"/>
          <w:color w:val="000000"/>
          <w:kern w:val="0"/>
          <w:sz w:val="32"/>
          <w:szCs w:val="32"/>
          <w:lang w:val="en-US" w:eastAsia="zh-CN" w:bidi="ar"/>
        </w:rPr>
        <w:t>局以习近平新时代中国特色社会主义思想为指导，在区委、区政府的领导下，严格按照《中华人民共和国政府信息公开条例》规定，认真贯彻落实上级信息公开工作要求，大力推进</w:t>
      </w:r>
      <w:r>
        <w:rPr>
          <w:rFonts w:hint="eastAsia" w:ascii="Times New Roman" w:hAnsi="Times New Roman" w:eastAsia="仿宋_GB2312" w:cs="Times New Roman"/>
          <w:color w:val="000000"/>
          <w:kern w:val="0"/>
          <w:sz w:val="32"/>
          <w:szCs w:val="32"/>
          <w:lang w:val="en-US" w:eastAsia="zh-CN" w:bidi="ar"/>
        </w:rPr>
        <w:t>商务</w:t>
      </w:r>
      <w:r>
        <w:rPr>
          <w:rFonts w:hint="default" w:ascii="Times New Roman" w:hAnsi="Times New Roman" w:eastAsia="仿宋_GB2312" w:cs="Times New Roman"/>
          <w:color w:val="000000"/>
          <w:kern w:val="0"/>
          <w:sz w:val="32"/>
          <w:szCs w:val="32"/>
          <w:lang w:val="en-US" w:eastAsia="zh-CN" w:bidi="ar"/>
        </w:rPr>
        <w:t>领域政府信息公开工作，重点围绕助力经济平稳健康发展和保持社会和谐稳定、提高政策公开质量、夯实公开工作基础等方面深化政务公开，</w:t>
      </w:r>
      <w:r>
        <w:rPr>
          <w:rFonts w:hint="eastAsia" w:ascii="Times New Roman" w:hAnsi="Times New Roman" w:eastAsia="仿宋_GB2312" w:cs="Times New Roman"/>
          <w:color w:val="000000"/>
          <w:kern w:val="0"/>
          <w:sz w:val="32"/>
          <w:szCs w:val="32"/>
          <w:lang w:val="en-US" w:eastAsia="zh-CN" w:bidi="ar"/>
        </w:rPr>
        <w:t>全力保障公民知情权、参与权、表达权、监督权。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楷体_GB2312" w:cs="Times New Roman"/>
          <w:color w:val="000000"/>
          <w:kern w:val="0"/>
          <w:sz w:val="32"/>
          <w:szCs w:val="32"/>
          <w:lang w:val="en-US" w:eastAsia="zh-CN" w:bidi="ar"/>
        </w:rPr>
        <w:t>（一</w:t>
      </w:r>
      <w:bookmarkStart w:id="0" w:name="_GoBack"/>
      <w:bookmarkEnd w:id="0"/>
      <w:r>
        <w:rPr>
          <w:rFonts w:hint="eastAsia" w:ascii="Times New Roman" w:hAnsi="Times New Roman" w:eastAsia="楷体_GB2312" w:cs="Times New Roman"/>
          <w:color w:val="000000"/>
          <w:kern w:val="0"/>
          <w:sz w:val="32"/>
          <w:szCs w:val="32"/>
          <w:lang w:val="en-US" w:eastAsia="zh-CN" w:bidi="ar"/>
        </w:rPr>
        <w:t>）主动公开信息情况。</w:t>
      </w:r>
      <w:r>
        <w:rPr>
          <w:rFonts w:hint="default" w:ascii="Times New Roman" w:hAnsi="Times New Roman" w:eastAsia="仿宋_GB2312" w:cs="Times New Roman"/>
          <w:color w:val="000000"/>
          <w:kern w:val="0"/>
          <w:sz w:val="32"/>
          <w:szCs w:val="32"/>
          <w:highlight w:val="none"/>
          <w:lang w:val="en-US" w:eastAsia="zh-CN" w:bidi="ar"/>
        </w:rPr>
        <w:t>2023年</w:t>
      </w:r>
      <w:r>
        <w:rPr>
          <w:rFonts w:hint="eastAsia" w:ascii="Times New Roman" w:hAnsi="Times New Roman" w:eastAsia="仿宋_GB2312" w:cs="Times New Roman"/>
          <w:color w:val="000000"/>
          <w:kern w:val="0"/>
          <w:sz w:val="32"/>
          <w:szCs w:val="32"/>
          <w:highlight w:val="none"/>
          <w:lang w:val="en-US" w:eastAsia="zh-CN" w:bidi="ar"/>
        </w:rPr>
        <w:t>临淄区商务局</w:t>
      </w:r>
      <w:r>
        <w:rPr>
          <w:rFonts w:hint="default" w:ascii="Times New Roman" w:hAnsi="Times New Roman" w:eastAsia="仿宋_GB2312" w:cs="Times New Roman"/>
          <w:color w:val="000000"/>
          <w:kern w:val="0"/>
          <w:sz w:val="32"/>
          <w:szCs w:val="32"/>
          <w:highlight w:val="none"/>
          <w:lang w:val="en-US" w:eastAsia="zh-CN" w:bidi="ar"/>
        </w:rPr>
        <w:t>通过政府信息公开平台公布信息共</w:t>
      </w:r>
      <w:r>
        <w:rPr>
          <w:rFonts w:hint="eastAsia" w:ascii="Times New Roman" w:hAnsi="Times New Roman" w:eastAsia="仿宋_GB2312" w:cs="Times New Roman"/>
          <w:color w:val="000000"/>
          <w:kern w:val="0"/>
          <w:sz w:val="32"/>
          <w:szCs w:val="32"/>
          <w:highlight w:val="none"/>
          <w:lang w:val="en-US" w:eastAsia="zh-CN" w:bidi="ar"/>
        </w:rPr>
        <w:t>35</w:t>
      </w:r>
      <w:r>
        <w:rPr>
          <w:rFonts w:hint="default" w:ascii="Times New Roman" w:hAnsi="Times New Roman" w:eastAsia="仿宋_GB2312" w:cs="Times New Roman"/>
          <w:color w:val="000000"/>
          <w:kern w:val="0"/>
          <w:sz w:val="32"/>
          <w:szCs w:val="32"/>
          <w:highlight w:val="none"/>
          <w:lang w:val="en-US" w:eastAsia="zh-CN" w:bidi="ar"/>
        </w:rPr>
        <w:t>条</w:t>
      </w:r>
      <w:r>
        <w:rPr>
          <w:rFonts w:hint="eastAsia" w:ascii="Times New Roman" w:hAnsi="Times New Roman" w:eastAsia="仿宋_GB2312" w:cs="Times New Roman"/>
          <w:color w:val="000000"/>
          <w:kern w:val="0"/>
          <w:sz w:val="32"/>
          <w:szCs w:val="32"/>
          <w:highlight w:val="none"/>
          <w:lang w:val="en-US" w:eastAsia="zh-CN" w:bidi="ar"/>
        </w:rPr>
        <w:t>。其中，业务工作11条、规划计划1条、机构职能1条、重要部署执行公开1条、财政预决算信息4条、行政执法信息1条、政府信息公开年度报告1条、“双随机、一公开”信息3条、其他12条。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楷体_GB2312" w:cs="Times New Roman"/>
          <w:color w:val="000000"/>
          <w:kern w:val="0"/>
          <w:sz w:val="32"/>
          <w:szCs w:val="32"/>
          <w:lang w:val="en-US" w:eastAsia="zh-CN" w:bidi="ar"/>
        </w:rPr>
        <w:t>（二）</w:t>
      </w:r>
      <w:r>
        <w:rPr>
          <w:rFonts w:hint="default" w:ascii="Times New Roman" w:hAnsi="Times New Roman" w:eastAsia="楷体_GB2312" w:cs="Times New Roman"/>
          <w:color w:val="000000"/>
          <w:kern w:val="0"/>
          <w:sz w:val="32"/>
          <w:szCs w:val="32"/>
          <w:lang w:val="en-US" w:eastAsia="zh-CN" w:bidi="ar"/>
        </w:rPr>
        <w:t>依申请公开</w:t>
      </w:r>
      <w:r>
        <w:rPr>
          <w:rFonts w:hint="eastAsia" w:ascii="Times New Roman" w:hAnsi="Times New Roman" w:eastAsia="楷体_GB2312" w:cs="Times New Roman"/>
          <w:color w:val="000000"/>
          <w:kern w:val="0"/>
          <w:sz w:val="32"/>
          <w:szCs w:val="32"/>
          <w:lang w:val="en-US" w:eastAsia="zh-CN" w:bidi="ar"/>
        </w:rPr>
        <w:t>工作情况。</w:t>
      </w:r>
      <w:r>
        <w:rPr>
          <w:rFonts w:hint="eastAsia" w:ascii="Times New Roman" w:hAnsi="Times New Roman" w:eastAsia="仿宋_GB2312" w:cs="Times New Roman"/>
          <w:color w:val="000000"/>
          <w:kern w:val="0"/>
          <w:sz w:val="32"/>
          <w:szCs w:val="32"/>
          <w:highlight w:val="none"/>
          <w:lang w:val="en-US" w:eastAsia="zh-CN" w:bidi="ar"/>
        </w:rPr>
        <w:t>2023年，我单位未收到政府信息公开申请书。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楷体_GB2312" w:cs="Times New Roman"/>
          <w:color w:val="000000"/>
          <w:kern w:val="0"/>
          <w:sz w:val="32"/>
          <w:szCs w:val="32"/>
          <w:lang w:val="en-US" w:eastAsia="zh-CN" w:bidi="ar"/>
        </w:rPr>
        <w:t>（三）</w:t>
      </w:r>
      <w:r>
        <w:rPr>
          <w:rFonts w:hint="default" w:ascii="Times New Roman" w:hAnsi="Times New Roman" w:eastAsia="楷体_GB2312" w:cs="Times New Roman"/>
          <w:color w:val="000000"/>
          <w:kern w:val="0"/>
          <w:sz w:val="32"/>
          <w:szCs w:val="32"/>
          <w:lang w:val="en-US" w:eastAsia="zh-CN" w:bidi="ar"/>
        </w:rPr>
        <w:t>政府信息管理</w:t>
      </w:r>
      <w:r>
        <w:rPr>
          <w:rFonts w:hint="eastAsia" w:ascii="Times New Roman" w:hAnsi="Times New Roman" w:eastAsia="楷体_GB2312" w:cs="Times New Roman"/>
          <w:color w:val="000000"/>
          <w:kern w:val="0"/>
          <w:sz w:val="32"/>
          <w:szCs w:val="32"/>
          <w:lang w:val="en-US" w:eastAsia="zh-CN" w:bidi="ar"/>
        </w:rPr>
        <w:t>情况</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2023</w:t>
      </w:r>
      <w:r>
        <w:rPr>
          <w:rFonts w:hint="eastAsia" w:ascii="Times New Roman" w:hAnsi="Times New Roman" w:eastAsia="仿宋_GB2312" w:cs="Times New Roman"/>
          <w:color w:val="000000"/>
          <w:kern w:val="0"/>
          <w:sz w:val="32"/>
          <w:szCs w:val="32"/>
          <w:highlight w:val="none"/>
          <w:lang w:val="en-US" w:eastAsia="zh-CN" w:bidi="ar"/>
        </w:rPr>
        <w:t>年，区商务局严格按照上级部门有关政府信息公开的文件精神和局推进政务公开制度有关要求，安排专人负责，严格执行信息发布“三审三校”制度，做好信息公开保密审查发布工作，保障信息公开工作依法、及时、准确、有序地开展。2023年区商务局未发生涉密事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楷体_GB2312" w:cs="Times New Roman"/>
          <w:color w:val="000000"/>
          <w:kern w:val="0"/>
          <w:sz w:val="32"/>
          <w:szCs w:val="32"/>
          <w:lang w:val="en-US" w:eastAsia="zh-CN" w:bidi="ar"/>
        </w:rPr>
        <w:t>（四）政府信息公开</w:t>
      </w:r>
      <w:r>
        <w:rPr>
          <w:rFonts w:hint="default" w:ascii="Times New Roman" w:hAnsi="Times New Roman" w:eastAsia="楷体_GB2312" w:cs="Times New Roman"/>
          <w:color w:val="000000"/>
          <w:kern w:val="0"/>
          <w:sz w:val="32"/>
          <w:szCs w:val="32"/>
          <w:lang w:val="en-US" w:eastAsia="zh-CN" w:bidi="ar"/>
        </w:rPr>
        <w:t>平台建设</w:t>
      </w:r>
      <w:r>
        <w:rPr>
          <w:rFonts w:hint="eastAsia" w:ascii="Times New Roman" w:hAnsi="Times New Roman" w:eastAsia="楷体_GB2312" w:cs="Times New Roman"/>
          <w:color w:val="000000"/>
          <w:kern w:val="0"/>
          <w:sz w:val="32"/>
          <w:szCs w:val="32"/>
          <w:lang w:val="en-US" w:eastAsia="zh-CN" w:bidi="ar"/>
        </w:rPr>
        <w:t>情况。</w:t>
      </w:r>
      <w:r>
        <w:rPr>
          <w:rFonts w:hint="eastAsia" w:ascii="Times New Roman" w:hAnsi="Times New Roman" w:eastAsia="仿宋_GB2312" w:cs="Times New Roman"/>
          <w:color w:val="000000"/>
          <w:kern w:val="0"/>
          <w:sz w:val="32"/>
          <w:szCs w:val="32"/>
          <w:highlight w:val="none"/>
          <w:lang w:val="en-US" w:eastAsia="zh-CN" w:bidi="ar"/>
        </w:rPr>
        <w:t>2023年，区商务局进一步加强信息平台的运维管理，充分利用政府门户网站“政府信息公开专栏”对外公开政务信息，在做好局网站平台信息发布、日常巡查和维护的基础上，规范“临淄商务”微信公众号的运维管理，实行以政府门户网站公开为主，局微信公众号公开为辅，重大政策发布时线上线下同步宣传的多渠道信息公开模式，全方位展示商务发展工作，传递好商务声音，接收社会各界监督。2023年“临淄商务”微信公众号共发布信息70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楷体_GB2312" w:cs="Times New Roman"/>
          <w:color w:val="000000"/>
          <w:kern w:val="0"/>
          <w:sz w:val="32"/>
          <w:szCs w:val="32"/>
          <w:lang w:val="en-US" w:eastAsia="zh-CN" w:bidi="ar"/>
        </w:rPr>
        <w:t>（五）政府信息公开</w:t>
      </w:r>
      <w:r>
        <w:rPr>
          <w:rFonts w:hint="default" w:ascii="Times New Roman" w:hAnsi="Times New Roman" w:eastAsia="楷体_GB2312" w:cs="Times New Roman"/>
          <w:color w:val="000000"/>
          <w:kern w:val="0"/>
          <w:sz w:val="32"/>
          <w:szCs w:val="32"/>
          <w:lang w:val="en-US" w:eastAsia="zh-CN" w:bidi="ar"/>
        </w:rPr>
        <w:t>监督保障</w:t>
      </w:r>
      <w:r>
        <w:rPr>
          <w:rFonts w:hint="eastAsia" w:ascii="Times New Roman" w:hAnsi="Times New Roman" w:eastAsia="楷体_GB2312" w:cs="Times New Roman"/>
          <w:color w:val="000000"/>
          <w:kern w:val="0"/>
          <w:sz w:val="32"/>
          <w:szCs w:val="32"/>
          <w:lang w:val="en-US" w:eastAsia="zh-CN" w:bidi="ar"/>
        </w:rPr>
        <w:t>情况。</w:t>
      </w:r>
      <w:r>
        <w:rPr>
          <w:rFonts w:hint="eastAsia" w:ascii="Times New Roman" w:hAnsi="Times New Roman" w:eastAsia="仿宋_GB2312" w:cs="Times New Roman"/>
          <w:color w:val="000000"/>
          <w:kern w:val="0"/>
          <w:sz w:val="32"/>
          <w:szCs w:val="32"/>
          <w:highlight w:val="none"/>
          <w:lang w:val="en-US" w:eastAsia="zh-CN" w:bidi="ar"/>
        </w:rPr>
        <w:t>严格按照市、区关于政府信息公开的有关规定，坚持和完善“主要领导负总责、分管领导把关、职能部门落实”的工作机制，建立信息宣传工作例会制度，加强对政务公开工作的领导和保障，积极主动做好政务信息公开工作，加强政府信息公开平台的常态化自查，发现信息发布不及时、不到位的情况立即进行整改。2023年我局未出现因政府信息公开工作不到位需要进行责任追究的情况。</w:t>
      </w:r>
    </w:p>
    <w:p>
      <w:pPr>
        <w:keepNext w:val="0"/>
        <w:keepLines w:val="0"/>
        <w:widowControl/>
        <w:suppressLineNumbers w:val="0"/>
        <w:ind w:firstLine="620" w:firstLineChars="200"/>
        <w:jc w:val="left"/>
      </w:pPr>
      <w:r>
        <w:rPr>
          <w:rFonts w:ascii="黑体" w:hAnsi="宋体" w:eastAsia="黑体" w:cs="黑体"/>
          <w:color w:val="333333"/>
          <w:kern w:val="0"/>
          <w:sz w:val="31"/>
          <w:szCs w:val="31"/>
          <w:lang w:val="en-US" w:eastAsia="zh-CN" w:bidi="ar"/>
        </w:rPr>
        <w:t>二、主动公开政府信息情况</w:t>
      </w:r>
    </w:p>
    <w:tbl>
      <w:tblPr>
        <w:tblStyle w:val="7"/>
        <w:tblW w:w="8124" w:type="dxa"/>
        <w:tblInd w:w="106" w:type="dxa"/>
        <w:tblLayout w:type="fixed"/>
        <w:tblCellMar>
          <w:top w:w="0" w:type="dxa"/>
          <w:left w:w="0" w:type="dxa"/>
          <w:bottom w:w="0" w:type="dxa"/>
          <w:right w:w="0" w:type="dxa"/>
        </w:tblCellMar>
      </w:tblPr>
      <w:tblGrid>
        <w:gridCol w:w="3284"/>
        <w:gridCol w:w="1686"/>
        <w:gridCol w:w="1803"/>
        <w:gridCol w:w="1351"/>
      </w:tblGrid>
      <w:tr>
        <w:tblPrEx>
          <w:tblCellMar>
            <w:top w:w="0" w:type="dxa"/>
            <w:left w:w="0" w:type="dxa"/>
            <w:bottom w:w="0" w:type="dxa"/>
            <w:right w:w="0" w:type="dxa"/>
          </w:tblCellMar>
        </w:tblPrEx>
        <w:trPr>
          <w:trHeight w:val="621" w:hRule="exact"/>
        </w:trPr>
        <w:tc>
          <w:tcPr>
            <w:tcW w:w="8124" w:type="dxa"/>
            <w:gridSpan w:val="4"/>
            <w:tcBorders>
              <w:top w:val="single" w:color="2B283F" w:sz="8" w:space="0"/>
              <w:left w:val="single" w:color="3B3B44" w:sz="6" w:space="0"/>
              <w:bottom w:val="single" w:color="64647C" w:sz="4" w:space="0"/>
              <w:right w:val="single" w:color="3B3B44" w:sz="8" w:space="0"/>
            </w:tcBorders>
          </w:tcPr>
          <w:p>
            <w:pPr>
              <w:tabs>
                <w:tab w:val="left" w:pos="1048"/>
              </w:tabs>
              <w:spacing w:before="142"/>
              <w:ind w:left="-1" w:right="1"/>
              <w:jc w:val="center"/>
              <w:rPr>
                <w:sz w:val="21"/>
                <w:lang w:eastAsia="en-US"/>
              </w:rPr>
            </w:pPr>
            <w:r>
              <w:rPr>
                <w:sz w:val="21"/>
                <w:lang w:eastAsia="en-US"/>
              </w:rPr>
              <w:t>第二十条</w:t>
            </w:r>
            <w:r>
              <w:rPr>
                <w:sz w:val="21"/>
                <w:lang w:eastAsia="en-US"/>
              </w:rPr>
              <w:tab/>
            </w:r>
            <w:r>
              <w:rPr>
                <w:sz w:val="21"/>
                <w:lang w:eastAsia="en-US"/>
              </w:rPr>
              <w:t>第 （一</w:t>
            </w:r>
            <w:r>
              <w:rPr>
                <w:rFonts w:hint="eastAsia"/>
                <w:sz w:val="21"/>
                <w:lang w:eastAsia="en-US"/>
              </w:rPr>
              <w:t>）</w:t>
            </w:r>
            <w:r>
              <w:rPr>
                <w:sz w:val="21"/>
                <w:lang w:eastAsia="en-US"/>
              </w:rPr>
              <w:t xml:space="preserve"> 项</w:t>
            </w:r>
          </w:p>
        </w:tc>
      </w:tr>
      <w:tr>
        <w:tblPrEx>
          <w:tblCellMar>
            <w:top w:w="0" w:type="dxa"/>
            <w:left w:w="0" w:type="dxa"/>
            <w:bottom w:w="0" w:type="dxa"/>
            <w:right w:w="0" w:type="dxa"/>
          </w:tblCellMar>
        </w:tblPrEx>
        <w:trPr>
          <w:trHeight w:val="616" w:hRule="exact"/>
        </w:trPr>
        <w:tc>
          <w:tcPr>
            <w:tcW w:w="3284" w:type="dxa"/>
            <w:tcBorders>
              <w:top w:val="single" w:color="64647C" w:sz="4" w:space="0"/>
              <w:left w:val="single" w:color="3B3B44" w:sz="6" w:space="0"/>
              <w:bottom w:val="single" w:color="707790" w:sz="4" w:space="0"/>
              <w:right w:val="single" w:color="7C7C83" w:sz="4" w:space="0"/>
            </w:tcBorders>
          </w:tcPr>
          <w:p>
            <w:pPr>
              <w:spacing w:before="135"/>
              <w:ind w:right="27"/>
              <w:jc w:val="center"/>
              <w:rPr>
                <w:sz w:val="21"/>
                <w:lang w:eastAsia="en-US"/>
              </w:rPr>
            </w:pPr>
            <w:r>
              <w:rPr>
                <w:sz w:val="21"/>
                <w:lang w:eastAsia="en-US"/>
              </w:rPr>
              <w:t>信息内容</w:t>
            </w:r>
          </w:p>
        </w:tc>
        <w:tc>
          <w:tcPr>
            <w:tcW w:w="1686" w:type="dxa"/>
            <w:tcBorders>
              <w:top w:val="single" w:color="64647C" w:sz="4" w:space="0"/>
              <w:left w:val="single" w:color="7C7C83" w:sz="4" w:space="0"/>
              <w:bottom w:val="single" w:color="707790" w:sz="4" w:space="0"/>
              <w:right w:val="single" w:color="777780" w:sz="4" w:space="0"/>
            </w:tcBorders>
          </w:tcPr>
          <w:p>
            <w:pPr>
              <w:spacing w:before="135"/>
              <w:ind w:left="216"/>
              <w:jc w:val="left"/>
              <w:rPr>
                <w:sz w:val="21"/>
                <w:lang w:eastAsia="en-US"/>
              </w:rPr>
            </w:pPr>
            <w:r>
              <w:rPr>
                <w:sz w:val="21"/>
                <w:lang w:eastAsia="en-US"/>
              </w:rPr>
              <w:t>本年制发件数</w:t>
            </w:r>
          </w:p>
        </w:tc>
        <w:tc>
          <w:tcPr>
            <w:tcW w:w="1803" w:type="dxa"/>
            <w:tcBorders>
              <w:top w:val="single" w:color="64647C" w:sz="4" w:space="0"/>
              <w:left w:val="single" w:color="777780" w:sz="4" w:space="0"/>
              <w:bottom w:val="single" w:color="835B67" w:sz="4" w:space="0"/>
              <w:right w:val="single" w:color="606064" w:sz="2" w:space="0"/>
            </w:tcBorders>
          </w:tcPr>
          <w:p>
            <w:pPr>
              <w:spacing w:before="135"/>
              <w:ind w:left="275"/>
              <w:jc w:val="left"/>
              <w:rPr>
                <w:sz w:val="21"/>
                <w:lang w:eastAsia="en-US"/>
              </w:rPr>
            </w:pPr>
            <w:r>
              <w:rPr>
                <w:sz w:val="21"/>
                <w:lang w:eastAsia="en-US"/>
              </w:rPr>
              <w:t>本年废止件数</w:t>
            </w:r>
          </w:p>
        </w:tc>
        <w:tc>
          <w:tcPr>
            <w:tcW w:w="1351" w:type="dxa"/>
            <w:tcBorders>
              <w:top w:val="single" w:color="64647C" w:sz="4" w:space="0"/>
              <w:left w:val="single" w:color="606064" w:sz="2" w:space="0"/>
              <w:bottom w:val="single" w:color="835B67" w:sz="4" w:space="0"/>
              <w:right w:val="single" w:color="3B3B44" w:sz="8" w:space="0"/>
            </w:tcBorders>
          </w:tcPr>
          <w:p>
            <w:pPr>
              <w:spacing w:before="130"/>
              <w:jc w:val="center"/>
              <w:rPr>
                <w:sz w:val="21"/>
                <w:lang w:eastAsia="en-US"/>
              </w:rPr>
            </w:pPr>
            <w:r>
              <w:rPr>
                <w:sz w:val="21"/>
                <w:lang w:eastAsia="en-US"/>
              </w:rPr>
              <w:t>现行有效件数</w:t>
            </w:r>
          </w:p>
        </w:tc>
      </w:tr>
      <w:tr>
        <w:tblPrEx>
          <w:tblCellMar>
            <w:top w:w="0" w:type="dxa"/>
            <w:left w:w="0" w:type="dxa"/>
            <w:bottom w:w="0" w:type="dxa"/>
            <w:right w:w="0" w:type="dxa"/>
          </w:tblCellMar>
        </w:tblPrEx>
        <w:trPr>
          <w:trHeight w:val="628" w:hRule="exact"/>
        </w:trPr>
        <w:tc>
          <w:tcPr>
            <w:tcW w:w="3284" w:type="dxa"/>
            <w:tcBorders>
              <w:top w:val="single" w:color="707790" w:sz="4" w:space="0"/>
              <w:left w:val="single" w:color="3B3B44" w:sz="6" w:space="0"/>
              <w:bottom w:val="single" w:color="747487" w:sz="4" w:space="0"/>
              <w:right w:val="single" w:color="97979C" w:sz="4" w:space="0"/>
            </w:tcBorders>
          </w:tcPr>
          <w:p>
            <w:pPr>
              <w:spacing w:before="147"/>
              <w:ind w:left="93"/>
              <w:jc w:val="left"/>
              <w:rPr>
                <w:sz w:val="21"/>
                <w:lang w:eastAsia="en-US"/>
              </w:rPr>
            </w:pPr>
            <w:r>
              <w:rPr>
                <w:sz w:val="21"/>
                <w:lang w:eastAsia="en-US"/>
              </w:rPr>
              <w:t>规章</w:t>
            </w:r>
          </w:p>
        </w:tc>
        <w:tc>
          <w:tcPr>
            <w:tcW w:w="1686" w:type="dxa"/>
            <w:tcBorders>
              <w:top w:val="single" w:color="707790" w:sz="4" w:space="0"/>
              <w:left w:val="single" w:color="97979C" w:sz="4" w:space="0"/>
              <w:bottom w:val="single" w:color="747487" w:sz="4" w:space="0"/>
              <w:right w:val="single" w:color="939397" w:sz="4" w:space="0"/>
            </w:tcBorders>
          </w:tcPr>
          <w:p>
            <w:pPr>
              <w:jc w:val="left"/>
              <w:rPr>
                <w:sz w:val="21"/>
                <w:lang w:eastAsia="en-US"/>
              </w:rPr>
            </w:pPr>
            <w:r>
              <w:rPr>
                <w:rFonts w:hint="eastAsia"/>
                <w:sz w:val="21"/>
                <w:lang w:eastAsia="en-US"/>
              </w:rPr>
              <w:t>0</w:t>
            </w:r>
          </w:p>
        </w:tc>
        <w:tc>
          <w:tcPr>
            <w:tcW w:w="1803" w:type="dxa"/>
            <w:tcBorders>
              <w:top w:val="single" w:color="835B67" w:sz="4" w:space="0"/>
              <w:left w:val="single" w:color="939397" w:sz="4" w:space="0"/>
              <w:bottom w:val="single" w:color="546080" w:sz="2" w:space="0"/>
              <w:right w:val="single" w:color="97939C" w:sz="4" w:space="0"/>
            </w:tcBorders>
          </w:tcPr>
          <w:p>
            <w:pPr>
              <w:jc w:val="left"/>
              <w:rPr>
                <w:sz w:val="21"/>
                <w:lang w:eastAsia="en-US"/>
              </w:rPr>
            </w:pPr>
            <w:r>
              <w:rPr>
                <w:rFonts w:hint="eastAsia"/>
                <w:sz w:val="21"/>
                <w:lang w:eastAsia="en-US"/>
              </w:rPr>
              <w:t>0</w:t>
            </w:r>
          </w:p>
        </w:tc>
        <w:tc>
          <w:tcPr>
            <w:tcW w:w="1351" w:type="dxa"/>
            <w:tcBorders>
              <w:top w:val="single" w:color="835B67" w:sz="4" w:space="0"/>
              <w:left w:val="single" w:color="97939C" w:sz="4" w:space="0"/>
              <w:bottom w:val="single" w:color="74778C" w:sz="4" w:space="0"/>
              <w:right w:val="single" w:color="3B3B3F" w:sz="8" w:space="0"/>
            </w:tcBorders>
          </w:tcPr>
          <w:p>
            <w:pPr>
              <w:jc w:val="left"/>
              <w:rPr>
                <w:sz w:val="21"/>
                <w:lang w:eastAsia="en-US"/>
              </w:rPr>
            </w:pPr>
            <w:r>
              <w:rPr>
                <w:rFonts w:hint="eastAsia"/>
                <w:sz w:val="21"/>
                <w:lang w:eastAsia="en-US"/>
              </w:rPr>
              <w:t>0</w:t>
            </w:r>
          </w:p>
        </w:tc>
      </w:tr>
      <w:tr>
        <w:tblPrEx>
          <w:tblCellMar>
            <w:top w:w="0" w:type="dxa"/>
            <w:left w:w="0" w:type="dxa"/>
            <w:bottom w:w="0" w:type="dxa"/>
            <w:right w:w="0" w:type="dxa"/>
          </w:tblCellMar>
        </w:tblPrEx>
        <w:trPr>
          <w:trHeight w:val="621" w:hRule="exact"/>
        </w:trPr>
        <w:tc>
          <w:tcPr>
            <w:tcW w:w="3284" w:type="dxa"/>
            <w:tcBorders>
              <w:top w:val="single" w:color="747487" w:sz="4" w:space="0"/>
              <w:left w:val="single" w:color="3B3B44" w:sz="6" w:space="0"/>
              <w:bottom w:val="single" w:color="5B6080" w:sz="4" w:space="0"/>
              <w:right w:val="single" w:color="97979C" w:sz="4" w:space="0"/>
            </w:tcBorders>
          </w:tcPr>
          <w:p>
            <w:pPr>
              <w:spacing w:before="138"/>
              <w:ind w:left="93"/>
              <w:jc w:val="left"/>
              <w:rPr>
                <w:sz w:val="21"/>
                <w:lang w:eastAsia="en-US"/>
              </w:rPr>
            </w:pPr>
            <w:r>
              <w:rPr>
                <w:sz w:val="21"/>
                <w:lang w:eastAsia="en-US"/>
              </w:rPr>
              <w:t>行政规范性文件</w:t>
            </w:r>
          </w:p>
        </w:tc>
        <w:tc>
          <w:tcPr>
            <w:tcW w:w="1686" w:type="dxa"/>
            <w:tcBorders>
              <w:top w:val="single" w:color="747487" w:sz="4" w:space="0"/>
              <w:left w:val="single" w:color="97979C" w:sz="4" w:space="0"/>
              <w:bottom w:val="single" w:color="5B6080" w:sz="4" w:space="0"/>
              <w:right w:val="single" w:color="939397" w:sz="4" w:space="0"/>
            </w:tcBorders>
          </w:tcPr>
          <w:p>
            <w:pPr>
              <w:jc w:val="left"/>
              <w:rPr>
                <w:sz w:val="21"/>
                <w:lang w:eastAsia="en-US"/>
              </w:rPr>
            </w:pPr>
            <w:r>
              <w:rPr>
                <w:rFonts w:hint="eastAsia"/>
                <w:sz w:val="21"/>
                <w:lang w:eastAsia="en-US"/>
              </w:rPr>
              <w:t>0</w:t>
            </w:r>
          </w:p>
        </w:tc>
        <w:tc>
          <w:tcPr>
            <w:tcW w:w="1803" w:type="dxa"/>
            <w:tcBorders>
              <w:top w:val="single" w:color="546080" w:sz="2" w:space="0"/>
              <w:left w:val="single" w:color="939397" w:sz="4" w:space="0"/>
              <w:bottom w:val="single" w:color="5B6080" w:sz="4" w:space="0"/>
              <w:right w:val="single" w:color="97939C" w:sz="4" w:space="0"/>
            </w:tcBorders>
          </w:tcPr>
          <w:p>
            <w:pPr>
              <w:jc w:val="left"/>
              <w:rPr>
                <w:sz w:val="21"/>
                <w:lang w:eastAsia="en-US"/>
              </w:rPr>
            </w:pPr>
            <w:r>
              <w:rPr>
                <w:rFonts w:hint="eastAsia"/>
                <w:sz w:val="21"/>
                <w:lang w:eastAsia="en-US"/>
              </w:rPr>
              <w:t>0</w:t>
            </w:r>
          </w:p>
        </w:tc>
        <w:tc>
          <w:tcPr>
            <w:tcW w:w="1351" w:type="dxa"/>
            <w:tcBorders>
              <w:top w:val="single" w:color="74778C" w:sz="4" w:space="0"/>
              <w:left w:val="single" w:color="97939C" w:sz="4" w:space="0"/>
              <w:bottom w:val="single" w:color="5B6080" w:sz="4" w:space="0"/>
              <w:right w:val="single" w:color="3B3B3F" w:sz="8" w:space="0"/>
            </w:tcBorders>
          </w:tcPr>
          <w:p>
            <w:pPr>
              <w:jc w:val="left"/>
              <w:rPr>
                <w:sz w:val="21"/>
                <w:lang w:eastAsia="en-US"/>
              </w:rPr>
            </w:pPr>
            <w:r>
              <w:rPr>
                <w:rFonts w:hint="eastAsia"/>
                <w:sz w:val="21"/>
                <w:lang w:eastAsia="en-US"/>
              </w:rPr>
              <w:t>0</w:t>
            </w:r>
          </w:p>
        </w:tc>
      </w:tr>
      <w:tr>
        <w:tblPrEx>
          <w:tblCellMar>
            <w:top w:w="0" w:type="dxa"/>
            <w:left w:w="0" w:type="dxa"/>
            <w:bottom w:w="0" w:type="dxa"/>
            <w:right w:w="0" w:type="dxa"/>
          </w:tblCellMar>
        </w:tblPrEx>
        <w:trPr>
          <w:trHeight w:val="621" w:hRule="exact"/>
        </w:trPr>
        <w:tc>
          <w:tcPr>
            <w:tcW w:w="8124" w:type="dxa"/>
            <w:gridSpan w:val="4"/>
            <w:tcBorders>
              <w:top w:val="single" w:color="5B6080" w:sz="4" w:space="0"/>
              <w:left w:val="single" w:color="3B3B44" w:sz="6" w:space="0"/>
              <w:bottom w:val="single" w:color="646B80" w:sz="4" w:space="0"/>
              <w:right w:val="single" w:color="3B3B3F" w:sz="8" w:space="0"/>
            </w:tcBorders>
          </w:tcPr>
          <w:p>
            <w:pPr>
              <w:tabs>
                <w:tab w:val="left" w:pos="1049"/>
              </w:tabs>
              <w:spacing w:before="140"/>
              <w:ind w:left="5"/>
              <w:jc w:val="center"/>
              <w:rPr>
                <w:sz w:val="21"/>
                <w:lang w:eastAsia="en-US"/>
              </w:rPr>
            </w:pPr>
            <w:r>
              <w:rPr>
                <w:sz w:val="21"/>
                <w:lang w:eastAsia="en-US"/>
              </w:rPr>
              <w:t>第二十条</w:t>
            </w:r>
            <w:r>
              <w:rPr>
                <w:sz w:val="21"/>
                <w:lang w:eastAsia="en-US"/>
              </w:rPr>
              <w:tab/>
            </w:r>
            <w:r>
              <w:rPr>
                <w:sz w:val="21"/>
                <w:lang w:eastAsia="en-US"/>
              </w:rPr>
              <w:t>第 （五</w:t>
            </w:r>
            <w:r>
              <w:rPr>
                <w:rFonts w:hint="eastAsia"/>
                <w:sz w:val="21"/>
                <w:lang w:eastAsia="en-US"/>
              </w:rPr>
              <w:t>）</w:t>
            </w:r>
            <w:r>
              <w:rPr>
                <w:sz w:val="21"/>
                <w:lang w:eastAsia="en-US"/>
              </w:rPr>
              <w:t xml:space="preserve"> 项</w:t>
            </w:r>
          </w:p>
        </w:tc>
      </w:tr>
      <w:tr>
        <w:tblPrEx>
          <w:tblCellMar>
            <w:top w:w="0" w:type="dxa"/>
            <w:left w:w="0" w:type="dxa"/>
            <w:bottom w:w="0" w:type="dxa"/>
            <w:right w:w="0" w:type="dxa"/>
          </w:tblCellMar>
        </w:tblPrEx>
        <w:trPr>
          <w:trHeight w:val="621" w:hRule="exact"/>
        </w:trPr>
        <w:tc>
          <w:tcPr>
            <w:tcW w:w="3284" w:type="dxa"/>
            <w:tcBorders>
              <w:top w:val="single" w:color="646B80" w:sz="4" w:space="0"/>
              <w:left w:val="single" w:color="3B3B44" w:sz="6" w:space="0"/>
              <w:bottom w:val="single" w:color="80676B" w:sz="4" w:space="0"/>
              <w:right w:val="single" w:color="878787" w:sz="4" w:space="0"/>
            </w:tcBorders>
          </w:tcPr>
          <w:p>
            <w:pPr>
              <w:spacing w:before="138"/>
              <w:ind w:right="17"/>
              <w:jc w:val="center"/>
              <w:rPr>
                <w:sz w:val="21"/>
                <w:lang w:eastAsia="en-US"/>
              </w:rPr>
            </w:pPr>
            <w:r>
              <w:rPr>
                <w:sz w:val="21"/>
                <w:lang w:eastAsia="en-US"/>
              </w:rPr>
              <w:t>信息内容</w:t>
            </w:r>
          </w:p>
        </w:tc>
        <w:tc>
          <w:tcPr>
            <w:tcW w:w="4840" w:type="dxa"/>
            <w:gridSpan w:val="3"/>
            <w:tcBorders>
              <w:top w:val="single" w:color="646B80" w:sz="4" w:space="0"/>
              <w:left w:val="single" w:color="878787" w:sz="4" w:space="0"/>
              <w:bottom w:val="single" w:color="7C7474" w:sz="4" w:space="0"/>
              <w:right w:val="single" w:color="3B3B3F" w:sz="8" w:space="0"/>
            </w:tcBorders>
          </w:tcPr>
          <w:p>
            <w:pPr>
              <w:spacing w:before="142"/>
              <w:ind w:right="16"/>
              <w:jc w:val="center"/>
              <w:rPr>
                <w:sz w:val="21"/>
                <w:lang w:eastAsia="en-US"/>
              </w:rPr>
            </w:pPr>
            <w:r>
              <w:rPr>
                <w:sz w:val="21"/>
                <w:lang w:eastAsia="en-US"/>
              </w:rPr>
              <w:t>本年处理决定数量</w:t>
            </w:r>
          </w:p>
        </w:tc>
      </w:tr>
      <w:tr>
        <w:tblPrEx>
          <w:tblCellMar>
            <w:top w:w="0" w:type="dxa"/>
            <w:left w:w="0" w:type="dxa"/>
            <w:bottom w:w="0" w:type="dxa"/>
            <w:right w:w="0" w:type="dxa"/>
          </w:tblCellMar>
        </w:tblPrEx>
        <w:trPr>
          <w:trHeight w:val="621" w:hRule="exact"/>
        </w:trPr>
        <w:tc>
          <w:tcPr>
            <w:tcW w:w="3284" w:type="dxa"/>
            <w:tcBorders>
              <w:top w:val="single" w:color="80676B" w:sz="4" w:space="0"/>
              <w:left w:val="single" w:color="3B3B44" w:sz="6" w:space="0"/>
              <w:bottom w:val="single" w:color="646487" w:sz="4" w:space="0"/>
              <w:right w:val="single" w:color="878787" w:sz="4" w:space="0"/>
            </w:tcBorders>
          </w:tcPr>
          <w:p>
            <w:pPr>
              <w:spacing w:before="140"/>
              <w:ind w:left="98"/>
              <w:jc w:val="left"/>
              <w:rPr>
                <w:sz w:val="21"/>
                <w:lang w:eastAsia="en-US"/>
              </w:rPr>
            </w:pPr>
            <w:r>
              <w:rPr>
                <w:sz w:val="21"/>
                <w:lang w:eastAsia="en-US"/>
              </w:rPr>
              <w:t>行政许可</w:t>
            </w:r>
          </w:p>
        </w:tc>
        <w:tc>
          <w:tcPr>
            <w:tcW w:w="4840" w:type="dxa"/>
            <w:gridSpan w:val="3"/>
            <w:tcBorders>
              <w:top w:val="single" w:color="7C7474" w:sz="4" w:space="0"/>
              <w:left w:val="single" w:color="878787" w:sz="4" w:space="0"/>
              <w:bottom w:val="single" w:color="646487" w:sz="4" w:space="0"/>
              <w:right w:val="single" w:color="3B3B3F" w:sz="8" w:space="0"/>
            </w:tcBorders>
          </w:tcPr>
          <w:p>
            <w:pPr>
              <w:jc w:val="left"/>
              <w:rPr>
                <w:sz w:val="21"/>
                <w:lang w:eastAsia="en-US"/>
              </w:rPr>
            </w:pPr>
            <w:r>
              <w:rPr>
                <w:rFonts w:hint="eastAsia"/>
                <w:sz w:val="21"/>
                <w:lang w:eastAsia="en-US"/>
              </w:rPr>
              <w:t>0</w:t>
            </w:r>
          </w:p>
        </w:tc>
      </w:tr>
      <w:tr>
        <w:tblPrEx>
          <w:tblCellMar>
            <w:top w:w="0" w:type="dxa"/>
            <w:left w:w="0" w:type="dxa"/>
            <w:bottom w:w="0" w:type="dxa"/>
            <w:right w:w="0" w:type="dxa"/>
          </w:tblCellMar>
        </w:tblPrEx>
        <w:trPr>
          <w:trHeight w:val="623" w:hRule="exact"/>
        </w:trPr>
        <w:tc>
          <w:tcPr>
            <w:tcW w:w="8124" w:type="dxa"/>
            <w:gridSpan w:val="4"/>
            <w:tcBorders>
              <w:top w:val="single" w:color="646487" w:sz="4" w:space="0"/>
              <w:left w:val="single" w:color="3B3B44" w:sz="6" w:space="0"/>
              <w:bottom w:val="single" w:color="607087" w:sz="4" w:space="0"/>
              <w:right w:val="single" w:color="3B3B3F" w:sz="8" w:space="0"/>
            </w:tcBorders>
          </w:tcPr>
          <w:p>
            <w:pPr>
              <w:tabs>
                <w:tab w:val="left" w:pos="1059"/>
              </w:tabs>
              <w:spacing w:before="142"/>
              <w:ind w:left="15"/>
              <w:jc w:val="center"/>
              <w:rPr>
                <w:sz w:val="21"/>
                <w:lang w:eastAsia="en-US"/>
              </w:rPr>
            </w:pPr>
            <w:r>
              <w:rPr>
                <w:sz w:val="21"/>
                <w:lang w:eastAsia="en-US"/>
              </w:rPr>
              <w:t>第二十条</w:t>
            </w:r>
            <w:r>
              <w:rPr>
                <w:sz w:val="21"/>
                <w:lang w:eastAsia="en-US"/>
              </w:rPr>
              <w:tab/>
            </w:r>
            <w:r>
              <w:rPr>
                <w:sz w:val="21"/>
                <w:lang w:eastAsia="en-US"/>
              </w:rPr>
              <w:t>第 （六</w:t>
            </w:r>
            <w:r>
              <w:rPr>
                <w:rFonts w:hint="eastAsia"/>
                <w:sz w:val="21"/>
                <w:lang w:eastAsia="en-US"/>
              </w:rPr>
              <w:t>）</w:t>
            </w:r>
            <w:r>
              <w:rPr>
                <w:sz w:val="21"/>
                <w:lang w:eastAsia="en-US"/>
              </w:rPr>
              <w:t xml:space="preserve"> 项</w:t>
            </w:r>
          </w:p>
        </w:tc>
      </w:tr>
      <w:tr>
        <w:tblPrEx>
          <w:tblCellMar>
            <w:top w:w="0" w:type="dxa"/>
            <w:left w:w="0" w:type="dxa"/>
            <w:bottom w:w="0" w:type="dxa"/>
            <w:right w:w="0" w:type="dxa"/>
          </w:tblCellMar>
        </w:tblPrEx>
        <w:trPr>
          <w:trHeight w:val="627" w:hRule="exact"/>
        </w:trPr>
        <w:tc>
          <w:tcPr>
            <w:tcW w:w="3284" w:type="dxa"/>
            <w:tcBorders>
              <w:top w:val="single" w:color="607087" w:sz="4" w:space="0"/>
              <w:left w:val="single" w:color="3B3B44" w:sz="6" w:space="0"/>
              <w:bottom w:val="single" w:color="8C7774" w:sz="4" w:space="0"/>
              <w:right w:val="single" w:color="909093" w:sz="4" w:space="0"/>
            </w:tcBorders>
          </w:tcPr>
          <w:p>
            <w:pPr>
              <w:spacing w:before="142"/>
              <w:ind w:right="8"/>
              <w:jc w:val="center"/>
              <w:rPr>
                <w:sz w:val="21"/>
                <w:lang w:eastAsia="en-US"/>
              </w:rPr>
            </w:pPr>
            <w:r>
              <w:rPr>
                <w:sz w:val="21"/>
                <w:lang w:eastAsia="en-US"/>
              </w:rPr>
              <w:t>信息内容</w:t>
            </w:r>
          </w:p>
        </w:tc>
        <w:tc>
          <w:tcPr>
            <w:tcW w:w="4840" w:type="dxa"/>
            <w:gridSpan w:val="3"/>
            <w:tcBorders>
              <w:top w:val="single" w:color="607087" w:sz="4" w:space="0"/>
              <w:left w:val="single" w:color="909093" w:sz="4" w:space="0"/>
              <w:bottom w:val="single" w:color="747074" w:sz="4" w:space="0"/>
              <w:right w:val="single" w:color="3B3B3F" w:sz="8" w:space="0"/>
            </w:tcBorders>
          </w:tcPr>
          <w:p>
            <w:pPr>
              <w:spacing w:before="142"/>
              <w:ind w:right="13"/>
              <w:jc w:val="center"/>
              <w:rPr>
                <w:sz w:val="21"/>
                <w:lang w:eastAsia="en-US"/>
              </w:rPr>
            </w:pPr>
            <w:r>
              <w:rPr>
                <w:sz w:val="21"/>
                <w:lang w:eastAsia="en-US"/>
              </w:rPr>
              <w:t>本年处理决定数量</w:t>
            </w:r>
          </w:p>
        </w:tc>
      </w:tr>
      <w:tr>
        <w:tblPrEx>
          <w:tblCellMar>
            <w:top w:w="0" w:type="dxa"/>
            <w:left w:w="0" w:type="dxa"/>
            <w:bottom w:w="0" w:type="dxa"/>
            <w:right w:w="0" w:type="dxa"/>
          </w:tblCellMar>
        </w:tblPrEx>
        <w:trPr>
          <w:trHeight w:val="624" w:hRule="exact"/>
        </w:trPr>
        <w:tc>
          <w:tcPr>
            <w:tcW w:w="3284" w:type="dxa"/>
            <w:tcBorders>
              <w:top w:val="single" w:color="8C7774" w:sz="4" w:space="0"/>
              <w:left w:val="single" w:color="3B3B44" w:sz="6" w:space="0"/>
              <w:bottom w:val="single" w:color="7C6B74" w:sz="4" w:space="0"/>
              <w:right w:val="single" w:color="909093" w:sz="4" w:space="0"/>
            </w:tcBorders>
          </w:tcPr>
          <w:p>
            <w:pPr>
              <w:spacing w:before="139"/>
              <w:ind w:left="102"/>
              <w:jc w:val="left"/>
              <w:rPr>
                <w:sz w:val="21"/>
                <w:lang w:eastAsia="en-US"/>
              </w:rPr>
            </w:pPr>
            <w:r>
              <w:rPr>
                <w:sz w:val="21"/>
                <w:lang w:eastAsia="en-US"/>
              </w:rPr>
              <w:t>行政处罚</w:t>
            </w:r>
          </w:p>
        </w:tc>
        <w:tc>
          <w:tcPr>
            <w:tcW w:w="4840" w:type="dxa"/>
            <w:gridSpan w:val="3"/>
            <w:tcBorders>
              <w:top w:val="single" w:color="747074" w:sz="4" w:space="0"/>
              <w:left w:val="single" w:color="909093" w:sz="4" w:space="0"/>
              <w:bottom w:val="single" w:color="7C6B74" w:sz="4" w:space="0"/>
              <w:right w:val="single" w:color="3B3B3F" w:sz="8" w:space="0"/>
            </w:tcBorders>
          </w:tcPr>
          <w:p>
            <w:pPr>
              <w:jc w:val="left"/>
              <w:rPr>
                <w:sz w:val="21"/>
                <w:lang w:eastAsia="en-US"/>
              </w:rPr>
            </w:pPr>
            <w:r>
              <w:rPr>
                <w:rFonts w:hint="eastAsia"/>
                <w:sz w:val="21"/>
                <w:lang w:eastAsia="en-US"/>
              </w:rPr>
              <w:t>0</w:t>
            </w:r>
          </w:p>
        </w:tc>
      </w:tr>
      <w:tr>
        <w:tblPrEx>
          <w:tblCellMar>
            <w:top w:w="0" w:type="dxa"/>
            <w:left w:w="0" w:type="dxa"/>
            <w:bottom w:w="0" w:type="dxa"/>
            <w:right w:w="0" w:type="dxa"/>
          </w:tblCellMar>
        </w:tblPrEx>
        <w:trPr>
          <w:trHeight w:val="618" w:hRule="exact"/>
        </w:trPr>
        <w:tc>
          <w:tcPr>
            <w:tcW w:w="3284" w:type="dxa"/>
            <w:tcBorders>
              <w:top w:val="single" w:color="7C6B74" w:sz="4" w:space="0"/>
              <w:left w:val="single" w:color="3B3B44" w:sz="6" w:space="0"/>
              <w:bottom w:val="single" w:color="646080" w:sz="4" w:space="0"/>
              <w:right w:val="single" w:color="909093" w:sz="4" w:space="0"/>
            </w:tcBorders>
          </w:tcPr>
          <w:p>
            <w:pPr>
              <w:spacing w:before="138"/>
              <w:ind w:left="107"/>
              <w:jc w:val="left"/>
              <w:rPr>
                <w:sz w:val="21"/>
                <w:lang w:eastAsia="en-US"/>
              </w:rPr>
            </w:pPr>
            <w:r>
              <w:rPr>
                <w:sz w:val="21"/>
                <w:lang w:eastAsia="en-US"/>
              </w:rPr>
              <w:t>行政强制</w:t>
            </w:r>
          </w:p>
        </w:tc>
        <w:tc>
          <w:tcPr>
            <w:tcW w:w="4840" w:type="dxa"/>
            <w:gridSpan w:val="3"/>
            <w:tcBorders>
              <w:top w:val="single" w:color="7C6B74" w:sz="4" w:space="0"/>
              <w:left w:val="single" w:color="909093" w:sz="4" w:space="0"/>
              <w:bottom w:val="single" w:color="646080" w:sz="4" w:space="0"/>
              <w:right w:val="single" w:color="3B3B3F" w:sz="8" w:space="0"/>
            </w:tcBorders>
          </w:tcPr>
          <w:p>
            <w:pPr>
              <w:jc w:val="left"/>
              <w:rPr>
                <w:sz w:val="21"/>
                <w:lang w:eastAsia="en-US"/>
              </w:rPr>
            </w:pPr>
            <w:r>
              <w:rPr>
                <w:rFonts w:hint="eastAsia"/>
                <w:sz w:val="21"/>
                <w:lang w:eastAsia="en-US"/>
              </w:rPr>
              <w:t>0</w:t>
            </w:r>
          </w:p>
        </w:tc>
      </w:tr>
      <w:tr>
        <w:tblPrEx>
          <w:tblCellMar>
            <w:top w:w="0" w:type="dxa"/>
            <w:left w:w="0" w:type="dxa"/>
            <w:bottom w:w="0" w:type="dxa"/>
            <w:right w:w="0" w:type="dxa"/>
          </w:tblCellMar>
        </w:tblPrEx>
        <w:trPr>
          <w:trHeight w:val="626" w:hRule="exact"/>
        </w:trPr>
        <w:tc>
          <w:tcPr>
            <w:tcW w:w="8124" w:type="dxa"/>
            <w:gridSpan w:val="4"/>
            <w:tcBorders>
              <w:top w:val="single" w:color="646080" w:sz="4" w:space="0"/>
              <w:left w:val="single" w:color="3B3B44" w:sz="6" w:space="0"/>
              <w:bottom w:val="nil"/>
              <w:right w:val="single" w:color="3B3B3F" w:sz="8" w:space="0"/>
            </w:tcBorders>
          </w:tcPr>
          <w:p>
            <w:pPr>
              <w:tabs>
                <w:tab w:val="left" w:pos="1068"/>
              </w:tabs>
              <w:spacing w:before="142"/>
              <w:ind w:left="25"/>
              <w:jc w:val="center"/>
              <w:rPr>
                <w:sz w:val="21"/>
                <w:lang w:eastAsia="en-US"/>
              </w:rPr>
            </w:pPr>
            <w:r>
              <w:rPr>
                <w:sz w:val="21"/>
                <w:lang w:eastAsia="en-US"/>
              </w:rPr>
              <w:t>第二十条</w:t>
            </w:r>
            <w:r>
              <w:rPr>
                <w:sz w:val="21"/>
                <w:lang w:eastAsia="en-US"/>
              </w:rPr>
              <w:tab/>
            </w:r>
            <w:r>
              <w:rPr>
                <w:sz w:val="21"/>
                <w:lang w:eastAsia="en-US"/>
              </w:rPr>
              <w:t>第 （八） 项</w:t>
            </w:r>
          </w:p>
        </w:tc>
      </w:tr>
      <w:tr>
        <w:tblPrEx>
          <w:tblCellMar>
            <w:top w:w="0" w:type="dxa"/>
            <w:left w:w="0" w:type="dxa"/>
            <w:bottom w:w="0" w:type="dxa"/>
            <w:right w:w="0" w:type="dxa"/>
          </w:tblCellMar>
        </w:tblPrEx>
        <w:trPr>
          <w:trHeight w:val="621" w:hRule="exact"/>
        </w:trPr>
        <w:tc>
          <w:tcPr>
            <w:tcW w:w="3284" w:type="dxa"/>
            <w:tcBorders>
              <w:top w:val="single" w:color="6B747C" w:sz="4" w:space="0"/>
              <w:left w:val="single" w:color="5B5B60" w:sz="6" w:space="0"/>
              <w:bottom w:val="single" w:color="77778C" w:sz="4" w:space="0"/>
              <w:right w:val="single" w:color="auto" w:sz="4" w:space="0"/>
            </w:tcBorders>
          </w:tcPr>
          <w:p>
            <w:pPr>
              <w:spacing w:before="135"/>
              <w:ind w:right="1"/>
              <w:jc w:val="center"/>
              <w:rPr>
                <w:sz w:val="21"/>
                <w:lang w:eastAsia="en-US"/>
              </w:rPr>
            </w:pPr>
            <w:r>
              <w:rPr>
                <w:sz w:val="21"/>
                <w:lang w:eastAsia="en-US"/>
              </w:rPr>
              <w:t>信息内容</w:t>
            </w:r>
          </w:p>
        </w:tc>
        <w:tc>
          <w:tcPr>
            <w:tcW w:w="4840" w:type="dxa"/>
            <w:gridSpan w:val="3"/>
            <w:tcBorders>
              <w:top w:val="single" w:color="auto" w:sz="4" w:space="0"/>
              <w:left w:val="single" w:color="auto" w:sz="4" w:space="0"/>
              <w:bottom w:val="single" w:color="auto" w:sz="4" w:space="0"/>
              <w:right w:val="single" w:color="auto" w:sz="4" w:space="0"/>
            </w:tcBorders>
          </w:tcPr>
          <w:p>
            <w:pPr>
              <w:spacing w:before="145"/>
              <w:ind w:left="1446"/>
              <w:jc w:val="left"/>
              <w:rPr>
                <w:sz w:val="21"/>
                <w:lang w:eastAsia="zh-CN"/>
              </w:rPr>
            </w:pPr>
            <w:r>
              <w:rPr>
                <w:sz w:val="21"/>
                <w:lang w:eastAsia="zh-CN"/>
              </w:rPr>
              <w:t>本年收费金额  （单位 ：万元</w:t>
            </w:r>
            <w:r>
              <w:rPr>
                <w:rFonts w:hint="eastAsia"/>
                <w:sz w:val="21"/>
                <w:lang w:eastAsia="zh-CN"/>
              </w:rPr>
              <w:t>）</w:t>
            </w:r>
          </w:p>
        </w:tc>
      </w:tr>
      <w:tr>
        <w:tblPrEx>
          <w:tblCellMar>
            <w:top w:w="0" w:type="dxa"/>
            <w:left w:w="0" w:type="dxa"/>
            <w:bottom w:w="0" w:type="dxa"/>
            <w:right w:w="0" w:type="dxa"/>
          </w:tblCellMar>
        </w:tblPrEx>
        <w:trPr>
          <w:trHeight w:val="626" w:hRule="exact"/>
        </w:trPr>
        <w:tc>
          <w:tcPr>
            <w:tcW w:w="3284" w:type="dxa"/>
            <w:tcBorders>
              <w:top w:val="single" w:color="77778C" w:sz="4" w:space="0"/>
              <w:left w:val="single" w:color="5B5B60" w:sz="6" w:space="0"/>
              <w:bottom w:val="single" w:color="3B383F" w:sz="8" w:space="0"/>
              <w:right w:val="single" w:color="8C8C93" w:sz="2" w:space="0"/>
            </w:tcBorders>
          </w:tcPr>
          <w:p>
            <w:pPr>
              <w:spacing w:before="138"/>
              <w:ind w:left="107"/>
              <w:jc w:val="left"/>
              <w:rPr>
                <w:sz w:val="21"/>
                <w:lang w:eastAsia="en-US"/>
              </w:rPr>
            </w:pPr>
            <w:r>
              <w:rPr>
                <w:sz w:val="21"/>
                <w:lang w:eastAsia="en-US"/>
              </w:rPr>
              <w:t>行政事业性收费</w:t>
            </w:r>
          </w:p>
        </w:tc>
        <w:tc>
          <w:tcPr>
            <w:tcW w:w="4840" w:type="dxa"/>
            <w:gridSpan w:val="3"/>
            <w:tcBorders>
              <w:top w:val="single" w:color="77778C" w:sz="4" w:space="0"/>
              <w:left w:val="single" w:color="8C8C93" w:sz="2" w:space="0"/>
              <w:bottom w:val="single" w:color="3B383F" w:sz="8" w:space="0"/>
              <w:right w:val="single" w:color="3B3B44" w:sz="8" w:space="0"/>
            </w:tcBorders>
          </w:tcPr>
          <w:p>
            <w:pPr>
              <w:jc w:val="left"/>
              <w:rPr>
                <w:sz w:val="21"/>
                <w:lang w:eastAsia="en-US"/>
              </w:rPr>
            </w:pPr>
            <w:r>
              <w:rPr>
                <w:rFonts w:hint="eastAsia"/>
                <w:sz w:val="21"/>
                <w:lang w:eastAsia="en-US"/>
              </w:rPr>
              <w:t>0</w:t>
            </w:r>
          </w:p>
        </w:tc>
      </w:tr>
    </w:tbl>
    <w:p>
      <w:pP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三、收到和处理政府信息公开申请情况</w:t>
      </w:r>
    </w:p>
    <w:tbl>
      <w:tblPr>
        <w:tblStyle w:val="4"/>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25"/>
        <w:gridCol w:w="2634"/>
        <w:gridCol w:w="554"/>
        <w:gridCol w:w="693"/>
        <w:gridCol w:w="692"/>
        <w:gridCol w:w="693"/>
        <w:gridCol w:w="693"/>
        <w:gridCol w:w="69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13" w:type="dxa"/>
            <w:gridSpan w:val="3"/>
            <w:vMerge w:val="restart"/>
            <w:vAlign w:val="center"/>
          </w:tcPr>
          <w:p>
            <w:r>
              <w:rPr>
                <w:rFonts w:hint="eastAsia"/>
              </w:rPr>
              <w:t>（本列数据的勾稽关系为：第一项加第二项之和，等于第三项加第四项之和）</w:t>
            </w:r>
          </w:p>
        </w:tc>
        <w:tc>
          <w:tcPr>
            <w:tcW w:w="4685" w:type="dxa"/>
            <w:gridSpan w:val="7"/>
            <w:vAlign w:val="center"/>
          </w:tcPr>
          <w:p>
            <w:pPr>
              <w:jc w:val="center"/>
              <w:rPr>
                <w:szCs w:val="21"/>
              </w:rPr>
            </w:pPr>
            <w:r>
              <w:rPr>
                <w:rFonts w:hint="eastAsia"/>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713" w:type="dxa"/>
            <w:gridSpan w:val="3"/>
            <w:vMerge w:val="continue"/>
          </w:tcPr>
          <w:p/>
        </w:tc>
        <w:tc>
          <w:tcPr>
            <w:tcW w:w="554" w:type="dxa"/>
            <w:vMerge w:val="restart"/>
            <w:vAlign w:val="center"/>
          </w:tcPr>
          <w:p>
            <w:pPr>
              <w:jc w:val="center"/>
              <w:rPr>
                <w:sz w:val="18"/>
                <w:szCs w:val="18"/>
              </w:rPr>
            </w:pPr>
            <w:r>
              <w:rPr>
                <w:rFonts w:hint="eastAsia"/>
                <w:szCs w:val="21"/>
              </w:rPr>
              <w:t>自然人</w:t>
            </w:r>
          </w:p>
        </w:tc>
        <w:tc>
          <w:tcPr>
            <w:tcW w:w="3466" w:type="dxa"/>
            <w:gridSpan w:val="5"/>
            <w:vAlign w:val="center"/>
          </w:tcPr>
          <w:p>
            <w:pPr>
              <w:jc w:val="center"/>
              <w:rPr>
                <w:szCs w:val="21"/>
              </w:rPr>
            </w:pPr>
            <w:r>
              <w:rPr>
                <w:rFonts w:hint="eastAsia"/>
                <w:szCs w:val="21"/>
              </w:rPr>
              <w:t>法人或其他组织</w:t>
            </w:r>
          </w:p>
        </w:tc>
        <w:tc>
          <w:tcPr>
            <w:tcW w:w="665" w:type="dxa"/>
            <w:vMerge w:val="restart"/>
            <w:vAlign w:val="center"/>
          </w:tcPr>
          <w:p>
            <w:pPr>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713" w:type="dxa"/>
            <w:gridSpan w:val="3"/>
            <w:vMerge w:val="continue"/>
          </w:tcPr>
          <w:p/>
        </w:tc>
        <w:tc>
          <w:tcPr>
            <w:tcW w:w="554" w:type="dxa"/>
            <w:vMerge w:val="continue"/>
          </w:tcPr>
          <w:p>
            <w:pPr>
              <w:rPr>
                <w:sz w:val="18"/>
                <w:szCs w:val="18"/>
              </w:rPr>
            </w:pPr>
          </w:p>
        </w:tc>
        <w:tc>
          <w:tcPr>
            <w:tcW w:w="693" w:type="dxa"/>
            <w:vAlign w:val="center"/>
          </w:tcPr>
          <w:p>
            <w:pPr>
              <w:rPr>
                <w:szCs w:val="21"/>
              </w:rPr>
            </w:pPr>
            <w:r>
              <w:rPr>
                <w:rFonts w:hint="eastAsia"/>
                <w:szCs w:val="21"/>
              </w:rPr>
              <w:t>商业企业</w:t>
            </w:r>
          </w:p>
        </w:tc>
        <w:tc>
          <w:tcPr>
            <w:tcW w:w="692" w:type="dxa"/>
            <w:vAlign w:val="center"/>
          </w:tcPr>
          <w:p>
            <w:pPr>
              <w:rPr>
                <w:szCs w:val="21"/>
              </w:rPr>
            </w:pPr>
            <w:r>
              <w:rPr>
                <w:rFonts w:hint="eastAsia"/>
                <w:szCs w:val="21"/>
              </w:rPr>
              <w:t>科研机构</w:t>
            </w:r>
          </w:p>
        </w:tc>
        <w:tc>
          <w:tcPr>
            <w:tcW w:w="693" w:type="dxa"/>
            <w:vAlign w:val="center"/>
          </w:tcPr>
          <w:p>
            <w:pPr>
              <w:rPr>
                <w:szCs w:val="21"/>
              </w:rPr>
            </w:pPr>
            <w:r>
              <w:rPr>
                <w:rFonts w:hint="eastAsia"/>
                <w:szCs w:val="21"/>
              </w:rPr>
              <w:t>社会公益组织</w:t>
            </w:r>
          </w:p>
        </w:tc>
        <w:tc>
          <w:tcPr>
            <w:tcW w:w="693" w:type="dxa"/>
            <w:vAlign w:val="center"/>
          </w:tcPr>
          <w:p>
            <w:pPr>
              <w:rPr>
                <w:szCs w:val="21"/>
              </w:rPr>
            </w:pPr>
            <w:r>
              <w:rPr>
                <w:rFonts w:hint="eastAsia"/>
                <w:szCs w:val="21"/>
              </w:rPr>
              <w:t>法律服务机构</w:t>
            </w:r>
          </w:p>
        </w:tc>
        <w:tc>
          <w:tcPr>
            <w:tcW w:w="695" w:type="dxa"/>
            <w:vAlign w:val="center"/>
          </w:tcPr>
          <w:p>
            <w:pPr>
              <w:rPr>
                <w:szCs w:val="21"/>
              </w:rPr>
            </w:pPr>
            <w:r>
              <w:rPr>
                <w:rFonts w:hint="eastAsia"/>
                <w:szCs w:val="21"/>
              </w:rPr>
              <w:t>其他</w:t>
            </w:r>
          </w:p>
        </w:tc>
        <w:tc>
          <w:tcPr>
            <w:tcW w:w="665"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13" w:type="dxa"/>
            <w:gridSpan w:val="3"/>
          </w:tcPr>
          <w:p>
            <w:r>
              <w:rPr>
                <w:rFonts w:hint="eastAsia"/>
              </w:rPr>
              <w:t>一、本年新收政府信息公开申请数量</w:t>
            </w:r>
          </w:p>
        </w:tc>
        <w:tc>
          <w:tcPr>
            <w:tcW w:w="554" w:type="dxa"/>
          </w:tcPr>
          <w:p>
            <w:r>
              <w:rPr>
                <w:rFonts w:hint="eastAsia"/>
              </w:rPr>
              <w:t>0</w:t>
            </w:r>
          </w:p>
        </w:tc>
        <w:tc>
          <w:tcPr>
            <w:tcW w:w="693" w:type="dxa"/>
            <w:vAlign w:val="center"/>
          </w:tcPr>
          <w:p>
            <w:pPr>
              <w:rPr>
                <w:szCs w:val="21"/>
              </w:rPr>
            </w:pPr>
            <w:r>
              <w:rPr>
                <w:rFonts w:hint="eastAsia"/>
                <w:szCs w:val="21"/>
              </w:rPr>
              <w:t>0</w:t>
            </w:r>
          </w:p>
        </w:tc>
        <w:tc>
          <w:tcPr>
            <w:tcW w:w="692" w:type="dxa"/>
            <w:vAlign w:val="center"/>
          </w:tcPr>
          <w:p>
            <w:pPr>
              <w:rPr>
                <w:szCs w:val="21"/>
              </w:rPr>
            </w:pPr>
            <w:r>
              <w:rPr>
                <w:rFonts w:hint="eastAsia"/>
                <w:szCs w:val="21"/>
              </w:rPr>
              <w:t>0</w:t>
            </w:r>
          </w:p>
        </w:tc>
        <w:tc>
          <w:tcPr>
            <w:tcW w:w="693" w:type="dxa"/>
            <w:vAlign w:val="center"/>
          </w:tcPr>
          <w:p>
            <w:pPr>
              <w:rPr>
                <w:szCs w:val="21"/>
              </w:rPr>
            </w:pPr>
            <w:r>
              <w:rPr>
                <w:rFonts w:hint="eastAsia"/>
                <w:szCs w:val="21"/>
              </w:rPr>
              <w:t>0</w:t>
            </w:r>
          </w:p>
        </w:tc>
        <w:tc>
          <w:tcPr>
            <w:tcW w:w="693" w:type="dxa"/>
            <w:vAlign w:val="center"/>
          </w:tcPr>
          <w:p>
            <w:pPr>
              <w:rPr>
                <w:szCs w:val="21"/>
              </w:rPr>
            </w:pPr>
            <w:r>
              <w:rPr>
                <w:rFonts w:hint="eastAsia"/>
                <w:szCs w:val="21"/>
              </w:rPr>
              <w:t>0</w:t>
            </w:r>
          </w:p>
        </w:tc>
        <w:tc>
          <w:tcPr>
            <w:tcW w:w="695" w:type="dxa"/>
            <w:vAlign w:val="center"/>
          </w:tcPr>
          <w:p>
            <w:pPr>
              <w:rPr>
                <w:szCs w:val="21"/>
              </w:rPr>
            </w:pPr>
            <w:r>
              <w:rPr>
                <w:rFonts w:hint="eastAsia"/>
                <w:szCs w:val="21"/>
              </w:rPr>
              <w:t>0</w:t>
            </w:r>
          </w:p>
        </w:tc>
        <w:tc>
          <w:tcPr>
            <w:tcW w:w="665" w:type="dxa"/>
            <w:vAlign w:val="center"/>
          </w:tcPr>
          <w:p>
            <w:pP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713" w:type="dxa"/>
            <w:gridSpan w:val="3"/>
          </w:tcPr>
          <w:p>
            <w:r>
              <w:rPr>
                <w:rFonts w:hint="eastAsia"/>
              </w:rPr>
              <w:t>二、上年结转政府信息公开申请数量</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restart"/>
            <w:vAlign w:val="center"/>
          </w:tcPr>
          <w:p>
            <w:r>
              <w:rPr>
                <w:rFonts w:hint="eastAsia"/>
              </w:rPr>
              <w:t>三、本年度办理结果</w:t>
            </w:r>
          </w:p>
        </w:tc>
        <w:tc>
          <w:tcPr>
            <w:tcW w:w="4159" w:type="dxa"/>
            <w:gridSpan w:val="2"/>
          </w:tcPr>
          <w:p>
            <w:pPr>
              <w:rPr>
                <w:rFonts w:asciiTheme="minorEastAsia" w:hAnsiTheme="minorEastAsia"/>
                <w:sz w:val="18"/>
                <w:szCs w:val="18"/>
              </w:rPr>
            </w:pPr>
            <w:r>
              <w:rPr>
                <w:rFonts w:hint="eastAsia" w:asciiTheme="minorEastAsia" w:hAnsiTheme="minorEastAsia"/>
                <w:sz w:val="18"/>
                <w:szCs w:val="18"/>
              </w:rPr>
              <w:t>（一）予以公开</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4159" w:type="dxa"/>
            <w:gridSpan w:val="2"/>
          </w:tcPr>
          <w:p>
            <w:pPr>
              <w:rPr>
                <w:rFonts w:asciiTheme="minorEastAsia" w:hAnsiTheme="minorEastAsia"/>
                <w:sz w:val="18"/>
                <w:szCs w:val="18"/>
              </w:rPr>
            </w:pPr>
            <w:r>
              <w:rPr>
                <w:rFonts w:hint="eastAsia" w:asciiTheme="minorEastAsia" w:hAnsiTheme="minorEastAsia"/>
                <w:sz w:val="18"/>
                <w:szCs w:val="18"/>
              </w:rPr>
              <w:t>（二）部分公开（区分处理的，只计这一情形，不计其他情形）</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54" w:type="dxa"/>
            <w:vMerge w:val="continue"/>
          </w:tcPr>
          <w:p/>
        </w:tc>
        <w:tc>
          <w:tcPr>
            <w:tcW w:w="1525" w:type="dxa"/>
            <w:vMerge w:val="restart"/>
            <w:vAlign w:val="center"/>
          </w:tcPr>
          <w:p>
            <w:pPr>
              <w:rPr>
                <w:rFonts w:asciiTheme="minorEastAsia" w:hAnsiTheme="minorEastAsia"/>
                <w:sz w:val="18"/>
                <w:szCs w:val="18"/>
              </w:rPr>
            </w:pPr>
            <w:r>
              <w:rPr>
                <w:rFonts w:hint="eastAsia" w:asciiTheme="minorEastAsia" w:hAnsiTheme="minorEastAsia"/>
                <w:sz w:val="18"/>
                <w:szCs w:val="18"/>
              </w:rPr>
              <w:t>（三）不予公开</w:t>
            </w:r>
          </w:p>
        </w:tc>
        <w:tc>
          <w:tcPr>
            <w:tcW w:w="2634" w:type="dxa"/>
          </w:tcPr>
          <w:p>
            <w:pPr>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．属于国家秘密</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4" w:type="dxa"/>
            <w:vMerge w:val="continue"/>
          </w:tcPr>
          <w:p/>
        </w:tc>
        <w:tc>
          <w:tcPr>
            <w:tcW w:w="1525" w:type="dxa"/>
            <w:vMerge w:val="continue"/>
            <w:vAlign w:val="center"/>
          </w:tcPr>
          <w:p>
            <w:pPr>
              <w:rPr>
                <w:rFonts w:asciiTheme="minorEastAsia" w:hAnsiTheme="minorEastAsia"/>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2．其他法律行政法规禁止公开</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3．危及“三安全一稳定”</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4．保护第三方合法权益</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5．属于三类内部事务信息</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6．属于四类过程性信息</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7．属于行政执法案卷</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8．属于行政查询事项</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54" w:type="dxa"/>
            <w:vMerge w:val="continue"/>
          </w:tcPr>
          <w:p/>
        </w:tc>
        <w:tc>
          <w:tcPr>
            <w:tcW w:w="1525" w:type="dxa"/>
            <w:vMerge w:val="restart"/>
            <w:vAlign w:val="center"/>
          </w:tcPr>
          <w:p>
            <w:pPr>
              <w:rPr>
                <w:sz w:val="18"/>
                <w:szCs w:val="18"/>
              </w:rPr>
            </w:pPr>
            <w:r>
              <w:rPr>
                <w:rFonts w:hint="eastAsia"/>
                <w:sz w:val="18"/>
                <w:szCs w:val="18"/>
              </w:rPr>
              <w:t>（四）无法提供</w:t>
            </w:r>
          </w:p>
        </w:tc>
        <w:tc>
          <w:tcPr>
            <w:tcW w:w="2634" w:type="dxa"/>
          </w:tcPr>
          <w:p>
            <w:pPr>
              <w:rPr>
                <w:rFonts w:asciiTheme="minorEastAsia" w:hAnsiTheme="minorEastAsia"/>
                <w:sz w:val="18"/>
                <w:szCs w:val="18"/>
              </w:rPr>
            </w:pPr>
            <w:r>
              <w:rPr>
                <w:rFonts w:hint="eastAsia" w:asciiTheme="minorEastAsia" w:hAnsiTheme="minorEastAsia"/>
                <w:sz w:val="18"/>
                <w:szCs w:val="18"/>
              </w:rPr>
              <w:t>1．本机关不掌握相关政府信息</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2．没有现成信息需要另行制作</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3．补正后申请内容仍不明确</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4" w:type="dxa"/>
            <w:vMerge w:val="continue"/>
          </w:tcPr>
          <w:p/>
        </w:tc>
        <w:tc>
          <w:tcPr>
            <w:tcW w:w="1525" w:type="dxa"/>
            <w:vMerge w:val="restart"/>
            <w:vAlign w:val="center"/>
          </w:tcPr>
          <w:p>
            <w:pPr>
              <w:rPr>
                <w:sz w:val="18"/>
                <w:szCs w:val="18"/>
              </w:rPr>
            </w:pPr>
            <w:r>
              <w:rPr>
                <w:rFonts w:hint="eastAsia"/>
                <w:sz w:val="18"/>
                <w:szCs w:val="18"/>
              </w:rPr>
              <w:t>（五）</w:t>
            </w:r>
            <w:r>
              <w:rPr>
                <w:rFonts w:hint="eastAsia" w:asciiTheme="minorEastAsia" w:hAnsiTheme="minorEastAsia"/>
                <w:sz w:val="18"/>
                <w:szCs w:val="18"/>
              </w:rPr>
              <w:t>不予处理</w:t>
            </w:r>
          </w:p>
        </w:tc>
        <w:tc>
          <w:tcPr>
            <w:tcW w:w="2634" w:type="dxa"/>
          </w:tcPr>
          <w:p>
            <w:pPr>
              <w:rPr>
                <w:rFonts w:asciiTheme="minorEastAsia" w:hAnsiTheme="minorEastAsia"/>
                <w:sz w:val="18"/>
                <w:szCs w:val="18"/>
              </w:rPr>
            </w:pPr>
            <w:r>
              <w:rPr>
                <w:rFonts w:hint="eastAsia" w:asciiTheme="minorEastAsia" w:hAnsiTheme="minorEastAsia"/>
                <w:sz w:val="18"/>
                <w:szCs w:val="18"/>
              </w:rPr>
              <w:t>1．信访举报投诉类申请</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tcPr>
          <w:p/>
        </w:tc>
        <w:tc>
          <w:tcPr>
            <w:tcW w:w="2634" w:type="dxa"/>
          </w:tcPr>
          <w:p>
            <w:pPr>
              <w:rPr>
                <w:rFonts w:asciiTheme="minorEastAsia" w:hAnsiTheme="minorEastAsia"/>
                <w:sz w:val="18"/>
                <w:szCs w:val="18"/>
              </w:rPr>
            </w:pPr>
            <w:r>
              <w:rPr>
                <w:rFonts w:hint="eastAsia" w:asciiTheme="minorEastAsia" w:hAnsiTheme="minorEastAsia"/>
                <w:sz w:val="18"/>
                <w:szCs w:val="18"/>
              </w:rPr>
              <w:t>2．重复申请</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54" w:type="dxa"/>
            <w:vMerge w:val="continue"/>
          </w:tcPr>
          <w:p/>
        </w:tc>
        <w:tc>
          <w:tcPr>
            <w:tcW w:w="1525" w:type="dxa"/>
            <w:vMerge w:val="continue"/>
          </w:tcPr>
          <w:p/>
        </w:tc>
        <w:tc>
          <w:tcPr>
            <w:tcW w:w="2634" w:type="dxa"/>
          </w:tcPr>
          <w:p>
            <w:pPr>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．要求提供公开出版物</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tc>
        <w:tc>
          <w:tcPr>
            <w:tcW w:w="1525" w:type="dxa"/>
            <w:vMerge w:val="continue"/>
          </w:tcPr>
          <w:p/>
        </w:tc>
        <w:tc>
          <w:tcPr>
            <w:tcW w:w="2634" w:type="dxa"/>
          </w:tcPr>
          <w:p>
            <w:pPr>
              <w:rPr>
                <w:rFonts w:asciiTheme="minorEastAsia" w:hAnsiTheme="minorEastAsia"/>
                <w:sz w:val="18"/>
                <w:szCs w:val="18"/>
              </w:rPr>
            </w:pPr>
            <w:r>
              <w:rPr>
                <w:rFonts w:hint="eastAsia" w:asciiTheme="minorEastAsia" w:hAnsiTheme="minorEastAsia"/>
                <w:sz w:val="18"/>
                <w:szCs w:val="18"/>
              </w:rPr>
              <w:t>4．无正当理由大量反复申请</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tcPr>
          <w:p/>
        </w:tc>
        <w:tc>
          <w:tcPr>
            <w:tcW w:w="2634" w:type="dxa"/>
          </w:tcPr>
          <w:p>
            <w:pPr>
              <w:ind w:left="180" w:hanging="180" w:hangingChars="100"/>
              <w:rPr>
                <w:rFonts w:asciiTheme="minorEastAsia" w:hAnsiTheme="minorEastAsia"/>
                <w:sz w:val="18"/>
                <w:szCs w:val="18"/>
              </w:rPr>
            </w:pPr>
            <w:r>
              <w:rPr>
                <w:rFonts w:hint="eastAsia" w:asciiTheme="minorEastAsia" w:hAnsiTheme="minorEastAsia"/>
                <w:sz w:val="18"/>
                <w:szCs w:val="18"/>
              </w:rPr>
              <w:t>5．要求行政机关确认或重新出具已获取信息</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restart"/>
            <w:vAlign w:val="center"/>
          </w:tcPr>
          <w:p>
            <w:r>
              <w:rPr>
                <w:rFonts w:hint="eastAsia"/>
                <w:sz w:val="18"/>
                <w:szCs w:val="18"/>
              </w:rPr>
              <w:t>（六）其他处理</w:t>
            </w:r>
          </w:p>
        </w:tc>
        <w:tc>
          <w:tcPr>
            <w:tcW w:w="2634" w:type="dxa"/>
          </w:tcPr>
          <w:p>
            <w:pPr>
              <w:ind w:left="180" w:hanging="180" w:hangingChars="100"/>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w:t>
            </w:r>
            <w:r>
              <w:rPr>
                <w:rFonts w:hint="eastAsia" w:asciiTheme="minorEastAsia" w:hAnsiTheme="minorEastAsia"/>
                <w:sz w:val="18"/>
                <w:szCs w:val="18"/>
              </w:rPr>
              <w:t>申请人无正当理由逾期不补正、行政机关不再处理其政府信息公开申请</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tcPr>
          <w:p/>
        </w:tc>
        <w:tc>
          <w:tcPr>
            <w:tcW w:w="2634" w:type="dxa"/>
          </w:tcPr>
          <w:p>
            <w:pPr>
              <w:ind w:left="180" w:hanging="180" w:hangingChars="100"/>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w:t>
            </w:r>
            <w:r>
              <w:rPr>
                <w:rFonts w:hint="eastAsia" w:asciiTheme="minorEastAsia" w:hAnsiTheme="minorEastAsia"/>
                <w:sz w:val="18"/>
                <w:szCs w:val="18"/>
              </w:rPr>
              <w:t>申请人逾期未按收费通知 要求缴纳费用、行政机关不再处理其政府信息公开申请</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tcPr>
          <w:p/>
        </w:tc>
        <w:tc>
          <w:tcPr>
            <w:tcW w:w="2634" w:type="dxa"/>
          </w:tcPr>
          <w:p>
            <w:pPr>
              <w:ind w:left="180" w:hanging="180" w:hangingChars="100"/>
              <w:rPr>
                <w:rFonts w:asciiTheme="minorEastAsia" w:hAnsiTheme="minorEastAsia"/>
                <w:sz w:val="18"/>
                <w:szCs w:val="18"/>
              </w:rPr>
            </w:pPr>
            <w:r>
              <w:rPr>
                <w:rFonts w:hint="eastAsia" w:asciiTheme="minorEastAsia" w:hAnsiTheme="minorEastAsia"/>
                <w:sz w:val="18"/>
                <w:szCs w:val="18"/>
              </w:rPr>
              <w:t>3</w:t>
            </w:r>
            <w:r>
              <w:rPr>
                <w:rFonts w:asciiTheme="minorEastAsia" w:hAnsiTheme="minorEastAsia"/>
                <w:sz w:val="18"/>
                <w:szCs w:val="18"/>
              </w:rPr>
              <w:t>.</w:t>
            </w:r>
            <w:r>
              <w:rPr>
                <w:rFonts w:hint="eastAsia" w:asciiTheme="minorEastAsia" w:hAnsiTheme="minorEastAsia"/>
                <w:sz w:val="18"/>
                <w:szCs w:val="18"/>
              </w:rPr>
              <w:t>其他</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tc>
        <w:tc>
          <w:tcPr>
            <w:tcW w:w="4159" w:type="dxa"/>
            <w:gridSpan w:val="2"/>
            <w:vAlign w:val="center"/>
          </w:tcPr>
          <w:p>
            <w:pPr>
              <w:rPr>
                <w:sz w:val="18"/>
                <w:szCs w:val="18"/>
              </w:rPr>
            </w:pPr>
            <w:r>
              <w:rPr>
                <w:rFonts w:hint="eastAsia"/>
                <w:sz w:val="18"/>
                <w:szCs w:val="18"/>
              </w:rPr>
              <w:t>（七）总计</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13" w:type="dxa"/>
            <w:gridSpan w:val="3"/>
            <w:vAlign w:val="center"/>
          </w:tcPr>
          <w:p>
            <w:r>
              <w:rPr>
                <w:rFonts w:hint="eastAsia"/>
              </w:rPr>
              <w:t>四、结转下年度继续办理</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bl>
    <w:p>
      <w:pPr>
        <w:ind w:firstLine="640" w:firstLineChars="200"/>
        <w:rPr>
          <w:rFonts w:ascii="黑体" w:hAnsi="黑体" w:eastAsia="黑体"/>
          <w:sz w:val="32"/>
          <w:szCs w:val="32"/>
        </w:rPr>
      </w:pPr>
      <w:r>
        <w:rPr>
          <w:rFonts w:hint="eastAsia" w:ascii="黑体" w:hAnsi="黑体" w:eastAsia="黑体"/>
          <w:sz w:val="32"/>
          <w:szCs w:val="32"/>
        </w:rPr>
        <w:t>四、政府信息公开行政复议、行政诉讼情况</w:t>
      </w:r>
    </w:p>
    <w:tbl>
      <w:tblPr>
        <w:tblStyle w:val="4"/>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09"/>
        <w:gridCol w:w="709"/>
        <w:gridCol w:w="706"/>
        <w:gridCol w:w="428"/>
        <w:gridCol w:w="708"/>
        <w:gridCol w:w="709"/>
        <w:gridCol w:w="709"/>
        <w:gridCol w:w="709"/>
        <w:gridCol w:w="425"/>
        <w:gridCol w:w="709"/>
        <w:gridCol w:w="708"/>
        <w:gridCol w:w="709"/>
        <w:gridCol w:w="694"/>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207" w:type="dxa"/>
            <w:gridSpan w:val="5"/>
            <w:vAlign w:val="center"/>
          </w:tcPr>
          <w:p>
            <w:pPr>
              <w:jc w:val="center"/>
              <w:rPr>
                <w:szCs w:val="21"/>
              </w:rPr>
            </w:pPr>
            <w:r>
              <w:rPr>
                <w:rFonts w:hint="eastAsia"/>
                <w:szCs w:val="21"/>
              </w:rPr>
              <w:t>行政复议</w:t>
            </w:r>
          </w:p>
        </w:tc>
        <w:tc>
          <w:tcPr>
            <w:tcW w:w="6505" w:type="dxa"/>
            <w:gridSpan w:val="10"/>
            <w:vAlign w:val="center"/>
          </w:tcPr>
          <w:p>
            <w:pPr>
              <w:jc w:val="center"/>
              <w:rPr>
                <w:szCs w:val="21"/>
              </w:rPr>
            </w:pPr>
            <w:r>
              <w:rPr>
                <w:rFonts w:hint="eastAsia"/>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55" w:type="dxa"/>
            <w:vMerge w:val="restart"/>
            <w:vAlign w:val="center"/>
          </w:tcPr>
          <w:p>
            <w:pPr>
              <w:jc w:val="center"/>
              <w:rPr>
                <w:szCs w:val="21"/>
              </w:rPr>
            </w:pPr>
            <w:r>
              <w:rPr>
                <w:rFonts w:hint="eastAsia"/>
                <w:szCs w:val="21"/>
              </w:rPr>
              <w:t>结果维持</w:t>
            </w:r>
          </w:p>
        </w:tc>
        <w:tc>
          <w:tcPr>
            <w:tcW w:w="709" w:type="dxa"/>
            <w:vMerge w:val="restart"/>
            <w:vAlign w:val="center"/>
          </w:tcPr>
          <w:p>
            <w:pPr>
              <w:jc w:val="center"/>
              <w:rPr>
                <w:szCs w:val="21"/>
              </w:rPr>
            </w:pPr>
            <w:r>
              <w:rPr>
                <w:rFonts w:hint="eastAsia"/>
                <w:szCs w:val="21"/>
              </w:rPr>
              <w:t>结果纠正</w:t>
            </w:r>
          </w:p>
        </w:tc>
        <w:tc>
          <w:tcPr>
            <w:tcW w:w="709" w:type="dxa"/>
            <w:vMerge w:val="restart"/>
            <w:vAlign w:val="center"/>
          </w:tcPr>
          <w:p>
            <w:pPr>
              <w:jc w:val="center"/>
              <w:rPr>
                <w:szCs w:val="21"/>
              </w:rPr>
            </w:pPr>
            <w:r>
              <w:rPr>
                <w:rFonts w:hint="eastAsia"/>
                <w:szCs w:val="21"/>
              </w:rPr>
              <w:t>其他结果</w:t>
            </w:r>
          </w:p>
        </w:tc>
        <w:tc>
          <w:tcPr>
            <w:tcW w:w="706" w:type="dxa"/>
            <w:vMerge w:val="restart"/>
            <w:vAlign w:val="center"/>
          </w:tcPr>
          <w:p>
            <w:pPr>
              <w:jc w:val="center"/>
              <w:rPr>
                <w:szCs w:val="21"/>
              </w:rPr>
            </w:pPr>
            <w:r>
              <w:rPr>
                <w:rFonts w:hint="eastAsia"/>
                <w:szCs w:val="21"/>
              </w:rPr>
              <w:t>尚未审结</w:t>
            </w:r>
          </w:p>
        </w:tc>
        <w:tc>
          <w:tcPr>
            <w:tcW w:w="428" w:type="dxa"/>
            <w:vMerge w:val="restart"/>
            <w:vAlign w:val="center"/>
          </w:tcPr>
          <w:p>
            <w:pPr>
              <w:jc w:val="center"/>
              <w:rPr>
                <w:szCs w:val="21"/>
              </w:rPr>
            </w:pPr>
            <w:r>
              <w:rPr>
                <w:rFonts w:hint="eastAsia"/>
                <w:szCs w:val="21"/>
              </w:rPr>
              <w:t>总计</w:t>
            </w:r>
          </w:p>
        </w:tc>
        <w:tc>
          <w:tcPr>
            <w:tcW w:w="3260" w:type="dxa"/>
            <w:gridSpan w:val="5"/>
            <w:vAlign w:val="center"/>
          </w:tcPr>
          <w:p>
            <w:pPr>
              <w:jc w:val="center"/>
              <w:rPr>
                <w:szCs w:val="21"/>
              </w:rPr>
            </w:pPr>
            <w:r>
              <w:rPr>
                <w:rFonts w:hint="eastAsia"/>
                <w:szCs w:val="21"/>
              </w:rPr>
              <w:t>未经复议直接起诉</w:t>
            </w:r>
          </w:p>
        </w:tc>
        <w:tc>
          <w:tcPr>
            <w:tcW w:w="3245" w:type="dxa"/>
            <w:gridSpan w:val="5"/>
            <w:vAlign w:val="center"/>
          </w:tcPr>
          <w:p>
            <w:pPr>
              <w:jc w:val="center"/>
              <w:rPr>
                <w:szCs w:val="21"/>
              </w:rPr>
            </w:pPr>
            <w:r>
              <w:rPr>
                <w:rFonts w:hint="eastAsia"/>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55"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706" w:type="dxa"/>
            <w:vMerge w:val="continue"/>
            <w:vAlign w:val="center"/>
          </w:tcPr>
          <w:p>
            <w:pPr>
              <w:jc w:val="center"/>
              <w:rPr>
                <w:szCs w:val="21"/>
              </w:rPr>
            </w:pPr>
          </w:p>
        </w:tc>
        <w:tc>
          <w:tcPr>
            <w:tcW w:w="428" w:type="dxa"/>
            <w:vMerge w:val="continue"/>
            <w:vAlign w:val="center"/>
          </w:tcPr>
          <w:p>
            <w:pPr>
              <w:jc w:val="center"/>
              <w:rPr>
                <w:szCs w:val="21"/>
              </w:rPr>
            </w:pPr>
          </w:p>
        </w:tc>
        <w:tc>
          <w:tcPr>
            <w:tcW w:w="708" w:type="dxa"/>
            <w:vAlign w:val="center"/>
          </w:tcPr>
          <w:p>
            <w:pPr>
              <w:jc w:val="center"/>
              <w:rPr>
                <w:szCs w:val="21"/>
              </w:rPr>
            </w:pPr>
            <w:r>
              <w:rPr>
                <w:rFonts w:hint="eastAsia"/>
                <w:szCs w:val="21"/>
              </w:rPr>
              <w:t>结果维持</w:t>
            </w:r>
          </w:p>
        </w:tc>
        <w:tc>
          <w:tcPr>
            <w:tcW w:w="709" w:type="dxa"/>
            <w:vAlign w:val="center"/>
          </w:tcPr>
          <w:p>
            <w:pPr>
              <w:jc w:val="center"/>
              <w:rPr>
                <w:szCs w:val="21"/>
              </w:rPr>
            </w:pPr>
            <w:r>
              <w:rPr>
                <w:rFonts w:hint="eastAsia"/>
                <w:szCs w:val="21"/>
              </w:rPr>
              <w:t>结果纠正</w:t>
            </w:r>
          </w:p>
        </w:tc>
        <w:tc>
          <w:tcPr>
            <w:tcW w:w="709" w:type="dxa"/>
            <w:vAlign w:val="center"/>
          </w:tcPr>
          <w:p>
            <w:pPr>
              <w:jc w:val="center"/>
              <w:rPr>
                <w:szCs w:val="21"/>
              </w:rPr>
            </w:pPr>
            <w:r>
              <w:rPr>
                <w:rFonts w:hint="eastAsia"/>
                <w:szCs w:val="21"/>
              </w:rPr>
              <w:t>其他结果</w:t>
            </w:r>
          </w:p>
        </w:tc>
        <w:tc>
          <w:tcPr>
            <w:tcW w:w="709" w:type="dxa"/>
            <w:vAlign w:val="center"/>
          </w:tcPr>
          <w:p>
            <w:pPr>
              <w:jc w:val="center"/>
              <w:rPr>
                <w:szCs w:val="21"/>
              </w:rPr>
            </w:pPr>
            <w:r>
              <w:rPr>
                <w:rFonts w:hint="eastAsia"/>
                <w:szCs w:val="21"/>
              </w:rPr>
              <w:t>尚未审结</w:t>
            </w:r>
          </w:p>
        </w:tc>
        <w:tc>
          <w:tcPr>
            <w:tcW w:w="425" w:type="dxa"/>
            <w:vAlign w:val="center"/>
          </w:tcPr>
          <w:p>
            <w:pPr>
              <w:jc w:val="center"/>
              <w:rPr>
                <w:szCs w:val="21"/>
              </w:rPr>
            </w:pPr>
            <w:r>
              <w:rPr>
                <w:rFonts w:hint="eastAsia"/>
                <w:szCs w:val="21"/>
              </w:rPr>
              <w:t>总计</w:t>
            </w:r>
          </w:p>
        </w:tc>
        <w:tc>
          <w:tcPr>
            <w:tcW w:w="709" w:type="dxa"/>
            <w:vAlign w:val="center"/>
          </w:tcPr>
          <w:p>
            <w:pPr>
              <w:jc w:val="center"/>
              <w:rPr>
                <w:szCs w:val="21"/>
              </w:rPr>
            </w:pPr>
            <w:r>
              <w:rPr>
                <w:rFonts w:hint="eastAsia"/>
                <w:szCs w:val="21"/>
              </w:rPr>
              <w:t>结果维持</w:t>
            </w:r>
          </w:p>
        </w:tc>
        <w:tc>
          <w:tcPr>
            <w:tcW w:w="708" w:type="dxa"/>
            <w:vAlign w:val="center"/>
          </w:tcPr>
          <w:p>
            <w:pPr>
              <w:jc w:val="center"/>
              <w:rPr>
                <w:szCs w:val="21"/>
              </w:rPr>
            </w:pPr>
            <w:r>
              <w:rPr>
                <w:rFonts w:hint="eastAsia"/>
                <w:szCs w:val="21"/>
              </w:rPr>
              <w:t>结果纠正</w:t>
            </w:r>
          </w:p>
        </w:tc>
        <w:tc>
          <w:tcPr>
            <w:tcW w:w="709" w:type="dxa"/>
            <w:vAlign w:val="center"/>
          </w:tcPr>
          <w:p>
            <w:pPr>
              <w:jc w:val="center"/>
              <w:rPr>
                <w:szCs w:val="21"/>
              </w:rPr>
            </w:pPr>
            <w:r>
              <w:rPr>
                <w:rFonts w:hint="eastAsia"/>
                <w:szCs w:val="21"/>
              </w:rPr>
              <w:t>其他结果</w:t>
            </w:r>
          </w:p>
        </w:tc>
        <w:tc>
          <w:tcPr>
            <w:tcW w:w="694" w:type="dxa"/>
            <w:vAlign w:val="center"/>
          </w:tcPr>
          <w:p>
            <w:pPr>
              <w:jc w:val="center"/>
              <w:rPr>
                <w:szCs w:val="21"/>
              </w:rPr>
            </w:pPr>
            <w:r>
              <w:rPr>
                <w:rFonts w:hint="eastAsia"/>
                <w:szCs w:val="21"/>
              </w:rPr>
              <w:t>尚未审结</w:t>
            </w:r>
          </w:p>
        </w:tc>
        <w:tc>
          <w:tcPr>
            <w:tcW w:w="425" w:type="dxa"/>
            <w:vAlign w:val="center"/>
          </w:tcPr>
          <w:p>
            <w:pPr>
              <w:jc w:val="center"/>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pPr>
              <w:rPr>
                <w:sz w:val="18"/>
                <w:szCs w:val="18"/>
              </w:rPr>
            </w:pPr>
            <w:r>
              <w:rPr>
                <w:rFonts w:hint="eastAsia"/>
                <w:sz w:val="18"/>
                <w:szCs w:val="18"/>
              </w:rPr>
              <w:t>0</w:t>
            </w:r>
          </w:p>
        </w:tc>
        <w:tc>
          <w:tcPr>
            <w:tcW w:w="709" w:type="dxa"/>
            <w:vAlign w:val="center"/>
          </w:tcPr>
          <w:p>
            <w:pPr>
              <w:rPr>
                <w:sz w:val="18"/>
                <w:szCs w:val="18"/>
              </w:rPr>
            </w:pPr>
            <w:r>
              <w:rPr>
                <w:rFonts w:hint="eastAsia"/>
                <w:sz w:val="18"/>
                <w:szCs w:val="18"/>
              </w:rPr>
              <w:t>0</w:t>
            </w:r>
          </w:p>
        </w:tc>
        <w:tc>
          <w:tcPr>
            <w:tcW w:w="709" w:type="dxa"/>
            <w:vAlign w:val="center"/>
          </w:tcPr>
          <w:p>
            <w:pPr>
              <w:rPr>
                <w:sz w:val="18"/>
                <w:szCs w:val="18"/>
              </w:rPr>
            </w:pPr>
            <w:r>
              <w:rPr>
                <w:rFonts w:hint="eastAsia"/>
                <w:sz w:val="18"/>
                <w:szCs w:val="18"/>
              </w:rPr>
              <w:t>0</w:t>
            </w:r>
          </w:p>
        </w:tc>
        <w:tc>
          <w:tcPr>
            <w:tcW w:w="706" w:type="dxa"/>
            <w:vAlign w:val="center"/>
          </w:tcPr>
          <w:p>
            <w:pPr>
              <w:rPr>
                <w:szCs w:val="21"/>
              </w:rPr>
            </w:pPr>
            <w:r>
              <w:rPr>
                <w:rFonts w:hint="eastAsia"/>
                <w:szCs w:val="21"/>
              </w:rPr>
              <w:t>0</w:t>
            </w:r>
          </w:p>
        </w:tc>
        <w:tc>
          <w:tcPr>
            <w:tcW w:w="428" w:type="dxa"/>
            <w:vAlign w:val="center"/>
          </w:tcPr>
          <w:p>
            <w:pPr>
              <w:rPr>
                <w:szCs w:val="21"/>
              </w:rPr>
            </w:pPr>
            <w:r>
              <w:rPr>
                <w:rFonts w:hint="eastAsia"/>
                <w:szCs w:val="21"/>
              </w:rPr>
              <w:t>0</w:t>
            </w:r>
          </w:p>
        </w:tc>
        <w:tc>
          <w:tcPr>
            <w:tcW w:w="708" w:type="dxa"/>
            <w:vAlign w:val="center"/>
          </w:tcPr>
          <w:p>
            <w:pPr>
              <w:rPr>
                <w:szCs w:val="21"/>
              </w:rPr>
            </w:pPr>
            <w:r>
              <w:rPr>
                <w:rFonts w:hint="eastAsia"/>
                <w:szCs w:val="21"/>
              </w:rPr>
              <w:t>0</w:t>
            </w:r>
          </w:p>
        </w:tc>
        <w:tc>
          <w:tcPr>
            <w:tcW w:w="709" w:type="dxa"/>
            <w:vAlign w:val="center"/>
          </w:tcPr>
          <w:p>
            <w:pPr>
              <w:rPr>
                <w:szCs w:val="21"/>
              </w:rPr>
            </w:pPr>
            <w:r>
              <w:rPr>
                <w:rFonts w:hint="eastAsia"/>
                <w:szCs w:val="21"/>
              </w:rPr>
              <w:t>0</w:t>
            </w:r>
          </w:p>
        </w:tc>
        <w:tc>
          <w:tcPr>
            <w:tcW w:w="709" w:type="dxa"/>
            <w:vAlign w:val="center"/>
          </w:tcPr>
          <w:p>
            <w:pPr>
              <w:rPr>
                <w:szCs w:val="21"/>
              </w:rPr>
            </w:pPr>
            <w:r>
              <w:rPr>
                <w:rFonts w:hint="eastAsia"/>
                <w:szCs w:val="21"/>
              </w:rPr>
              <w:t>0</w:t>
            </w:r>
          </w:p>
        </w:tc>
        <w:tc>
          <w:tcPr>
            <w:tcW w:w="709" w:type="dxa"/>
            <w:vAlign w:val="center"/>
          </w:tcPr>
          <w:p>
            <w:pPr>
              <w:rPr>
                <w:szCs w:val="21"/>
              </w:rPr>
            </w:pPr>
            <w:r>
              <w:rPr>
                <w:rFonts w:hint="eastAsia"/>
                <w:szCs w:val="21"/>
              </w:rPr>
              <w:t>0</w:t>
            </w:r>
          </w:p>
        </w:tc>
        <w:tc>
          <w:tcPr>
            <w:tcW w:w="425" w:type="dxa"/>
            <w:vAlign w:val="center"/>
          </w:tcPr>
          <w:p>
            <w:pPr>
              <w:rPr>
                <w:szCs w:val="21"/>
              </w:rPr>
            </w:pPr>
            <w:r>
              <w:rPr>
                <w:rFonts w:hint="eastAsia"/>
                <w:szCs w:val="21"/>
              </w:rPr>
              <w:t>0</w:t>
            </w:r>
          </w:p>
        </w:tc>
        <w:tc>
          <w:tcPr>
            <w:tcW w:w="709" w:type="dxa"/>
            <w:vAlign w:val="center"/>
          </w:tcPr>
          <w:p>
            <w:pPr>
              <w:rPr>
                <w:szCs w:val="21"/>
              </w:rPr>
            </w:pPr>
            <w:r>
              <w:rPr>
                <w:rFonts w:hint="eastAsia"/>
                <w:szCs w:val="21"/>
              </w:rPr>
              <w:t>0</w:t>
            </w:r>
          </w:p>
        </w:tc>
        <w:tc>
          <w:tcPr>
            <w:tcW w:w="708" w:type="dxa"/>
            <w:vAlign w:val="center"/>
          </w:tcPr>
          <w:p>
            <w:pPr>
              <w:rPr>
                <w:szCs w:val="21"/>
              </w:rPr>
            </w:pPr>
            <w:r>
              <w:rPr>
                <w:rFonts w:hint="eastAsia"/>
                <w:szCs w:val="21"/>
              </w:rPr>
              <w:t>0</w:t>
            </w:r>
          </w:p>
        </w:tc>
        <w:tc>
          <w:tcPr>
            <w:tcW w:w="709" w:type="dxa"/>
            <w:vAlign w:val="center"/>
          </w:tcPr>
          <w:p>
            <w:pPr>
              <w:rPr>
                <w:szCs w:val="21"/>
              </w:rPr>
            </w:pPr>
            <w:r>
              <w:rPr>
                <w:rFonts w:hint="eastAsia"/>
                <w:szCs w:val="21"/>
              </w:rPr>
              <w:t>0</w:t>
            </w:r>
          </w:p>
        </w:tc>
        <w:tc>
          <w:tcPr>
            <w:tcW w:w="694" w:type="dxa"/>
            <w:vAlign w:val="center"/>
          </w:tcPr>
          <w:p>
            <w:pPr>
              <w:rPr>
                <w:szCs w:val="21"/>
              </w:rPr>
            </w:pPr>
            <w:r>
              <w:rPr>
                <w:rFonts w:hint="eastAsia"/>
                <w:szCs w:val="21"/>
              </w:rPr>
              <w:t>0</w:t>
            </w:r>
          </w:p>
        </w:tc>
        <w:tc>
          <w:tcPr>
            <w:tcW w:w="425" w:type="dxa"/>
            <w:vAlign w:val="center"/>
          </w:tcPr>
          <w:p>
            <w:pPr>
              <w:rPr>
                <w:szCs w:val="21"/>
              </w:rPr>
            </w:pPr>
            <w:r>
              <w:rPr>
                <w:rFonts w:hint="eastAsia"/>
                <w:szCs w:val="21"/>
              </w:rPr>
              <w:t>0</w:t>
            </w:r>
          </w:p>
        </w:tc>
      </w:tr>
    </w:tbl>
    <w:p>
      <w:pPr>
        <w:keepNext w:val="0"/>
        <w:keepLines w:val="0"/>
        <w:pageBreakBefore w:val="0"/>
        <w:wordWrap/>
        <w:overflowPunct/>
        <w:topLinePunct w:val="0"/>
        <w:bidi w:val="0"/>
        <w:spacing w:line="560" w:lineRule="exact"/>
        <w:ind w:firstLine="640" w:firstLineChars="200"/>
        <w:jc w:val="both"/>
        <w:rPr>
          <w:rFonts w:ascii="黑体" w:hAnsi="黑体" w:eastAsia="黑体"/>
          <w:sz w:val="32"/>
          <w:szCs w:val="32"/>
        </w:rPr>
      </w:pPr>
      <w:r>
        <w:rPr>
          <w:rFonts w:hint="eastAsia" w:ascii="黑体" w:hAnsi="黑体" w:eastAsia="黑体"/>
          <w:sz w:val="32"/>
          <w:szCs w:val="32"/>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560" w:lineRule="exact"/>
        <w:ind w:left="0" w:right="0" w:firstLine="645"/>
        <w:jc w:val="both"/>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楷体_GB2312" w:cs="Times New Roman"/>
          <w:color w:val="000000"/>
          <w:kern w:val="0"/>
          <w:sz w:val="32"/>
          <w:szCs w:val="32"/>
          <w:lang w:val="en-US" w:eastAsia="zh-CN" w:bidi="ar"/>
        </w:rPr>
        <w:t>（一）存在的主要问题：</w:t>
      </w:r>
      <w:r>
        <w:rPr>
          <w:rFonts w:hint="eastAsia" w:ascii="Times New Roman" w:hAnsi="Times New Roman" w:eastAsia="仿宋_GB2312" w:cs="Times New Roman"/>
          <w:color w:val="000000"/>
          <w:kern w:val="0"/>
          <w:sz w:val="32"/>
          <w:szCs w:val="32"/>
          <w:highlight w:val="none"/>
          <w:lang w:val="en-US" w:eastAsia="zh-CN" w:bidi="ar"/>
        </w:rPr>
        <w:t>一是随着政府信息公开工作要求的提升，主动公开的意识和时效性有待进一步加强，信息公开内容的广度和深度有待进一步拓展；二是对于微信公众号等政务新媒体的应用还需进一步探索学习，需在提高发布质量和提升影响力上发力见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560" w:lineRule="exact"/>
        <w:ind w:left="0" w:right="0" w:firstLine="645"/>
        <w:jc w:val="both"/>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楷体_GB2312" w:cs="Times New Roman"/>
          <w:color w:val="000000"/>
          <w:kern w:val="0"/>
          <w:sz w:val="32"/>
          <w:szCs w:val="32"/>
          <w:lang w:val="en-US" w:eastAsia="zh-CN" w:bidi="ar"/>
        </w:rPr>
        <w:t>（二）整改措施：</w:t>
      </w:r>
      <w:r>
        <w:rPr>
          <w:rFonts w:hint="eastAsia" w:ascii="Times New Roman" w:hAnsi="Times New Roman" w:eastAsia="仿宋_GB2312" w:cs="Times New Roman"/>
          <w:color w:val="000000"/>
          <w:kern w:val="0"/>
          <w:sz w:val="32"/>
          <w:szCs w:val="32"/>
          <w:highlight w:val="none"/>
          <w:lang w:val="en-US" w:eastAsia="zh-CN" w:bidi="ar"/>
        </w:rPr>
        <w:t>全面落实政府信息公开工作要求，坚持“应公开、尽公开”原则，继续加强对《中华人民共和国政府信息公开条例》等规章制度的学习，围绕区委区政府中心工作、本单位年度重点工作以及公众关切的领域，全面展现重点事项的公开情况，进一步提高政务公开数量和质量，多形式加大对商务重要政策、进展成效、先进典型的发布解读力度，积极回应群众关切问题。</w:t>
      </w:r>
    </w:p>
    <w:p>
      <w:pPr>
        <w:keepNext w:val="0"/>
        <w:keepLines w:val="0"/>
        <w:pageBreakBefore w:val="0"/>
        <w:widowControl/>
        <w:suppressLineNumbers w:val="0"/>
        <w:wordWrap/>
        <w:overflowPunct/>
        <w:topLinePunct w:val="0"/>
        <w:bidi w:val="0"/>
        <w:spacing w:line="560" w:lineRule="exact"/>
        <w:ind w:firstLine="620" w:firstLineChars="200"/>
        <w:jc w:val="both"/>
      </w:pPr>
      <w:r>
        <w:rPr>
          <w:rFonts w:ascii="黑体" w:hAnsi="宋体" w:eastAsia="黑体" w:cs="黑体"/>
          <w:color w:val="333333"/>
          <w:kern w:val="0"/>
          <w:sz w:val="31"/>
          <w:szCs w:val="31"/>
          <w:lang w:val="en-US" w:eastAsia="zh-CN" w:bidi="ar"/>
        </w:rPr>
        <w:t>六、其他需要报告的事项</w:t>
      </w:r>
    </w:p>
    <w:p>
      <w:pPr>
        <w:keepNext w:val="0"/>
        <w:keepLines w:val="0"/>
        <w:pageBreakBefore w:val="0"/>
        <w:widowControl/>
        <w:suppressLineNumbers w:val="0"/>
        <w:wordWrap/>
        <w:overflowPunct/>
        <w:topLinePunct w:val="0"/>
        <w:bidi w:val="0"/>
        <w:spacing w:line="560" w:lineRule="exact"/>
        <w:ind w:firstLine="640" w:firstLineChars="200"/>
        <w:jc w:val="both"/>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楷体_GB2312" w:cs="Times New Roman"/>
          <w:color w:val="000000"/>
          <w:kern w:val="0"/>
          <w:sz w:val="32"/>
          <w:szCs w:val="32"/>
          <w:lang w:val="en-US" w:eastAsia="zh-CN" w:bidi="ar"/>
        </w:rPr>
        <w:t>（一）依申请公开政府信息处理费收费情况。</w:t>
      </w:r>
      <w:r>
        <w:rPr>
          <w:rFonts w:hint="eastAsia" w:ascii="Times New Roman" w:hAnsi="Times New Roman" w:eastAsia="仿宋_GB2312" w:cs="Times New Roman"/>
          <w:color w:val="000000"/>
          <w:kern w:val="0"/>
          <w:sz w:val="32"/>
          <w:szCs w:val="32"/>
          <w:highlight w:val="none"/>
          <w:lang w:val="en-US" w:eastAsia="zh-CN" w:bidi="ar"/>
        </w:rPr>
        <w:t>区商务局依据《政府信息公开信息处理费管理办法》未收取信息处理费。</w:t>
      </w:r>
    </w:p>
    <w:p>
      <w:pPr>
        <w:keepNext w:val="0"/>
        <w:keepLines w:val="0"/>
        <w:pageBreakBefore w:val="0"/>
        <w:widowControl/>
        <w:suppressLineNumbers w:val="0"/>
        <w:wordWrap/>
        <w:overflowPunct/>
        <w:topLinePunct w:val="0"/>
        <w:bidi w:val="0"/>
        <w:spacing w:line="560" w:lineRule="exact"/>
        <w:ind w:firstLine="640" w:firstLineChars="200"/>
        <w:jc w:val="both"/>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楷体_GB2312" w:cs="Times New Roman"/>
          <w:color w:val="000000"/>
          <w:kern w:val="0"/>
          <w:sz w:val="32"/>
          <w:szCs w:val="32"/>
          <w:lang w:val="en-US" w:eastAsia="zh-CN" w:bidi="ar"/>
        </w:rPr>
        <w:t>（二）本年度建议提案办理情况。</w:t>
      </w:r>
      <w:r>
        <w:rPr>
          <w:rFonts w:hint="eastAsia" w:ascii="Times New Roman" w:hAnsi="Times New Roman" w:eastAsia="仿宋_GB2312" w:cs="Times New Roman"/>
          <w:color w:val="000000"/>
          <w:kern w:val="0"/>
          <w:sz w:val="32"/>
          <w:szCs w:val="32"/>
          <w:highlight w:val="none"/>
          <w:lang w:val="en-US" w:eastAsia="zh-CN" w:bidi="ar"/>
        </w:rPr>
        <w:t>2023年区商务局共收到区政协十一届二次会议第43、60、112、150号4个提案。区人大十九届二次会议第7号、62号、81号3个提案。对收到的全部提案建议区商务局进行了认真办理，办结率100%、满意率100%，并及时公开办理情况报告，接受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1"/>
        <w:jc w:val="both"/>
        <w:textAlignment w:val="baseline"/>
        <w:rPr>
          <w:rFonts w:hint="eastAsia" w:ascii="Times New Roman" w:hAnsi="Times New Roman" w:eastAsia="仿宋_GB2312" w:cs="Times New Roman"/>
          <w:snapToGrid/>
          <w:color w:val="000000"/>
          <w:kern w:val="0"/>
          <w:sz w:val="32"/>
          <w:szCs w:val="32"/>
          <w:shd w:val="clear" w:color="auto" w:fill="FFFFFF"/>
          <w:lang w:val="en-US" w:eastAsia="zh-CN" w:bidi="ar-SA"/>
        </w:rPr>
      </w:pPr>
      <w:r>
        <w:rPr>
          <w:rFonts w:hint="eastAsia" w:ascii="Times New Roman" w:hAnsi="Times New Roman" w:eastAsia="楷体_GB2312" w:cs="Times New Roman"/>
          <w:color w:val="000000"/>
          <w:kern w:val="0"/>
          <w:sz w:val="32"/>
          <w:szCs w:val="32"/>
          <w:lang w:val="en-US" w:eastAsia="zh-CN" w:bidi="ar"/>
        </w:rPr>
        <w:t>（三）</w:t>
      </w:r>
      <w:r>
        <w:rPr>
          <w:rFonts w:hint="default" w:ascii="Times New Roman" w:hAnsi="Times New Roman" w:eastAsia="楷体_GB2312" w:cs="Times New Roman"/>
          <w:color w:val="000000"/>
          <w:kern w:val="0"/>
          <w:sz w:val="32"/>
          <w:szCs w:val="32"/>
          <w:lang w:val="en-US" w:eastAsia="zh-CN" w:bidi="ar"/>
        </w:rPr>
        <w:t>年度工作要点落实情况。</w:t>
      </w:r>
      <w:r>
        <w:rPr>
          <w:rFonts w:hint="default" w:ascii="Times New Roman" w:hAnsi="Times New Roman" w:eastAsia="仿宋_GB2312" w:cs="Times New Roman"/>
          <w:snapToGrid/>
          <w:color w:val="000000"/>
          <w:kern w:val="0"/>
          <w:sz w:val="32"/>
          <w:szCs w:val="32"/>
          <w:shd w:val="clear" w:color="auto" w:fill="FFFFFF"/>
          <w:lang w:val="en-US" w:eastAsia="zh-CN" w:bidi="ar-SA"/>
        </w:rPr>
        <w:t>认真贯彻落实《2023年淄博市政务公开工作方案》文件要求，</w:t>
      </w:r>
      <w:r>
        <w:rPr>
          <w:rFonts w:ascii="仿宋_GB2312" w:hAnsi="宋体" w:eastAsia="仿宋_GB2312" w:cs="仿宋_GB2312"/>
          <w:i w:val="0"/>
          <w:iCs w:val="0"/>
          <w:caps w:val="0"/>
          <w:color w:val="000000"/>
          <w:spacing w:val="0"/>
          <w:sz w:val="32"/>
          <w:szCs w:val="32"/>
          <w:shd w:val="clear" w:fill="FFFFFF"/>
        </w:rPr>
        <w:t>按时召开工作培训会议，及时报送工作进展，加强媒体宣传引导，并推进</w:t>
      </w:r>
      <w:r>
        <w:rPr>
          <w:rFonts w:hint="eastAsia" w:ascii="仿宋_GB2312" w:hAnsi="宋体" w:eastAsia="仿宋_GB2312" w:cs="仿宋_GB2312"/>
          <w:i w:val="0"/>
          <w:iCs w:val="0"/>
          <w:caps w:val="0"/>
          <w:color w:val="000000"/>
          <w:spacing w:val="0"/>
          <w:sz w:val="32"/>
          <w:szCs w:val="32"/>
          <w:shd w:val="clear" w:fill="FFFFFF"/>
          <w:lang w:val="en-US" w:eastAsia="zh-CN"/>
        </w:rPr>
        <w:t>商务</w:t>
      </w:r>
      <w:r>
        <w:rPr>
          <w:rFonts w:ascii="仿宋_GB2312" w:hAnsi="宋体" w:eastAsia="仿宋_GB2312" w:cs="仿宋_GB2312"/>
          <w:i w:val="0"/>
          <w:iCs w:val="0"/>
          <w:caps w:val="0"/>
          <w:color w:val="000000"/>
          <w:spacing w:val="0"/>
          <w:sz w:val="32"/>
          <w:szCs w:val="32"/>
          <w:shd w:val="clear" w:fill="FFFFFF"/>
        </w:rPr>
        <w:t>重点工作、行政执法、部门预决算等信息公开情况</w:t>
      </w:r>
      <w:r>
        <w:rPr>
          <w:rFonts w:hint="eastAsia" w:ascii="仿宋_GB2312" w:hAnsi="宋体" w:eastAsia="仿宋_GB2312" w:cs="仿宋_GB2312"/>
          <w:i w:val="0"/>
          <w:iCs w:val="0"/>
          <w:caps w:val="0"/>
          <w:color w:val="000000"/>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Times New Roman" w:hAnsi="Times New Roman" w:eastAsia="楷体_GB2312" w:cs="Times New Roman"/>
          <w:color w:val="000000"/>
          <w:kern w:val="0"/>
          <w:sz w:val="32"/>
          <w:szCs w:val="32"/>
          <w:lang w:val="en-US" w:eastAsia="zh-CN" w:bidi="ar"/>
        </w:rPr>
        <w:t>（四）政务公开工作创新情况。</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区商务局坚持“五公开”制度，推进政府决策、执行、管理、服务、结果公开，创新协商参与机制，畅通政务公开平台渠道，扩展政务公开范围，主动接受民主监督，切实提高办事效率，搭建政府与群众之间沟通的桥梁，真正让群众参与到基层治理中，提升群众幸福感和满意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宋体"/>
    <w:panose1 w:val="02010609030101010101"/>
    <w:charset w:val="86"/>
    <w:family w:val="auto"/>
    <w:pitch w:val="default"/>
    <w:sig w:usb0="00000000" w:usb1="00000000" w:usb2="00000000" w:usb3="00000000" w:csb0="00040000" w:csb1="0000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GVmYjVmZDQ5Y2EyMDcwZmEzOGNlODMyNmEwYzgifQ=="/>
  </w:docVars>
  <w:rsids>
    <w:rsidRoot w:val="3AE63ED9"/>
    <w:rsid w:val="02337FAD"/>
    <w:rsid w:val="0F4F2EE0"/>
    <w:rsid w:val="17FA1915"/>
    <w:rsid w:val="2E4E3659"/>
    <w:rsid w:val="346D219F"/>
    <w:rsid w:val="39DA0497"/>
    <w:rsid w:val="3AE63ED9"/>
    <w:rsid w:val="4AD625B4"/>
    <w:rsid w:val="6C1723A4"/>
    <w:rsid w:val="71BC1C54"/>
    <w:rsid w:val="75B92677"/>
    <w:rsid w:val="76CC3D72"/>
    <w:rsid w:val="7A7E51B4"/>
    <w:rsid w:val="7BAB1B83"/>
    <w:rsid w:val="7E8568A3"/>
    <w:rsid w:val="7F2A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000FF"/>
      <w:u w:val="single"/>
    </w:rPr>
  </w:style>
  <w:style w:type="table" w:customStyle="1" w:styleId="7">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2024-01-22T23:51:00Z</dcterms:created>
  <dc:creator>左边的右手</dc:creator>
  <cp:lastModifiedBy>administrator</cp:lastModifiedBy>
  <dcterms:modified xsi:type="dcterms:W3CDTF">2024-01-23T11:40:53Z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78998FB5796848A4A3DDE6B4CE13EAF6_11</vt:lpwstr>
  </property>
</Properties>
</file>