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68"/>
        <w:ind w:firstLine="584"/>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临淄区统计局</w:t>
      </w:r>
    </w:p>
    <w:p>
      <w:pPr>
        <w:widowControl/>
        <w:spacing w:after="68"/>
        <w:ind w:firstLine="584"/>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2019年政府信息公开工作年度报告</w:t>
      </w:r>
    </w:p>
    <w:p>
      <w:pPr>
        <w:widowControl/>
        <w:spacing w:after="68"/>
        <w:ind w:firstLine="584"/>
        <w:jc w:val="left"/>
        <w:rPr>
          <w:rFonts w:hint="eastAsia" w:ascii="仿宋_GB2312" w:hAnsi="Arial" w:eastAsia="仿宋_GB2312" w:cs="Arial"/>
          <w:kern w:val="0"/>
          <w:sz w:val="32"/>
          <w:szCs w:val="32"/>
        </w:rPr>
      </w:pPr>
    </w:p>
    <w:p>
      <w:pPr>
        <w:widowControl/>
        <w:spacing w:after="68"/>
        <w:ind w:firstLine="584"/>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2019年度，我局政府信息公开工作本着提高工作透明度，保障公民、法人和其他组织的知情权的目的，根据《中华人民共和国政府信息公开条例》《中华人民共和国统计法》</w:t>
      </w:r>
      <w:r>
        <w:rPr>
          <w:rFonts w:hint="eastAsia" w:ascii="仿宋_GB2312" w:hAnsi="仿宋" w:eastAsia="仿宋_GB2312" w:cs="Arial"/>
          <w:kern w:val="0"/>
          <w:sz w:val="32"/>
          <w:szCs w:val="32"/>
        </w:rPr>
        <w:t>，</w:t>
      </w:r>
      <w:r>
        <w:rPr>
          <w:rFonts w:hint="eastAsia" w:ascii="仿宋_GB2312" w:hAnsi="Arial" w:eastAsia="仿宋_GB2312" w:cs="Arial"/>
          <w:kern w:val="0"/>
          <w:sz w:val="32"/>
          <w:szCs w:val="32"/>
        </w:rPr>
        <w:t>及时主动向公开或提供各类统计信息和统计数据，积极开展信息公开工作，按时完成了《临淄区统计局政府信息公开指南》和《临淄区统计局政府信息公开制度》的编制工作。设立了各项规章制度。建立了由主要领导任组长，分管领导任副组长的领导小组，下设办公室，由办公室专人负责</w:t>
      </w:r>
      <w:r>
        <w:rPr>
          <w:rFonts w:hint="eastAsia" w:ascii="仿宋_GB2312" w:hAnsi="仿宋" w:eastAsia="仿宋_GB2312" w:cs="Arial"/>
          <w:kern w:val="0"/>
          <w:sz w:val="32"/>
          <w:szCs w:val="32"/>
        </w:rPr>
        <w:t>局政府信息公开的</w:t>
      </w:r>
      <w:r>
        <w:rPr>
          <w:rFonts w:hint="eastAsia" w:ascii="仿宋_GB2312" w:hAnsi="Arial" w:eastAsia="仿宋_GB2312" w:cs="Arial"/>
          <w:kern w:val="0"/>
          <w:sz w:val="32"/>
          <w:szCs w:val="32"/>
        </w:rPr>
        <w:t>信息收集、审核、发布。严格按照《保密法》对信息进行归类，在最大范围内公开非涉密信息。</w:t>
      </w:r>
    </w:p>
    <w:p>
      <w:pPr>
        <w:widowControl/>
        <w:spacing w:before="68" w:after="68"/>
        <w:ind w:firstLine="584"/>
        <w:jc w:val="left"/>
        <w:rPr>
          <w:rFonts w:ascii="Arial" w:hAnsi="Arial" w:cs="Arial"/>
          <w:kern w:val="0"/>
          <w:sz w:val="22"/>
          <w:szCs w:val="22"/>
        </w:rPr>
      </w:pPr>
      <w:r>
        <w:rPr>
          <w:rFonts w:hint="eastAsia" w:ascii="黑体" w:hAnsi="黑体" w:eastAsia="黑体" w:cs="Arial"/>
          <w:kern w:val="0"/>
          <w:sz w:val="29"/>
          <w:szCs w:val="29"/>
        </w:rPr>
        <w:t>一、总体情况</w:t>
      </w:r>
    </w:p>
    <w:p>
      <w:pPr>
        <w:widowControl/>
        <w:spacing w:before="68" w:after="68"/>
        <w:ind w:firstLine="584"/>
        <w:jc w:val="left"/>
        <w:rPr>
          <w:rFonts w:ascii="Arial" w:hAnsi="Arial" w:cs="Arial"/>
          <w:kern w:val="0"/>
          <w:sz w:val="32"/>
          <w:szCs w:val="32"/>
        </w:rPr>
      </w:pPr>
      <w:r>
        <w:rPr>
          <w:rFonts w:hint="eastAsia" w:ascii="仿宋_GB2312" w:hAnsi="Arial" w:eastAsia="仿宋_GB2312" w:cs="Arial"/>
          <w:kern w:val="0"/>
          <w:sz w:val="32"/>
          <w:szCs w:val="32"/>
        </w:rPr>
        <w:t>2019年，我局深入开展“不忘初心、牢记使命”主题教育，坚持把习近平新时代中国特色社会主义思想理论与临淄区统计工作实践相结合，全力推进政府信息公开工作，加强统计预警监测分析，及时发布统计信息数据，为全区经济社会科学发展提供优质统计数据服务，切实保障信息发布及时、准确、规范、完整。</w:t>
      </w:r>
    </w:p>
    <w:p>
      <w:pPr>
        <w:ind w:firstLine="640" w:firstLineChars="200"/>
        <w:rPr>
          <w:rFonts w:hint="eastAsia" w:ascii="仿宋_GB2312" w:eastAsia="仿宋_GB2312"/>
          <w:sz w:val="32"/>
          <w:szCs w:val="32"/>
        </w:rPr>
      </w:pPr>
      <w:r>
        <w:rPr>
          <w:rFonts w:hint="eastAsia" w:ascii="仿宋_GB2312" w:eastAsia="仿宋_GB2312"/>
          <w:sz w:val="32"/>
          <w:szCs w:val="32"/>
        </w:rPr>
        <w:t>(一)加强组织领导，推进政务公开制度化规范化。</w:t>
      </w:r>
    </w:p>
    <w:p>
      <w:pPr>
        <w:ind w:firstLine="640" w:firstLineChars="200"/>
        <w:rPr>
          <w:rFonts w:hint="eastAsia" w:ascii="仿宋_GB2312" w:eastAsia="仿宋_GB2312"/>
          <w:sz w:val="32"/>
          <w:szCs w:val="32"/>
        </w:rPr>
      </w:pPr>
      <w:r>
        <w:rPr>
          <w:rFonts w:hint="eastAsia" w:ascii="仿宋_GB2312" w:eastAsia="仿宋_GB2312"/>
          <w:sz w:val="32"/>
          <w:szCs w:val="32"/>
        </w:rPr>
        <w:t>今年以来，我局切实把政务公开作为一项重要工作，形成了主要领导带头抓，分管领导具体抓，一级抓一级，层层抓落实的良好局面。我局领导强调，要把政务公开工作作为加强勤政廉政建设，提高单位工作效率的重要措施，努力推动我局政务信息公开工作向前推进。要进一步巩固政务公开成果，规范政务公开内容，创新政务公开形式，突出政务公开重点，提高政务公开水平，有力地促进各项工作的开展。</w:t>
      </w:r>
    </w:p>
    <w:p>
      <w:pPr>
        <w:ind w:firstLine="480" w:firstLineChars="150"/>
        <w:rPr>
          <w:rFonts w:hint="eastAsia" w:ascii="仿宋_GB2312" w:eastAsia="仿宋_GB2312"/>
          <w:sz w:val="32"/>
          <w:szCs w:val="32"/>
        </w:rPr>
      </w:pPr>
      <w:r>
        <w:rPr>
          <w:rFonts w:hint="eastAsia" w:ascii="仿宋_GB2312" w:eastAsia="仿宋_GB2312"/>
          <w:sz w:val="32"/>
          <w:szCs w:val="32"/>
        </w:rPr>
        <w:t>（二）修改完善制度，做到应公开尽公开。</w:t>
      </w:r>
    </w:p>
    <w:p>
      <w:pPr>
        <w:ind w:firstLine="640" w:firstLineChars="200"/>
        <w:rPr>
          <w:rFonts w:hint="eastAsia" w:ascii="仿宋_GB2312" w:eastAsia="仿宋_GB2312"/>
          <w:sz w:val="32"/>
          <w:szCs w:val="32"/>
        </w:rPr>
      </w:pPr>
      <w:r>
        <w:rPr>
          <w:rFonts w:hint="eastAsia" w:ascii="仿宋_GB2312" w:eastAsia="仿宋_GB2312"/>
          <w:sz w:val="32"/>
          <w:szCs w:val="32"/>
        </w:rPr>
        <w:t>按照新修订《中华人民共和国政府信息公开条例》，不断完善我局政务公开相关制度，规范政务公开项目、公开内容、公开时限、公开方式等内容。要求各科室对照新要求，全面梳理应当主动公开的政务信息并及时公开。</w:t>
      </w:r>
    </w:p>
    <w:p>
      <w:pPr>
        <w:ind w:firstLine="640" w:firstLineChars="200"/>
        <w:rPr>
          <w:rFonts w:hint="eastAsia"/>
        </w:rPr>
      </w:pPr>
      <w:r>
        <w:rPr>
          <w:rFonts w:hint="eastAsia" w:ascii="仿宋_GB2312" w:eastAsia="仿宋_GB2312"/>
          <w:sz w:val="32"/>
          <w:szCs w:val="32"/>
        </w:rPr>
        <w:t>（三）</w:t>
      </w:r>
      <w:r>
        <w:rPr>
          <w:rFonts w:hint="eastAsia" w:ascii="仿宋_GB2312" w:hAnsi="黑体" w:eastAsia="仿宋_GB2312" w:cs="宋体"/>
          <w:color w:val="000000"/>
          <w:kern w:val="0"/>
          <w:sz w:val="32"/>
          <w:szCs w:val="32"/>
        </w:rPr>
        <w:t>重点领域及</w:t>
      </w:r>
      <w:r>
        <w:rPr>
          <w:rFonts w:hint="eastAsia" w:ascii="仿宋_GB2312" w:eastAsia="仿宋_GB2312"/>
          <w:sz w:val="32"/>
          <w:szCs w:val="32"/>
        </w:rPr>
        <w:t>政务信息主动公开情况</w:t>
      </w:r>
    </w:p>
    <w:p>
      <w:pPr>
        <w:widowControl/>
        <w:spacing w:line="560" w:lineRule="exact"/>
        <w:ind w:firstLine="640" w:firstLineChars="200"/>
        <w:rPr>
          <w:rFonts w:ascii="仿宋_GB2312" w:hAnsi="宋体" w:eastAsia="仿宋_GB2312" w:cs="宋体"/>
          <w:color w:val="000000"/>
          <w:kern w:val="0"/>
          <w:sz w:val="24"/>
        </w:rPr>
      </w:pPr>
      <w:r>
        <w:rPr>
          <w:rFonts w:hint="eastAsia" w:ascii="仿宋_GB2312" w:hAnsi="黑体" w:eastAsia="仿宋_GB2312" w:cs="宋体"/>
          <w:color w:val="000000"/>
          <w:kern w:val="0"/>
          <w:sz w:val="32"/>
          <w:szCs w:val="32"/>
        </w:rPr>
        <w:t>在重点领域政府信息公开工作及主动公开、依申请公开政府信息以及公开平台建设方面，</w:t>
      </w:r>
      <w:r>
        <w:rPr>
          <w:rFonts w:hint="eastAsia" w:ascii="仿宋_GB2312" w:hAnsi="宋体" w:eastAsia="仿宋_GB2312" w:cs="宋体"/>
          <w:color w:val="000000"/>
          <w:kern w:val="0"/>
          <w:sz w:val="32"/>
          <w:szCs w:val="32"/>
        </w:rPr>
        <w:t>2019年，我局在区政府网站共录入信息296条，继续对政府信息公开网站上机构职能等信息进行了补充完善和维护。2019年度我局收到2条依申请受理信息公开申请，并按照政府信息公开条例对申请人的要求进行了处理。</w:t>
      </w:r>
    </w:p>
    <w:p>
      <w:pPr>
        <w:ind w:firstLine="640" w:firstLineChars="200"/>
        <w:rPr>
          <w:rFonts w:hint="eastAsia" w:ascii="仿宋_GB2312" w:eastAsia="仿宋_GB2312"/>
          <w:sz w:val="32"/>
          <w:szCs w:val="32"/>
        </w:rPr>
      </w:pPr>
      <w:r>
        <w:rPr>
          <w:rFonts w:hint="eastAsia" w:ascii="仿宋_GB2312" w:eastAsia="仿宋_GB2312"/>
          <w:sz w:val="32"/>
          <w:szCs w:val="32"/>
        </w:rPr>
        <w:t>（四）人大代表建议和政协委员提案办理结果公开情况</w:t>
      </w:r>
    </w:p>
    <w:p>
      <w:pPr>
        <w:ind w:firstLine="640" w:firstLineChars="200"/>
        <w:rPr>
          <w:rFonts w:hint="eastAsia" w:ascii="仿宋_GB2312" w:eastAsia="仿宋_GB2312"/>
          <w:sz w:val="32"/>
          <w:szCs w:val="32"/>
        </w:rPr>
      </w:pPr>
      <w:r>
        <w:rPr>
          <w:rFonts w:hint="eastAsia" w:ascii="仿宋_GB2312" w:eastAsia="仿宋_GB2312"/>
          <w:sz w:val="32"/>
          <w:szCs w:val="32"/>
        </w:rPr>
        <w:t>2019年度，区统计局未收到人大代表建议和政协委员提案。</w:t>
      </w:r>
    </w:p>
    <w:p>
      <w:pPr>
        <w:ind w:firstLine="640" w:firstLineChars="200"/>
        <w:rPr>
          <w:rFonts w:hint="eastAsia" w:ascii="仿宋_GB2312" w:eastAsia="仿宋_GB2312"/>
          <w:sz w:val="32"/>
          <w:szCs w:val="32"/>
        </w:rPr>
      </w:pPr>
      <w:r>
        <w:rPr>
          <w:rFonts w:hint="eastAsia" w:ascii="仿宋_GB2312" w:eastAsia="仿宋_GB2312"/>
          <w:sz w:val="32"/>
          <w:szCs w:val="32"/>
        </w:rPr>
        <w:t>（五）因政府信息公开申请行政复议、提起行政诉讼情况</w:t>
      </w:r>
    </w:p>
    <w:p>
      <w:pPr>
        <w:ind w:firstLine="640" w:firstLineChars="200"/>
        <w:rPr>
          <w:rFonts w:hint="eastAsia" w:ascii="仿宋_GB2312" w:eastAsia="仿宋_GB2312"/>
          <w:sz w:val="32"/>
          <w:szCs w:val="32"/>
        </w:rPr>
      </w:pPr>
      <w:r>
        <w:rPr>
          <w:rFonts w:hint="eastAsia" w:ascii="仿宋_GB2312" w:eastAsia="仿宋_GB2312"/>
          <w:sz w:val="32"/>
          <w:szCs w:val="32"/>
        </w:rPr>
        <w:t>本年度未发生针对本单位有关政府信息公开事务的行政复议申请和行政诉讼案件。</w:t>
      </w:r>
    </w:p>
    <w:p>
      <w:pPr>
        <w:widowControl/>
        <w:spacing w:before="68" w:after="68"/>
        <w:jc w:val="left"/>
        <w:rPr>
          <w:rFonts w:ascii="Arial" w:hAnsi="Arial" w:cs="Arial"/>
          <w:kern w:val="0"/>
          <w:sz w:val="22"/>
          <w:szCs w:val="22"/>
        </w:rPr>
      </w:pPr>
      <w:r>
        <w:rPr>
          <w:rFonts w:hint="eastAsia" w:ascii="宋体" w:hAnsi="宋体" w:cs="宋体"/>
          <w:kern w:val="0"/>
          <w:sz w:val="29"/>
          <w:szCs w:val="29"/>
        </w:rPr>
        <w:t>   </w:t>
      </w:r>
      <w:r>
        <w:rPr>
          <w:rFonts w:hint="eastAsia" w:ascii="黑体" w:hAnsi="黑体" w:eastAsia="黑体" w:cs="黑体"/>
          <w:kern w:val="0"/>
          <w:sz w:val="29"/>
          <w:szCs w:val="29"/>
        </w:rPr>
        <w:t xml:space="preserve"> </w:t>
      </w:r>
      <w:r>
        <w:rPr>
          <w:rFonts w:hint="eastAsia" w:ascii="黑体" w:hAnsi="黑体" w:eastAsia="黑体" w:cs="Arial"/>
          <w:kern w:val="0"/>
          <w:sz w:val="29"/>
          <w:szCs w:val="29"/>
        </w:rPr>
        <w:t>二、主动公开政府信息情况</w:t>
      </w:r>
    </w:p>
    <w:p>
      <w:pPr>
        <w:widowControl/>
        <w:spacing w:before="68"/>
        <w:ind w:firstLine="584"/>
        <w:jc w:val="left"/>
        <w:rPr>
          <w:rFonts w:ascii="Arial" w:hAnsi="Arial" w:cs="Arial"/>
          <w:kern w:val="0"/>
          <w:sz w:val="22"/>
          <w:szCs w:val="22"/>
        </w:rPr>
      </w:pPr>
      <w:r>
        <w:rPr>
          <w:rFonts w:ascii="Calibri" w:hAnsi="Calibri" w:cs="Arial"/>
          <w:b/>
          <w:bCs/>
          <w:kern w:val="0"/>
          <w:sz w:val="22"/>
        </w:rPr>
        <w:t> </w:t>
      </w:r>
    </w:p>
    <w:tbl>
      <w:tblPr>
        <w:tblStyle w:val="3"/>
        <w:tblW w:w="0" w:type="auto"/>
        <w:tblInd w:w="0" w:type="dxa"/>
        <w:tblLayout w:type="autofit"/>
        <w:tblCellMar>
          <w:top w:w="15" w:type="dxa"/>
          <w:left w:w="15" w:type="dxa"/>
          <w:bottom w:w="15" w:type="dxa"/>
          <w:right w:w="15" w:type="dxa"/>
        </w:tblCellMar>
      </w:tblPr>
      <w:tblGrid>
        <w:gridCol w:w="2700"/>
        <w:gridCol w:w="1980"/>
        <w:gridCol w:w="2025"/>
        <w:gridCol w:w="2220"/>
      </w:tblGrid>
      <w:tr>
        <w:tblPrEx>
          <w:tblCellMar>
            <w:top w:w="15" w:type="dxa"/>
            <w:left w:w="15" w:type="dxa"/>
            <w:bottom w:w="15" w:type="dxa"/>
            <w:right w:w="15" w:type="dxa"/>
          </w:tblCellMar>
        </w:tblPrEx>
        <w:trPr>
          <w:wBefore w:w="0" w:type="auto"/>
          <w:trHeight w:val="435" w:hRule="atLeast"/>
        </w:trPr>
        <w:tc>
          <w:tcPr>
            <w:tcW w:w="8925" w:type="dxa"/>
            <w:gridSpan w:val="4"/>
            <w:tcBorders>
              <w:top w:val="single" w:color="auto" w:sz="6" w:space="0"/>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第二十条第（一）项</w:t>
            </w:r>
          </w:p>
        </w:tc>
      </w:tr>
      <w:tr>
        <w:tblPrEx>
          <w:tblCellMar>
            <w:top w:w="15" w:type="dxa"/>
            <w:left w:w="15" w:type="dxa"/>
            <w:bottom w:w="15" w:type="dxa"/>
            <w:right w:w="15" w:type="dxa"/>
          </w:tblCellMar>
        </w:tblPrEx>
        <w:trPr>
          <w:wBefore w:w="0" w:type="auto"/>
          <w:trHeight w:val="503"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信息内容</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本年新制作数量</w:t>
            </w:r>
          </w:p>
        </w:tc>
        <w:tc>
          <w:tcPr>
            <w:tcW w:w="20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本年新</w:t>
            </w:r>
          </w:p>
          <w:p>
            <w:pPr>
              <w:widowControl/>
              <w:jc w:val="center"/>
              <w:rPr>
                <w:rFonts w:ascii="宋体" w:hAnsi="宋体" w:cs="Arial"/>
                <w:kern w:val="0"/>
                <w:sz w:val="22"/>
                <w:szCs w:val="22"/>
              </w:rPr>
            </w:pPr>
            <w:r>
              <w:rPr>
                <w:rFonts w:hint="eastAsia" w:ascii="宋体" w:hAnsi="宋体" w:cs="Arial"/>
                <w:kern w:val="0"/>
                <w:sz w:val="22"/>
                <w:szCs w:val="22"/>
              </w:rPr>
              <w:t>公开数量</w:t>
            </w:r>
          </w:p>
        </w:tc>
        <w:tc>
          <w:tcPr>
            <w:tcW w:w="222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对外公开</w:t>
            </w:r>
          </w:p>
          <w:p>
            <w:pPr>
              <w:widowControl/>
              <w:jc w:val="center"/>
              <w:rPr>
                <w:rFonts w:ascii="宋体" w:hAnsi="宋体" w:cs="Arial"/>
                <w:kern w:val="0"/>
                <w:sz w:val="22"/>
                <w:szCs w:val="22"/>
              </w:rPr>
            </w:pPr>
            <w:r>
              <w:rPr>
                <w:rFonts w:hint="eastAsia" w:ascii="宋体" w:hAnsi="宋体" w:cs="Arial"/>
                <w:kern w:val="0"/>
                <w:sz w:val="22"/>
                <w:szCs w:val="22"/>
              </w:rPr>
              <w:t>总数量</w:t>
            </w:r>
          </w:p>
        </w:tc>
      </w:tr>
      <w:tr>
        <w:tblPrEx>
          <w:tblCellMar>
            <w:top w:w="15" w:type="dxa"/>
            <w:left w:w="15" w:type="dxa"/>
            <w:bottom w:w="15" w:type="dxa"/>
            <w:right w:w="15" w:type="dxa"/>
          </w:tblCellMar>
        </w:tblPrEx>
        <w:trPr>
          <w:wBefore w:w="0" w:type="auto"/>
          <w:trHeight w:val="503"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规章</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0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22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r>
      <w:tr>
        <w:tblPrEx>
          <w:tblCellMar>
            <w:top w:w="15" w:type="dxa"/>
            <w:left w:w="15" w:type="dxa"/>
            <w:bottom w:w="15" w:type="dxa"/>
            <w:right w:w="15" w:type="dxa"/>
          </w:tblCellMar>
        </w:tblPrEx>
        <w:trPr>
          <w:wBefore w:w="0" w:type="auto"/>
          <w:trHeight w:val="503"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规范性文件</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0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22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r>
      <w:tr>
        <w:tblPrEx>
          <w:tblCellMar>
            <w:top w:w="15" w:type="dxa"/>
            <w:left w:w="15" w:type="dxa"/>
            <w:bottom w:w="15" w:type="dxa"/>
            <w:right w:w="15" w:type="dxa"/>
          </w:tblCellMar>
        </w:tblPrEx>
        <w:trPr>
          <w:wBefore w:w="0" w:type="auto"/>
          <w:trHeight w:val="489" w:hRule="atLeast"/>
        </w:trPr>
        <w:tc>
          <w:tcPr>
            <w:tcW w:w="8925" w:type="dxa"/>
            <w:gridSpan w:val="4"/>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第二十条第（五）项</w:t>
            </w:r>
          </w:p>
        </w:tc>
      </w:tr>
      <w:tr>
        <w:tblPrEx>
          <w:tblCellMar>
            <w:top w:w="15" w:type="dxa"/>
            <w:left w:w="15" w:type="dxa"/>
            <w:bottom w:w="15" w:type="dxa"/>
            <w:right w:w="15" w:type="dxa"/>
          </w:tblCellMar>
        </w:tblPrEx>
        <w:trPr>
          <w:wBefore w:w="0" w:type="auto"/>
          <w:trHeight w:val="571"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信息内容</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left"/>
              <w:rPr>
                <w:rFonts w:ascii="宋体" w:hAnsi="宋体" w:cs="Arial"/>
                <w:kern w:val="0"/>
                <w:sz w:val="22"/>
                <w:szCs w:val="22"/>
              </w:rPr>
            </w:pPr>
            <w:r>
              <w:rPr>
                <w:rFonts w:hint="eastAsia" w:ascii="宋体" w:hAnsi="宋体" w:cs="Arial"/>
                <w:kern w:val="0"/>
                <w:sz w:val="22"/>
                <w:szCs w:val="22"/>
              </w:rPr>
              <w:t>上一年项目数量</w:t>
            </w:r>
          </w:p>
        </w:tc>
        <w:tc>
          <w:tcPr>
            <w:tcW w:w="20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本年增</w:t>
            </w:r>
            <w:r>
              <w:rPr>
                <w:rFonts w:ascii="宋体" w:hAnsi="宋体" w:cs="Arial"/>
                <w:kern w:val="0"/>
                <w:sz w:val="22"/>
                <w:szCs w:val="22"/>
              </w:rPr>
              <w:t>/</w:t>
            </w:r>
            <w:r>
              <w:rPr>
                <w:rFonts w:hint="eastAsia" w:ascii="宋体" w:hAnsi="宋体" w:cs="Arial"/>
                <w:kern w:val="0"/>
                <w:sz w:val="22"/>
                <w:szCs w:val="22"/>
              </w:rPr>
              <w:t>减</w:t>
            </w:r>
          </w:p>
        </w:tc>
        <w:tc>
          <w:tcPr>
            <w:tcW w:w="222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处理决定数量</w:t>
            </w:r>
          </w:p>
        </w:tc>
      </w:tr>
      <w:tr>
        <w:tblPrEx>
          <w:tblCellMar>
            <w:top w:w="15" w:type="dxa"/>
            <w:left w:w="15" w:type="dxa"/>
            <w:bottom w:w="15" w:type="dxa"/>
            <w:right w:w="15" w:type="dxa"/>
          </w:tblCellMar>
        </w:tblPrEx>
        <w:trPr>
          <w:wBefore w:w="0" w:type="auto"/>
          <w:trHeight w:val="489"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行政许可</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0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22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r>
      <w:tr>
        <w:tblPrEx>
          <w:tblCellMar>
            <w:top w:w="15" w:type="dxa"/>
            <w:left w:w="15" w:type="dxa"/>
            <w:bottom w:w="15" w:type="dxa"/>
            <w:right w:w="15" w:type="dxa"/>
          </w:tblCellMar>
        </w:tblPrEx>
        <w:trPr>
          <w:wBefore w:w="0" w:type="auto"/>
          <w:trHeight w:val="489"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其他对外管理服务事项</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0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22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r>
      <w:tr>
        <w:tblPrEx>
          <w:tblCellMar>
            <w:top w:w="15" w:type="dxa"/>
            <w:left w:w="15" w:type="dxa"/>
            <w:bottom w:w="15" w:type="dxa"/>
            <w:right w:w="15" w:type="dxa"/>
          </w:tblCellMar>
        </w:tblPrEx>
        <w:trPr>
          <w:wBefore w:w="0" w:type="auto"/>
          <w:trHeight w:val="367" w:hRule="atLeast"/>
        </w:trPr>
        <w:tc>
          <w:tcPr>
            <w:tcW w:w="8925" w:type="dxa"/>
            <w:gridSpan w:val="4"/>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第二十条第（六）项</w:t>
            </w:r>
          </w:p>
        </w:tc>
      </w:tr>
      <w:tr>
        <w:tblPrEx>
          <w:tblCellMar>
            <w:top w:w="15" w:type="dxa"/>
            <w:left w:w="15" w:type="dxa"/>
            <w:bottom w:w="15" w:type="dxa"/>
            <w:right w:w="15" w:type="dxa"/>
          </w:tblCellMar>
        </w:tblPrEx>
        <w:trPr>
          <w:wBefore w:w="0" w:type="auto"/>
          <w:trHeight w:val="435"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信息内容</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left"/>
              <w:rPr>
                <w:rFonts w:ascii="宋体" w:hAnsi="宋体" w:cs="Arial"/>
                <w:kern w:val="0"/>
                <w:sz w:val="22"/>
                <w:szCs w:val="22"/>
              </w:rPr>
            </w:pPr>
            <w:r>
              <w:rPr>
                <w:rFonts w:hint="eastAsia" w:ascii="宋体" w:hAnsi="宋体" w:cs="Arial"/>
                <w:kern w:val="0"/>
                <w:sz w:val="22"/>
                <w:szCs w:val="22"/>
              </w:rPr>
              <w:t>上一年项目数量</w:t>
            </w:r>
          </w:p>
        </w:tc>
        <w:tc>
          <w:tcPr>
            <w:tcW w:w="20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本年增</w:t>
            </w:r>
            <w:r>
              <w:rPr>
                <w:rFonts w:ascii="宋体" w:hAnsi="宋体" w:cs="Arial"/>
                <w:kern w:val="0"/>
                <w:sz w:val="22"/>
                <w:szCs w:val="22"/>
              </w:rPr>
              <w:t>/</w:t>
            </w:r>
            <w:r>
              <w:rPr>
                <w:rFonts w:hint="eastAsia" w:ascii="宋体" w:hAnsi="宋体" w:cs="Arial"/>
                <w:kern w:val="0"/>
                <w:sz w:val="22"/>
                <w:szCs w:val="22"/>
              </w:rPr>
              <w:t>减</w:t>
            </w:r>
          </w:p>
        </w:tc>
        <w:tc>
          <w:tcPr>
            <w:tcW w:w="222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处理决定数量</w:t>
            </w:r>
          </w:p>
        </w:tc>
      </w:tr>
      <w:tr>
        <w:tblPrEx>
          <w:tblCellMar>
            <w:top w:w="15" w:type="dxa"/>
            <w:left w:w="15" w:type="dxa"/>
            <w:bottom w:w="15" w:type="dxa"/>
            <w:right w:w="15" w:type="dxa"/>
          </w:tblCellMar>
        </w:tblPrEx>
        <w:trPr>
          <w:wBefore w:w="0" w:type="auto"/>
          <w:trHeight w:val="394"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行政处罚</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0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22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r>
      <w:tr>
        <w:tblPrEx>
          <w:tblCellMar>
            <w:top w:w="15" w:type="dxa"/>
            <w:left w:w="15" w:type="dxa"/>
            <w:bottom w:w="15" w:type="dxa"/>
            <w:right w:w="15" w:type="dxa"/>
          </w:tblCellMar>
        </w:tblPrEx>
        <w:trPr>
          <w:wBefore w:w="0" w:type="auto"/>
          <w:trHeight w:val="394"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行政强制</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0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222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r>
      <w:tr>
        <w:tblPrEx>
          <w:tblCellMar>
            <w:top w:w="15" w:type="dxa"/>
            <w:left w:w="15" w:type="dxa"/>
            <w:bottom w:w="15" w:type="dxa"/>
            <w:right w:w="15" w:type="dxa"/>
          </w:tblCellMar>
        </w:tblPrEx>
        <w:trPr>
          <w:wBefore w:w="0" w:type="auto"/>
          <w:trHeight w:val="421" w:hRule="atLeast"/>
        </w:trPr>
        <w:tc>
          <w:tcPr>
            <w:tcW w:w="8925" w:type="dxa"/>
            <w:gridSpan w:val="4"/>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第二十条第（八）项</w:t>
            </w:r>
          </w:p>
        </w:tc>
      </w:tr>
      <w:tr>
        <w:tblPrEx>
          <w:tblCellMar>
            <w:top w:w="15" w:type="dxa"/>
            <w:left w:w="15" w:type="dxa"/>
            <w:bottom w:w="15" w:type="dxa"/>
            <w:right w:w="15" w:type="dxa"/>
          </w:tblCellMar>
        </w:tblPrEx>
        <w:trPr>
          <w:wBefore w:w="0" w:type="auto"/>
          <w:trHeight w:val="448"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信息内容</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left"/>
              <w:rPr>
                <w:rFonts w:ascii="宋体" w:hAnsi="宋体" w:cs="Arial"/>
                <w:kern w:val="0"/>
                <w:sz w:val="22"/>
                <w:szCs w:val="22"/>
              </w:rPr>
            </w:pPr>
            <w:r>
              <w:rPr>
                <w:rFonts w:hint="eastAsia" w:ascii="宋体" w:hAnsi="宋体" w:cs="Arial"/>
                <w:kern w:val="0"/>
                <w:sz w:val="22"/>
                <w:szCs w:val="22"/>
              </w:rPr>
              <w:t>上一年项目数量</w:t>
            </w:r>
          </w:p>
        </w:tc>
        <w:tc>
          <w:tcPr>
            <w:tcW w:w="4245" w:type="dxa"/>
            <w:gridSpan w:val="2"/>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本年增</w:t>
            </w:r>
            <w:r>
              <w:rPr>
                <w:rFonts w:ascii="宋体" w:hAnsi="宋体" w:cs="Arial"/>
                <w:kern w:val="0"/>
                <w:sz w:val="22"/>
                <w:szCs w:val="22"/>
              </w:rPr>
              <w:t>/</w:t>
            </w:r>
            <w:r>
              <w:rPr>
                <w:rFonts w:hint="eastAsia" w:ascii="宋体" w:hAnsi="宋体" w:cs="Arial"/>
                <w:kern w:val="0"/>
                <w:sz w:val="22"/>
                <w:szCs w:val="22"/>
              </w:rPr>
              <w:t>减</w:t>
            </w:r>
          </w:p>
        </w:tc>
      </w:tr>
      <w:tr>
        <w:tblPrEx>
          <w:tblCellMar>
            <w:top w:w="15" w:type="dxa"/>
            <w:left w:w="15" w:type="dxa"/>
            <w:bottom w:w="15" w:type="dxa"/>
            <w:right w:w="15" w:type="dxa"/>
          </w:tblCellMar>
        </w:tblPrEx>
        <w:trPr>
          <w:wBefore w:w="0" w:type="auto"/>
          <w:trHeight w:val="448"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行政事业性收费</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4245" w:type="dxa"/>
            <w:gridSpan w:val="2"/>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r>
      <w:tr>
        <w:tblPrEx>
          <w:tblCellMar>
            <w:top w:w="15" w:type="dxa"/>
            <w:left w:w="15" w:type="dxa"/>
            <w:bottom w:w="15" w:type="dxa"/>
            <w:right w:w="15" w:type="dxa"/>
          </w:tblCellMar>
        </w:tblPrEx>
        <w:trPr>
          <w:wBefore w:w="0" w:type="auto"/>
          <w:trHeight w:val="435" w:hRule="atLeast"/>
        </w:trPr>
        <w:tc>
          <w:tcPr>
            <w:tcW w:w="8925" w:type="dxa"/>
            <w:gridSpan w:val="4"/>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第二十条第（九）项</w:t>
            </w:r>
          </w:p>
        </w:tc>
      </w:tr>
      <w:tr>
        <w:tblPrEx>
          <w:tblCellMar>
            <w:top w:w="15" w:type="dxa"/>
            <w:left w:w="15" w:type="dxa"/>
            <w:bottom w:w="15" w:type="dxa"/>
            <w:right w:w="15" w:type="dxa"/>
          </w:tblCellMar>
        </w:tblPrEx>
        <w:trPr>
          <w:wBefore w:w="0" w:type="auto"/>
          <w:trHeight w:val="367"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信息内容</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采购项目数量</w:t>
            </w:r>
          </w:p>
        </w:tc>
        <w:tc>
          <w:tcPr>
            <w:tcW w:w="4245" w:type="dxa"/>
            <w:gridSpan w:val="2"/>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采购总金额</w:t>
            </w:r>
          </w:p>
        </w:tc>
      </w:tr>
      <w:tr>
        <w:tblPrEx>
          <w:tblCellMar>
            <w:top w:w="15" w:type="dxa"/>
            <w:left w:w="15" w:type="dxa"/>
            <w:bottom w:w="15" w:type="dxa"/>
            <w:right w:w="15" w:type="dxa"/>
          </w:tblCellMar>
        </w:tblPrEx>
        <w:trPr>
          <w:wBefore w:w="0" w:type="auto"/>
          <w:trHeight w:val="394" w:hRule="atLeast"/>
        </w:trPr>
        <w:tc>
          <w:tcPr>
            <w:tcW w:w="2700"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政府集中采购</w:t>
            </w:r>
          </w:p>
        </w:tc>
        <w:tc>
          <w:tcPr>
            <w:tcW w:w="19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4245" w:type="dxa"/>
            <w:gridSpan w:val="2"/>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r>
    </w:tbl>
    <w:p>
      <w:pPr>
        <w:widowControl/>
        <w:spacing w:before="68"/>
        <w:ind w:firstLine="584"/>
        <w:jc w:val="left"/>
        <w:rPr>
          <w:rFonts w:ascii="黑体" w:hAnsi="黑体" w:eastAsia="黑体" w:cs="Arial"/>
          <w:kern w:val="0"/>
          <w:sz w:val="29"/>
          <w:szCs w:val="29"/>
        </w:rPr>
      </w:pPr>
      <w:r>
        <w:rPr>
          <w:rFonts w:hint="eastAsia" w:ascii="黑体" w:hAnsi="黑体" w:eastAsia="黑体" w:cs="Arial"/>
          <w:kern w:val="0"/>
          <w:sz w:val="29"/>
          <w:szCs w:val="29"/>
        </w:rPr>
        <w:t>三、收到和处理政府信息公开申请情况</w:t>
      </w:r>
    </w:p>
    <w:p>
      <w:pPr>
        <w:widowControl/>
        <w:spacing w:before="68"/>
        <w:ind w:firstLine="584"/>
        <w:jc w:val="left"/>
        <w:rPr>
          <w:rFonts w:ascii="Arial" w:hAnsi="Arial" w:cs="Arial"/>
          <w:kern w:val="0"/>
          <w:sz w:val="22"/>
          <w:szCs w:val="22"/>
        </w:rPr>
      </w:pPr>
    </w:p>
    <w:tbl>
      <w:tblPr>
        <w:tblStyle w:val="3"/>
        <w:tblW w:w="0" w:type="auto"/>
        <w:tblInd w:w="0" w:type="dxa"/>
        <w:tblLayout w:type="fixed"/>
        <w:tblCellMar>
          <w:top w:w="15" w:type="dxa"/>
          <w:left w:w="15" w:type="dxa"/>
          <w:bottom w:w="15" w:type="dxa"/>
          <w:right w:w="15" w:type="dxa"/>
        </w:tblCellMar>
      </w:tblPr>
      <w:tblGrid>
        <w:gridCol w:w="470"/>
        <w:gridCol w:w="1361"/>
        <w:gridCol w:w="2755"/>
        <w:gridCol w:w="525"/>
        <w:gridCol w:w="750"/>
        <w:gridCol w:w="765"/>
        <w:gridCol w:w="750"/>
        <w:gridCol w:w="675"/>
        <w:gridCol w:w="480"/>
        <w:gridCol w:w="675"/>
      </w:tblGrid>
      <w:tr>
        <w:tblPrEx>
          <w:tblCellMar>
            <w:top w:w="15" w:type="dxa"/>
            <w:left w:w="15" w:type="dxa"/>
            <w:bottom w:w="15" w:type="dxa"/>
            <w:right w:w="15" w:type="dxa"/>
          </w:tblCellMar>
        </w:tblPrEx>
        <w:trPr>
          <w:wBefore w:w="0" w:type="auto"/>
          <w:trHeight w:val="408" w:hRule="atLeast"/>
        </w:trPr>
        <w:tc>
          <w:tcPr>
            <w:tcW w:w="4586" w:type="dxa"/>
            <w:gridSpan w:val="3"/>
            <w:vMerge w:val="restart"/>
            <w:tcBorders>
              <w:top w:val="single" w:color="auto" w:sz="6" w:space="0"/>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（本列数据的勾稽关系为：第一项加第二项之和，等于第三项加第四项之和）</w:t>
            </w:r>
          </w:p>
        </w:tc>
        <w:tc>
          <w:tcPr>
            <w:tcW w:w="4620" w:type="dxa"/>
            <w:gridSpan w:val="7"/>
            <w:tcBorders>
              <w:top w:val="single" w:color="auto" w:sz="6" w:space="0"/>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申请人情况</w:t>
            </w:r>
          </w:p>
        </w:tc>
      </w:tr>
      <w:tr>
        <w:tblPrEx>
          <w:tblCellMar>
            <w:top w:w="15" w:type="dxa"/>
            <w:left w:w="15" w:type="dxa"/>
            <w:bottom w:w="15" w:type="dxa"/>
            <w:right w:w="15" w:type="dxa"/>
          </w:tblCellMar>
        </w:tblPrEx>
        <w:trPr>
          <w:wBefore w:w="0" w:type="auto"/>
          <w:trHeight w:val="475" w:hRule="atLeast"/>
        </w:trPr>
        <w:tc>
          <w:tcPr>
            <w:tcW w:w="4586" w:type="dxa"/>
            <w:gridSpan w:val="3"/>
            <w:vMerge w:val="continue"/>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525" w:type="dxa"/>
            <w:vMerge w:val="restart"/>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自然人</w:t>
            </w:r>
          </w:p>
        </w:tc>
        <w:tc>
          <w:tcPr>
            <w:tcW w:w="3420" w:type="dxa"/>
            <w:gridSpan w:val="5"/>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法人或其他组织</w:t>
            </w:r>
          </w:p>
        </w:tc>
        <w:tc>
          <w:tcPr>
            <w:tcW w:w="675" w:type="dxa"/>
            <w:vMerge w:val="restart"/>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总计</w:t>
            </w:r>
          </w:p>
        </w:tc>
      </w:tr>
      <w:tr>
        <w:tblPrEx>
          <w:tblCellMar>
            <w:top w:w="15" w:type="dxa"/>
            <w:left w:w="15" w:type="dxa"/>
            <w:bottom w:w="15" w:type="dxa"/>
            <w:right w:w="15" w:type="dxa"/>
          </w:tblCellMar>
        </w:tblPrEx>
        <w:trPr>
          <w:wBefore w:w="0" w:type="auto"/>
          <w:trHeight w:val="1019" w:hRule="atLeast"/>
        </w:trPr>
        <w:tc>
          <w:tcPr>
            <w:tcW w:w="4586" w:type="dxa"/>
            <w:gridSpan w:val="3"/>
            <w:vMerge w:val="continue"/>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525"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商业企业</w:t>
            </w: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科研机构</w:t>
            </w: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社会公益组织</w:t>
            </w: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法律服务机构</w:t>
            </w: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其他</w:t>
            </w:r>
          </w:p>
        </w:tc>
        <w:tc>
          <w:tcPr>
            <w:tcW w:w="675" w:type="dxa"/>
            <w:vMerge w:val="continue"/>
            <w:tcBorders>
              <w:top w:val="nil"/>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r>
      <w:tr>
        <w:tblPrEx>
          <w:tblCellMar>
            <w:top w:w="15" w:type="dxa"/>
            <w:left w:w="15" w:type="dxa"/>
            <w:bottom w:w="15" w:type="dxa"/>
            <w:right w:w="15" w:type="dxa"/>
          </w:tblCellMar>
        </w:tblPrEx>
        <w:trPr>
          <w:wBefore w:w="0" w:type="auto"/>
          <w:trHeight w:val="408" w:hRule="atLeast"/>
        </w:trPr>
        <w:tc>
          <w:tcPr>
            <w:tcW w:w="4586" w:type="dxa"/>
            <w:gridSpan w:val="3"/>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一、本年新收政府信息公开申请数量</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2</w:t>
            </w: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2</w:t>
            </w:r>
          </w:p>
        </w:tc>
      </w:tr>
      <w:tr>
        <w:tblPrEx>
          <w:tblCellMar>
            <w:top w:w="15" w:type="dxa"/>
            <w:left w:w="15" w:type="dxa"/>
            <w:bottom w:w="15" w:type="dxa"/>
            <w:right w:w="15" w:type="dxa"/>
          </w:tblCellMar>
        </w:tblPrEx>
        <w:trPr>
          <w:wBefore w:w="0" w:type="auto"/>
          <w:trHeight w:val="367" w:hRule="atLeast"/>
        </w:trPr>
        <w:tc>
          <w:tcPr>
            <w:tcW w:w="4586" w:type="dxa"/>
            <w:gridSpan w:val="3"/>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二、上年结转政府信息公开申请数量</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r>
      <w:tr>
        <w:tblPrEx>
          <w:tblCellMar>
            <w:top w:w="15" w:type="dxa"/>
            <w:left w:w="15" w:type="dxa"/>
            <w:bottom w:w="15" w:type="dxa"/>
            <w:right w:w="15" w:type="dxa"/>
          </w:tblCellMar>
        </w:tblPrEx>
        <w:trPr>
          <w:wBefore w:w="0" w:type="auto"/>
          <w:trHeight w:val="380" w:hRule="atLeast"/>
        </w:trPr>
        <w:tc>
          <w:tcPr>
            <w:tcW w:w="470" w:type="dxa"/>
            <w:vMerge w:val="restart"/>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三、本年度办理结果</w:t>
            </w:r>
          </w:p>
        </w:tc>
        <w:tc>
          <w:tcPr>
            <w:tcW w:w="4116" w:type="dxa"/>
            <w:gridSpan w:val="2"/>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（一）予以公开</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r>
      <w:tr>
        <w:tblPrEx>
          <w:tblCellMar>
            <w:top w:w="15" w:type="dxa"/>
            <w:left w:w="15" w:type="dxa"/>
            <w:bottom w:w="15" w:type="dxa"/>
            <w:right w:w="15" w:type="dxa"/>
          </w:tblCellMar>
        </w:tblPrEx>
        <w:trPr>
          <w:wBefore w:w="0" w:type="auto"/>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116" w:type="dxa"/>
            <w:gridSpan w:val="2"/>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（二）部分公开（区分处理的，只计这一情形，不计其他情形）</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2</w:t>
            </w: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2</w:t>
            </w:r>
          </w:p>
        </w:tc>
      </w:tr>
      <w:tr>
        <w:tblPrEx>
          <w:tblCellMar>
            <w:top w:w="15" w:type="dxa"/>
            <w:left w:w="15" w:type="dxa"/>
            <w:bottom w:w="15" w:type="dxa"/>
            <w:right w:w="15" w:type="dxa"/>
          </w:tblCellMar>
        </w:tblPrEx>
        <w:trPr>
          <w:wBefore w:w="0" w:type="auto"/>
          <w:trHeight w:val="448"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restart"/>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（三）不予公开</w:t>
            </w: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1．属于国家秘密</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r>
      <w:tr>
        <w:tblPrEx>
          <w:tblCellMar>
            <w:top w:w="15" w:type="dxa"/>
            <w:left w:w="15" w:type="dxa"/>
            <w:bottom w:w="15" w:type="dxa"/>
            <w:right w:w="15" w:type="dxa"/>
          </w:tblCellMar>
        </w:tblPrEx>
        <w:trPr>
          <w:wBefore w:w="0" w:type="auto"/>
          <w:trHeight w:val="380"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2．其他法律行政法规禁止公开</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80"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3．危及“三安全一稳定”</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53"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4．保护第三方合法权益</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80"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5．属于三类内部事务信息</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67"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6．属于四类过程性信息</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80"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7．属于行政执法案卷</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80"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8．属于行政查询事项</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67"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restart"/>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（四）无法提供</w:t>
            </w: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1．本机关不掌握相关政府信息</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80"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2．没有现成信息需要另行制作</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3．补正后申请内容仍不明确</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40"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restart"/>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（五）不予处理</w:t>
            </w: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1．信访举报投诉类申请</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2．重复申请</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53"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3．要求提供公开出版物</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380" w:hRule="atLeast"/>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4．无正当理由大量反复申请</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Pr>
        <w:tc>
          <w:tcPr>
            <w:tcW w:w="470" w:type="dxa"/>
            <w:vMerge w:val="continue"/>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1361" w:type="dxa"/>
            <w:vMerge w:val="continue"/>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275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163"/>
              <w:jc w:val="center"/>
              <w:textAlignment w:val="auto"/>
              <w:rPr>
                <w:rFonts w:ascii="宋体" w:hAnsi="宋体" w:cs="Arial"/>
                <w:kern w:val="0"/>
                <w:sz w:val="22"/>
                <w:szCs w:val="22"/>
              </w:rPr>
            </w:pPr>
            <w:r>
              <w:rPr>
                <w:rFonts w:hint="eastAsia" w:ascii="宋体" w:hAnsi="宋体" w:cs="Arial"/>
                <w:kern w:val="0"/>
                <w:sz w:val="22"/>
                <w:szCs w:val="22"/>
              </w:rPr>
              <w:t>5．要求行政机关确认或重新出具已获取信息</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kern w:val="0"/>
                <w:sz w:val="22"/>
                <w:szCs w:val="22"/>
              </w:rPr>
            </w:pPr>
          </w:p>
        </w:tc>
      </w:tr>
      <w:tr>
        <w:tblPrEx>
          <w:tblCellMar>
            <w:top w:w="15" w:type="dxa"/>
            <w:left w:w="15" w:type="dxa"/>
            <w:bottom w:w="15" w:type="dxa"/>
            <w:right w:w="15" w:type="dxa"/>
          </w:tblCellMar>
        </w:tblPrEx>
        <w:trPr>
          <w:wBefore w:w="0" w:type="auto"/>
          <w:trHeight w:val="421" w:hRule="atLeast"/>
        </w:trPr>
        <w:tc>
          <w:tcPr>
            <w:tcW w:w="470" w:type="dxa"/>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116" w:type="dxa"/>
            <w:gridSpan w:val="2"/>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（六）其他处理</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r>
      <w:tr>
        <w:tblPrEx>
          <w:tblCellMar>
            <w:top w:w="15" w:type="dxa"/>
            <w:left w:w="15" w:type="dxa"/>
            <w:bottom w:w="15" w:type="dxa"/>
            <w:right w:w="15" w:type="dxa"/>
          </w:tblCellMar>
        </w:tblPrEx>
        <w:trPr>
          <w:wBefore w:w="0" w:type="auto"/>
          <w:trHeight w:val="380" w:hRule="atLeast"/>
        </w:trPr>
        <w:tc>
          <w:tcPr>
            <w:tcW w:w="470" w:type="dxa"/>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116" w:type="dxa"/>
            <w:gridSpan w:val="2"/>
            <w:tcBorders>
              <w:top w:val="nil"/>
              <w:left w:val="nil"/>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（七）总计</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2</w:t>
            </w: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2</w:t>
            </w:r>
          </w:p>
        </w:tc>
      </w:tr>
      <w:tr>
        <w:tblPrEx>
          <w:tblCellMar>
            <w:top w:w="15" w:type="dxa"/>
            <w:left w:w="15" w:type="dxa"/>
            <w:bottom w:w="15" w:type="dxa"/>
            <w:right w:w="15" w:type="dxa"/>
          </w:tblCellMar>
        </w:tblPrEx>
        <w:trPr>
          <w:wBefore w:w="0" w:type="auto"/>
        </w:trPr>
        <w:tc>
          <w:tcPr>
            <w:tcW w:w="4586" w:type="dxa"/>
            <w:gridSpan w:val="3"/>
            <w:tcBorders>
              <w:top w:val="nil"/>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hint="eastAsia" w:ascii="宋体" w:hAnsi="宋体" w:cs="Arial"/>
                <w:kern w:val="0"/>
                <w:sz w:val="22"/>
                <w:szCs w:val="22"/>
              </w:rPr>
              <w:t>四、结转下年度继续办理</w:t>
            </w:r>
          </w:p>
        </w:tc>
        <w:tc>
          <w:tcPr>
            <w:tcW w:w="52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0</w:t>
            </w: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0</w:t>
            </w:r>
          </w:p>
        </w:tc>
        <w:tc>
          <w:tcPr>
            <w:tcW w:w="76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0</w:t>
            </w:r>
          </w:p>
        </w:tc>
        <w:tc>
          <w:tcPr>
            <w:tcW w:w="75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0</w:t>
            </w: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0</w:t>
            </w:r>
          </w:p>
        </w:tc>
        <w:tc>
          <w:tcPr>
            <w:tcW w:w="48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0</w:t>
            </w:r>
          </w:p>
        </w:tc>
        <w:tc>
          <w:tcPr>
            <w:tcW w:w="675"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kern w:val="0"/>
                <w:sz w:val="22"/>
                <w:szCs w:val="22"/>
              </w:rPr>
            </w:pPr>
            <w:r>
              <w:rPr>
                <w:rFonts w:ascii="宋体" w:hAnsi="宋体" w:cs="Arial"/>
                <w:kern w:val="0"/>
                <w:sz w:val="22"/>
                <w:szCs w:val="22"/>
              </w:rPr>
              <w:t>0</w:t>
            </w:r>
          </w:p>
        </w:tc>
      </w:tr>
    </w:tbl>
    <w:p>
      <w:pPr>
        <w:widowControl/>
        <w:spacing w:before="68"/>
        <w:ind w:firstLine="584"/>
        <w:jc w:val="left"/>
        <w:rPr>
          <w:rFonts w:ascii="Arial" w:hAnsi="Arial" w:cs="Arial"/>
          <w:kern w:val="0"/>
          <w:sz w:val="22"/>
          <w:szCs w:val="22"/>
        </w:rPr>
      </w:pPr>
      <w:r>
        <w:rPr>
          <w:rFonts w:hint="eastAsia" w:ascii="黑体" w:hAnsi="黑体" w:eastAsia="黑体" w:cs="Arial"/>
          <w:kern w:val="0"/>
          <w:sz w:val="29"/>
          <w:szCs w:val="29"/>
        </w:rPr>
        <w:t>四、政府信息公开行政复议、行政诉讼情况</w:t>
      </w:r>
    </w:p>
    <w:tbl>
      <w:tblPr>
        <w:tblStyle w:val="3"/>
        <w:tblW w:w="0" w:type="auto"/>
        <w:tblInd w:w="0" w:type="dxa"/>
        <w:tblLayout w:type="autofit"/>
        <w:tblCellMar>
          <w:top w:w="15" w:type="dxa"/>
          <w:left w:w="15" w:type="dxa"/>
          <w:bottom w:w="15" w:type="dxa"/>
          <w:right w:w="15" w:type="dxa"/>
        </w:tblCellMar>
      </w:tblPr>
      <w:tblGrid>
        <w:gridCol w:w="643"/>
        <w:gridCol w:w="643"/>
        <w:gridCol w:w="643"/>
        <w:gridCol w:w="619"/>
        <w:gridCol w:w="560"/>
        <w:gridCol w:w="643"/>
        <w:gridCol w:w="643"/>
        <w:gridCol w:w="643"/>
        <w:gridCol w:w="643"/>
        <w:gridCol w:w="410"/>
        <w:gridCol w:w="762"/>
        <w:gridCol w:w="714"/>
        <w:gridCol w:w="690"/>
        <w:gridCol w:w="643"/>
        <w:gridCol w:w="419"/>
      </w:tblGrid>
      <w:tr>
        <w:tblPrEx>
          <w:tblCellMar>
            <w:top w:w="15" w:type="dxa"/>
            <w:left w:w="15" w:type="dxa"/>
            <w:bottom w:w="15" w:type="dxa"/>
            <w:right w:w="15" w:type="dxa"/>
          </w:tblCellMar>
        </w:tblPrEx>
        <w:trPr>
          <w:wBefore w:w="0" w:type="auto"/>
          <w:trHeight w:val="421" w:hRule="atLeast"/>
        </w:trPr>
        <w:tc>
          <w:tcPr>
            <w:tcW w:w="3108" w:type="dxa"/>
            <w:gridSpan w:val="5"/>
            <w:tcBorders>
              <w:top w:val="single" w:color="auto" w:sz="6" w:space="0"/>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行政复议</w:t>
            </w:r>
          </w:p>
        </w:tc>
        <w:tc>
          <w:tcPr>
            <w:tcW w:w="6210" w:type="dxa"/>
            <w:gridSpan w:val="10"/>
            <w:tcBorders>
              <w:top w:val="single" w:color="auto" w:sz="6" w:space="0"/>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行政诉讼</w:t>
            </w:r>
          </w:p>
        </w:tc>
      </w:tr>
      <w:tr>
        <w:tblPrEx>
          <w:tblCellMar>
            <w:top w:w="15" w:type="dxa"/>
            <w:left w:w="15" w:type="dxa"/>
            <w:bottom w:w="15" w:type="dxa"/>
            <w:right w:w="15" w:type="dxa"/>
          </w:tblCellMar>
        </w:tblPrEx>
        <w:trPr>
          <w:wBefore w:w="0" w:type="auto"/>
          <w:trHeight w:val="516" w:hRule="atLeast"/>
        </w:trPr>
        <w:tc>
          <w:tcPr>
            <w:tcW w:w="643" w:type="dxa"/>
            <w:vMerge w:val="restart"/>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结果维持</w:t>
            </w:r>
          </w:p>
        </w:tc>
        <w:tc>
          <w:tcPr>
            <w:tcW w:w="643" w:type="dxa"/>
            <w:vMerge w:val="restart"/>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结果纠正</w:t>
            </w:r>
          </w:p>
        </w:tc>
        <w:tc>
          <w:tcPr>
            <w:tcW w:w="643" w:type="dxa"/>
            <w:vMerge w:val="restart"/>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其他结果</w:t>
            </w:r>
          </w:p>
        </w:tc>
        <w:tc>
          <w:tcPr>
            <w:tcW w:w="619" w:type="dxa"/>
            <w:vMerge w:val="restart"/>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尚未审结</w:t>
            </w:r>
          </w:p>
        </w:tc>
        <w:tc>
          <w:tcPr>
            <w:tcW w:w="560" w:type="dxa"/>
            <w:vMerge w:val="restart"/>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总计</w:t>
            </w:r>
          </w:p>
        </w:tc>
        <w:tc>
          <w:tcPr>
            <w:tcW w:w="2982" w:type="dxa"/>
            <w:gridSpan w:val="5"/>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未经复议直接起诉</w:t>
            </w:r>
          </w:p>
        </w:tc>
        <w:tc>
          <w:tcPr>
            <w:tcW w:w="3228" w:type="dxa"/>
            <w:gridSpan w:val="5"/>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复议后起诉</w:t>
            </w:r>
          </w:p>
        </w:tc>
      </w:tr>
      <w:tr>
        <w:tblPrEx>
          <w:tblCellMar>
            <w:top w:w="15" w:type="dxa"/>
            <w:left w:w="15" w:type="dxa"/>
            <w:bottom w:w="15" w:type="dxa"/>
            <w:right w:w="15" w:type="dxa"/>
          </w:tblCellMar>
        </w:tblPrEx>
        <w:trPr>
          <w:wBefore w:w="0" w:type="auto"/>
        </w:trPr>
        <w:tc>
          <w:tcPr>
            <w:tcW w:w="0" w:type="auto"/>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jc w:val="center"/>
              <w:rPr>
                <w:rFonts w:ascii="宋体" w:hAnsi="宋体" w:cs="Arial"/>
                <w:kern w:val="0"/>
                <w:sz w:val="22"/>
                <w:szCs w:val="22"/>
              </w:rPr>
            </w:pPr>
          </w:p>
        </w:tc>
        <w:tc>
          <w:tcPr>
            <w:tcW w:w="0" w:type="auto"/>
            <w:vMerge w:val="continue"/>
            <w:tcBorders>
              <w:top w:val="nil"/>
              <w:left w:val="nil"/>
              <w:bottom w:val="single" w:color="auto" w:sz="6" w:space="0"/>
              <w:right w:val="single" w:color="auto" w:sz="6" w:space="0"/>
            </w:tcBorders>
            <w:shd w:val="clear" w:color="auto" w:fill="auto"/>
            <w:noWrap w:val="0"/>
            <w:vAlign w:val="center"/>
          </w:tcPr>
          <w:p>
            <w:pPr>
              <w:widowControl/>
              <w:jc w:val="center"/>
              <w:rPr>
                <w:rFonts w:ascii="宋体" w:hAnsi="宋体" w:cs="Arial"/>
                <w:kern w:val="0"/>
                <w:sz w:val="22"/>
                <w:szCs w:val="22"/>
              </w:rPr>
            </w:pPr>
          </w:p>
        </w:tc>
        <w:tc>
          <w:tcPr>
            <w:tcW w:w="643" w:type="dxa"/>
            <w:vMerge w:val="continue"/>
            <w:tcBorders>
              <w:top w:val="nil"/>
              <w:left w:val="nil"/>
              <w:bottom w:val="single" w:color="auto" w:sz="6" w:space="0"/>
              <w:right w:val="single" w:color="auto" w:sz="6" w:space="0"/>
            </w:tcBorders>
            <w:shd w:val="clear" w:color="auto" w:fill="auto"/>
            <w:noWrap w:val="0"/>
            <w:vAlign w:val="center"/>
          </w:tcPr>
          <w:p>
            <w:pPr>
              <w:widowControl/>
              <w:jc w:val="center"/>
              <w:rPr>
                <w:rFonts w:ascii="宋体" w:hAnsi="宋体" w:cs="Arial"/>
                <w:kern w:val="0"/>
                <w:sz w:val="22"/>
                <w:szCs w:val="22"/>
              </w:rPr>
            </w:pPr>
          </w:p>
        </w:tc>
        <w:tc>
          <w:tcPr>
            <w:tcW w:w="619" w:type="dxa"/>
            <w:vMerge w:val="continue"/>
            <w:tcBorders>
              <w:top w:val="nil"/>
              <w:left w:val="nil"/>
              <w:bottom w:val="single" w:color="auto" w:sz="6" w:space="0"/>
              <w:right w:val="single" w:color="auto" w:sz="6" w:space="0"/>
            </w:tcBorders>
            <w:shd w:val="clear" w:color="auto" w:fill="auto"/>
            <w:noWrap w:val="0"/>
            <w:vAlign w:val="center"/>
          </w:tcPr>
          <w:p>
            <w:pPr>
              <w:widowControl/>
              <w:jc w:val="center"/>
              <w:rPr>
                <w:rFonts w:ascii="宋体" w:hAnsi="宋体" w:cs="Arial"/>
                <w:kern w:val="0"/>
                <w:sz w:val="22"/>
                <w:szCs w:val="22"/>
              </w:rPr>
            </w:pPr>
          </w:p>
        </w:tc>
        <w:tc>
          <w:tcPr>
            <w:tcW w:w="0" w:type="auto"/>
            <w:vMerge w:val="continue"/>
            <w:tcBorders>
              <w:top w:val="nil"/>
              <w:left w:val="nil"/>
              <w:bottom w:val="single" w:color="auto" w:sz="6" w:space="0"/>
              <w:right w:val="single" w:color="auto" w:sz="6" w:space="0"/>
            </w:tcBorders>
            <w:shd w:val="clear" w:color="auto" w:fill="auto"/>
            <w:noWrap w:val="0"/>
            <w:vAlign w:val="center"/>
          </w:tcPr>
          <w:p>
            <w:pPr>
              <w:widowControl/>
              <w:jc w:val="center"/>
              <w:rPr>
                <w:rFonts w:ascii="宋体" w:hAnsi="宋体" w:cs="Arial"/>
                <w:kern w:val="0"/>
                <w:sz w:val="22"/>
                <w:szCs w:val="22"/>
              </w:rPr>
            </w:pP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结果维持</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结果纠正</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其他结果</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尚未审结</w:t>
            </w:r>
          </w:p>
        </w:tc>
        <w:tc>
          <w:tcPr>
            <w:tcW w:w="41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总计</w:t>
            </w:r>
          </w:p>
        </w:tc>
        <w:tc>
          <w:tcPr>
            <w:tcW w:w="762"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结果维持</w:t>
            </w:r>
          </w:p>
        </w:tc>
        <w:tc>
          <w:tcPr>
            <w:tcW w:w="714"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结果纠正</w:t>
            </w:r>
          </w:p>
        </w:tc>
        <w:tc>
          <w:tcPr>
            <w:tcW w:w="69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其他结果</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尚未审结</w:t>
            </w:r>
          </w:p>
        </w:tc>
        <w:tc>
          <w:tcPr>
            <w:tcW w:w="419"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hint="eastAsia" w:ascii="宋体" w:hAnsi="宋体" w:cs="Arial"/>
                <w:kern w:val="0"/>
                <w:sz w:val="22"/>
                <w:szCs w:val="22"/>
              </w:rPr>
              <w:t>总计</w:t>
            </w:r>
          </w:p>
        </w:tc>
      </w:tr>
      <w:tr>
        <w:tblPrEx>
          <w:tblCellMar>
            <w:top w:w="15" w:type="dxa"/>
            <w:left w:w="15" w:type="dxa"/>
            <w:bottom w:w="15" w:type="dxa"/>
            <w:right w:w="15" w:type="dxa"/>
          </w:tblCellMar>
        </w:tblPrEx>
        <w:trPr>
          <w:wBefore w:w="0" w:type="auto"/>
          <w:trHeight w:val="516" w:hRule="atLeast"/>
        </w:trPr>
        <w:tc>
          <w:tcPr>
            <w:tcW w:w="643" w:type="dxa"/>
            <w:tcBorders>
              <w:top w:val="nil"/>
              <w:left w:val="single" w:color="auto" w:sz="6" w:space="0"/>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619"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56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41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762"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714"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690"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643"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c>
          <w:tcPr>
            <w:tcW w:w="419" w:type="dxa"/>
            <w:tcBorders>
              <w:top w:val="nil"/>
              <w:left w:val="nil"/>
              <w:bottom w:val="single" w:color="auto" w:sz="6" w:space="0"/>
              <w:right w:val="single" w:color="auto" w:sz="6" w:space="0"/>
            </w:tcBorders>
            <w:shd w:val="clear" w:color="auto" w:fill="auto"/>
            <w:noWrap w:val="0"/>
            <w:tcMar>
              <w:top w:w="0" w:type="dxa"/>
              <w:left w:w="95" w:type="dxa"/>
              <w:bottom w:w="0" w:type="dxa"/>
              <w:right w:w="95" w:type="dxa"/>
            </w:tcMar>
            <w:vAlign w:val="center"/>
          </w:tcPr>
          <w:p>
            <w:pPr>
              <w:widowControl/>
              <w:jc w:val="center"/>
              <w:rPr>
                <w:rFonts w:ascii="宋体" w:hAnsi="宋体" w:cs="Arial"/>
                <w:kern w:val="0"/>
                <w:sz w:val="22"/>
                <w:szCs w:val="22"/>
              </w:rPr>
            </w:pPr>
            <w:r>
              <w:rPr>
                <w:rFonts w:ascii="宋体" w:hAnsi="宋体" w:cs="Arial"/>
                <w:kern w:val="0"/>
                <w:sz w:val="22"/>
                <w:szCs w:val="22"/>
              </w:rPr>
              <w:t>0</w:t>
            </w:r>
          </w:p>
        </w:tc>
      </w:tr>
    </w:tbl>
    <w:p>
      <w:pPr>
        <w:widowControl/>
        <w:spacing w:before="68" w:after="68"/>
        <w:ind w:firstLine="584"/>
        <w:jc w:val="left"/>
        <w:rPr>
          <w:rFonts w:ascii="Arial" w:hAnsi="Arial" w:cs="Arial"/>
          <w:kern w:val="0"/>
          <w:sz w:val="22"/>
          <w:szCs w:val="22"/>
        </w:rPr>
      </w:pPr>
      <w:r>
        <w:rPr>
          <w:rFonts w:hint="eastAsia" w:ascii="黑体" w:hAnsi="黑体" w:eastAsia="黑体" w:cs="Arial"/>
          <w:kern w:val="0"/>
          <w:sz w:val="29"/>
          <w:szCs w:val="29"/>
        </w:rPr>
        <w:t>五、存在的主要问题及改进情况</w:t>
      </w:r>
    </w:p>
    <w:p>
      <w:pPr>
        <w:widowControl/>
        <w:spacing w:before="68" w:after="68"/>
        <w:ind w:firstLine="584"/>
        <w:jc w:val="left"/>
        <w:rPr>
          <w:rFonts w:ascii="Arial" w:hAnsi="Arial" w:cs="Arial"/>
          <w:kern w:val="0"/>
          <w:sz w:val="32"/>
          <w:szCs w:val="32"/>
        </w:rPr>
      </w:pPr>
      <w:r>
        <w:rPr>
          <w:rFonts w:hint="eastAsia" w:ascii="仿宋_GB2312" w:hAnsi="Arial" w:eastAsia="仿宋_GB2312" w:cs="Arial"/>
          <w:kern w:val="0"/>
          <w:sz w:val="32"/>
          <w:szCs w:val="32"/>
        </w:rPr>
        <w:t>2019年,通过我局全体工作人员的共同努力,政务信息公开工作取得良好的成绩,赢得公众对政府工作的肯定。但也还存在工作人员对《条例》的认识还有待提高；信息公开机制有待进一步完善，内容有待进一步深化，形式有待进一步拓展；主动公开政府信息的及时性有待进一步加强的问题。2020年,我局将继续做好做实政务信息公开工作,把该项工作作为我局重点任务来抓,不断加大政务信息公开的力度,保障公民的合法权益。同时,我们热情欢迎公众对</w:t>
      </w:r>
      <w:bookmarkStart w:id="0" w:name="_GoBack"/>
      <w:r>
        <w:rPr>
          <w:rFonts w:hint="eastAsia" w:ascii="仿宋_GB2312" w:hAnsi="Arial" w:eastAsia="仿宋_GB2312" w:cs="Arial"/>
          <w:kern w:val="0"/>
          <w:sz w:val="32"/>
          <w:szCs w:val="32"/>
        </w:rPr>
        <w:t>我局政务信息公开工作提出宝贵的意见,以不断提升我局的政务信</w:t>
      </w:r>
      <w:bookmarkEnd w:id="0"/>
      <w:r>
        <w:rPr>
          <w:rFonts w:hint="eastAsia" w:ascii="仿宋_GB2312" w:hAnsi="Arial" w:eastAsia="仿宋_GB2312" w:cs="Arial"/>
          <w:kern w:val="0"/>
          <w:sz w:val="32"/>
          <w:szCs w:val="32"/>
        </w:rPr>
        <w:t>息公开服务水平。</w:t>
      </w:r>
    </w:p>
    <w:p>
      <w:pPr>
        <w:widowControl/>
        <w:spacing w:before="68" w:after="68"/>
        <w:ind w:firstLine="584"/>
        <w:jc w:val="left"/>
        <w:rPr>
          <w:rFonts w:ascii="Arial" w:hAnsi="Arial" w:cs="Arial"/>
          <w:kern w:val="0"/>
          <w:sz w:val="22"/>
          <w:szCs w:val="22"/>
        </w:rPr>
      </w:pPr>
      <w:r>
        <w:rPr>
          <w:rFonts w:hint="eastAsia" w:ascii="黑体" w:hAnsi="黑体" w:eastAsia="黑体" w:cs="Arial"/>
          <w:kern w:val="0"/>
          <w:sz w:val="29"/>
          <w:szCs w:val="29"/>
        </w:rPr>
        <w:t>六、其他需要报告的事项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2019年度我局没有其他需要报告的事项。</w:t>
      </w:r>
    </w:p>
    <w:p>
      <w:pPr>
        <w:widowControl/>
        <w:spacing w:before="68" w:after="68"/>
        <w:ind w:firstLine="584"/>
        <w:jc w:val="left"/>
        <w:rPr>
          <w:rFonts w:ascii="Arial" w:hAnsi="Arial" w:cs="Arial"/>
          <w:kern w:val="0"/>
          <w:sz w:val="22"/>
          <w:szCs w:val="22"/>
        </w:rPr>
      </w:pPr>
      <w:r>
        <w:rPr>
          <w:rFonts w:hint="eastAsia" w:ascii="仿宋_GB2312" w:hAnsi="Arial" w:eastAsia="仿宋_GB2312" w:cs="Arial"/>
          <w:kern w:val="0"/>
          <w:sz w:val="29"/>
          <w:szCs w:val="29"/>
        </w:rPr>
        <w:t> </w:t>
      </w:r>
    </w:p>
    <w:p>
      <w:pPr>
        <w:widowControl/>
        <w:spacing w:before="68" w:after="68"/>
        <w:ind w:right="145" w:firstLine="584"/>
        <w:jc w:val="right"/>
        <w:rPr>
          <w:rFonts w:ascii="Arial" w:hAnsi="Arial" w:cs="Arial"/>
          <w:kern w:val="0"/>
          <w:sz w:val="32"/>
          <w:szCs w:val="32"/>
        </w:rPr>
      </w:pPr>
      <w:r>
        <w:rPr>
          <w:rFonts w:hint="eastAsia" w:ascii="仿宋_GB2312" w:hAnsi="Arial" w:eastAsia="仿宋_GB2312" w:cs="Arial"/>
          <w:kern w:val="0"/>
          <w:sz w:val="32"/>
          <w:szCs w:val="32"/>
        </w:rPr>
        <w:t>临淄区统计局</w:t>
      </w:r>
    </w:p>
    <w:p>
      <w:pPr>
        <w:widowControl/>
        <w:spacing w:before="68" w:after="68"/>
        <w:ind w:firstLine="584"/>
        <w:jc w:val="right"/>
        <w:rPr>
          <w:rFonts w:ascii="Arial" w:hAnsi="Arial" w:cs="Arial"/>
          <w:kern w:val="0"/>
          <w:sz w:val="32"/>
          <w:szCs w:val="32"/>
        </w:rPr>
      </w:pPr>
      <w:r>
        <w:rPr>
          <w:rFonts w:hint="eastAsia" w:ascii="仿宋_GB2312" w:hAnsi="Arial" w:eastAsia="仿宋_GB2312" w:cs="Arial"/>
          <w:kern w:val="0"/>
          <w:sz w:val="32"/>
          <w:szCs w:val="32"/>
        </w:rPr>
        <w:t>2020年1月22日</w:t>
      </w:r>
    </w:p>
    <w:p>
      <w:pPr>
        <w:widowControl/>
        <w:spacing w:before="68"/>
        <w:jc w:val="left"/>
        <w:rPr>
          <w:rFonts w:ascii="Arial" w:hAnsi="Arial" w:cs="Arial"/>
          <w:kern w:val="0"/>
          <w:sz w:val="22"/>
          <w:szCs w:val="22"/>
        </w:rPr>
      </w:pPr>
      <w:r>
        <w:rPr>
          <w:rFonts w:ascii="Arial" w:hAnsi="Arial" w:cs="Arial"/>
          <w:kern w:val="0"/>
          <w:sz w:val="22"/>
          <w:szCs w:val="22"/>
        </w:rPr>
        <w:t> </w:t>
      </w:r>
    </w:p>
    <w:p/>
    <w:sectPr>
      <w:pgSz w:w="11906" w:h="16838"/>
      <w:pgMar w:top="2154" w:right="1361"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B9"/>
    <w:rsid w:val="001A0B31"/>
    <w:rsid w:val="00410AC0"/>
    <w:rsid w:val="00E740F5"/>
    <w:rsid w:val="00EF6163"/>
    <w:rsid w:val="00F627B9"/>
    <w:rsid w:val="03FA2600"/>
    <w:rsid w:val="33A87E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styleId="2">
    <w:name w:val="Normal (Web)"/>
    <w:basedOn w:val="1"/>
    <w:uiPriority w:val="0"/>
    <w:pPr>
      <w:widowControl/>
      <w:spacing w:before="68" w:after="68"/>
      <w:jc w:val="left"/>
    </w:pPr>
    <w:rPr>
      <w:rFonts w:ascii="宋体" w:hAnsi="宋体" w:cs="宋体"/>
      <w:kern w:val="0"/>
      <w:sz w:val="24"/>
    </w:rPr>
  </w:style>
  <w:style w:type="character" w:styleId="5">
    <w:name w:val="Strong"/>
    <w:basedOn w:val="4"/>
    <w:uiPriority w:val="0"/>
    <w:rPr>
      <w:b/>
      <w:b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D3EB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369</Words>
  <Characters>2108</Characters>
  <Lines>17</Lines>
  <Paragraphs>4</Paragraphs>
  <TotalTime>8</TotalTime>
  <ScaleCrop>false</ScaleCrop>
  <LinksUpToDate>false</LinksUpToDate>
  <CharactersWithSpaces>2473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2020-04-20T07:34:00Z</dcterms:created>
  <dc:creator>统计局管理员</dc:creator>
  <cp:lastModifiedBy>Administrator</cp:lastModifiedBy>
  <dcterms:modified xsi:type="dcterms:W3CDTF">2020-04-20T08:47:34Z</dcterms:modified>
  <dc:title>临淄区统计局2019年政府信息公开工作年度报告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