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640" w:lineRule="exact"/>
        <w:jc w:val="center"/>
        <w:textAlignment w:val="auto"/>
        <w:rPr>
          <w:rFonts w:hint="eastAsia" w:ascii="宋体" w:hAnsi="宋体" w:eastAsia="宋体" w:cs="宋体"/>
          <w:b w:val="0"/>
          <w:bCs w:val="0"/>
          <w:spacing w:val="2"/>
          <w:sz w:val="41"/>
          <w:szCs w:val="41"/>
          <w:lang w:eastAsia="zh-CN"/>
        </w:rPr>
      </w:pPr>
      <w:r>
        <w:rPr>
          <w:rFonts w:hint="eastAsia" w:ascii="方正小标宋简体" w:hAnsi="方正小标宋简体" w:eastAsia="方正小标宋简体" w:cs="方正小标宋简体"/>
          <w:b w:val="0"/>
          <w:bCs w:val="0"/>
          <w:spacing w:val="2"/>
          <w:sz w:val="44"/>
          <w:szCs w:val="44"/>
          <w:lang w:eastAsia="zh-CN"/>
        </w:rPr>
        <w:t>临淄区统计局</w:t>
      </w:r>
    </w:p>
    <w:p>
      <w:pPr>
        <w:keepNext w:val="0"/>
        <w:keepLines w:val="0"/>
        <w:widowControl/>
        <w:suppressLineNumbers w:val="0"/>
        <w:jc w:val="center"/>
        <w:rPr>
          <w:rFonts w:ascii="宋体" w:hAnsi="宋体" w:eastAsia="宋体" w:cs="宋体"/>
          <w:sz w:val="41"/>
          <w:szCs w:val="41"/>
        </w:rPr>
      </w:pPr>
      <w:r>
        <w:rPr>
          <w:rFonts w:ascii="方正小标宋简体" w:hAnsi="方正小标宋简体" w:eastAsia="方正小标宋简体" w:cs="方正小标宋简体"/>
          <w:snapToGrid w:val="0"/>
          <w:color w:val="000000"/>
          <w:kern w:val="0"/>
          <w:sz w:val="43"/>
          <w:szCs w:val="43"/>
          <w:lang w:val="en-US" w:eastAsia="zh-CN" w:bidi="ar"/>
        </w:rPr>
        <w:t>2023 年政府信息公开工作年度报告</w:t>
      </w:r>
    </w:p>
    <w:p>
      <w:pPr>
        <w:spacing w:line="404" w:lineRule="auto"/>
        <w:rPr>
          <w:rFonts w:ascii="Arial"/>
          <w:sz w:val="21"/>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snapToGrid/>
          <w:color w:val="000000"/>
          <w:kern w:val="0"/>
          <w:sz w:val="32"/>
          <w:szCs w:val="32"/>
          <w:shd w:val="clear" w:color="auto" w:fill="FFFFFF"/>
          <w:lang w:val="en-US" w:eastAsia="zh-CN" w:bidi="ar-SA"/>
        </w:rPr>
      </w:pPr>
      <w:r>
        <w:rPr>
          <w:rFonts w:hint="eastAsia" w:ascii="仿宋_GB2312" w:hAnsi="宋体" w:eastAsia="仿宋_GB2312" w:cs="宋体"/>
          <w:snapToGrid/>
          <w:color w:val="000000"/>
          <w:kern w:val="0"/>
          <w:sz w:val="32"/>
          <w:szCs w:val="32"/>
          <w:shd w:val="clear" w:color="auto" w:fill="FFFFFF"/>
          <w:lang w:val="en-US" w:eastAsia="zh-CN" w:bidi="ar-SA"/>
        </w:rPr>
        <w:t>本报告按照《国务院办公厅政府信息与政务公开办公室关于印发&lt;中华人民共和国政府信息公开工作年度报告格式&gt;的通知》(国办公开办函〔20</w:t>
      </w:r>
      <w:r>
        <w:rPr>
          <w:rFonts w:hint="default" w:ascii="仿宋_GB2312" w:hAnsi="宋体" w:eastAsia="仿宋_GB2312" w:cs="宋体"/>
          <w:snapToGrid/>
          <w:color w:val="000000"/>
          <w:kern w:val="0"/>
          <w:sz w:val="32"/>
          <w:szCs w:val="32"/>
          <w:shd w:val="clear" w:color="auto" w:fill="FFFFFF"/>
          <w:lang w:val="en-US" w:eastAsia="zh-CN" w:bidi="ar-SA"/>
        </w:rPr>
        <w:t>21</w:t>
      </w:r>
      <w:r>
        <w:rPr>
          <w:rFonts w:hint="eastAsia" w:ascii="仿宋_GB2312" w:hAnsi="宋体" w:eastAsia="仿宋_GB2312" w:cs="宋体"/>
          <w:snapToGrid/>
          <w:color w:val="000000"/>
          <w:kern w:val="0"/>
          <w:sz w:val="32"/>
          <w:szCs w:val="32"/>
          <w:shd w:val="clear" w:color="auto" w:fill="FFFFFF"/>
          <w:lang w:val="en-US" w:eastAsia="zh-CN" w:bidi="ar-SA"/>
        </w:rPr>
        <w:t>〕</w:t>
      </w:r>
      <w:r>
        <w:rPr>
          <w:rFonts w:hint="default" w:ascii="仿宋_GB2312" w:hAnsi="宋体" w:eastAsia="仿宋_GB2312" w:cs="宋体"/>
          <w:snapToGrid/>
          <w:color w:val="000000"/>
          <w:kern w:val="0"/>
          <w:sz w:val="32"/>
          <w:szCs w:val="32"/>
          <w:shd w:val="clear" w:color="auto" w:fill="FFFFFF"/>
          <w:lang w:val="en-US" w:eastAsia="zh-CN" w:bidi="ar-SA"/>
        </w:rPr>
        <w:t>3</w:t>
      </w:r>
      <w:r>
        <w:rPr>
          <w:rFonts w:hint="eastAsia" w:ascii="仿宋_GB2312" w:hAnsi="宋体" w:eastAsia="仿宋_GB2312" w:cs="宋体"/>
          <w:snapToGrid/>
          <w:color w:val="000000"/>
          <w:kern w:val="0"/>
          <w:sz w:val="32"/>
          <w:szCs w:val="32"/>
          <w:shd w:val="clear" w:color="auto" w:fill="FFFFFF"/>
          <w:lang w:val="en-US" w:eastAsia="zh-CN" w:bidi="ar-SA"/>
        </w:rPr>
        <w:t>0号)和《中华人民共和国政府信息公开条例》要求编制，全文包括总体情况、主动公开政府信息情况、收到和处理政府信息公开申请情况、政府信息公开行政复议、行政诉讼情况、存在的主要问题及改进情况、其他需要报告的事项。</w:t>
      </w:r>
      <w:r>
        <w:rPr>
          <w:rFonts w:hint="default" w:ascii="仿宋_GB2312" w:hAnsi="宋体" w:eastAsia="仿宋_GB2312" w:cs="宋体"/>
          <w:snapToGrid/>
          <w:color w:val="000000"/>
          <w:kern w:val="0"/>
          <w:sz w:val="32"/>
          <w:szCs w:val="32"/>
          <w:shd w:val="clear" w:color="auto" w:fill="FFFFFF"/>
          <w:lang w:val="en-US" w:eastAsia="zh-CN" w:bidi="ar-SA"/>
        </w:rPr>
        <w:t>本年度报告中所列数据统计期限从</w:t>
      </w:r>
      <w:r>
        <w:rPr>
          <w:rFonts w:hint="eastAsia" w:ascii="仿宋_GB2312" w:hAnsi="宋体" w:eastAsia="仿宋_GB2312" w:cs="宋体"/>
          <w:snapToGrid/>
          <w:color w:val="000000"/>
          <w:kern w:val="0"/>
          <w:sz w:val="32"/>
          <w:szCs w:val="32"/>
          <w:shd w:val="clear" w:color="auto" w:fill="FFFFFF"/>
          <w:lang w:val="en-US" w:eastAsia="zh-CN" w:bidi="ar-SA"/>
        </w:rPr>
        <w:t>2023年1月1日起，至2023年12月31日止。如对报告内容有疑问，请与临淄区统计局办公室联系（地址：临淄区广场路1号；邮编：255400；电话：0533-7211564；邮箱：</w:t>
      </w:r>
      <w:r>
        <w:rPr>
          <w:rFonts w:hint="eastAsia" w:ascii="仿宋_GB2312" w:hAnsi="宋体" w:eastAsia="仿宋_GB2312" w:cs="宋体"/>
          <w:snapToGrid/>
          <w:color w:val="000000"/>
          <w:kern w:val="0"/>
          <w:sz w:val="32"/>
          <w:szCs w:val="32"/>
          <w:shd w:val="clear" w:color="auto" w:fill="FFFFFF"/>
          <w:lang w:val="zh-CN" w:eastAsia="zh-CN" w:bidi="ar-SA"/>
        </w:rPr>
        <w:t>lzqtjjbgss</w:t>
      </w:r>
      <w:r>
        <w:rPr>
          <w:rFonts w:hint="eastAsia" w:ascii="仿宋_GB2312" w:hAnsi="宋体" w:eastAsia="仿宋_GB2312" w:cs="宋体"/>
          <w:snapToGrid/>
          <w:color w:val="000000"/>
          <w:kern w:val="0"/>
          <w:sz w:val="32"/>
          <w:szCs w:val="32"/>
          <w:shd w:val="clear" w:color="auto" w:fill="FFFFFF"/>
          <w:lang w:val="en-US" w:eastAsia="zh-CN" w:bidi="ar-SA"/>
        </w:rPr>
        <w:t>@zb.shandong.cn）</w:t>
      </w:r>
    </w:p>
    <w:p>
      <w:pPr>
        <w:spacing w:before="101" w:line="223" w:lineRule="auto"/>
        <w:ind w:left="640"/>
        <w:outlineLvl w:val="0"/>
        <w:rPr>
          <w:rFonts w:ascii="黑体" w:hAnsi="黑体" w:eastAsia="黑体" w:cs="黑体"/>
          <w:b w:val="0"/>
          <w:bCs w:val="0"/>
          <w:sz w:val="31"/>
          <w:szCs w:val="31"/>
        </w:rPr>
      </w:pPr>
      <w:r>
        <w:rPr>
          <w:rFonts w:ascii="黑体" w:hAnsi="黑体" w:eastAsia="黑体" w:cs="黑体"/>
          <w:b w:val="0"/>
          <w:bCs w:val="0"/>
          <w:spacing w:val="2"/>
          <w:sz w:val="31"/>
          <w:szCs w:val="31"/>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snapToGrid/>
          <w:color w:val="000000"/>
          <w:kern w:val="0"/>
          <w:sz w:val="32"/>
          <w:szCs w:val="32"/>
          <w:shd w:val="clear" w:color="auto" w:fill="FFFFFF"/>
          <w:lang w:val="en-US" w:eastAsia="zh-CN" w:bidi="ar-SA"/>
        </w:rPr>
      </w:pPr>
      <w:r>
        <w:rPr>
          <w:rFonts w:hint="default" w:ascii="仿宋_GB2312" w:hAnsi="宋体" w:eastAsia="仿宋_GB2312" w:cs="宋体"/>
          <w:snapToGrid/>
          <w:color w:val="000000"/>
          <w:kern w:val="0"/>
          <w:sz w:val="32"/>
          <w:szCs w:val="32"/>
          <w:shd w:val="clear" w:color="auto" w:fill="FFFFFF"/>
          <w:lang w:val="en-US" w:eastAsia="zh-CN" w:bidi="ar-SA"/>
        </w:rPr>
        <w:t>202</w:t>
      </w:r>
      <w:r>
        <w:rPr>
          <w:rFonts w:hint="eastAsia" w:ascii="仿宋_GB2312" w:hAnsi="宋体" w:eastAsia="仿宋_GB2312" w:cs="宋体"/>
          <w:snapToGrid/>
          <w:color w:val="000000"/>
          <w:kern w:val="0"/>
          <w:sz w:val="32"/>
          <w:szCs w:val="32"/>
          <w:shd w:val="clear" w:color="auto" w:fill="FFFFFF"/>
          <w:lang w:val="en-US" w:eastAsia="zh-CN" w:bidi="ar-SA"/>
        </w:rPr>
        <w:t>3</w:t>
      </w:r>
      <w:r>
        <w:rPr>
          <w:rFonts w:hint="default" w:ascii="仿宋_GB2312" w:hAnsi="宋体" w:eastAsia="仿宋_GB2312" w:cs="宋体"/>
          <w:snapToGrid/>
          <w:color w:val="000000"/>
          <w:kern w:val="0"/>
          <w:sz w:val="32"/>
          <w:szCs w:val="32"/>
          <w:shd w:val="clear" w:color="auto" w:fill="FFFFFF"/>
          <w:lang w:val="en-US" w:eastAsia="zh-CN" w:bidi="ar-SA"/>
        </w:rPr>
        <w:t>年，</w:t>
      </w:r>
      <w:r>
        <w:rPr>
          <w:rFonts w:hint="eastAsia" w:ascii="仿宋_GB2312" w:hAnsi="宋体" w:eastAsia="仿宋_GB2312" w:cs="宋体"/>
          <w:snapToGrid/>
          <w:color w:val="000000"/>
          <w:kern w:val="0"/>
          <w:sz w:val="32"/>
          <w:szCs w:val="32"/>
          <w:shd w:val="clear" w:color="auto" w:fill="FFFFFF"/>
          <w:lang w:val="en-US" w:eastAsia="zh-CN" w:bidi="ar-SA"/>
        </w:rPr>
        <w:t>临淄区</w:t>
      </w:r>
      <w:r>
        <w:rPr>
          <w:rFonts w:hint="default" w:ascii="仿宋_GB2312" w:hAnsi="宋体" w:eastAsia="仿宋_GB2312" w:cs="宋体"/>
          <w:snapToGrid/>
          <w:color w:val="000000"/>
          <w:kern w:val="0"/>
          <w:sz w:val="32"/>
          <w:szCs w:val="32"/>
          <w:shd w:val="clear" w:color="auto" w:fill="FFFFFF"/>
          <w:lang w:val="en-US" w:eastAsia="zh-CN" w:bidi="ar-SA"/>
        </w:rPr>
        <w:t>统计局坚持以</w:t>
      </w:r>
      <w:r>
        <w:rPr>
          <w:rFonts w:hint="eastAsia" w:ascii="仿宋_GB2312" w:hAnsi="宋体" w:eastAsia="仿宋_GB2312" w:cs="宋体"/>
          <w:snapToGrid/>
          <w:color w:val="000000"/>
          <w:kern w:val="0"/>
          <w:sz w:val="32"/>
          <w:szCs w:val="32"/>
          <w:shd w:val="clear" w:color="auto" w:fill="FFFFFF"/>
          <w:lang w:val="en-US" w:eastAsia="zh-CN" w:bidi="ar-SA"/>
        </w:rPr>
        <w:t>《中华人民共和国政府信息公开条例》</w:t>
      </w:r>
      <w:r>
        <w:rPr>
          <w:rFonts w:hint="default" w:ascii="仿宋_GB2312" w:hAnsi="宋体" w:eastAsia="仿宋_GB2312" w:cs="宋体"/>
          <w:snapToGrid/>
          <w:color w:val="000000"/>
          <w:kern w:val="0"/>
          <w:sz w:val="32"/>
          <w:szCs w:val="32"/>
          <w:shd w:val="clear" w:color="auto" w:fill="FFFFFF"/>
          <w:lang w:val="en-US" w:eastAsia="zh-CN" w:bidi="ar-SA"/>
        </w:rPr>
        <w:t>和全</w:t>
      </w:r>
      <w:r>
        <w:rPr>
          <w:rFonts w:hint="eastAsia" w:ascii="仿宋_GB2312" w:hAnsi="宋体" w:eastAsia="仿宋_GB2312" w:cs="宋体"/>
          <w:snapToGrid/>
          <w:color w:val="000000"/>
          <w:kern w:val="0"/>
          <w:sz w:val="32"/>
          <w:szCs w:val="32"/>
          <w:shd w:val="clear" w:color="auto" w:fill="FFFFFF"/>
          <w:lang w:val="en-US" w:eastAsia="zh-CN" w:bidi="ar-SA"/>
        </w:rPr>
        <w:t>区</w:t>
      </w:r>
      <w:r>
        <w:rPr>
          <w:rFonts w:hint="default" w:ascii="仿宋_GB2312" w:hAnsi="宋体" w:eastAsia="仿宋_GB2312" w:cs="宋体"/>
          <w:snapToGrid/>
          <w:color w:val="000000"/>
          <w:kern w:val="0"/>
          <w:sz w:val="32"/>
          <w:szCs w:val="32"/>
          <w:shd w:val="clear" w:color="auto" w:fill="FFFFFF"/>
          <w:lang w:val="en-US" w:eastAsia="zh-CN" w:bidi="ar-SA"/>
        </w:rPr>
        <w:t>政务公开工作要点为指导，紧紧围绕统计中心工作，不断提升政务公开标准化、规范化水平，持续拓展公开的广度和深度，政务公开工作开展扎实有序。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napToGrid/>
          <w:color w:val="000000"/>
          <w:kern w:val="0"/>
          <w:sz w:val="32"/>
          <w:szCs w:val="32"/>
          <w:shd w:val="clear" w:color="auto" w:fill="FFFFFF"/>
          <w:lang w:val="en-US" w:eastAsia="zh-CN" w:bidi="ar-SA"/>
        </w:rPr>
      </w:pPr>
      <w:r>
        <w:rPr>
          <w:rFonts w:hint="eastAsia" w:ascii="楷体" w:hAnsi="楷体" w:eastAsia="楷体" w:cs="楷体"/>
          <w:snapToGrid/>
          <w:color w:val="000000"/>
          <w:kern w:val="0"/>
          <w:sz w:val="32"/>
          <w:szCs w:val="32"/>
          <w:shd w:val="clear" w:color="auto" w:fill="FFFFFF"/>
          <w:lang w:val="en-US" w:eastAsia="zh-CN" w:bidi="ar-SA"/>
        </w:rPr>
        <w:t>（一）主动公开信息情况。</w:t>
      </w:r>
      <w:r>
        <w:rPr>
          <w:rFonts w:hint="eastAsia" w:ascii="仿宋_GB2312" w:hAnsi="宋体" w:eastAsia="仿宋_GB2312" w:cs="宋体"/>
          <w:snapToGrid/>
          <w:color w:val="000000"/>
          <w:kern w:val="0"/>
          <w:sz w:val="32"/>
          <w:szCs w:val="32"/>
          <w:shd w:val="clear" w:color="auto" w:fill="FFFFFF"/>
          <w:lang w:val="en-US" w:eastAsia="zh-CN" w:bidi="ar-SA"/>
        </w:rPr>
        <w:t>一年来，临淄区统计局按照《中华人民共和国政府信息公开条例》第二十条、二十一条的规定，截至</w:t>
      </w:r>
      <w:r>
        <w:rPr>
          <w:rFonts w:hint="eastAsia" w:ascii="仿宋" w:hAnsi="仿宋" w:eastAsia="仿宋" w:cs="仿宋"/>
          <w:i w:val="0"/>
          <w:caps w:val="0"/>
          <w:color w:val="000000"/>
          <w:spacing w:val="0"/>
          <w:sz w:val="32"/>
          <w:szCs w:val="32"/>
          <w:shd w:val="clear" w:color="auto" w:fill="FFFFFF"/>
          <w:lang w:val="en-US" w:eastAsia="zh-CN"/>
        </w:rPr>
        <w:t>2023 年，区统计局</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政府门户网站发布信息</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条，</w:t>
      </w:r>
      <w:r>
        <w:rPr>
          <w:rFonts w:hint="eastAsia" w:ascii="仿宋" w:hAnsi="仿宋" w:eastAsia="仿宋" w:cs="仿宋"/>
          <w:i w:val="0"/>
          <w:caps w:val="0"/>
          <w:color w:val="000000"/>
          <w:spacing w:val="0"/>
          <w:sz w:val="32"/>
          <w:szCs w:val="32"/>
          <w:shd w:val="clear" w:color="auto" w:fill="FFFFFF"/>
          <w:lang w:val="en-US" w:eastAsia="zh-CN"/>
        </w:rPr>
        <w:t>其中业务工作8条、统计信息72</w:t>
      </w:r>
      <w:bookmarkStart w:id="0" w:name="_GoBack"/>
      <w:bookmarkEnd w:id="0"/>
      <w:r>
        <w:rPr>
          <w:rFonts w:hint="eastAsia" w:ascii="仿宋" w:hAnsi="仿宋" w:eastAsia="仿宋" w:cs="仿宋"/>
          <w:i w:val="0"/>
          <w:caps w:val="0"/>
          <w:color w:val="000000"/>
          <w:spacing w:val="0"/>
          <w:sz w:val="32"/>
          <w:szCs w:val="32"/>
          <w:shd w:val="clear" w:color="auto" w:fill="FFFFFF"/>
          <w:lang w:val="en-US" w:eastAsia="zh-CN"/>
        </w:rPr>
        <w:t>条、机构职能4条、政府信息公开指南1条、规划计划2条、政府会议17条、民生公益2条、财政信息6条、管理和服务公开12条、政府信息公开年度报告1条、主动公开基本目录1条、其他36条等。</w:t>
      </w:r>
    </w:p>
    <w:p>
      <w:pPr>
        <w:widowControl w:val="0"/>
        <w:numPr>
          <w:ilvl w:val="0"/>
          <w:numId w:val="0"/>
        </w:numPr>
        <w:spacing w:line="560" w:lineRule="exact"/>
        <w:ind w:firstLine="640" w:firstLineChars="200"/>
        <w:jc w:val="both"/>
        <w:rPr>
          <w:rFonts w:hint="default" w:ascii="仿宋" w:hAnsi="仿宋" w:eastAsia="仿宋" w:cs="仿宋"/>
          <w:i w:val="0"/>
          <w:caps w:val="0"/>
          <w:color w:val="000000"/>
          <w:spacing w:val="0"/>
          <w:sz w:val="32"/>
          <w:szCs w:val="32"/>
          <w:shd w:val="clear" w:color="auto" w:fill="FFFFFF"/>
          <w:lang w:val="en-US" w:eastAsia="zh-CN"/>
        </w:rPr>
      </w:pPr>
      <w:r>
        <w:rPr>
          <w:rFonts w:hint="eastAsia" w:ascii="楷体" w:hAnsi="楷体" w:eastAsia="楷体" w:cs="楷体"/>
          <w:snapToGrid/>
          <w:color w:val="000000"/>
          <w:kern w:val="0"/>
          <w:sz w:val="32"/>
          <w:szCs w:val="32"/>
          <w:shd w:val="clear" w:color="auto" w:fill="FFFFFF"/>
          <w:lang w:val="en-US" w:eastAsia="zh-CN" w:bidi="ar-SA"/>
        </w:rPr>
        <w:t>（二）依申请公开工作情况。</w:t>
      </w:r>
      <w:r>
        <w:rPr>
          <w:rFonts w:hint="eastAsia" w:ascii="仿宋_GB2312" w:hAnsi="微软雅黑" w:eastAsia="仿宋_GB2312" w:cs="仿宋_GB2312"/>
          <w:i w:val="0"/>
          <w:caps w:val="0"/>
          <w:color w:val="auto"/>
          <w:spacing w:val="0"/>
          <w:sz w:val="32"/>
          <w:szCs w:val="32"/>
        </w:rPr>
        <w:t>2023 年，</w:t>
      </w:r>
      <w:r>
        <w:rPr>
          <w:rFonts w:hint="eastAsia" w:ascii="仿宋" w:hAnsi="仿宋" w:eastAsia="仿宋" w:cs="仿宋"/>
          <w:i w:val="0"/>
          <w:caps w:val="0"/>
          <w:color w:val="000000"/>
          <w:spacing w:val="0"/>
          <w:sz w:val="32"/>
          <w:szCs w:val="32"/>
          <w:shd w:val="clear" w:color="auto" w:fill="FFFFFF"/>
          <w:lang w:val="en-US" w:eastAsia="zh-CN"/>
        </w:rPr>
        <w:t>收到政府信息公开申请4件，全部依法依规予以办理。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snapToGrid/>
          <w:color w:val="000000"/>
          <w:kern w:val="0"/>
          <w:sz w:val="32"/>
          <w:szCs w:val="32"/>
          <w:shd w:val="clear" w:color="auto" w:fill="FFFFFF"/>
          <w:lang w:val="en-US" w:eastAsia="zh-CN" w:bidi="ar-SA"/>
        </w:rPr>
      </w:pPr>
      <w:r>
        <w:rPr>
          <w:rFonts w:hint="eastAsia" w:ascii="楷体" w:hAnsi="楷体" w:eastAsia="楷体" w:cs="楷体"/>
          <w:snapToGrid/>
          <w:color w:val="000000"/>
          <w:kern w:val="0"/>
          <w:sz w:val="32"/>
          <w:szCs w:val="32"/>
          <w:shd w:val="clear" w:color="auto" w:fill="FFFFFF"/>
          <w:lang w:val="en-US" w:eastAsia="zh-CN" w:bidi="ar-SA"/>
        </w:rPr>
        <w:t>（三）政府信息管理情况。</w:t>
      </w:r>
      <w:r>
        <w:rPr>
          <w:rFonts w:hint="eastAsia" w:ascii="仿宋_GB2312" w:hAnsi="宋体" w:eastAsia="仿宋_GB2312" w:cs="宋体"/>
          <w:snapToGrid/>
          <w:color w:val="000000"/>
          <w:kern w:val="0"/>
          <w:sz w:val="32"/>
          <w:szCs w:val="32"/>
          <w:shd w:val="clear" w:color="auto" w:fill="FFFFFF"/>
          <w:lang w:val="en-US" w:eastAsia="zh-CN" w:bidi="ar-SA"/>
        </w:rPr>
        <w:t>临淄区</w:t>
      </w:r>
      <w:r>
        <w:rPr>
          <w:rFonts w:hint="default" w:ascii="仿宋_GB2312" w:hAnsi="宋体" w:eastAsia="仿宋_GB2312" w:cs="宋体"/>
          <w:snapToGrid/>
          <w:color w:val="000000"/>
          <w:kern w:val="0"/>
          <w:sz w:val="32"/>
          <w:szCs w:val="32"/>
          <w:shd w:val="clear" w:color="auto" w:fill="FFFFFF"/>
          <w:lang w:val="en-US" w:eastAsia="zh-CN" w:bidi="ar-SA"/>
        </w:rPr>
        <w:t>统计局对政府信息公开有关要求落实到日常具体工作中。一是完善组织领导机制。</w:t>
      </w:r>
      <w:r>
        <w:rPr>
          <w:rFonts w:hint="eastAsia" w:ascii="仿宋_GB2312" w:hAnsi="宋体" w:eastAsia="仿宋_GB2312" w:cs="宋体"/>
          <w:snapToGrid/>
          <w:color w:val="000000"/>
          <w:kern w:val="0"/>
          <w:sz w:val="32"/>
          <w:szCs w:val="32"/>
          <w:shd w:val="clear" w:color="auto" w:fill="FFFFFF"/>
          <w:lang w:val="en-US" w:eastAsia="zh-CN" w:bidi="ar-SA"/>
        </w:rPr>
        <w:t>明确专人负责，由信息公开工作分管领导和专门人员负责政府信息公开工作，</w:t>
      </w:r>
      <w:r>
        <w:rPr>
          <w:rFonts w:hint="default" w:ascii="仿宋_GB2312" w:hAnsi="宋体" w:eastAsia="仿宋_GB2312" w:cs="宋体"/>
          <w:snapToGrid/>
          <w:color w:val="000000"/>
          <w:kern w:val="0"/>
          <w:sz w:val="32"/>
          <w:szCs w:val="32"/>
          <w:shd w:val="clear" w:color="auto" w:fill="FFFFFF"/>
          <w:lang w:val="en-US" w:eastAsia="zh-CN" w:bidi="ar-SA"/>
        </w:rPr>
        <w:t>局办公室负责全局政务公开工作的组织和协调，</w:t>
      </w:r>
      <w:r>
        <w:rPr>
          <w:rFonts w:hint="eastAsia" w:ascii="仿宋_GB2312" w:hAnsi="宋体" w:eastAsia="仿宋_GB2312" w:cs="宋体"/>
          <w:snapToGrid/>
          <w:color w:val="000000"/>
          <w:kern w:val="0"/>
          <w:sz w:val="32"/>
          <w:szCs w:val="32"/>
          <w:shd w:val="clear" w:color="auto" w:fill="FFFFFF"/>
          <w:lang w:val="en-US" w:eastAsia="zh-CN" w:bidi="ar-SA"/>
        </w:rPr>
        <w:t>综合</w:t>
      </w:r>
      <w:r>
        <w:rPr>
          <w:rFonts w:hint="default" w:ascii="仿宋_GB2312" w:hAnsi="宋体" w:eastAsia="仿宋_GB2312" w:cs="宋体"/>
          <w:snapToGrid/>
          <w:color w:val="000000"/>
          <w:kern w:val="0"/>
          <w:sz w:val="32"/>
          <w:szCs w:val="32"/>
          <w:shd w:val="clear" w:color="auto" w:fill="FFFFFF"/>
          <w:lang w:val="en-US" w:eastAsia="zh-CN" w:bidi="ar-SA"/>
        </w:rPr>
        <w:t>科</w:t>
      </w:r>
      <w:r>
        <w:rPr>
          <w:rFonts w:hint="eastAsia" w:ascii="仿宋_GB2312" w:hAnsi="宋体" w:eastAsia="仿宋_GB2312" w:cs="宋体"/>
          <w:snapToGrid/>
          <w:color w:val="000000"/>
          <w:kern w:val="0"/>
          <w:sz w:val="32"/>
          <w:szCs w:val="32"/>
          <w:shd w:val="clear" w:color="auto" w:fill="FFFFFF"/>
          <w:lang w:val="en-US" w:eastAsia="zh-CN" w:bidi="ar-SA"/>
        </w:rPr>
        <w:t>提供</w:t>
      </w:r>
      <w:r>
        <w:rPr>
          <w:rFonts w:hint="default" w:ascii="仿宋_GB2312" w:hAnsi="宋体" w:eastAsia="仿宋_GB2312" w:cs="宋体"/>
          <w:snapToGrid/>
          <w:color w:val="000000"/>
          <w:kern w:val="0"/>
          <w:sz w:val="32"/>
          <w:szCs w:val="32"/>
          <w:shd w:val="clear" w:color="auto" w:fill="FFFFFF"/>
          <w:lang w:val="en-US" w:eastAsia="zh-CN" w:bidi="ar-SA"/>
        </w:rPr>
        <w:t>发布社会经济统计数据。</w:t>
      </w:r>
      <w:r>
        <w:rPr>
          <w:rFonts w:hint="eastAsia" w:ascii="仿宋_GB2312" w:hAnsi="宋体" w:eastAsia="仿宋_GB2312" w:cs="宋体"/>
          <w:snapToGrid/>
          <w:color w:val="000000"/>
          <w:kern w:val="0"/>
          <w:sz w:val="32"/>
          <w:szCs w:val="32"/>
          <w:shd w:val="clear" w:color="auto" w:fill="FFFFFF"/>
          <w:lang w:val="en-US" w:eastAsia="zh-CN" w:bidi="ar-SA"/>
        </w:rPr>
        <w:t>二</w:t>
      </w:r>
      <w:r>
        <w:rPr>
          <w:rFonts w:hint="default" w:ascii="仿宋_GB2312" w:hAnsi="宋体" w:eastAsia="仿宋_GB2312" w:cs="宋体"/>
          <w:snapToGrid/>
          <w:color w:val="000000"/>
          <w:kern w:val="0"/>
          <w:sz w:val="32"/>
          <w:szCs w:val="32"/>
          <w:shd w:val="clear" w:color="auto" w:fill="FFFFFF"/>
          <w:lang w:val="en-US" w:eastAsia="zh-CN" w:bidi="ar-SA"/>
        </w:rPr>
        <w:t>是制定公开政府信息公开主动公开基本目录。加大政府信息公开力度，对不予公开的信息以及依申请公开较为集中的信息和文件进行全面自查。</w:t>
      </w:r>
      <w:r>
        <w:rPr>
          <w:rFonts w:hint="eastAsia" w:ascii="仿宋_GB2312" w:hAnsi="宋体" w:eastAsia="仿宋_GB2312" w:cs="宋体"/>
          <w:snapToGrid/>
          <w:color w:val="000000"/>
          <w:kern w:val="0"/>
          <w:sz w:val="32"/>
          <w:szCs w:val="32"/>
          <w:shd w:val="clear" w:color="auto" w:fill="FFFFFF"/>
          <w:lang w:val="en-US" w:eastAsia="zh-CN" w:bidi="ar-SA"/>
        </w:rPr>
        <w:t>三</w:t>
      </w:r>
      <w:r>
        <w:rPr>
          <w:rFonts w:hint="default" w:ascii="仿宋_GB2312" w:hAnsi="宋体" w:eastAsia="仿宋_GB2312" w:cs="宋体"/>
          <w:snapToGrid/>
          <w:color w:val="000000"/>
          <w:kern w:val="0"/>
          <w:sz w:val="32"/>
          <w:szCs w:val="32"/>
          <w:shd w:val="clear" w:color="auto" w:fill="FFFFFF"/>
          <w:lang w:val="en-US" w:eastAsia="zh-CN" w:bidi="ar-SA"/>
        </w:rPr>
        <w:t>是不断完善充实数据解读栏目，加快统计数据的开发和利用</w:t>
      </w:r>
      <w:r>
        <w:rPr>
          <w:rFonts w:hint="eastAsia" w:ascii="仿宋_GB2312" w:hAnsi="宋体" w:eastAsia="仿宋_GB2312" w:cs="宋体"/>
          <w:snapToGrid/>
          <w:color w:val="000000"/>
          <w:kern w:val="0"/>
          <w:sz w:val="32"/>
          <w:szCs w:val="32"/>
          <w:shd w:val="clear" w:color="auto" w:fill="FFFFFF"/>
          <w:lang w:val="en-US" w:eastAsia="zh-CN" w:bidi="ar-SA"/>
        </w:rPr>
        <w:t>。四</w:t>
      </w:r>
      <w:r>
        <w:rPr>
          <w:rFonts w:hint="default" w:ascii="仿宋_GB2312" w:hAnsi="宋体" w:eastAsia="仿宋_GB2312" w:cs="宋体"/>
          <w:snapToGrid/>
          <w:color w:val="000000"/>
          <w:kern w:val="0"/>
          <w:sz w:val="32"/>
          <w:szCs w:val="32"/>
          <w:shd w:val="clear" w:color="auto" w:fill="FFFFFF"/>
          <w:lang w:val="en-US" w:eastAsia="zh-CN" w:bidi="ar-SA"/>
        </w:rPr>
        <w:t>是制定政务信息公开审查制度制度，进一步加强对网站信息的保密检查，严格落实信息公开审查制度，严格审查涉密信息，确保涉密信息不上网。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napToGrid/>
          <w:color w:val="000000"/>
          <w:kern w:val="0"/>
          <w:sz w:val="32"/>
          <w:szCs w:val="32"/>
          <w:shd w:val="clear" w:color="auto" w:fill="FFFFFF"/>
          <w:lang w:val="en-US" w:eastAsia="zh-CN" w:bidi="ar-SA"/>
        </w:rPr>
      </w:pPr>
      <w:r>
        <w:rPr>
          <w:rFonts w:hint="eastAsia" w:ascii="楷体" w:hAnsi="楷体" w:eastAsia="楷体" w:cs="楷体"/>
          <w:snapToGrid/>
          <w:color w:val="000000"/>
          <w:kern w:val="0"/>
          <w:sz w:val="32"/>
          <w:szCs w:val="32"/>
          <w:highlight w:val="none"/>
          <w:shd w:val="clear" w:color="auto" w:fill="FFFFFF"/>
          <w:lang w:val="en-US" w:eastAsia="zh-CN" w:bidi="ar-SA"/>
        </w:rPr>
        <w:t>（四）</w:t>
      </w:r>
      <w:r>
        <w:rPr>
          <w:rFonts w:hint="eastAsia" w:ascii="楷体" w:hAnsi="楷体" w:eastAsia="楷体" w:cs="楷体"/>
          <w:snapToGrid/>
          <w:color w:val="000000"/>
          <w:kern w:val="0"/>
          <w:sz w:val="32"/>
          <w:szCs w:val="32"/>
          <w:shd w:val="clear" w:color="auto" w:fill="FFFFFF"/>
          <w:lang w:val="en-US" w:eastAsia="zh-CN" w:bidi="ar-SA"/>
        </w:rPr>
        <w:t>政府信息公开</w:t>
      </w:r>
      <w:r>
        <w:rPr>
          <w:rFonts w:hint="eastAsia" w:ascii="楷体" w:hAnsi="楷体" w:eastAsia="楷体" w:cs="楷体"/>
          <w:snapToGrid/>
          <w:color w:val="000000"/>
          <w:kern w:val="0"/>
          <w:sz w:val="32"/>
          <w:szCs w:val="32"/>
          <w:highlight w:val="none"/>
          <w:shd w:val="clear" w:color="auto" w:fill="FFFFFF"/>
          <w:lang w:val="en-US" w:eastAsia="zh-CN" w:bidi="ar-SA"/>
        </w:rPr>
        <w:t>平台建设情况。</w:t>
      </w:r>
      <w:r>
        <w:rPr>
          <w:rFonts w:hint="eastAsia" w:ascii="仿宋_GB2312" w:hAnsi="宋体" w:eastAsia="仿宋_GB2312" w:cs="宋体"/>
          <w:snapToGrid/>
          <w:color w:val="000000"/>
          <w:kern w:val="0"/>
          <w:sz w:val="32"/>
          <w:szCs w:val="32"/>
          <w:shd w:val="clear" w:color="auto" w:fill="FFFFFF"/>
          <w:lang w:val="en-US" w:eastAsia="zh-CN" w:bidi="ar-SA"/>
        </w:rPr>
        <w:t>一是不断加强政府网站政府信息公开统计专栏的维护工作，做好日常管理维护和常态化监管，确保法定公开内容公开到位。二是利用政府开放日和统计开放日，传播统计文化、提升统计形象和政府公信力，普及统计法律法规知识，进一步营造关注统计、支持统计的良好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snapToGrid/>
          <w:color w:val="0000FF"/>
          <w:kern w:val="0"/>
          <w:sz w:val="32"/>
          <w:szCs w:val="32"/>
          <w:shd w:val="clear" w:color="auto" w:fill="FFFFFF"/>
          <w:lang w:val="en-US" w:eastAsia="zh-CN" w:bidi="ar-SA"/>
        </w:rPr>
      </w:pPr>
      <w:r>
        <w:rPr>
          <w:rFonts w:hint="eastAsia" w:ascii="楷体" w:hAnsi="楷体" w:eastAsia="楷体" w:cs="楷体"/>
          <w:snapToGrid/>
          <w:color w:val="000000"/>
          <w:kern w:val="0"/>
          <w:sz w:val="32"/>
          <w:szCs w:val="32"/>
          <w:shd w:val="clear" w:color="auto" w:fill="FFFFFF"/>
          <w:lang w:val="en-US" w:eastAsia="zh-CN" w:bidi="ar-SA"/>
        </w:rPr>
        <w:t>（五）政府信息公开监督保障情况。</w:t>
      </w:r>
      <w:r>
        <w:rPr>
          <w:rFonts w:hint="eastAsia" w:ascii="仿宋_GB2312" w:hAnsi="宋体" w:eastAsia="仿宋_GB2312" w:cs="宋体"/>
          <w:snapToGrid/>
          <w:color w:val="000000"/>
          <w:kern w:val="0"/>
          <w:sz w:val="32"/>
          <w:szCs w:val="32"/>
          <w:shd w:val="clear" w:color="auto" w:fill="FFFFFF"/>
          <w:lang w:val="en-US" w:eastAsia="zh-CN" w:bidi="ar-SA"/>
        </w:rPr>
        <w:t>成立以局主要领导为组长，各科室科长为成员的政府信息公开领导小组，定期会商，责任到人，加大政府信息公开工作力度。制定 2023 年政务公开培训计划，全年开展专题培训 2 次。及时更新完善政务公开领导小组，完善公开审核制度，高效推进信息工作责任落实，推动全局信息工作能力水平和服务质量进一步提升。</w:t>
      </w:r>
    </w:p>
    <w:p>
      <w:pPr>
        <w:spacing w:before="195" w:line="222" w:lineRule="auto"/>
        <w:ind w:firstLine="620" w:firstLineChars="200"/>
        <w:outlineLvl w:val="0"/>
        <w:rPr>
          <w:rFonts w:ascii="黑体" w:hAnsi="黑体" w:eastAsia="黑体" w:cs="黑体"/>
          <w:b w:val="0"/>
          <w:bCs w:val="0"/>
          <w:spacing w:val="-5"/>
          <w:sz w:val="32"/>
          <w:szCs w:val="32"/>
        </w:rPr>
      </w:pPr>
      <w:r>
        <w:rPr>
          <w:rFonts w:ascii="黑体" w:hAnsi="黑体" w:eastAsia="黑体" w:cs="黑体"/>
          <w:b w:val="0"/>
          <w:bCs w:val="0"/>
          <w:spacing w:val="-5"/>
          <w:sz w:val="32"/>
          <w:szCs w:val="32"/>
        </w:rPr>
        <w:t>二</w:t>
      </w:r>
      <w:r>
        <w:rPr>
          <w:rFonts w:ascii="黑体" w:hAnsi="黑体" w:eastAsia="黑体" w:cs="黑体"/>
          <w:b w:val="0"/>
          <w:bCs w:val="0"/>
          <w:spacing w:val="-72"/>
          <w:sz w:val="32"/>
          <w:szCs w:val="32"/>
        </w:rPr>
        <w:t xml:space="preserve"> </w:t>
      </w:r>
      <w:r>
        <w:rPr>
          <w:rFonts w:ascii="黑体" w:hAnsi="黑体" w:eastAsia="黑体" w:cs="黑体"/>
          <w:b w:val="0"/>
          <w:bCs w:val="0"/>
          <w:spacing w:val="-5"/>
          <w:sz w:val="32"/>
          <w:szCs w:val="32"/>
        </w:rPr>
        <w:t>、主动公开政府信息情况</w:t>
      </w:r>
    </w:p>
    <w:p>
      <w:pPr>
        <w:spacing w:before="195" w:line="222" w:lineRule="auto"/>
        <w:ind w:firstLine="600" w:firstLineChars="200"/>
        <w:outlineLvl w:val="0"/>
        <w:rPr>
          <w:rFonts w:ascii="黑体" w:hAnsi="黑体" w:eastAsia="黑体" w:cs="黑体"/>
          <w:b w:val="0"/>
          <w:bCs w:val="0"/>
          <w:spacing w:val="-5"/>
          <w:sz w:val="31"/>
          <w:szCs w:val="31"/>
        </w:rPr>
      </w:pPr>
    </w:p>
    <w:p>
      <w:pPr>
        <w:spacing w:line="225" w:lineRule="exact"/>
      </w:pPr>
    </w:p>
    <w:tbl>
      <w:tblPr>
        <w:tblStyle w:val="5"/>
        <w:tblW w:w="88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1"/>
        <w:gridCol w:w="1688"/>
        <w:gridCol w:w="1818"/>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800" w:type="dxa"/>
            <w:gridSpan w:val="4"/>
            <w:shd w:val="clear" w:color="auto" w:fill="C2D6F7"/>
            <w:vAlign w:val="top"/>
          </w:tcPr>
          <w:p>
            <w:pPr>
              <w:spacing w:before="204" w:line="219" w:lineRule="auto"/>
              <w:ind w:left="3514"/>
              <w:rPr>
                <w:rFonts w:ascii="宋体" w:hAnsi="宋体" w:eastAsia="宋体" w:cs="宋体"/>
                <w:sz w:val="22"/>
                <w:szCs w:val="22"/>
              </w:rPr>
            </w:pPr>
            <w:r>
              <w:rPr>
                <w:rFonts w:ascii="宋体" w:hAnsi="宋体" w:eastAsia="宋体" w:cs="宋体"/>
                <w:spacing w:val="2"/>
                <w:sz w:val="22"/>
                <w:szCs w:val="22"/>
              </w:rPr>
              <w:t>第二十条第(一)项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91" w:type="dxa"/>
            <w:vAlign w:val="top"/>
          </w:tcPr>
          <w:p>
            <w:pPr>
              <w:spacing w:before="190" w:line="219" w:lineRule="auto"/>
              <w:ind w:left="1214"/>
              <w:rPr>
                <w:rFonts w:ascii="宋体" w:hAnsi="宋体" w:eastAsia="宋体" w:cs="宋体"/>
                <w:sz w:val="22"/>
                <w:szCs w:val="22"/>
              </w:rPr>
            </w:pPr>
            <w:r>
              <w:rPr>
                <w:rFonts w:ascii="宋体" w:hAnsi="宋体" w:eastAsia="宋体" w:cs="宋体"/>
                <w:spacing w:val="-2"/>
                <w:sz w:val="22"/>
                <w:szCs w:val="22"/>
              </w:rPr>
              <w:t>信息内容</w:t>
            </w:r>
          </w:p>
        </w:tc>
        <w:tc>
          <w:tcPr>
            <w:tcW w:w="1688" w:type="dxa"/>
            <w:vAlign w:val="top"/>
          </w:tcPr>
          <w:p>
            <w:pPr>
              <w:spacing w:before="188" w:line="219" w:lineRule="auto"/>
              <w:ind w:left="173"/>
              <w:rPr>
                <w:rFonts w:ascii="宋体" w:hAnsi="宋体" w:eastAsia="宋体" w:cs="宋体"/>
                <w:sz w:val="22"/>
                <w:szCs w:val="22"/>
              </w:rPr>
            </w:pPr>
            <w:r>
              <w:rPr>
                <w:rFonts w:ascii="宋体" w:hAnsi="宋体" w:eastAsia="宋体" w:cs="宋体"/>
                <w:spacing w:val="-2"/>
                <w:sz w:val="22"/>
                <w:szCs w:val="22"/>
              </w:rPr>
              <w:t>本年制发件数</w:t>
            </w:r>
          </w:p>
        </w:tc>
        <w:tc>
          <w:tcPr>
            <w:tcW w:w="1818" w:type="dxa"/>
            <w:vAlign w:val="top"/>
          </w:tcPr>
          <w:p>
            <w:pPr>
              <w:spacing w:before="188" w:line="219" w:lineRule="auto"/>
              <w:ind w:left="245"/>
              <w:rPr>
                <w:rFonts w:ascii="宋体" w:hAnsi="宋体" w:eastAsia="宋体" w:cs="宋体"/>
                <w:sz w:val="22"/>
                <w:szCs w:val="22"/>
              </w:rPr>
            </w:pPr>
            <w:r>
              <w:rPr>
                <w:rFonts w:ascii="宋体" w:hAnsi="宋体" w:eastAsia="宋体" w:cs="宋体"/>
                <w:spacing w:val="-2"/>
                <w:sz w:val="22"/>
                <w:szCs w:val="22"/>
              </w:rPr>
              <w:t>本年废止件数</w:t>
            </w:r>
          </w:p>
        </w:tc>
        <w:tc>
          <w:tcPr>
            <w:tcW w:w="2003" w:type="dxa"/>
            <w:vAlign w:val="top"/>
          </w:tcPr>
          <w:p>
            <w:pPr>
              <w:spacing w:before="190" w:line="219" w:lineRule="auto"/>
              <w:ind w:left="337"/>
              <w:rPr>
                <w:rFonts w:ascii="宋体" w:hAnsi="宋体" w:eastAsia="宋体" w:cs="宋体"/>
                <w:sz w:val="22"/>
                <w:szCs w:val="22"/>
              </w:rPr>
            </w:pPr>
            <w:r>
              <w:rPr>
                <w:rFonts w:ascii="宋体" w:hAnsi="宋体" w:eastAsia="宋体" w:cs="宋体"/>
                <w:spacing w:val="-2"/>
                <w:sz w:val="22"/>
                <w:szCs w:val="22"/>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291" w:type="dxa"/>
            <w:vAlign w:val="top"/>
          </w:tcPr>
          <w:p>
            <w:pPr>
              <w:spacing w:before="208" w:line="219" w:lineRule="auto"/>
              <w:ind w:left="84"/>
              <w:jc w:val="center"/>
              <w:rPr>
                <w:rFonts w:ascii="宋体" w:hAnsi="宋体" w:eastAsia="宋体" w:cs="宋体"/>
                <w:sz w:val="22"/>
                <w:szCs w:val="22"/>
              </w:rPr>
            </w:pPr>
            <w:r>
              <w:rPr>
                <w:rFonts w:ascii="宋体" w:hAnsi="宋体" w:eastAsia="宋体" w:cs="宋体"/>
                <w:spacing w:val="8"/>
                <w:sz w:val="22"/>
                <w:szCs w:val="22"/>
              </w:rPr>
              <w:t>规章</w:t>
            </w:r>
          </w:p>
        </w:tc>
        <w:tc>
          <w:tcPr>
            <w:tcW w:w="168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81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2003"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0" w:line="219" w:lineRule="auto"/>
              <w:ind w:left="84"/>
              <w:jc w:val="center"/>
              <w:rPr>
                <w:rFonts w:ascii="宋体" w:hAnsi="宋体" w:eastAsia="宋体" w:cs="宋体"/>
                <w:sz w:val="22"/>
                <w:szCs w:val="22"/>
              </w:rPr>
            </w:pPr>
            <w:r>
              <w:rPr>
                <w:rFonts w:ascii="宋体" w:hAnsi="宋体" w:eastAsia="宋体" w:cs="宋体"/>
                <w:spacing w:val="1"/>
                <w:sz w:val="22"/>
                <w:szCs w:val="22"/>
              </w:rPr>
              <w:t>行政规范性文件</w:t>
            </w:r>
          </w:p>
        </w:tc>
        <w:tc>
          <w:tcPr>
            <w:tcW w:w="168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81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2003"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800" w:type="dxa"/>
            <w:gridSpan w:val="4"/>
            <w:shd w:val="clear" w:color="auto" w:fill="C3D5F7"/>
            <w:vAlign w:val="top"/>
          </w:tcPr>
          <w:p>
            <w:pPr>
              <w:spacing w:before="201" w:line="219" w:lineRule="auto"/>
              <w:ind w:left="3514"/>
              <w:rPr>
                <w:rFonts w:ascii="宋体" w:hAnsi="宋体" w:eastAsia="宋体" w:cs="宋体"/>
                <w:sz w:val="22"/>
                <w:szCs w:val="22"/>
              </w:rPr>
            </w:pPr>
            <w:r>
              <w:rPr>
                <w:rFonts w:ascii="宋体" w:hAnsi="宋体" w:eastAsia="宋体" w:cs="宋体"/>
                <w:spacing w:val="1"/>
                <w:sz w:val="22"/>
                <w:szCs w:val="22"/>
              </w:rPr>
              <w:t>第二十条第(五)项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2" w:line="219" w:lineRule="auto"/>
              <w:ind w:left="1214"/>
              <w:rPr>
                <w:rFonts w:ascii="宋体" w:hAnsi="宋体" w:eastAsia="宋体" w:cs="宋体"/>
                <w:sz w:val="22"/>
                <w:szCs w:val="22"/>
              </w:rPr>
            </w:pPr>
            <w:r>
              <w:rPr>
                <w:rFonts w:ascii="宋体" w:hAnsi="宋体" w:eastAsia="宋体" w:cs="宋体"/>
                <w:spacing w:val="-2"/>
                <w:sz w:val="22"/>
                <w:szCs w:val="22"/>
              </w:rPr>
              <w:t>信息内容</w:t>
            </w:r>
          </w:p>
        </w:tc>
        <w:tc>
          <w:tcPr>
            <w:tcW w:w="5509" w:type="dxa"/>
            <w:gridSpan w:val="3"/>
            <w:vAlign w:val="top"/>
          </w:tcPr>
          <w:p>
            <w:pPr>
              <w:spacing w:before="197" w:line="219" w:lineRule="auto"/>
              <w:ind w:left="1867"/>
              <w:rPr>
                <w:rFonts w:ascii="宋体" w:hAnsi="宋体" w:eastAsia="宋体" w:cs="宋体"/>
                <w:sz w:val="22"/>
                <w:szCs w:val="22"/>
              </w:rPr>
            </w:pPr>
            <w:r>
              <w:rPr>
                <w:rFonts w:ascii="宋体" w:hAnsi="宋体" w:eastAsia="宋体" w:cs="宋体"/>
                <w:b/>
                <w:bCs/>
                <w:spacing w:val="-4"/>
                <w:sz w:val="22"/>
                <w:szCs w:val="2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3" w:line="220" w:lineRule="auto"/>
              <w:ind w:left="84"/>
              <w:jc w:val="center"/>
              <w:rPr>
                <w:rFonts w:ascii="宋体" w:hAnsi="宋体" w:eastAsia="宋体" w:cs="宋体"/>
                <w:sz w:val="22"/>
                <w:szCs w:val="22"/>
              </w:rPr>
            </w:pPr>
            <w:r>
              <w:rPr>
                <w:rFonts w:ascii="宋体" w:hAnsi="宋体" w:eastAsia="宋体" w:cs="宋体"/>
                <w:spacing w:val="2"/>
                <w:sz w:val="22"/>
                <w:szCs w:val="22"/>
              </w:rPr>
              <w:t>行政许可</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800" w:type="dxa"/>
            <w:gridSpan w:val="4"/>
            <w:shd w:val="clear" w:color="auto" w:fill="BBCBFA"/>
            <w:vAlign w:val="top"/>
          </w:tcPr>
          <w:p>
            <w:pPr>
              <w:spacing w:before="204" w:line="219" w:lineRule="auto"/>
              <w:ind w:left="3514"/>
              <w:rPr>
                <w:rFonts w:ascii="宋体" w:hAnsi="宋体" w:eastAsia="宋体" w:cs="宋体"/>
                <w:sz w:val="22"/>
                <w:szCs w:val="22"/>
              </w:rPr>
            </w:pPr>
            <w:r>
              <w:rPr>
                <w:rFonts w:ascii="宋体" w:hAnsi="宋体" w:eastAsia="宋体" w:cs="宋体"/>
                <w:spacing w:val="1"/>
                <w:sz w:val="22"/>
                <w:szCs w:val="22"/>
              </w:rPr>
              <w:t>第二十条第(六)项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291" w:type="dxa"/>
            <w:vAlign w:val="top"/>
          </w:tcPr>
          <w:p>
            <w:pPr>
              <w:spacing w:before="205" w:line="219" w:lineRule="auto"/>
              <w:ind w:left="1204"/>
              <w:rPr>
                <w:rFonts w:ascii="宋体" w:hAnsi="宋体" w:eastAsia="宋体" w:cs="宋体"/>
                <w:sz w:val="22"/>
                <w:szCs w:val="22"/>
              </w:rPr>
            </w:pPr>
            <w:r>
              <w:rPr>
                <w:rFonts w:ascii="宋体" w:hAnsi="宋体" w:eastAsia="宋体" w:cs="宋体"/>
                <w:spacing w:val="-2"/>
                <w:sz w:val="22"/>
                <w:szCs w:val="22"/>
              </w:rPr>
              <w:t>信息内容</w:t>
            </w:r>
          </w:p>
        </w:tc>
        <w:tc>
          <w:tcPr>
            <w:tcW w:w="5509" w:type="dxa"/>
            <w:gridSpan w:val="3"/>
            <w:vAlign w:val="top"/>
          </w:tcPr>
          <w:p>
            <w:pPr>
              <w:spacing w:before="200" w:line="219" w:lineRule="auto"/>
              <w:ind w:left="1867"/>
              <w:rPr>
                <w:rFonts w:ascii="宋体" w:hAnsi="宋体" w:eastAsia="宋体" w:cs="宋体"/>
                <w:sz w:val="22"/>
                <w:szCs w:val="22"/>
              </w:rPr>
            </w:pPr>
            <w:r>
              <w:rPr>
                <w:rFonts w:ascii="宋体" w:hAnsi="宋体" w:eastAsia="宋体" w:cs="宋体"/>
                <w:b/>
                <w:bCs/>
                <w:spacing w:val="-4"/>
                <w:sz w:val="22"/>
                <w:szCs w:val="22"/>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6" w:line="220" w:lineRule="auto"/>
              <w:ind w:left="84"/>
              <w:jc w:val="center"/>
              <w:rPr>
                <w:rFonts w:ascii="宋体" w:hAnsi="宋体" w:eastAsia="宋体" w:cs="宋体"/>
                <w:sz w:val="22"/>
                <w:szCs w:val="22"/>
              </w:rPr>
            </w:pPr>
            <w:r>
              <w:rPr>
                <w:rFonts w:ascii="宋体" w:hAnsi="宋体" w:eastAsia="宋体" w:cs="宋体"/>
                <w:spacing w:val="6"/>
                <w:sz w:val="22"/>
                <w:szCs w:val="22"/>
              </w:rPr>
              <w:t>行政处罚</w:t>
            </w:r>
          </w:p>
        </w:tc>
        <w:tc>
          <w:tcPr>
            <w:tcW w:w="5509" w:type="dxa"/>
            <w:gridSpan w:val="3"/>
            <w:vAlign w:val="center"/>
          </w:tcPr>
          <w:p>
            <w:pPr>
              <w:jc w:val="center"/>
              <w:rPr>
                <w:rFonts w:hint="default" w:ascii="Arial" w:eastAsia="宋体"/>
                <w:sz w:val="21"/>
                <w:lang w:val="en-US" w:eastAsia="zh-CN"/>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291" w:type="dxa"/>
            <w:vAlign w:val="top"/>
          </w:tcPr>
          <w:p>
            <w:pPr>
              <w:spacing w:before="207" w:line="220" w:lineRule="auto"/>
              <w:ind w:left="84"/>
              <w:jc w:val="center"/>
              <w:rPr>
                <w:rFonts w:ascii="宋体" w:hAnsi="宋体" w:eastAsia="宋体" w:cs="宋体"/>
                <w:sz w:val="22"/>
                <w:szCs w:val="22"/>
              </w:rPr>
            </w:pPr>
            <w:r>
              <w:rPr>
                <w:rFonts w:ascii="宋体" w:hAnsi="宋体" w:eastAsia="宋体" w:cs="宋体"/>
                <w:spacing w:val="4"/>
                <w:sz w:val="22"/>
                <w:szCs w:val="22"/>
              </w:rPr>
              <w:t>行政强制</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4"/>
            <w:shd w:val="clear" w:color="auto" w:fill="BDD1F9"/>
            <w:vAlign w:val="top"/>
          </w:tcPr>
          <w:p>
            <w:pPr>
              <w:spacing w:before="205" w:line="219" w:lineRule="auto"/>
              <w:ind w:left="3518"/>
              <w:rPr>
                <w:rFonts w:ascii="宋体" w:hAnsi="宋体" w:eastAsia="宋体" w:cs="宋体"/>
                <w:sz w:val="22"/>
                <w:szCs w:val="22"/>
              </w:rPr>
            </w:pPr>
            <w:r>
              <w:rPr>
                <w:rFonts w:ascii="宋体" w:hAnsi="宋体" w:eastAsia="宋体" w:cs="宋体"/>
                <w:b/>
                <w:bCs/>
                <w:spacing w:val="-4"/>
                <w:sz w:val="22"/>
                <w:szCs w:val="22"/>
              </w:rPr>
              <w:t>第二十条第(八)项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3291" w:type="dxa"/>
            <w:vAlign w:val="top"/>
          </w:tcPr>
          <w:p>
            <w:pPr>
              <w:spacing w:before="208" w:line="219" w:lineRule="auto"/>
              <w:ind w:left="1204"/>
              <w:rPr>
                <w:rFonts w:ascii="宋体" w:hAnsi="宋体" w:eastAsia="宋体" w:cs="宋体"/>
                <w:sz w:val="22"/>
                <w:szCs w:val="22"/>
              </w:rPr>
            </w:pPr>
            <w:r>
              <w:rPr>
                <w:rFonts w:ascii="宋体" w:hAnsi="宋体" w:eastAsia="宋体" w:cs="宋体"/>
                <w:spacing w:val="-2"/>
                <w:sz w:val="22"/>
                <w:szCs w:val="22"/>
              </w:rPr>
              <w:t>信息内容</w:t>
            </w:r>
          </w:p>
        </w:tc>
        <w:tc>
          <w:tcPr>
            <w:tcW w:w="5509" w:type="dxa"/>
            <w:gridSpan w:val="3"/>
            <w:vAlign w:val="top"/>
          </w:tcPr>
          <w:p>
            <w:pPr>
              <w:spacing w:before="203" w:line="219" w:lineRule="auto"/>
              <w:ind w:left="1427"/>
              <w:rPr>
                <w:rFonts w:ascii="宋体" w:hAnsi="宋体" w:eastAsia="宋体" w:cs="宋体"/>
                <w:sz w:val="22"/>
                <w:szCs w:val="22"/>
              </w:rPr>
            </w:pPr>
            <w:r>
              <w:rPr>
                <w:rFonts w:ascii="宋体" w:hAnsi="宋体" w:eastAsia="宋体" w:cs="宋体"/>
                <w:b/>
                <w:bCs/>
                <w:sz w:val="22"/>
                <w:szCs w:val="22"/>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291" w:type="dxa"/>
            <w:vAlign w:val="top"/>
          </w:tcPr>
          <w:p>
            <w:pPr>
              <w:spacing w:before="208" w:line="219" w:lineRule="auto"/>
              <w:ind w:left="84"/>
              <w:rPr>
                <w:rFonts w:ascii="宋体" w:hAnsi="宋体" w:eastAsia="宋体" w:cs="宋体"/>
                <w:sz w:val="22"/>
                <w:szCs w:val="22"/>
              </w:rPr>
            </w:pPr>
            <w:r>
              <w:rPr>
                <w:rFonts w:ascii="宋体" w:hAnsi="宋体" w:eastAsia="宋体" w:cs="宋体"/>
                <w:spacing w:val="1"/>
                <w:sz w:val="22"/>
                <w:szCs w:val="22"/>
              </w:rPr>
              <w:t>行政事业性收费</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bl>
    <w:p>
      <w:pPr>
        <w:rPr>
          <w:rFonts w:ascii="Arial"/>
          <w:sz w:val="21"/>
        </w:rPr>
      </w:pPr>
    </w:p>
    <w:p>
      <w:pPr>
        <w:sectPr>
          <w:footerReference r:id="rId5" w:type="default"/>
          <w:pgSz w:w="11780" w:h="16720"/>
          <w:pgMar w:top="1421" w:right="1504" w:bottom="1242" w:left="1454" w:header="0" w:footer="984"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numPr>
          <w:ilvl w:val="0"/>
          <w:numId w:val="0"/>
        </w:numPr>
        <w:spacing w:before="101" w:line="222" w:lineRule="auto"/>
        <w:ind w:firstLine="620" w:firstLineChars="200"/>
        <w:outlineLvl w:val="0"/>
        <w:rPr>
          <w:rFonts w:ascii="黑体" w:hAnsi="黑体" w:eastAsia="黑体" w:cs="黑体"/>
          <w:b/>
          <w:bCs/>
          <w:spacing w:val="-5"/>
          <w:sz w:val="32"/>
          <w:szCs w:val="32"/>
        </w:rPr>
      </w:pPr>
      <w:r>
        <w:rPr>
          <w:rFonts w:hint="eastAsia" w:ascii="黑体" w:hAnsi="黑体" w:eastAsia="黑体" w:cs="黑体"/>
          <w:b w:val="0"/>
          <w:bCs w:val="0"/>
          <w:spacing w:val="-5"/>
          <w:sz w:val="32"/>
          <w:szCs w:val="32"/>
          <w:lang w:eastAsia="zh-CN"/>
        </w:rPr>
        <w:t>三、</w:t>
      </w:r>
      <w:r>
        <w:rPr>
          <w:rFonts w:ascii="黑体" w:hAnsi="黑体" w:eastAsia="黑体" w:cs="黑体"/>
          <w:b w:val="0"/>
          <w:bCs w:val="0"/>
          <w:spacing w:val="-5"/>
          <w:sz w:val="32"/>
          <w:szCs w:val="32"/>
        </w:rPr>
        <w:t>收到和处理政府信息公开申请情况</w:t>
      </w:r>
    </w:p>
    <w:p>
      <w:pPr>
        <w:spacing w:line="215" w:lineRule="exact"/>
      </w:pPr>
    </w:p>
    <w:tbl>
      <w:tblPr>
        <w:tblStyle w:val="5"/>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719"/>
        <w:gridCol w:w="2697"/>
        <w:gridCol w:w="659"/>
        <w:gridCol w:w="649"/>
        <w:gridCol w:w="639"/>
        <w:gridCol w:w="650"/>
        <w:gridCol w:w="649"/>
        <w:gridCol w:w="65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150" w:type="dxa"/>
            <w:gridSpan w:val="3"/>
            <w:vMerge w:val="restart"/>
            <w:tcBorders>
              <w:bottom w:val="nil"/>
            </w:tcBorders>
            <w:vAlign w:val="top"/>
          </w:tcPr>
          <w:p>
            <w:pPr>
              <w:spacing w:line="331" w:lineRule="auto"/>
              <w:rPr>
                <w:rFonts w:ascii="Arial"/>
                <w:sz w:val="21"/>
              </w:rPr>
            </w:pPr>
          </w:p>
          <w:p>
            <w:pPr>
              <w:spacing w:before="68" w:line="229" w:lineRule="auto"/>
              <w:ind w:left="493" w:right="163" w:hanging="199"/>
              <w:rPr>
                <w:rFonts w:ascii="宋体" w:hAnsi="宋体" w:eastAsia="宋体" w:cs="宋体"/>
                <w:sz w:val="21"/>
                <w:szCs w:val="21"/>
              </w:rPr>
            </w:pPr>
            <w:r>
              <w:rPr>
                <w:rFonts w:ascii="宋体" w:hAnsi="宋体" w:eastAsia="宋体" w:cs="宋体"/>
                <w:sz w:val="21"/>
                <w:szCs w:val="21"/>
              </w:rPr>
              <w:t>(本列数据的勾稽关系为：第一项加第二</w:t>
            </w:r>
            <w:r>
              <w:rPr>
                <w:rFonts w:ascii="宋体" w:hAnsi="宋体" w:eastAsia="宋体" w:cs="宋体"/>
                <w:spacing w:val="5"/>
                <w:sz w:val="21"/>
                <w:szCs w:val="21"/>
              </w:rPr>
              <w:t xml:space="preserve"> </w:t>
            </w:r>
            <w:r>
              <w:rPr>
                <w:rFonts w:ascii="宋体" w:hAnsi="宋体" w:eastAsia="宋体" w:cs="宋体"/>
                <w:spacing w:val="2"/>
                <w:sz w:val="21"/>
                <w:szCs w:val="21"/>
              </w:rPr>
              <w:t>项之和，等于第三项加第四项之和)</w:t>
            </w:r>
          </w:p>
        </w:tc>
        <w:tc>
          <w:tcPr>
            <w:tcW w:w="4549" w:type="dxa"/>
            <w:gridSpan w:val="7"/>
            <w:vAlign w:val="top"/>
          </w:tcPr>
          <w:p>
            <w:pPr>
              <w:spacing w:before="63" w:line="219" w:lineRule="auto"/>
              <w:ind w:left="1744"/>
              <w:rPr>
                <w:rFonts w:ascii="宋体" w:hAnsi="宋体" w:eastAsia="宋体" w:cs="宋体"/>
                <w:sz w:val="21"/>
                <w:szCs w:val="21"/>
              </w:rPr>
            </w:pPr>
            <w:r>
              <w:rPr>
                <w:rFonts w:ascii="宋体" w:hAnsi="宋体" w:eastAsia="宋体" w:cs="宋体"/>
                <w:spacing w:val="1"/>
                <w:sz w:val="21"/>
                <w:szCs w:val="21"/>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150" w:type="dxa"/>
            <w:gridSpan w:val="3"/>
            <w:vMerge w:val="continue"/>
            <w:tcBorders>
              <w:top w:val="nil"/>
              <w:bottom w:val="nil"/>
            </w:tcBorders>
            <w:vAlign w:val="top"/>
          </w:tcPr>
          <w:p>
            <w:pPr>
              <w:rPr>
                <w:rFonts w:ascii="Arial"/>
                <w:sz w:val="21"/>
              </w:rPr>
            </w:pPr>
          </w:p>
        </w:tc>
        <w:tc>
          <w:tcPr>
            <w:tcW w:w="659" w:type="dxa"/>
            <w:vMerge w:val="restart"/>
            <w:tcBorders>
              <w:bottom w:val="nil"/>
            </w:tcBorders>
            <w:vAlign w:val="top"/>
          </w:tcPr>
          <w:p>
            <w:pPr>
              <w:spacing w:line="293" w:lineRule="auto"/>
              <w:rPr>
                <w:rFonts w:ascii="Arial"/>
                <w:sz w:val="21"/>
              </w:rPr>
            </w:pPr>
          </w:p>
          <w:p>
            <w:pPr>
              <w:spacing w:before="65" w:line="229" w:lineRule="auto"/>
              <w:ind w:left="14"/>
              <w:rPr>
                <w:rFonts w:ascii="宋体" w:hAnsi="宋体" w:eastAsia="宋体" w:cs="宋体"/>
                <w:sz w:val="20"/>
                <w:szCs w:val="20"/>
              </w:rPr>
            </w:pPr>
            <w:r>
              <w:rPr>
                <w:rFonts w:ascii="宋体" w:hAnsi="宋体" w:eastAsia="宋体" w:cs="宋体"/>
                <w:spacing w:val="11"/>
                <w:sz w:val="20"/>
                <w:szCs w:val="20"/>
              </w:rPr>
              <w:t>自然人</w:t>
            </w:r>
          </w:p>
        </w:tc>
        <w:tc>
          <w:tcPr>
            <w:tcW w:w="3246" w:type="dxa"/>
            <w:gridSpan w:val="5"/>
            <w:vAlign w:val="top"/>
          </w:tcPr>
          <w:p>
            <w:pPr>
              <w:spacing w:before="60" w:line="220" w:lineRule="auto"/>
              <w:ind w:left="885"/>
              <w:rPr>
                <w:rFonts w:ascii="宋体" w:hAnsi="宋体" w:eastAsia="宋体" w:cs="宋体"/>
                <w:sz w:val="21"/>
                <w:szCs w:val="21"/>
              </w:rPr>
            </w:pPr>
            <w:r>
              <w:rPr>
                <w:rFonts w:ascii="宋体" w:hAnsi="宋体" w:eastAsia="宋体" w:cs="宋体"/>
                <w:spacing w:val="1"/>
                <w:sz w:val="21"/>
                <w:szCs w:val="21"/>
              </w:rPr>
              <w:t>法人或其他组织</w:t>
            </w:r>
          </w:p>
        </w:tc>
        <w:tc>
          <w:tcPr>
            <w:tcW w:w="644" w:type="dxa"/>
            <w:vMerge w:val="restart"/>
            <w:tcBorders>
              <w:bottom w:val="nil"/>
            </w:tcBorders>
            <w:vAlign w:val="top"/>
          </w:tcPr>
          <w:p>
            <w:pPr>
              <w:spacing w:line="290" w:lineRule="auto"/>
              <w:rPr>
                <w:rFonts w:ascii="Arial"/>
                <w:sz w:val="21"/>
              </w:rPr>
            </w:pPr>
          </w:p>
          <w:p>
            <w:pPr>
              <w:spacing w:before="68" w:line="221" w:lineRule="auto"/>
              <w:ind w:left="109"/>
              <w:rPr>
                <w:rFonts w:ascii="宋体" w:hAnsi="宋体" w:eastAsia="宋体" w:cs="宋体"/>
                <w:sz w:val="21"/>
                <w:szCs w:val="21"/>
              </w:rPr>
            </w:pPr>
            <w:r>
              <w:rPr>
                <w:rFonts w:ascii="宋体" w:hAnsi="宋体" w:eastAsia="宋体" w:cs="宋体"/>
                <w:spacing w:val="4"/>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150" w:type="dxa"/>
            <w:gridSpan w:val="3"/>
            <w:vMerge w:val="continue"/>
            <w:tcBorders>
              <w:top w:val="nil"/>
            </w:tcBorders>
            <w:vAlign w:val="top"/>
          </w:tcPr>
          <w:p>
            <w:pPr>
              <w:rPr>
                <w:rFonts w:ascii="Arial"/>
                <w:sz w:val="21"/>
              </w:rPr>
            </w:pPr>
          </w:p>
        </w:tc>
        <w:tc>
          <w:tcPr>
            <w:tcW w:w="659" w:type="dxa"/>
            <w:vMerge w:val="continue"/>
            <w:tcBorders>
              <w:top w:val="nil"/>
            </w:tcBorders>
            <w:vAlign w:val="top"/>
          </w:tcPr>
          <w:p>
            <w:pPr>
              <w:rPr>
                <w:rFonts w:ascii="Arial"/>
                <w:sz w:val="21"/>
              </w:rPr>
            </w:pPr>
          </w:p>
        </w:tc>
        <w:tc>
          <w:tcPr>
            <w:tcW w:w="649" w:type="dxa"/>
            <w:vAlign w:val="top"/>
          </w:tcPr>
          <w:p>
            <w:pPr>
              <w:spacing w:before="61" w:line="232" w:lineRule="auto"/>
              <w:ind w:left="146" w:right="84"/>
              <w:rPr>
                <w:rFonts w:ascii="宋体" w:hAnsi="宋体" w:eastAsia="宋体" w:cs="宋体"/>
                <w:sz w:val="21"/>
                <w:szCs w:val="21"/>
              </w:rPr>
            </w:pPr>
            <w:r>
              <w:rPr>
                <w:rFonts w:ascii="宋体" w:hAnsi="宋体" w:eastAsia="宋体" w:cs="宋体"/>
                <w:spacing w:val="-7"/>
                <w:sz w:val="21"/>
                <w:szCs w:val="21"/>
              </w:rPr>
              <w:t>商业</w:t>
            </w:r>
            <w:r>
              <w:rPr>
                <w:rFonts w:ascii="宋体" w:hAnsi="宋体" w:eastAsia="宋体" w:cs="宋体"/>
                <w:sz w:val="21"/>
                <w:szCs w:val="21"/>
              </w:rPr>
              <w:t xml:space="preserve"> </w:t>
            </w:r>
            <w:r>
              <w:rPr>
                <w:rFonts w:ascii="宋体" w:hAnsi="宋体" w:eastAsia="宋体" w:cs="宋体"/>
                <w:spacing w:val="-6"/>
                <w:sz w:val="21"/>
                <w:szCs w:val="21"/>
              </w:rPr>
              <w:t>企业</w:t>
            </w:r>
          </w:p>
        </w:tc>
        <w:tc>
          <w:tcPr>
            <w:tcW w:w="639" w:type="dxa"/>
            <w:vAlign w:val="top"/>
          </w:tcPr>
          <w:p>
            <w:pPr>
              <w:spacing w:before="48" w:line="228" w:lineRule="auto"/>
              <w:ind w:left="106" w:right="88"/>
              <w:rPr>
                <w:rFonts w:ascii="宋体" w:hAnsi="宋体" w:eastAsia="宋体" w:cs="宋体"/>
                <w:sz w:val="21"/>
                <w:szCs w:val="21"/>
              </w:rPr>
            </w:pPr>
            <w:r>
              <w:rPr>
                <w:rFonts w:ascii="宋体" w:hAnsi="宋体" w:eastAsia="宋体" w:cs="宋体"/>
                <w:spacing w:val="-5"/>
                <w:sz w:val="21"/>
                <w:szCs w:val="21"/>
              </w:rPr>
              <w:t>科研</w:t>
            </w:r>
            <w:r>
              <w:rPr>
                <w:rFonts w:ascii="宋体" w:hAnsi="宋体" w:eastAsia="宋体" w:cs="宋体"/>
                <w:sz w:val="21"/>
                <w:szCs w:val="21"/>
              </w:rPr>
              <w:t xml:space="preserve"> </w:t>
            </w:r>
            <w:r>
              <w:rPr>
                <w:rFonts w:ascii="宋体" w:hAnsi="宋体" w:eastAsia="宋体" w:cs="宋体"/>
                <w:spacing w:val="6"/>
                <w:sz w:val="21"/>
                <w:szCs w:val="21"/>
              </w:rPr>
              <w:t>机构</w:t>
            </w:r>
          </w:p>
        </w:tc>
        <w:tc>
          <w:tcPr>
            <w:tcW w:w="650" w:type="dxa"/>
            <w:vAlign w:val="top"/>
          </w:tcPr>
          <w:p>
            <w:pPr>
              <w:spacing w:before="59" w:line="234" w:lineRule="auto"/>
              <w:ind w:left="27"/>
              <w:rPr>
                <w:rFonts w:ascii="宋体" w:hAnsi="宋体" w:eastAsia="宋体" w:cs="宋体"/>
                <w:sz w:val="20"/>
                <w:szCs w:val="20"/>
              </w:rPr>
            </w:pPr>
            <w:r>
              <w:rPr>
                <w:rFonts w:ascii="宋体" w:hAnsi="宋体" w:eastAsia="宋体" w:cs="宋体"/>
                <w:spacing w:val="4"/>
                <w:sz w:val="20"/>
                <w:szCs w:val="20"/>
              </w:rPr>
              <w:t>社会公</w:t>
            </w:r>
            <w:r>
              <w:rPr>
                <w:rFonts w:ascii="宋体" w:hAnsi="宋体" w:eastAsia="宋体" w:cs="宋体"/>
                <w:sz w:val="20"/>
                <w:szCs w:val="20"/>
              </w:rPr>
              <w:t xml:space="preserve"> </w:t>
            </w:r>
            <w:r>
              <w:rPr>
                <w:rFonts w:ascii="宋体" w:hAnsi="宋体" w:eastAsia="宋体" w:cs="宋体"/>
                <w:spacing w:val="4"/>
                <w:sz w:val="20"/>
                <w:szCs w:val="20"/>
              </w:rPr>
              <w:t>益组织</w:t>
            </w:r>
          </w:p>
        </w:tc>
        <w:tc>
          <w:tcPr>
            <w:tcW w:w="649" w:type="dxa"/>
            <w:vAlign w:val="top"/>
          </w:tcPr>
          <w:p>
            <w:pPr>
              <w:spacing w:before="58" w:line="234" w:lineRule="auto"/>
              <w:ind w:left="18"/>
              <w:rPr>
                <w:rFonts w:ascii="宋体" w:hAnsi="宋体" w:eastAsia="宋体" w:cs="宋体"/>
                <w:sz w:val="20"/>
                <w:szCs w:val="20"/>
              </w:rPr>
            </w:pPr>
            <w:r>
              <w:rPr>
                <w:rFonts w:ascii="宋体" w:hAnsi="宋体" w:eastAsia="宋体" w:cs="宋体"/>
                <w:spacing w:val="-1"/>
                <w:sz w:val="20"/>
                <w:szCs w:val="20"/>
              </w:rPr>
              <w:t>法律服</w:t>
            </w:r>
            <w:r>
              <w:rPr>
                <w:rFonts w:ascii="宋体" w:hAnsi="宋体" w:eastAsia="宋体" w:cs="宋体"/>
                <w:sz w:val="20"/>
                <w:szCs w:val="20"/>
              </w:rPr>
              <w:t xml:space="preserve"> </w:t>
            </w:r>
            <w:r>
              <w:rPr>
                <w:rFonts w:ascii="宋体" w:hAnsi="宋体" w:eastAsia="宋体" w:cs="宋体"/>
                <w:spacing w:val="6"/>
                <w:sz w:val="20"/>
                <w:szCs w:val="20"/>
              </w:rPr>
              <w:t>务机构</w:t>
            </w:r>
          </w:p>
        </w:tc>
        <w:tc>
          <w:tcPr>
            <w:tcW w:w="659" w:type="dxa"/>
            <w:vAlign w:val="top"/>
          </w:tcPr>
          <w:p>
            <w:pPr>
              <w:spacing w:before="190" w:line="220" w:lineRule="auto"/>
              <w:ind w:left="119"/>
              <w:rPr>
                <w:rFonts w:ascii="宋体" w:hAnsi="宋体" w:eastAsia="宋体" w:cs="宋体"/>
                <w:sz w:val="21"/>
                <w:szCs w:val="21"/>
              </w:rPr>
            </w:pPr>
            <w:r>
              <w:rPr>
                <w:rFonts w:ascii="宋体" w:hAnsi="宋体" w:eastAsia="宋体" w:cs="宋体"/>
                <w:spacing w:val="-3"/>
                <w:sz w:val="21"/>
                <w:szCs w:val="21"/>
              </w:rPr>
              <w:t>其他</w:t>
            </w:r>
          </w:p>
        </w:tc>
        <w:tc>
          <w:tcPr>
            <w:tcW w:w="64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150" w:type="dxa"/>
            <w:gridSpan w:val="3"/>
            <w:vAlign w:val="top"/>
          </w:tcPr>
          <w:p>
            <w:pPr>
              <w:spacing w:before="59" w:line="219" w:lineRule="auto"/>
              <w:ind w:left="94"/>
              <w:rPr>
                <w:rFonts w:ascii="宋体" w:hAnsi="宋体" w:eastAsia="宋体" w:cs="宋体"/>
                <w:sz w:val="21"/>
                <w:szCs w:val="21"/>
              </w:rPr>
            </w:pPr>
            <w:r>
              <w:rPr>
                <w:rFonts w:ascii="宋体" w:hAnsi="宋体" w:eastAsia="宋体" w:cs="宋体"/>
                <w:spacing w:val="-2"/>
                <w:sz w:val="21"/>
                <w:szCs w:val="21"/>
              </w:rPr>
              <w:t>一、本年新收政府信息公开申请数量</w:t>
            </w:r>
          </w:p>
        </w:tc>
        <w:tc>
          <w:tcPr>
            <w:tcW w:w="659" w:type="dxa"/>
            <w:vAlign w:val="center"/>
          </w:tcPr>
          <w:p>
            <w:pPr>
              <w:jc w:val="center"/>
              <w:rPr>
                <w:rFonts w:hint="default" w:eastAsia="宋体"/>
                <w:sz w:val="21"/>
                <w:lang w:val="en-US" w:eastAsia="zh-CN"/>
              </w:rPr>
            </w:pPr>
            <w:r>
              <w:rPr>
                <w:rFonts w:hint="eastAsia" w:eastAsia="宋体"/>
                <w:sz w:val="21"/>
                <w:lang w:val="en-US" w:eastAsia="zh-CN"/>
              </w:rPr>
              <w:t>4</w:t>
            </w:r>
          </w:p>
        </w:tc>
        <w:tc>
          <w:tcPr>
            <w:tcW w:w="649" w:type="dxa"/>
            <w:vAlign w:val="center"/>
          </w:tcPr>
          <w:p>
            <w:pPr>
              <w:jc w:val="center"/>
              <w:rPr>
                <w:rFonts w:hint="default"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4" w:type="dxa"/>
            <w:vAlign w:val="center"/>
          </w:tcPr>
          <w:p>
            <w:pPr>
              <w:jc w:val="center"/>
              <w:rPr>
                <w:rFonts w:hint="default" w:eastAsia="宋体"/>
                <w:sz w:val="21"/>
                <w:lang w:val="en-US" w:eastAsia="zh-CN"/>
              </w:rPr>
            </w:pPr>
            <w:r>
              <w:rPr>
                <w:rFonts w:hint="eastAsia" w:eastAsia="宋体"/>
                <w:sz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50" w:type="dxa"/>
            <w:gridSpan w:val="3"/>
            <w:vAlign w:val="top"/>
          </w:tcPr>
          <w:p>
            <w:pPr>
              <w:spacing w:before="69" w:line="219" w:lineRule="auto"/>
              <w:ind w:left="94"/>
              <w:rPr>
                <w:rFonts w:ascii="宋体" w:hAnsi="宋体" w:eastAsia="宋体" w:cs="宋体"/>
                <w:sz w:val="21"/>
                <w:szCs w:val="21"/>
              </w:rPr>
            </w:pPr>
            <w:r>
              <w:rPr>
                <w:rFonts w:ascii="宋体" w:hAnsi="宋体" w:eastAsia="宋体" w:cs="宋体"/>
                <w:spacing w:val="-1"/>
                <w:sz w:val="21"/>
                <w:szCs w:val="21"/>
              </w:rPr>
              <w:t>二、上年结转政府信息公开申请数量</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default"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233" w:lineRule="auto"/>
              <w:ind w:left="44" w:right="1"/>
              <w:jc w:val="both"/>
              <w:rPr>
                <w:rFonts w:ascii="宋体" w:hAnsi="宋体" w:eastAsia="宋体" w:cs="宋体"/>
                <w:sz w:val="21"/>
                <w:szCs w:val="21"/>
              </w:rPr>
            </w:pPr>
            <w:r>
              <w:rPr>
                <w:rFonts w:ascii="宋体" w:hAnsi="宋体" w:eastAsia="宋体" w:cs="宋体"/>
                <w:spacing w:val="-22"/>
                <w:w w:val="95"/>
                <w:sz w:val="20"/>
                <w:szCs w:val="20"/>
              </w:rPr>
              <w:t>三、本年</w:t>
            </w:r>
            <w:r>
              <w:rPr>
                <w:rFonts w:ascii="宋体" w:hAnsi="宋体" w:eastAsia="宋体" w:cs="宋体"/>
                <w:spacing w:val="4"/>
                <w:sz w:val="20"/>
                <w:szCs w:val="20"/>
              </w:rPr>
              <w:t xml:space="preserve"> </w:t>
            </w:r>
            <w:r>
              <w:rPr>
                <w:rFonts w:ascii="宋体" w:hAnsi="宋体" w:eastAsia="宋体" w:cs="宋体"/>
                <w:spacing w:val="-3"/>
                <w:sz w:val="21"/>
                <w:szCs w:val="21"/>
              </w:rPr>
              <w:t>度办理</w:t>
            </w:r>
            <w:r>
              <w:rPr>
                <w:rFonts w:ascii="宋体" w:hAnsi="宋体" w:eastAsia="宋体" w:cs="宋体"/>
                <w:sz w:val="21"/>
                <w:szCs w:val="21"/>
              </w:rPr>
              <w:t xml:space="preserve"> </w:t>
            </w:r>
            <w:r>
              <w:rPr>
                <w:rFonts w:ascii="宋体" w:hAnsi="宋体" w:eastAsia="宋体" w:cs="宋体"/>
                <w:spacing w:val="6"/>
                <w:sz w:val="21"/>
                <w:szCs w:val="21"/>
              </w:rPr>
              <w:t>结果</w:t>
            </w:r>
          </w:p>
        </w:tc>
        <w:tc>
          <w:tcPr>
            <w:tcW w:w="3416" w:type="dxa"/>
            <w:gridSpan w:val="2"/>
            <w:vAlign w:val="top"/>
          </w:tcPr>
          <w:p>
            <w:pPr>
              <w:spacing w:before="61" w:line="221" w:lineRule="auto"/>
              <w:ind w:left="101"/>
              <w:rPr>
                <w:rFonts w:ascii="宋体" w:hAnsi="宋体" w:eastAsia="宋体" w:cs="宋体"/>
                <w:sz w:val="21"/>
                <w:szCs w:val="21"/>
              </w:rPr>
            </w:pPr>
            <w:r>
              <w:rPr>
                <w:rFonts w:ascii="宋体" w:hAnsi="宋体" w:eastAsia="宋体" w:cs="宋体"/>
                <w:spacing w:val="1"/>
                <w:sz w:val="21"/>
                <w:szCs w:val="21"/>
              </w:rPr>
              <w:t>(一)予以公开</w:t>
            </w:r>
          </w:p>
        </w:tc>
        <w:tc>
          <w:tcPr>
            <w:tcW w:w="659" w:type="dxa"/>
            <w:vAlign w:val="center"/>
          </w:tcPr>
          <w:p>
            <w:pPr>
              <w:jc w:val="center"/>
              <w:rPr>
                <w:rFonts w:hint="default" w:eastAsia="宋体"/>
                <w:sz w:val="21"/>
                <w:lang w:val="en-US" w:eastAsia="zh-CN"/>
              </w:rPr>
            </w:pPr>
            <w:r>
              <w:rPr>
                <w:rFonts w:hint="eastAsia" w:eastAsia="宋体"/>
                <w:sz w:val="21"/>
                <w:lang w:val="en-US" w:eastAsia="zh-CN"/>
              </w:rPr>
              <w:t>2</w:t>
            </w:r>
          </w:p>
        </w:tc>
        <w:tc>
          <w:tcPr>
            <w:tcW w:w="649" w:type="dxa"/>
            <w:vAlign w:val="center"/>
          </w:tcPr>
          <w:p>
            <w:pPr>
              <w:jc w:val="center"/>
              <w:rPr>
                <w:rFonts w:hint="default"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4" w:type="dxa"/>
            <w:vAlign w:val="center"/>
          </w:tcPr>
          <w:p>
            <w:pPr>
              <w:jc w:val="center"/>
              <w:rPr>
                <w:rFonts w:hint="default" w:eastAsia="宋体"/>
                <w:sz w:val="21"/>
                <w:lang w:val="en-US" w:eastAsia="zh-CN"/>
              </w:rPr>
            </w:pPr>
            <w:r>
              <w:rPr>
                <w:rFonts w:hint="eastAsia" w:eastAsia="宋体"/>
                <w:sz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3416" w:type="dxa"/>
            <w:gridSpan w:val="2"/>
            <w:vAlign w:val="top"/>
          </w:tcPr>
          <w:p>
            <w:pPr>
              <w:spacing w:before="89" w:line="225" w:lineRule="auto"/>
              <w:ind w:left="101" w:right="46"/>
              <w:rPr>
                <w:rFonts w:ascii="宋体" w:hAnsi="宋体" w:eastAsia="宋体" w:cs="宋体"/>
                <w:sz w:val="21"/>
                <w:szCs w:val="21"/>
              </w:rPr>
            </w:pPr>
            <w:r>
              <w:rPr>
                <w:rFonts w:ascii="宋体" w:hAnsi="宋体" w:eastAsia="宋体" w:cs="宋体"/>
                <w:sz w:val="21"/>
                <w:szCs w:val="21"/>
              </w:rPr>
              <w:t>(二)部分公开(区分处理的，只计这</w:t>
            </w:r>
            <w:r>
              <w:rPr>
                <w:rFonts w:ascii="宋体" w:hAnsi="宋体" w:eastAsia="宋体" w:cs="宋体"/>
                <w:spacing w:val="2"/>
                <w:sz w:val="21"/>
                <w:szCs w:val="21"/>
              </w:rPr>
              <w:t xml:space="preserve"> </w:t>
            </w:r>
            <w:r>
              <w:rPr>
                <w:rFonts w:ascii="宋体" w:hAnsi="宋体" w:eastAsia="宋体" w:cs="宋体"/>
                <w:spacing w:val="3"/>
                <w:sz w:val="21"/>
                <w:szCs w:val="21"/>
              </w:rPr>
              <w:t>一情形，不计其他情形)</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default"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69" w:line="224" w:lineRule="auto"/>
              <w:ind w:left="60" w:right="6"/>
              <w:rPr>
                <w:rFonts w:ascii="宋体" w:hAnsi="宋体" w:eastAsia="宋体" w:cs="宋体"/>
                <w:sz w:val="21"/>
                <w:szCs w:val="21"/>
              </w:rPr>
            </w:pPr>
            <w:r>
              <w:rPr>
                <w:rFonts w:ascii="宋体" w:hAnsi="宋体" w:eastAsia="宋体" w:cs="宋体"/>
                <w:spacing w:val="2"/>
                <w:sz w:val="21"/>
                <w:szCs w:val="21"/>
              </w:rPr>
              <w:t xml:space="preserve">(三)不 </w:t>
            </w:r>
            <w:r>
              <w:rPr>
                <w:rFonts w:ascii="宋体" w:hAnsi="宋体" w:eastAsia="宋体" w:cs="宋体"/>
                <w:spacing w:val="3"/>
                <w:sz w:val="21"/>
                <w:szCs w:val="21"/>
              </w:rPr>
              <w:t>予公开</w:t>
            </w:r>
          </w:p>
        </w:tc>
        <w:tc>
          <w:tcPr>
            <w:tcW w:w="2697" w:type="dxa"/>
            <w:vAlign w:val="top"/>
          </w:tcPr>
          <w:p>
            <w:pPr>
              <w:spacing w:before="61" w:line="219" w:lineRule="auto"/>
              <w:ind w:left="91"/>
              <w:rPr>
                <w:rFonts w:ascii="宋体" w:hAnsi="宋体" w:eastAsia="宋体" w:cs="宋体"/>
                <w:sz w:val="21"/>
                <w:szCs w:val="21"/>
              </w:rPr>
            </w:pPr>
            <w:r>
              <w:rPr>
                <w:rFonts w:ascii="宋体" w:hAnsi="宋体" w:eastAsia="宋体" w:cs="宋体"/>
                <w:spacing w:val="12"/>
                <w:sz w:val="21"/>
                <w:szCs w:val="21"/>
              </w:rPr>
              <w:t>1.属于国家秘密</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default"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81" w:line="221" w:lineRule="auto"/>
              <w:ind w:left="91" w:right="65"/>
              <w:rPr>
                <w:rFonts w:ascii="宋体" w:hAnsi="宋体" w:eastAsia="宋体" w:cs="宋体"/>
                <w:sz w:val="21"/>
                <w:szCs w:val="21"/>
              </w:rPr>
            </w:pPr>
            <w:r>
              <w:rPr>
                <w:rFonts w:ascii="宋体" w:hAnsi="宋体" w:eastAsia="宋体" w:cs="宋体"/>
                <w:spacing w:val="18"/>
                <w:sz w:val="21"/>
                <w:szCs w:val="21"/>
              </w:rPr>
              <w:t>2.其他法律行政法规禁止</w:t>
            </w:r>
            <w:r>
              <w:rPr>
                <w:rFonts w:ascii="宋体" w:hAnsi="宋体" w:eastAsia="宋体" w:cs="宋体"/>
                <w:spacing w:val="2"/>
                <w:sz w:val="21"/>
                <w:szCs w:val="21"/>
              </w:rPr>
              <w:t xml:space="preserve"> </w:t>
            </w:r>
            <w:r>
              <w:rPr>
                <w:rFonts w:ascii="宋体" w:hAnsi="宋体" w:eastAsia="宋体" w:cs="宋体"/>
                <w:spacing w:val="14"/>
                <w:sz w:val="21"/>
                <w:szCs w:val="21"/>
              </w:rPr>
              <w:t>公开</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default"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17"/>
                <w:sz w:val="21"/>
                <w:szCs w:val="21"/>
              </w:rPr>
              <w:t>3.危及“三安全一稳定”</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default"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6"/>
                <w:sz w:val="21"/>
                <w:szCs w:val="21"/>
              </w:rPr>
              <w:t>4.保护第三方合法权益</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8"/>
                <w:sz w:val="21"/>
                <w:szCs w:val="21"/>
              </w:rPr>
              <w:t>5.属于三类内部事务信息</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10"/>
                <w:sz w:val="21"/>
                <w:szCs w:val="21"/>
              </w:rPr>
              <w:t>6.属于四类过程性信息</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7"/>
                <w:sz w:val="21"/>
                <w:szCs w:val="21"/>
              </w:rPr>
              <w:t>7.属于行政执法案卷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63" w:line="220" w:lineRule="auto"/>
              <w:ind w:left="91"/>
              <w:rPr>
                <w:rFonts w:ascii="宋体" w:hAnsi="宋体" w:eastAsia="宋体" w:cs="宋体"/>
                <w:sz w:val="21"/>
                <w:szCs w:val="21"/>
              </w:rPr>
            </w:pPr>
            <w:r>
              <w:rPr>
                <w:rFonts w:ascii="宋体" w:hAnsi="宋体" w:eastAsia="宋体" w:cs="宋体"/>
                <w:spacing w:val="12"/>
                <w:sz w:val="21"/>
                <w:szCs w:val="21"/>
              </w:rPr>
              <w:t>8.属于行政查询事项</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before="282" w:line="219" w:lineRule="auto"/>
              <w:ind w:left="60" w:right="8"/>
              <w:rPr>
                <w:rFonts w:ascii="宋体" w:hAnsi="宋体" w:eastAsia="宋体" w:cs="宋体"/>
                <w:sz w:val="21"/>
                <w:szCs w:val="21"/>
              </w:rPr>
            </w:pPr>
            <w:r>
              <w:rPr>
                <w:rFonts w:ascii="宋体" w:hAnsi="宋体" w:eastAsia="宋体" w:cs="宋体"/>
                <w:spacing w:val="2"/>
                <w:sz w:val="21"/>
                <w:szCs w:val="21"/>
              </w:rPr>
              <w:t>(四)无</w:t>
            </w:r>
            <w:r>
              <w:rPr>
                <w:rFonts w:ascii="宋体" w:hAnsi="宋体" w:eastAsia="宋体" w:cs="宋体"/>
                <w:sz w:val="21"/>
                <w:szCs w:val="21"/>
              </w:rPr>
              <w:t xml:space="preserve"> </w:t>
            </w:r>
            <w:r>
              <w:rPr>
                <w:rFonts w:ascii="宋体" w:hAnsi="宋体" w:eastAsia="宋体" w:cs="宋体"/>
                <w:spacing w:val="-3"/>
                <w:sz w:val="21"/>
                <w:szCs w:val="21"/>
              </w:rPr>
              <w:t>法提供</w:t>
            </w:r>
          </w:p>
        </w:tc>
        <w:tc>
          <w:tcPr>
            <w:tcW w:w="2697" w:type="dxa"/>
            <w:vAlign w:val="top"/>
          </w:tcPr>
          <w:p>
            <w:pPr>
              <w:spacing w:before="61" w:line="228" w:lineRule="auto"/>
              <w:ind w:left="91"/>
              <w:rPr>
                <w:rFonts w:ascii="宋体" w:hAnsi="宋体" w:eastAsia="宋体" w:cs="宋体"/>
                <w:sz w:val="20"/>
                <w:szCs w:val="20"/>
              </w:rPr>
            </w:pPr>
            <w:r>
              <w:rPr>
                <w:rFonts w:ascii="宋体" w:hAnsi="宋体" w:eastAsia="宋体" w:cs="宋体"/>
                <w:spacing w:val="-1"/>
                <w:sz w:val="20"/>
                <w:szCs w:val="20"/>
              </w:rPr>
              <w:t>1.本机关不掌握相关政府信息</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2</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1" w:line="229" w:lineRule="auto"/>
              <w:ind w:left="91"/>
              <w:rPr>
                <w:rFonts w:ascii="宋体" w:hAnsi="宋体" w:eastAsia="宋体" w:cs="宋体"/>
                <w:sz w:val="20"/>
                <w:szCs w:val="20"/>
              </w:rPr>
            </w:pPr>
            <w:r>
              <w:rPr>
                <w:rFonts w:ascii="宋体" w:hAnsi="宋体" w:eastAsia="宋体" w:cs="宋体"/>
                <w:spacing w:val="-1"/>
                <w:sz w:val="20"/>
                <w:szCs w:val="20"/>
              </w:rPr>
              <w:t>2.没有现成信息需要另行制作</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62" w:line="229" w:lineRule="auto"/>
              <w:ind w:left="91"/>
              <w:rPr>
                <w:rFonts w:ascii="宋体" w:hAnsi="宋体" w:eastAsia="宋体" w:cs="宋体"/>
                <w:sz w:val="20"/>
                <w:szCs w:val="20"/>
              </w:rPr>
            </w:pPr>
            <w:r>
              <w:rPr>
                <w:rFonts w:ascii="宋体" w:hAnsi="宋体" w:eastAsia="宋体" w:cs="宋体"/>
                <w:spacing w:val="15"/>
                <w:sz w:val="20"/>
                <w:szCs w:val="20"/>
              </w:rPr>
              <w:t>3.补正后申请内容仍不明确</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68" w:line="229" w:lineRule="auto"/>
              <w:ind w:left="60" w:right="6"/>
              <w:rPr>
                <w:rFonts w:ascii="宋体" w:hAnsi="宋体" w:eastAsia="宋体" w:cs="宋体"/>
                <w:sz w:val="21"/>
                <w:szCs w:val="21"/>
              </w:rPr>
            </w:pPr>
            <w:r>
              <w:rPr>
                <w:rFonts w:ascii="宋体" w:hAnsi="宋体" w:eastAsia="宋体" w:cs="宋体"/>
                <w:spacing w:val="2"/>
                <w:sz w:val="21"/>
                <w:szCs w:val="21"/>
              </w:rPr>
              <w:t>(五)不 予处理</w:t>
            </w: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8"/>
                <w:sz w:val="21"/>
                <w:szCs w:val="21"/>
              </w:rPr>
              <w:t>1.信访举报投诉类申请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3" w:line="219" w:lineRule="auto"/>
              <w:ind w:left="91"/>
              <w:rPr>
                <w:rFonts w:ascii="宋体" w:hAnsi="宋体" w:eastAsia="宋体" w:cs="宋体"/>
                <w:sz w:val="21"/>
                <w:szCs w:val="21"/>
              </w:rPr>
            </w:pPr>
            <w:r>
              <w:rPr>
                <w:rFonts w:ascii="宋体" w:hAnsi="宋体" w:eastAsia="宋体" w:cs="宋体"/>
                <w:spacing w:val="19"/>
                <w:sz w:val="21"/>
                <w:szCs w:val="21"/>
              </w:rPr>
              <w:t>2.重复申请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62" w:line="219" w:lineRule="auto"/>
              <w:ind w:left="91"/>
              <w:rPr>
                <w:rFonts w:ascii="宋体" w:hAnsi="宋体" w:eastAsia="宋体" w:cs="宋体"/>
                <w:sz w:val="21"/>
                <w:szCs w:val="21"/>
              </w:rPr>
            </w:pPr>
            <w:r>
              <w:rPr>
                <w:rFonts w:ascii="宋体" w:hAnsi="宋体" w:eastAsia="宋体" w:cs="宋体"/>
                <w:spacing w:val="8"/>
                <w:sz w:val="21"/>
                <w:szCs w:val="21"/>
              </w:rPr>
              <w:t>3.要求提供公开出版物</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104" w:line="219" w:lineRule="auto"/>
              <w:ind w:left="91" w:right="85"/>
              <w:rPr>
                <w:rFonts w:ascii="宋体" w:hAnsi="宋体" w:eastAsia="宋体" w:cs="宋体"/>
                <w:sz w:val="21"/>
                <w:szCs w:val="21"/>
              </w:rPr>
            </w:pPr>
            <w:r>
              <w:rPr>
                <w:rFonts w:ascii="宋体" w:hAnsi="宋体" w:eastAsia="宋体" w:cs="宋体"/>
                <w:spacing w:val="27"/>
                <w:sz w:val="21"/>
                <w:szCs w:val="21"/>
              </w:rPr>
              <w:t>4</w:t>
            </w:r>
            <w:r>
              <w:rPr>
                <w:rFonts w:hint="eastAsia" w:ascii="宋体" w:hAnsi="宋体" w:eastAsia="宋体" w:cs="宋体"/>
                <w:spacing w:val="27"/>
                <w:sz w:val="21"/>
                <w:szCs w:val="21"/>
                <w:lang w:val="en-US" w:eastAsia="zh-CN"/>
              </w:rPr>
              <w:t>.无</w:t>
            </w:r>
            <w:r>
              <w:rPr>
                <w:rFonts w:ascii="宋体" w:hAnsi="宋体" w:eastAsia="宋体" w:cs="宋体"/>
                <w:spacing w:val="27"/>
                <w:sz w:val="21"/>
                <w:szCs w:val="21"/>
              </w:rPr>
              <w:t>正当理由大量反复</w:t>
            </w:r>
            <w:r>
              <w:rPr>
                <w:rFonts w:ascii="宋体" w:hAnsi="宋体" w:eastAsia="宋体" w:cs="宋体"/>
                <w:sz w:val="21"/>
                <w:szCs w:val="21"/>
              </w:rPr>
              <w:t xml:space="preserve"> </w:t>
            </w:r>
            <w:r>
              <w:rPr>
                <w:rFonts w:ascii="宋体" w:hAnsi="宋体" w:eastAsia="宋体" w:cs="宋体"/>
                <w:spacing w:val="-18"/>
                <w:sz w:val="21"/>
                <w:szCs w:val="21"/>
              </w:rPr>
              <w:t>申</w:t>
            </w:r>
            <w:r>
              <w:rPr>
                <w:rFonts w:ascii="宋体" w:hAnsi="宋体" w:eastAsia="宋体" w:cs="宋体"/>
                <w:spacing w:val="-34"/>
                <w:sz w:val="21"/>
                <w:szCs w:val="21"/>
              </w:rPr>
              <w:t xml:space="preserve"> </w:t>
            </w:r>
            <w:r>
              <w:rPr>
                <w:rFonts w:ascii="宋体" w:hAnsi="宋体" w:eastAsia="宋体" w:cs="宋体"/>
                <w:spacing w:val="-18"/>
                <w:sz w:val="21"/>
                <w:szCs w:val="21"/>
              </w:rPr>
              <w:t>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113" w:line="222" w:lineRule="auto"/>
              <w:ind w:left="91" w:right="65"/>
              <w:rPr>
                <w:rFonts w:ascii="宋体" w:hAnsi="宋体" w:eastAsia="宋体" w:cs="宋体"/>
                <w:sz w:val="21"/>
                <w:szCs w:val="21"/>
              </w:rPr>
            </w:pPr>
            <w:r>
              <w:rPr>
                <w:rFonts w:ascii="宋体" w:hAnsi="宋体" w:eastAsia="宋体" w:cs="宋体"/>
                <w:spacing w:val="18"/>
                <w:sz w:val="21"/>
                <w:szCs w:val="21"/>
              </w:rPr>
              <w:t>5.要求行政机关确认或重</w:t>
            </w:r>
            <w:r>
              <w:rPr>
                <w:rFonts w:ascii="宋体" w:hAnsi="宋体" w:eastAsia="宋体" w:cs="宋体"/>
                <w:spacing w:val="2"/>
                <w:sz w:val="21"/>
                <w:szCs w:val="21"/>
              </w:rPr>
              <w:t xml:space="preserve"> </w:t>
            </w:r>
            <w:r>
              <w:rPr>
                <w:rFonts w:ascii="宋体" w:hAnsi="宋体" w:eastAsia="宋体" w:cs="宋体"/>
                <w:spacing w:val="6"/>
                <w:sz w:val="21"/>
                <w:szCs w:val="21"/>
              </w:rPr>
              <w:t>新出具已获取信息</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9" w:line="224" w:lineRule="auto"/>
              <w:ind w:left="60" w:right="8"/>
              <w:rPr>
                <w:rFonts w:ascii="宋体" w:hAnsi="宋体" w:eastAsia="宋体" w:cs="宋体"/>
                <w:sz w:val="21"/>
                <w:szCs w:val="21"/>
              </w:rPr>
            </w:pPr>
            <w:r>
              <w:rPr>
                <w:rFonts w:ascii="宋体" w:hAnsi="宋体" w:eastAsia="宋体" w:cs="宋体"/>
                <w:spacing w:val="2"/>
                <w:sz w:val="21"/>
                <w:szCs w:val="21"/>
              </w:rPr>
              <w:t>(六)其</w:t>
            </w:r>
            <w:r>
              <w:rPr>
                <w:rFonts w:ascii="宋体" w:hAnsi="宋体" w:eastAsia="宋体" w:cs="宋体"/>
                <w:sz w:val="21"/>
                <w:szCs w:val="21"/>
              </w:rPr>
              <w:t xml:space="preserve"> </w:t>
            </w:r>
            <w:r>
              <w:rPr>
                <w:rFonts w:ascii="宋体" w:hAnsi="宋体" w:eastAsia="宋体" w:cs="宋体"/>
                <w:spacing w:val="-2"/>
                <w:sz w:val="21"/>
                <w:szCs w:val="21"/>
              </w:rPr>
              <w:t>他处理</w:t>
            </w:r>
          </w:p>
        </w:tc>
        <w:tc>
          <w:tcPr>
            <w:tcW w:w="2697" w:type="dxa"/>
            <w:vAlign w:val="top"/>
          </w:tcPr>
          <w:p>
            <w:pPr>
              <w:spacing w:before="105" w:line="225" w:lineRule="auto"/>
              <w:ind w:left="91" w:right="61"/>
              <w:jc w:val="both"/>
              <w:rPr>
                <w:rFonts w:ascii="宋体" w:hAnsi="宋体" w:eastAsia="宋体" w:cs="宋体"/>
                <w:sz w:val="21"/>
                <w:szCs w:val="21"/>
              </w:rPr>
            </w:pPr>
            <w:r>
              <w:rPr>
                <w:rFonts w:ascii="宋体" w:hAnsi="宋体" w:eastAsia="宋体" w:cs="宋体"/>
                <w:spacing w:val="13"/>
                <w:sz w:val="21"/>
                <w:szCs w:val="21"/>
              </w:rPr>
              <w:t>1.</w:t>
            </w:r>
            <w:r>
              <w:rPr>
                <w:rFonts w:ascii="宋体" w:hAnsi="宋体" w:eastAsia="宋体" w:cs="宋体"/>
                <w:spacing w:val="-39"/>
                <w:sz w:val="21"/>
                <w:szCs w:val="21"/>
              </w:rPr>
              <w:t xml:space="preserve"> </w:t>
            </w:r>
            <w:r>
              <w:rPr>
                <w:rFonts w:ascii="宋体" w:hAnsi="宋体" w:eastAsia="宋体" w:cs="宋体"/>
                <w:spacing w:val="13"/>
                <w:sz w:val="21"/>
                <w:szCs w:val="21"/>
              </w:rPr>
              <w:t>申请人无正当理由逾期</w:t>
            </w:r>
            <w:r>
              <w:rPr>
                <w:rFonts w:ascii="宋体" w:hAnsi="宋体" w:eastAsia="宋体" w:cs="宋体"/>
                <w:sz w:val="21"/>
                <w:szCs w:val="21"/>
              </w:rPr>
              <w:t xml:space="preserve"> </w:t>
            </w:r>
            <w:r>
              <w:rPr>
                <w:rFonts w:ascii="宋体" w:hAnsi="宋体" w:eastAsia="宋体" w:cs="宋体"/>
                <w:spacing w:val="-1"/>
                <w:sz w:val="21"/>
                <w:szCs w:val="21"/>
              </w:rPr>
              <w:t>不补正、行政机关不再处理</w:t>
            </w:r>
            <w:r>
              <w:rPr>
                <w:rFonts w:ascii="宋体" w:hAnsi="宋体" w:eastAsia="宋体" w:cs="宋体"/>
                <w:sz w:val="21"/>
                <w:szCs w:val="21"/>
              </w:rPr>
              <w:t xml:space="preserve"> </w:t>
            </w:r>
            <w:r>
              <w:rPr>
                <w:rFonts w:ascii="宋体" w:hAnsi="宋体" w:eastAsia="宋体" w:cs="宋体"/>
                <w:spacing w:val="4"/>
                <w:sz w:val="21"/>
                <w:szCs w:val="21"/>
              </w:rPr>
              <w:t>其政府信息公开申请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spacing w:before="95" w:line="236" w:lineRule="auto"/>
              <w:ind w:left="91"/>
              <w:jc w:val="both"/>
              <w:rPr>
                <w:rFonts w:ascii="宋体" w:hAnsi="宋体" w:eastAsia="宋体" w:cs="宋体"/>
                <w:sz w:val="20"/>
                <w:szCs w:val="20"/>
              </w:rPr>
            </w:pPr>
            <w:r>
              <w:rPr>
                <w:rFonts w:ascii="宋体" w:hAnsi="宋体" w:eastAsia="宋体" w:cs="宋体"/>
                <w:spacing w:val="10"/>
                <w:sz w:val="20"/>
                <w:szCs w:val="20"/>
              </w:rPr>
              <w:t>2.申请人逾期未按收费通知</w:t>
            </w:r>
            <w:r>
              <w:rPr>
                <w:rFonts w:ascii="宋体" w:hAnsi="宋体" w:eastAsia="宋体" w:cs="宋体"/>
                <w:spacing w:val="1"/>
                <w:sz w:val="20"/>
                <w:szCs w:val="20"/>
              </w:rPr>
              <w:t xml:space="preserve"> </w:t>
            </w:r>
            <w:r>
              <w:rPr>
                <w:rFonts w:ascii="宋体" w:hAnsi="宋体" w:eastAsia="宋体" w:cs="宋体"/>
                <w:spacing w:val="-1"/>
                <w:sz w:val="20"/>
                <w:szCs w:val="20"/>
              </w:rPr>
              <w:t>要求缴纳费用、行政机关不再</w:t>
            </w:r>
            <w:r>
              <w:rPr>
                <w:rFonts w:ascii="宋体" w:hAnsi="宋体" w:eastAsia="宋体" w:cs="宋体"/>
                <w:spacing w:val="7"/>
                <w:sz w:val="20"/>
                <w:szCs w:val="20"/>
              </w:rPr>
              <w:t xml:space="preserve"> </w:t>
            </w:r>
            <w:r>
              <w:rPr>
                <w:rFonts w:ascii="宋体" w:hAnsi="宋体" w:eastAsia="宋体" w:cs="宋体"/>
                <w:spacing w:val="10"/>
                <w:sz w:val="20"/>
                <w:szCs w:val="20"/>
              </w:rPr>
              <w:t>处理其政府信息公开申请</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spacing w:before="68" w:line="220" w:lineRule="auto"/>
              <w:ind w:left="91"/>
              <w:rPr>
                <w:rFonts w:ascii="宋体" w:hAnsi="宋体" w:eastAsia="宋体" w:cs="宋体"/>
                <w:sz w:val="21"/>
                <w:szCs w:val="21"/>
              </w:rPr>
            </w:pPr>
            <w:r>
              <w:rPr>
                <w:rFonts w:ascii="宋体" w:hAnsi="宋体" w:eastAsia="宋体" w:cs="宋体"/>
                <w:sz w:val="21"/>
                <w:szCs w:val="21"/>
              </w:rPr>
              <w:t>3</w:t>
            </w:r>
            <w:r>
              <w:rPr>
                <w:rFonts w:ascii="宋体" w:hAnsi="宋体" w:eastAsia="宋体" w:cs="宋体"/>
                <w:spacing w:val="-54"/>
                <w:sz w:val="21"/>
                <w:szCs w:val="21"/>
              </w:rPr>
              <w:t xml:space="preserve"> </w:t>
            </w:r>
            <w:r>
              <w:rPr>
                <w:rFonts w:ascii="宋体" w:hAnsi="宋体" w:eastAsia="宋体" w:cs="宋体"/>
                <w:sz w:val="21"/>
                <w:szCs w:val="21"/>
              </w:rPr>
              <w:t>.</w:t>
            </w:r>
            <w:r>
              <w:rPr>
                <w:rFonts w:ascii="宋体" w:hAnsi="宋体" w:eastAsia="宋体" w:cs="宋体"/>
                <w:spacing w:val="-59"/>
                <w:sz w:val="21"/>
                <w:szCs w:val="21"/>
              </w:rPr>
              <w:t xml:space="preserve"> </w:t>
            </w:r>
            <w:r>
              <w:rPr>
                <w:rFonts w:ascii="宋体" w:hAnsi="宋体" w:eastAsia="宋体" w:cs="宋体"/>
                <w:sz w:val="21"/>
                <w:szCs w:val="21"/>
              </w:rPr>
              <w:t>其他</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tcBorders>
            <w:vAlign w:val="top"/>
          </w:tcPr>
          <w:p>
            <w:pPr>
              <w:rPr>
                <w:rFonts w:ascii="Arial"/>
                <w:sz w:val="21"/>
              </w:rPr>
            </w:pPr>
          </w:p>
        </w:tc>
        <w:tc>
          <w:tcPr>
            <w:tcW w:w="3416" w:type="dxa"/>
            <w:gridSpan w:val="2"/>
            <w:vAlign w:val="top"/>
          </w:tcPr>
          <w:p>
            <w:pPr>
              <w:spacing w:before="68" w:line="221" w:lineRule="auto"/>
              <w:ind w:left="101"/>
              <w:rPr>
                <w:rFonts w:ascii="宋体" w:hAnsi="宋体" w:eastAsia="宋体" w:cs="宋体"/>
                <w:sz w:val="21"/>
                <w:szCs w:val="21"/>
              </w:rPr>
            </w:pPr>
            <w:r>
              <w:rPr>
                <w:rFonts w:ascii="宋体" w:hAnsi="宋体" w:eastAsia="宋体" w:cs="宋体"/>
                <w:spacing w:val="1"/>
                <w:sz w:val="21"/>
                <w:szCs w:val="21"/>
              </w:rPr>
              <w:t>(七)总计</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4</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cs="Arial"/>
                <w:snapToGrid w:val="0"/>
                <w:color w:val="000000"/>
                <w:kern w:val="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150" w:type="dxa"/>
            <w:gridSpan w:val="3"/>
            <w:vAlign w:val="top"/>
          </w:tcPr>
          <w:p>
            <w:pPr>
              <w:spacing w:before="67" w:line="219" w:lineRule="auto"/>
              <w:ind w:left="94"/>
              <w:rPr>
                <w:rFonts w:ascii="宋体" w:hAnsi="宋体" w:eastAsia="宋体" w:cs="宋体"/>
                <w:sz w:val="21"/>
                <w:szCs w:val="21"/>
              </w:rPr>
            </w:pPr>
            <w:r>
              <w:rPr>
                <w:rFonts w:ascii="宋体" w:hAnsi="宋体" w:eastAsia="宋体" w:cs="宋体"/>
                <w:sz w:val="21"/>
                <w:szCs w:val="21"/>
              </w:rPr>
              <w:t>四、结转下年度继续办理</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3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0"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59"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c>
          <w:tcPr>
            <w:tcW w:w="644" w:type="dxa"/>
            <w:vAlign w:val="center"/>
          </w:tcPr>
          <w:p>
            <w:pPr>
              <w:jc w:val="center"/>
              <w:rPr>
                <w:rFonts w:hint="default" w:ascii="Arial" w:hAnsi="Arial" w:eastAsia="宋体" w:cs="Arial"/>
                <w:snapToGrid w:val="0"/>
                <w:color w:val="000000"/>
                <w:kern w:val="0"/>
                <w:sz w:val="21"/>
                <w:szCs w:val="21"/>
                <w:lang w:val="en-US" w:eastAsia="zh-CN"/>
              </w:rPr>
            </w:pPr>
            <w:r>
              <w:rPr>
                <w:rFonts w:hint="eastAsia" w:eastAsia="宋体"/>
                <w:sz w:val="21"/>
                <w:lang w:val="en-US" w:eastAsia="zh-CN"/>
              </w:rPr>
              <w:t>0</w:t>
            </w:r>
          </w:p>
        </w:tc>
      </w:tr>
    </w:tbl>
    <w:p>
      <w:pPr>
        <w:rPr>
          <w:rFonts w:ascii="Arial"/>
          <w:sz w:val="21"/>
        </w:rPr>
      </w:pPr>
    </w:p>
    <w:p>
      <w:pPr>
        <w:sectPr>
          <w:footerReference r:id="rId6" w:type="default"/>
          <w:pgSz w:w="11820" w:h="16730"/>
          <w:pgMar w:top="1422" w:right="1555" w:bottom="1218" w:left="1555" w:header="0" w:footer="1052"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98" w:line="220" w:lineRule="auto"/>
        <w:ind w:left="599"/>
        <w:outlineLvl w:val="0"/>
        <w:rPr>
          <w:rFonts w:ascii="黑体" w:hAnsi="黑体" w:eastAsia="黑体" w:cs="黑体"/>
          <w:b w:val="0"/>
          <w:bCs w:val="0"/>
          <w:sz w:val="32"/>
          <w:szCs w:val="32"/>
        </w:rPr>
      </w:pPr>
      <w:r>
        <w:rPr>
          <w:rFonts w:ascii="黑体" w:hAnsi="黑体" w:eastAsia="黑体" w:cs="黑体"/>
          <w:b w:val="0"/>
          <w:bCs w:val="0"/>
          <w:spacing w:val="-11"/>
          <w:sz w:val="32"/>
          <w:szCs w:val="32"/>
        </w:rPr>
        <w:t>四</w:t>
      </w:r>
      <w:r>
        <w:rPr>
          <w:rFonts w:ascii="黑体" w:hAnsi="黑体" w:eastAsia="黑体" w:cs="黑体"/>
          <w:b w:val="0"/>
          <w:bCs w:val="0"/>
          <w:spacing w:val="-68"/>
          <w:sz w:val="32"/>
          <w:szCs w:val="32"/>
        </w:rPr>
        <w:t xml:space="preserve"> </w:t>
      </w:r>
      <w:r>
        <w:rPr>
          <w:rFonts w:ascii="黑体" w:hAnsi="黑体" w:eastAsia="黑体" w:cs="黑体"/>
          <w:b w:val="0"/>
          <w:bCs w:val="0"/>
          <w:spacing w:val="-11"/>
          <w:sz w:val="32"/>
          <w:szCs w:val="32"/>
        </w:rPr>
        <w:t>、政府信息公开行政复议、行政诉讼情况</w:t>
      </w:r>
    </w:p>
    <w:p/>
    <w:p>
      <w:pPr>
        <w:spacing w:line="119" w:lineRule="auto"/>
        <w:rPr>
          <w:rFonts w:ascii="Arial"/>
          <w:sz w:val="2"/>
        </w:rPr>
      </w:pPr>
    </w:p>
    <w:tbl>
      <w:tblPr>
        <w:tblStyle w:val="5"/>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80"/>
        <w:gridCol w:w="579"/>
        <w:gridCol w:w="579"/>
        <w:gridCol w:w="590"/>
        <w:gridCol w:w="589"/>
        <w:gridCol w:w="579"/>
        <w:gridCol w:w="580"/>
        <w:gridCol w:w="579"/>
        <w:gridCol w:w="579"/>
        <w:gridCol w:w="579"/>
        <w:gridCol w:w="580"/>
        <w:gridCol w:w="589"/>
        <w:gridCol w:w="589"/>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2" w:type="dxa"/>
            <w:gridSpan w:val="5"/>
            <w:vAlign w:val="top"/>
          </w:tcPr>
          <w:p>
            <w:pPr>
              <w:spacing w:before="64" w:line="220" w:lineRule="auto"/>
              <w:ind w:left="1025"/>
              <w:rPr>
                <w:rFonts w:ascii="宋体" w:hAnsi="宋体" w:eastAsia="宋体" w:cs="宋体"/>
                <w:sz w:val="21"/>
                <w:szCs w:val="21"/>
              </w:rPr>
            </w:pPr>
            <w:r>
              <w:rPr>
                <w:rFonts w:ascii="宋体" w:hAnsi="宋体" w:eastAsia="宋体" w:cs="宋体"/>
                <w:spacing w:val="2"/>
                <w:sz w:val="21"/>
                <w:szCs w:val="21"/>
              </w:rPr>
              <w:t>行政复议</w:t>
            </w:r>
          </w:p>
        </w:tc>
        <w:tc>
          <w:tcPr>
            <w:tcW w:w="5817" w:type="dxa"/>
            <w:gridSpan w:val="10"/>
            <w:vAlign w:val="top"/>
          </w:tcPr>
          <w:p>
            <w:pPr>
              <w:spacing w:before="64" w:line="220" w:lineRule="auto"/>
              <w:ind w:left="2483"/>
              <w:rPr>
                <w:rFonts w:ascii="宋体" w:hAnsi="宋体" w:eastAsia="宋体" w:cs="宋体"/>
                <w:sz w:val="21"/>
                <w:szCs w:val="21"/>
              </w:rPr>
            </w:pPr>
            <w:r>
              <w:rPr>
                <w:rFonts w:ascii="宋体" w:hAnsi="宋体" w:eastAsia="宋体" w:cs="宋体"/>
                <w:spacing w:val="2"/>
                <w:sz w:val="21"/>
                <w:szCs w:val="21"/>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84" w:type="dxa"/>
            <w:vMerge w:val="restart"/>
            <w:tcBorders>
              <w:bottom w:val="nil"/>
            </w:tcBorders>
            <w:vAlign w:val="top"/>
          </w:tcPr>
          <w:p>
            <w:pPr>
              <w:spacing w:before="232" w:line="232" w:lineRule="auto"/>
              <w:ind w:left="75" w:right="66"/>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Merge w:val="restart"/>
            <w:tcBorders>
              <w:bottom w:val="nil"/>
            </w:tcBorders>
            <w:vAlign w:val="top"/>
          </w:tcPr>
          <w:p>
            <w:pPr>
              <w:spacing w:before="221" w:line="233" w:lineRule="auto"/>
              <w:ind w:left="70" w:right="66"/>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79" w:type="dxa"/>
            <w:vMerge w:val="restart"/>
            <w:tcBorders>
              <w:bottom w:val="nil"/>
            </w:tcBorders>
            <w:vAlign w:val="top"/>
          </w:tcPr>
          <w:p>
            <w:pPr>
              <w:spacing w:before="222" w:line="237" w:lineRule="auto"/>
              <w:ind w:left="91" w:right="45"/>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Merge w:val="restart"/>
            <w:tcBorders>
              <w:bottom w:val="nil"/>
            </w:tcBorders>
            <w:vAlign w:val="top"/>
          </w:tcPr>
          <w:p>
            <w:pPr>
              <w:spacing w:before="241" w:line="224" w:lineRule="auto"/>
              <w:ind w:left="102" w:right="34"/>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90" w:type="dxa"/>
            <w:vMerge w:val="restart"/>
            <w:tcBorders>
              <w:bottom w:val="nil"/>
            </w:tcBorders>
            <w:vAlign w:val="top"/>
          </w:tcPr>
          <w:p>
            <w:pPr>
              <w:spacing w:line="301" w:lineRule="auto"/>
              <w:rPr>
                <w:rFonts w:ascii="Arial"/>
                <w:sz w:val="21"/>
              </w:rPr>
            </w:pPr>
          </w:p>
          <w:p>
            <w:pPr>
              <w:spacing w:before="68" w:line="221" w:lineRule="auto"/>
              <w:ind w:left="93"/>
              <w:rPr>
                <w:rFonts w:ascii="宋体" w:hAnsi="宋体" w:eastAsia="宋体" w:cs="宋体"/>
                <w:sz w:val="21"/>
                <w:szCs w:val="21"/>
              </w:rPr>
            </w:pPr>
            <w:r>
              <w:rPr>
                <w:rFonts w:ascii="宋体" w:hAnsi="宋体" w:eastAsia="宋体" w:cs="宋体"/>
                <w:spacing w:val="4"/>
                <w:sz w:val="21"/>
                <w:szCs w:val="21"/>
              </w:rPr>
              <w:t>总计</w:t>
            </w:r>
          </w:p>
        </w:tc>
        <w:tc>
          <w:tcPr>
            <w:tcW w:w="2906" w:type="dxa"/>
            <w:gridSpan w:val="5"/>
            <w:vAlign w:val="top"/>
          </w:tcPr>
          <w:p>
            <w:pPr>
              <w:spacing w:before="51" w:line="220" w:lineRule="auto"/>
              <w:ind w:left="603"/>
              <w:rPr>
                <w:rFonts w:ascii="宋体" w:hAnsi="宋体" w:eastAsia="宋体" w:cs="宋体"/>
                <w:sz w:val="21"/>
                <w:szCs w:val="21"/>
              </w:rPr>
            </w:pPr>
            <w:r>
              <w:rPr>
                <w:rFonts w:ascii="宋体" w:hAnsi="宋体" w:eastAsia="宋体" w:cs="宋体"/>
                <w:spacing w:val="1"/>
                <w:sz w:val="21"/>
                <w:szCs w:val="21"/>
              </w:rPr>
              <w:t>未经复议直接起诉</w:t>
            </w:r>
          </w:p>
        </w:tc>
        <w:tc>
          <w:tcPr>
            <w:tcW w:w="2911" w:type="dxa"/>
            <w:gridSpan w:val="5"/>
            <w:vAlign w:val="top"/>
          </w:tcPr>
          <w:p>
            <w:pPr>
              <w:spacing w:before="51" w:line="220" w:lineRule="auto"/>
              <w:ind w:left="927"/>
              <w:rPr>
                <w:rFonts w:ascii="宋体" w:hAnsi="宋体" w:eastAsia="宋体" w:cs="宋体"/>
                <w:sz w:val="21"/>
                <w:szCs w:val="21"/>
              </w:rPr>
            </w:pPr>
            <w:r>
              <w:rPr>
                <w:rFonts w:ascii="宋体" w:hAnsi="宋体" w:eastAsia="宋体" w:cs="宋体"/>
                <w:spacing w:val="1"/>
                <w:sz w:val="21"/>
                <w:szCs w:val="21"/>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84" w:type="dxa"/>
            <w:vMerge w:val="continue"/>
            <w:tcBorders>
              <w:top w:val="nil"/>
            </w:tcBorders>
            <w:vAlign w:val="top"/>
          </w:tcPr>
          <w:p>
            <w:pPr>
              <w:rPr>
                <w:rFonts w:ascii="Arial"/>
                <w:sz w:val="21"/>
              </w:rPr>
            </w:pPr>
          </w:p>
        </w:tc>
        <w:tc>
          <w:tcPr>
            <w:tcW w:w="580"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590" w:type="dxa"/>
            <w:vMerge w:val="continue"/>
            <w:tcBorders>
              <w:top w:val="nil"/>
            </w:tcBorders>
            <w:vAlign w:val="top"/>
          </w:tcPr>
          <w:p>
            <w:pPr>
              <w:rPr>
                <w:rFonts w:ascii="Arial"/>
                <w:sz w:val="21"/>
              </w:rPr>
            </w:pPr>
          </w:p>
        </w:tc>
        <w:tc>
          <w:tcPr>
            <w:tcW w:w="589" w:type="dxa"/>
            <w:vAlign w:val="top"/>
          </w:tcPr>
          <w:p>
            <w:pPr>
              <w:spacing w:before="83" w:line="228" w:lineRule="auto"/>
              <w:ind w:left="33" w:right="113"/>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79" w:type="dxa"/>
            <w:vAlign w:val="top"/>
          </w:tcPr>
          <w:p>
            <w:pPr>
              <w:spacing w:before="83" w:line="224" w:lineRule="auto"/>
              <w:ind w:left="74" w:right="62"/>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0" w:type="dxa"/>
            <w:vAlign w:val="top"/>
          </w:tcPr>
          <w:p>
            <w:pPr>
              <w:spacing w:before="72" w:line="229" w:lineRule="auto"/>
              <w:ind w:left="74" w:right="62"/>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79" w:type="dxa"/>
            <w:vAlign w:val="top"/>
          </w:tcPr>
          <w:p>
            <w:pPr>
              <w:spacing w:before="73" w:line="224" w:lineRule="auto"/>
              <w:ind w:left="105" w:right="31"/>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9" w:type="dxa"/>
            <w:vAlign w:val="top"/>
          </w:tcPr>
          <w:p>
            <w:pPr>
              <w:spacing w:before="213" w:line="221" w:lineRule="auto"/>
              <w:ind w:left="95"/>
              <w:rPr>
                <w:rFonts w:ascii="宋体" w:hAnsi="宋体" w:eastAsia="宋体" w:cs="宋体"/>
                <w:sz w:val="21"/>
                <w:szCs w:val="21"/>
              </w:rPr>
            </w:pPr>
            <w:r>
              <w:rPr>
                <w:rFonts w:ascii="宋体" w:hAnsi="宋体" w:eastAsia="宋体" w:cs="宋体"/>
                <w:spacing w:val="4"/>
                <w:sz w:val="21"/>
                <w:szCs w:val="21"/>
              </w:rPr>
              <w:t>总计</w:t>
            </w:r>
          </w:p>
        </w:tc>
        <w:tc>
          <w:tcPr>
            <w:tcW w:w="579" w:type="dxa"/>
            <w:vAlign w:val="top"/>
          </w:tcPr>
          <w:p>
            <w:pPr>
              <w:spacing w:before="72" w:line="224" w:lineRule="auto"/>
              <w:ind w:left="76" w:right="5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3"/>
                <w:sz w:val="21"/>
                <w:szCs w:val="21"/>
              </w:rPr>
              <w:t>维持</w:t>
            </w:r>
          </w:p>
        </w:tc>
        <w:tc>
          <w:tcPr>
            <w:tcW w:w="580" w:type="dxa"/>
            <w:vAlign w:val="top"/>
          </w:tcPr>
          <w:p>
            <w:pPr>
              <w:spacing w:before="73" w:line="233" w:lineRule="auto"/>
              <w:ind w:left="77" w:right="59"/>
              <w:rPr>
                <w:rFonts w:ascii="宋体" w:hAnsi="宋体" w:eastAsia="宋体" w:cs="宋体"/>
                <w:sz w:val="21"/>
                <w:szCs w:val="21"/>
              </w:rPr>
            </w:pPr>
            <w:r>
              <w:rPr>
                <w:rFonts w:ascii="宋体" w:hAnsi="宋体" w:eastAsia="宋体" w:cs="宋体"/>
                <w:spacing w:val="6"/>
                <w:sz w:val="21"/>
                <w:szCs w:val="21"/>
              </w:rPr>
              <w:t>结果</w:t>
            </w:r>
            <w:r>
              <w:rPr>
                <w:rFonts w:ascii="宋体" w:hAnsi="宋体" w:eastAsia="宋体" w:cs="宋体"/>
                <w:sz w:val="21"/>
                <w:szCs w:val="21"/>
              </w:rPr>
              <w:t xml:space="preserve"> </w:t>
            </w:r>
            <w:r>
              <w:rPr>
                <w:rFonts w:ascii="宋体" w:hAnsi="宋体" w:eastAsia="宋体" w:cs="宋体"/>
                <w:spacing w:val="6"/>
                <w:sz w:val="21"/>
                <w:szCs w:val="21"/>
              </w:rPr>
              <w:t>纠正</w:t>
            </w:r>
          </w:p>
        </w:tc>
        <w:tc>
          <w:tcPr>
            <w:tcW w:w="589" w:type="dxa"/>
            <w:vAlign w:val="top"/>
          </w:tcPr>
          <w:p>
            <w:pPr>
              <w:spacing w:before="73" w:line="224" w:lineRule="auto"/>
              <w:ind w:left="78" w:right="68"/>
              <w:rPr>
                <w:rFonts w:ascii="宋体" w:hAnsi="宋体" w:eastAsia="宋体" w:cs="宋体"/>
                <w:sz w:val="21"/>
                <w:szCs w:val="21"/>
              </w:rPr>
            </w:pPr>
            <w:r>
              <w:rPr>
                <w:rFonts w:ascii="宋体" w:hAnsi="宋体" w:eastAsia="宋体" w:cs="宋体"/>
                <w:spacing w:val="-5"/>
                <w:sz w:val="21"/>
                <w:szCs w:val="21"/>
              </w:rPr>
              <w:t>其他</w:t>
            </w:r>
            <w:r>
              <w:rPr>
                <w:rFonts w:ascii="宋体" w:hAnsi="宋体" w:eastAsia="宋体" w:cs="宋体"/>
                <w:sz w:val="21"/>
                <w:szCs w:val="21"/>
              </w:rPr>
              <w:t xml:space="preserve"> </w:t>
            </w:r>
            <w:r>
              <w:rPr>
                <w:rFonts w:ascii="宋体" w:hAnsi="宋体" w:eastAsia="宋体" w:cs="宋体"/>
                <w:spacing w:val="6"/>
                <w:sz w:val="21"/>
                <w:szCs w:val="21"/>
              </w:rPr>
              <w:t>结果</w:t>
            </w:r>
          </w:p>
        </w:tc>
        <w:tc>
          <w:tcPr>
            <w:tcW w:w="589" w:type="dxa"/>
            <w:vAlign w:val="top"/>
          </w:tcPr>
          <w:p>
            <w:pPr>
              <w:spacing w:before="73" w:line="233" w:lineRule="auto"/>
              <w:ind w:left="79" w:right="67"/>
              <w:rPr>
                <w:rFonts w:ascii="宋体" w:hAnsi="宋体" w:eastAsia="宋体" w:cs="宋体"/>
                <w:sz w:val="21"/>
                <w:szCs w:val="21"/>
              </w:rPr>
            </w:pPr>
            <w:r>
              <w:rPr>
                <w:rFonts w:ascii="宋体" w:hAnsi="宋体" w:eastAsia="宋体" w:cs="宋体"/>
                <w:spacing w:val="5"/>
                <w:sz w:val="21"/>
                <w:szCs w:val="21"/>
              </w:rPr>
              <w:t>尚未</w:t>
            </w:r>
            <w:r>
              <w:rPr>
                <w:rFonts w:ascii="宋体" w:hAnsi="宋体" w:eastAsia="宋体" w:cs="宋体"/>
                <w:sz w:val="21"/>
                <w:szCs w:val="21"/>
              </w:rPr>
              <w:t xml:space="preserve"> </w:t>
            </w:r>
            <w:r>
              <w:rPr>
                <w:rFonts w:ascii="宋体" w:hAnsi="宋体" w:eastAsia="宋体" w:cs="宋体"/>
                <w:spacing w:val="6"/>
                <w:sz w:val="21"/>
                <w:szCs w:val="21"/>
              </w:rPr>
              <w:t>审结</w:t>
            </w:r>
          </w:p>
        </w:tc>
        <w:tc>
          <w:tcPr>
            <w:tcW w:w="574" w:type="dxa"/>
            <w:vAlign w:val="top"/>
          </w:tcPr>
          <w:p>
            <w:pPr>
              <w:spacing w:before="213" w:line="221" w:lineRule="auto"/>
              <w:ind w:left="70"/>
              <w:rPr>
                <w:rFonts w:ascii="宋体" w:hAnsi="宋体" w:eastAsia="宋体" w:cs="宋体"/>
                <w:sz w:val="21"/>
                <w:szCs w:val="21"/>
              </w:rPr>
            </w:pPr>
            <w:r>
              <w:rPr>
                <w:rFonts w:ascii="宋体" w:hAnsi="宋体" w:eastAsia="宋体" w:cs="宋体"/>
                <w:spacing w:val="4"/>
                <w:sz w:val="21"/>
                <w:szCs w:val="21"/>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4"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keepNext w:val="0"/>
        <w:keepLines w:val="0"/>
        <w:pageBreakBefore w:val="0"/>
        <w:widowControl/>
        <w:kinsoku w:val="0"/>
        <w:wordWrap/>
        <w:overflowPunct/>
        <w:topLinePunct w:val="0"/>
        <w:autoSpaceDE w:val="0"/>
        <w:autoSpaceDN w:val="0"/>
        <w:bidi w:val="0"/>
        <w:adjustRightInd w:val="0"/>
        <w:snapToGrid w:val="0"/>
        <w:spacing w:before="271" w:line="240" w:lineRule="auto"/>
        <w:ind w:left="599"/>
        <w:textAlignment w:val="baseline"/>
        <w:outlineLvl w:val="0"/>
        <w:rPr>
          <w:rFonts w:ascii="黑体" w:hAnsi="黑体" w:eastAsia="黑体" w:cs="黑体"/>
          <w:b w:val="0"/>
          <w:bCs w:val="0"/>
          <w:sz w:val="32"/>
          <w:szCs w:val="32"/>
        </w:rPr>
      </w:pPr>
      <w:r>
        <w:rPr>
          <w:rFonts w:ascii="黑体" w:hAnsi="黑体" w:eastAsia="黑体" w:cs="黑体"/>
          <w:b w:val="0"/>
          <w:bCs w:val="0"/>
          <w:spacing w:val="-3"/>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textAlignment w:val="baseline"/>
        <w:rPr>
          <w:rFonts w:hint="default" w:ascii="仿宋_GB2312" w:hAnsi="宋体" w:eastAsia="仿宋_GB2312" w:cs="宋体"/>
          <w:snapToGrid/>
          <w:color w:val="000000"/>
          <w:kern w:val="0"/>
          <w:sz w:val="32"/>
          <w:szCs w:val="32"/>
          <w:shd w:val="clear" w:color="auto" w:fill="FFFFFF"/>
          <w:lang w:val="en-US" w:eastAsia="zh-CN" w:bidi="ar-SA"/>
        </w:rPr>
      </w:pPr>
      <w:r>
        <w:rPr>
          <w:rFonts w:hint="eastAsia" w:ascii="仿宋_GB2312" w:hAnsi="宋体" w:eastAsia="仿宋_GB2312" w:cs="宋体"/>
          <w:snapToGrid/>
          <w:color w:val="000000"/>
          <w:kern w:val="0"/>
          <w:sz w:val="32"/>
          <w:szCs w:val="32"/>
          <w:shd w:val="clear" w:color="auto" w:fill="FFFFFF"/>
          <w:lang w:val="en-US" w:eastAsia="zh-CN" w:bidi="ar-SA"/>
        </w:rPr>
        <w:t>（一）</w:t>
      </w:r>
      <w:r>
        <w:rPr>
          <w:rFonts w:hint="default" w:ascii="仿宋_GB2312" w:hAnsi="宋体" w:eastAsia="仿宋_GB2312" w:cs="宋体"/>
          <w:snapToGrid/>
          <w:color w:val="000000"/>
          <w:kern w:val="0"/>
          <w:sz w:val="32"/>
          <w:szCs w:val="32"/>
          <w:shd w:val="clear" w:color="auto" w:fill="FFFFFF"/>
          <w:lang w:val="en-US" w:eastAsia="zh-CN" w:bidi="ar-SA"/>
        </w:rPr>
        <w:t>存在问题：一是信息公开缺乏主动性，对政府信息公开重要性认识不足；</w:t>
      </w:r>
      <w:r>
        <w:rPr>
          <w:rFonts w:hint="eastAsia" w:ascii="仿宋_GB2312" w:hAnsi="宋体" w:eastAsia="仿宋_GB2312" w:cs="宋体"/>
          <w:snapToGrid/>
          <w:color w:val="000000"/>
          <w:kern w:val="0"/>
          <w:sz w:val="32"/>
          <w:szCs w:val="32"/>
          <w:shd w:val="clear" w:color="auto" w:fill="FFFFFF"/>
          <w:lang w:val="en-US" w:eastAsia="zh-CN" w:bidi="ar-SA"/>
        </w:rPr>
        <w:t>二</w:t>
      </w:r>
      <w:r>
        <w:rPr>
          <w:rFonts w:hint="default" w:ascii="仿宋_GB2312" w:hAnsi="宋体" w:eastAsia="仿宋_GB2312" w:cs="宋体"/>
          <w:snapToGrid/>
          <w:color w:val="000000"/>
          <w:kern w:val="0"/>
          <w:sz w:val="32"/>
          <w:szCs w:val="32"/>
          <w:shd w:val="clear" w:color="auto" w:fill="FFFFFF"/>
          <w:lang w:val="en-US" w:eastAsia="zh-CN" w:bidi="ar-SA"/>
        </w:rPr>
        <w:t>是政府信息公开工作机制有待进一步加强；</w:t>
      </w:r>
      <w:r>
        <w:rPr>
          <w:rFonts w:hint="eastAsia" w:ascii="仿宋_GB2312" w:hAnsi="宋体" w:eastAsia="仿宋_GB2312" w:cs="宋体"/>
          <w:snapToGrid/>
          <w:color w:val="000000"/>
          <w:kern w:val="0"/>
          <w:sz w:val="32"/>
          <w:szCs w:val="32"/>
          <w:shd w:val="clear" w:color="auto" w:fill="FFFFFF"/>
          <w:lang w:val="en-US" w:eastAsia="zh-CN" w:bidi="ar-SA"/>
        </w:rPr>
        <w:t>三</w:t>
      </w:r>
      <w:r>
        <w:rPr>
          <w:rFonts w:hint="default" w:ascii="仿宋_GB2312" w:hAnsi="宋体" w:eastAsia="仿宋_GB2312" w:cs="宋体"/>
          <w:snapToGrid/>
          <w:color w:val="000000"/>
          <w:kern w:val="0"/>
          <w:sz w:val="32"/>
          <w:szCs w:val="32"/>
          <w:shd w:val="clear" w:color="auto" w:fill="FFFFFF"/>
          <w:lang w:val="en-US" w:eastAsia="zh-CN" w:bidi="ar-SA"/>
        </w:rPr>
        <w:t>是信息发布形式单一，需要进一步丰富拓展。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textAlignment w:val="baseline"/>
        <w:rPr>
          <w:rFonts w:hint="default" w:ascii="仿宋_GB2312" w:hAnsi="宋体" w:eastAsia="仿宋_GB2312" w:cs="宋体"/>
          <w:snapToGrid/>
          <w:color w:val="000000"/>
          <w:kern w:val="0"/>
          <w:sz w:val="32"/>
          <w:szCs w:val="32"/>
          <w:shd w:val="clear" w:color="auto" w:fill="FFFFFF"/>
          <w:lang w:val="en-US" w:eastAsia="zh-CN" w:bidi="ar-SA"/>
        </w:rPr>
      </w:pPr>
      <w:r>
        <w:rPr>
          <w:rFonts w:hint="eastAsia" w:ascii="仿宋_GB2312" w:hAnsi="宋体" w:eastAsia="仿宋_GB2312" w:cs="宋体"/>
          <w:snapToGrid/>
          <w:color w:val="000000"/>
          <w:kern w:val="0"/>
          <w:sz w:val="32"/>
          <w:szCs w:val="32"/>
          <w:shd w:val="clear" w:color="auto" w:fill="FFFFFF"/>
          <w:lang w:val="en-US" w:eastAsia="zh-CN" w:bidi="ar-SA"/>
        </w:rPr>
        <w:t>（二）</w:t>
      </w:r>
      <w:r>
        <w:rPr>
          <w:rFonts w:hint="default" w:ascii="仿宋_GB2312" w:hAnsi="宋体" w:eastAsia="仿宋_GB2312" w:cs="宋体"/>
          <w:snapToGrid/>
          <w:color w:val="000000"/>
          <w:kern w:val="0"/>
          <w:sz w:val="32"/>
          <w:szCs w:val="32"/>
          <w:shd w:val="clear" w:color="auto" w:fill="FFFFFF"/>
          <w:lang w:val="en-US" w:eastAsia="zh-CN" w:bidi="ar-SA"/>
        </w:rPr>
        <w:t>改进情况：一是继续加大培训宣传力度，提高全局政务公开工作人员对政府信息公开的重视，主动及时公开相关信息，加大监督考核力度，提高政务公开工作水平；</w:t>
      </w:r>
      <w:r>
        <w:rPr>
          <w:rFonts w:hint="eastAsia" w:ascii="仿宋_GB2312" w:hAnsi="宋体" w:eastAsia="仿宋_GB2312" w:cs="宋体"/>
          <w:snapToGrid/>
          <w:color w:val="000000"/>
          <w:kern w:val="0"/>
          <w:sz w:val="32"/>
          <w:szCs w:val="32"/>
          <w:shd w:val="clear" w:color="auto" w:fill="FFFFFF"/>
          <w:lang w:val="en-US" w:eastAsia="zh-CN" w:bidi="ar-SA"/>
        </w:rPr>
        <w:t>二</w:t>
      </w:r>
      <w:r>
        <w:rPr>
          <w:rFonts w:hint="default" w:ascii="仿宋_GB2312" w:hAnsi="宋体" w:eastAsia="仿宋_GB2312" w:cs="宋体"/>
          <w:snapToGrid/>
          <w:color w:val="000000"/>
          <w:kern w:val="0"/>
          <w:sz w:val="32"/>
          <w:szCs w:val="32"/>
          <w:shd w:val="clear" w:color="auto" w:fill="FFFFFF"/>
          <w:lang w:val="en-US" w:eastAsia="zh-CN" w:bidi="ar-SA"/>
        </w:rPr>
        <w:t>是健全完善政府信息公开机制，细化政务公开工作要求，明确责任，加强各科室协调联动，促进信息公开及时、规范。</w:t>
      </w:r>
      <w:r>
        <w:rPr>
          <w:rFonts w:hint="eastAsia" w:ascii="仿宋_GB2312" w:hAnsi="宋体" w:eastAsia="仿宋_GB2312" w:cs="宋体"/>
          <w:snapToGrid/>
          <w:color w:val="000000"/>
          <w:kern w:val="0"/>
          <w:sz w:val="32"/>
          <w:szCs w:val="32"/>
          <w:shd w:val="clear" w:color="auto" w:fill="FFFFFF"/>
          <w:lang w:val="en-US" w:eastAsia="zh-CN" w:bidi="ar-SA"/>
        </w:rPr>
        <w:t>三</w:t>
      </w:r>
      <w:r>
        <w:rPr>
          <w:rFonts w:hint="default" w:ascii="仿宋_GB2312" w:hAnsi="宋体" w:eastAsia="仿宋_GB2312" w:cs="宋体"/>
          <w:snapToGrid/>
          <w:color w:val="000000"/>
          <w:kern w:val="0"/>
          <w:sz w:val="32"/>
          <w:szCs w:val="32"/>
          <w:shd w:val="clear" w:color="auto" w:fill="FFFFFF"/>
          <w:lang w:val="en-US" w:eastAsia="zh-CN" w:bidi="ar-SA"/>
        </w:rPr>
        <w:t>是规范抓好依申请公开。提升为群众服务的能力和水平，既依法依规办理，切实保障公民、法人和其他组织依法获取政府信息，促进依法行政。推进依申请公开的标准化、规范化建设，优化规范办理流程，提升答复文书的规范化水平。</w:t>
      </w:r>
    </w:p>
    <w:p>
      <w:pPr>
        <w:spacing w:before="227" w:line="222" w:lineRule="auto"/>
        <w:ind w:left="599"/>
        <w:outlineLvl w:val="0"/>
        <w:rPr>
          <w:rFonts w:ascii="黑体" w:hAnsi="黑体" w:eastAsia="黑体" w:cs="黑体"/>
          <w:b w:val="0"/>
          <w:bCs w:val="0"/>
          <w:spacing w:val="-6"/>
          <w:sz w:val="30"/>
          <w:szCs w:val="30"/>
        </w:rPr>
      </w:pPr>
      <w:r>
        <w:rPr>
          <w:rFonts w:ascii="黑体" w:hAnsi="黑体" w:eastAsia="黑体" w:cs="黑体"/>
          <w:b w:val="0"/>
          <w:bCs w:val="0"/>
          <w:spacing w:val="-6"/>
          <w:sz w:val="30"/>
          <w:szCs w:val="30"/>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jc w:val="both"/>
        <w:textAlignment w:val="baseline"/>
        <w:rPr>
          <w:rFonts w:hint="eastAsia" w:ascii="仿宋_GB2312" w:hAnsi="宋体" w:eastAsia="仿宋_GB2312" w:cs="宋体"/>
          <w:snapToGrid/>
          <w:color w:val="000000"/>
          <w:kern w:val="0"/>
          <w:sz w:val="32"/>
          <w:szCs w:val="32"/>
          <w:shd w:val="clear" w:color="auto" w:fill="FFFFFF"/>
          <w:lang w:val="en-US" w:eastAsia="zh-CN" w:bidi="ar-SA"/>
        </w:rPr>
      </w:pPr>
      <w:r>
        <w:rPr>
          <w:rFonts w:hint="eastAsia" w:ascii="楷体" w:hAnsi="楷体" w:eastAsia="楷体" w:cs="楷体"/>
          <w:snapToGrid/>
          <w:color w:val="000000"/>
          <w:kern w:val="0"/>
          <w:sz w:val="32"/>
          <w:szCs w:val="32"/>
          <w:shd w:val="clear" w:color="auto" w:fill="FFFFFF"/>
          <w:lang w:val="en-US" w:eastAsia="zh-CN" w:bidi="ar-SA"/>
        </w:rPr>
        <w:t>（一）依申请公开政府信息处理费收费情况。</w:t>
      </w:r>
      <w:r>
        <w:rPr>
          <w:rFonts w:hint="eastAsia" w:ascii="仿宋_GB2312" w:hAnsi="宋体" w:eastAsia="仿宋_GB2312" w:cs="宋体"/>
          <w:snapToGrid/>
          <w:color w:val="000000"/>
          <w:kern w:val="0"/>
          <w:sz w:val="32"/>
          <w:szCs w:val="32"/>
          <w:shd w:val="clear" w:color="auto" w:fill="FFFFFF"/>
          <w:lang w:val="en-US" w:eastAsia="zh-CN" w:bidi="ar-SA"/>
        </w:rPr>
        <w:t>2023年本机关依申请公开政府信息未收取任何费用。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jc w:val="both"/>
        <w:textAlignment w:val="baseline"/>
        <w:rPr>
          <w:rFonts w:hint="eastAsia" w:ascii="仿宋_GB2312" w:hAnsi="宋体" w:eastAsia="仿宋_GB2312" w:cs="宋体"/>
          <w:snapToGrid/>
          <w:color w:val="000000"/>
          <w:kern w:val="0"/>
          <w:sz w:val="32"/>
          <w:szCs w:val="32"/>
          <w:shd w:val="clear" w:color="auto" w:fill="FFFFFF"/>
          <w:lang w:val="en-US" w:eastAsia="zh-CN" w:bidi="ar-SA"/>
        </w:rPr>
      </w:pPr>
      <w:r>
        <w:rPr>
          <w:rFonts w:hint="eastAsia" w:ascii="楷体" w:hAnsi="楷体" w:eastAsia="楷体" w:cs="楷体"/>
          <w:snapToGrid/>
          <w:color w:val="000000"/>
          <w:kern w:val="0"/>
          <w:sz w:val="32"/>
          <w:szCs w:val="32"/>
          <w:shd w:val="clear" w:color="auto" w:fill="FFFFFF"/>
          <w:lang w:val="en-US" w:eastAsia="zh-CN" w:bidi="ar-SA"/>
        </w:rPr>
        <w:t>（二）本年度建议提案办理情况。</w:t>
      </w:r>
      <w:r>
        <w:rPr>
          <w:rFonts w:hint="eastAsia" w:ascii="仿宋_GB2312" w:hAnsi="宋体" w:eastAsia="仿宋_GB2312" w:cs="宋体"/>
          <w:snapToGrid/>
          <w:color w:val="000000"/>
          <w:kern w:val="0"/>
          <w:sz w:val="32"/>
          <w:szCs w:val="32"/>
          <w:shd w:val="clear" w:color="auto" w:fill="FFFFFF"/>
          <w:lang w:val="en-US" w:eastAsia="zh-CN" w:bidi="ar-SA"/>
        </w:rPr>
        <w:t>本年度我单位未收到人大政协建议提案，未有上级建议提案办理任务人大代表和政协提案办理结果公开情况。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jc w:val="both"/>
        <w:textAlignment w:val="baseline"/>
        <w:rPr>
          <w:rFonts w:hint="eastAsia" w:ascii="仿宋_GB2312" w:hAnsi="宋体" w:eastAsia="仿宋_GB2312" w:cs="宋体"/>
          <w:snapToGrid/>
          <w:color w:val="000000"/>
          <w:kern w:val="0"/>
          <w:sz w:val="32"/>
          <w:szCs w:val="32"/>
          <w:shd w:val="clear" w:color="auto" w:fill="FFFFFF"/>
          <w:lang w:val="en-US" w:eastAsia="zh-CN" w:bidi="ar-SA"/>
        </w:rPr>
      </w:pPr>
      <w:r>
        <w:rPr>
          <w:rFonts w:hint="eastAsia" w:ascii="楷体" w:hAnsi="楷体" w:eastAsia="楷体" w:cs="楷体"/>
          <w:snapToGrid/>
          <w:color w:val="000000"/>
          <w:kern w:val="0"/>
          <w:sz w:val="32"/>
          <w:szCs w:val="32"/>
          <w:shd w:val="clear" w:color="auto" w:fill="FFFFFF"/>
          <w:lang w:val="en-US" w:eastAsia="zh-CN" w:bidi="ar-SA"/>
        </w:rPr>
        <w:t>（三）年度工作要点落实情况。</w:t>
      </w:r>
      <w:r>
        <w:rPr>
          <w:rFonts w:hint="eastAsia" w:ascii="仿宋_GB2312" w:hAnsi="宋体" w:eastAsia="仿宋_GB2312" w:cs="宋体"/>
          <w:snapToGrid/>
          <w:color w:val="000000"/>
          <w:kern w:val="0"/>
          <w:sz w:val="32"/>
          <w:szCs w:val="32"/>
          <w:shd w:val="clear" w:color="auto" w:fill="FFFFFF"/>
          <w:lang w:val="en-US" w:eastAsia="zh-CN" w:bidi="ar-SA"/>
        </w:rPr>
        <w:t>认真贯彻落实《2023年淄博市政务公开工作方案》文件要求，明确政府信息公开工作原则、年度任务和工作要求，加强政务公开宣传培训，增强专业素养，提高指导、推动政务公开工作的能力水平。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jc w:val="both"/>
        <w:textAlignment w:val="baseline"/>
        <w:rPr>
          <w:rFonts w:hint="eastAsia" w:ascii="仿宋_GB2312" w:hAnsi="宋体" w:eastAsia="仿宋_GB2312" w:cs="宋体"/>
          <w:snapToGrid/>
          <w:color w:val="000000"/>
          <w:kern w:val="0"/>
          <w:sz w:val="32"/>
          <w:szCs w:val="32"/>
          <w:shd w:val="clear" w:color="auto" w:fill="FFFFFF"/>
          <w:lang w:val="en-US" w:eastAsia="zh-CN" w:bidi="ar-SA"/>
        </w:rPr>
      </w:pPr>
      <w:r>
        <w:rPr>
          <w:rFonts w:hint="eastAsia" w:ascii="仿宋_GB2312" w:hAnsi="宋体" w:eastAsia="仿宋_GB2312" w:cs="宋体"/>
          <w:snapToGrid/>
          <w:color w:val="000000"/>
          <w:kern w:val="0"/>
          <w:sz w:val="32"/>
          <w:szCs w:val="32"/>
          <w:shd w:val="clear" w:color="auto" w:fill="FFFFFF"/>
          <w:lang w:val="en-US" w:eastAsia="zh-CN" w:bidi="ar-SA"/>
        </w:rPr>
        <w:t>（四）</w:t>
      </w:r>
      <w:r>
        <w:rPr>
          <w:rFonts w:hint="eastAsia" w:ascii="楷体" w:hAnsi="楷体" w:eastAsia="楷体" w:cs="楷体"/>
          <w:snapToGrid/>
          <w:color w:val="000000"/>
          <w:kern w:val="0"/>
          <w:sz w:val="32"/>
          <w:szCs w:val="32"/>
          <w:shd w:val="clear" w:color="auto" w:fill="FFFFFF"/>
          <w:lang w:val="en-US" w:eastAsia="zh-CN" w:bidi="ar-SA"/>
        </w:rPr>
        <w:t>政务公开工作创新情况。</w:t>
      </w:r>
      <w:r>
        <w:rPr>
          <w:rFonts w:hint="eastAsia" w:ascii="仿宋_GB2312" w:hAnsi="宋体" w:eastAsia="仿宋_GB2312" w:cs="宋体"/>
          <w:snapToGrid/>
          <w:color w:val="000000"/>
          <w:kern w:val="0"/>
          <w:sz w:val="32"/>
          <w:szCs w:val="32"/>
          <w:shd w:val="clear" w:color="auto" w:fill="FFFFFF"/>
          <w:lang w:val="en-US" w:eastAsia="zh-CN" w:bidi="ar-SA"/>
        </w:rPr>
        <w:t>加强政府网站内容建设，定期梳理公开事项，确保应公开尽公开。通过开展部门内部政务公开培训和集中宣传等活动，进一步提高局政府信息公开工作规范化，确保新要求得到有效落实。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41"/>
        <w:jc w:val="both"/>
        <w:textAlignment w:val="baseline"/>
        <w:rPr>
          <w:rFonts w:hint="eastAsia" w:ascii="仿宋_GB2312" w:hAnsi="宋体" w:eastAsia="仿宋_GB2312" w:cs="宋体"/>
          <w:snapToGrid/>
          <w:color w:val="000000"/>
          <w:kern w:val="0"/>
          <w:sz w:val="32"/>
          <w:szCs w:val="32"/>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auto"/>
        <w:ind w:left="0" w:right="0" w:firstLine="640"/>
        <w:jc w:val="both"/>
        <w:textAlignment w:val="baseline"/>
        <w:rPr>
          <w:rFonts w:hint="eastAsia" w:ascii="仿宋_GB2312" w:hAnsi="宋体" w:eastAsia="仿宋_GB2312" w:cs="宋体"/>
          <w:snapToGrid/>
          <w:color w:val="000000"/>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before="222" w:line="218" w:lineRule="auto"/>
        <w:ind w:left="594"/>
        <w:rPr>
          <w:rFonts w:ascii="宋体" w:hAnsi="宋体" w:eastAsia="宋体" w:cs="宋体"/>
          <w:sz w:val="30"/>
          <w:szCs w:val="30"/>
        </w:rPr>
      </w:pPr>
    </w:p>
    <w:sectPr>
      <w:footerReference r:id="rId7" w:type="default"/>
      <w:pgSz w:w="11800" w:h="16730"/>
      <w:pgMar w:top="1422" w:right="1615" w:bottom="1263" w:left="1444" w:header="0" w:footer="100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64"/>
      <w:jc w:val="right"/>
      <w:rPr>
        <w:rFonts w:ascii="宋体" w:hAnsi="宋体" w:eastAsia="宋体" w:cs="宋体"/>
        <w:sz w:val="26"/>
        <w:szCs w:val="26"/>
      </w:rPr>
    </w:pPr>
    <w:r>
      <w:rPr>
        <w:rFonts w:ascii="宋体" w:hAnsi="宋体" w:eastAsia="宋体" w:cs="宋体"/>
        <w:spacing w:val="-7"/>
        <w:sz w:val="26"/>
        <w:szCs w:val="26"/>
      </w:rPr>
      <w:t>—</w:t>
    </w:r>
    <w:r>
      <w:rPr>
        <w:rFonts w:ascii="宋体" w:hAnsi="宋体" w:eastAsia="宋体" w:cs="宋体"/>
        <w:spacing w:val="68"/>
        <w:sz w:val="26"/>
        <w:szCs w:val="26"/>
      </w:rPr>
      <w:t xml:space="preserve"> </w:t>
    </w:r>
    <w:r>
      <w:rPr>
        <w:rFonts w:ascii="宋体" w:hAnsi="宋体" w:eastAsia="宋体" w:cs="宋体"/>
        <w:spacing w:val="-7"/>
        <w:sz w:val="26"/>
        <w:szCs w:val="26"/>
      </w:rPr>
      <w:t>9</w:t>
    </w:r>
    <w:r>
      <w:rPr>
        <w:rFonts w:ascii="宋体" w:hAnsi="宋体" w:eastAsia="宋体" w:cs="宋体"/>
        <w:spacing w:val="92"/>
        <w:sz w:val="26"/>
        <w:szCs w:val="26"/>
      </w:rPr>
      <w:t xml:space="preserve"> </w:t>
    </w:r>
    <w:r>
      <w:rPr>
        <w:rFonts w:ascii="宋体" w:hAnsi="宋体" w:eastAsia="宋体" w:cs="宋体"/>
        <w:spacing w:val="-7"/>
        <w:sz w:val="26"/>
        <w:szCs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224"/>
      <w:rPr>
        <w:rFonts w:ascii="宋体" w:hAnsi="宋体" w:eastAsia="宋体" w:cs="宋体"/>
        <w:sz w:val="17"/>
        <w:szCs w:val="17"/>
      </w:rPr>
    </w:pPr>
    <w:r>
      <w:rPr>
        <w:rFonts w:ascii="宋体" w:hAnsi="宋体" w:eastAsia="宋体" w:cs="宋体"/>
        <w:spacing w:val="-7"/>
        <w:sz w:val="17"/>
        <w:szCs w:val="17"/>
      </w:rPr>
      <w:t>—</w:t>
    </w:r>
    <w:r>
      <w:rPr>
        <w:rFonts w:ascii="宋体" w:hAnsi="宋体" w:eastAsia="宋体" w:cs="宋体"/>
        <w:spacing w:val="14"/>
        <w:sz w:val="17"/>
        <w:szCs w:val="17"/>
      </w:rPr>
      <w:t xml:space="preserve">   </w:t>
    </w:r>
    <w:r>
      <w:rPr>
        <w:rFonts w:ascii="Times New Roman" w:hAnsi="Times New Roman" w:eastAsia="Times New Roman" w:cs="Times New Roman"/>
        <w:spacing w:val="-7"/>
        <w:sz w:val="17"/>
        <w:szCs w:val="17"/>
      </w:rPr>
      <w:t>10</w:t>
    </w:r>
    <w:r>
      <w:rPr>
        <w:rFonts w:ascii="Times New Roman" w:hAnsi="Times New Roman" w:eastAsia="Times New Roman" w:cs="Times New Roman"/>
        <w:spacing w:val="1"/>
        <w:sz w:val="17"/>
        <w:szCs w:val="17"/>
      </w:rPr>
      <w:t xml:space="preserve">       </w:t>
    </w:r>
    <w:r>
      <w:rPr>
        <w:rFonts w:ascii="宋体" w:hAnsi="宋体" w:eastAsia="宋体" w:cs="宋体"/>
        <w:color w:val="C15D2C"/>
        <w:spacing w:val="-7"/>
        <w:sz w:val="17"/>
        <w:szCs w:val="1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24"/>
      <w:jc w:val="right"/>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89"/>
        <w:sz w:val="26"/>
        <w:szCs w:val="26"/>
      </w:rPr>
      <w:t xml:space="preserve"> </w:t>
    </w:r>
    <w:r>
      <w:rPr>
        <w:rFonts w:ascii="宋体" w:hAnsi="宋体" w:eastAsia="宋体" w:cs="宋体"/>
        <w:spacing w:val="-10"/>
        <w:sz w:val="26"/>
        <w:szCs w:val="26"/>
      </w:rPr>
      <w:t>11</w:t>
    </w:r>
    <w:r>
      <w:rPr>
        <w:rFonts w:ascii="宋体" w:hAnsi="宋体" w:eastAsia="宋体" w:cs="宋体"/>
        <w:spacing w:val="120"/>
        <w:sz w:val="26"/>
        <w:szCs w:val="26"/>
      </w:rPr>
      <w:t xml:space="preserve"> </w:t>
    </w:r>
    <w:r>
      <w:rPr>
        <w:rFonts w:ascii="宋体" w:hAnsi="宋体" w:eastAsia="宋体" w:cs="宋体"/>
        <w:spacing w:val="-10"/>
        <w:sz w:val="26"/>
        <w:szCs w:val="2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FmMmVkZGM5OTI5ZDU2ZTVjYzllNmE5YWRjMGRhNmQifQ=="/>
  </w:docVars>
  <w:rsids>
    <w:rsidRoot w:val="00172A27"/>
    <w:rsid w:val="009269A2"/>
    <w:rsid w:val="01A56261"/>
    <w:rsid w:val="01E51B2E"/>
    <w:rsid w:val="044D5F95"/>
    <w:rsid w:val="08355B3E"/>
    <w:rsid w:val="0D3F3A0E"/>
    <w:rsid w:val="0F500A62"/>
    <w:rsid w:val="101958D6"/>
    <w:rsid w:val="17C46B78"/>
    <w:rsid w:val="1881566E"/>
    <w:rsid w:val="189A6437"/>
    <w:rsid w:val="1E042E8B"/>
    <w:rsid w:val="2485338C"/>
    <w:rsid w:val="27203676"/>
    <w:rsid w:val="27286E69"/>
    <w:rsid w:val="281F24B4"/>
    <w:rsid w:val="298505A2"/>
    <w:rsid w:val="29F905D0"/>
    <w:rsid w:val="2A5D22E1"/>
    <w:rsid w:val="2B5D60D4"/>
    <w:rsid w:val="2C9064D5"/>
    <w:rsid w:val="2C9254B0"/>
    <w:rsid w:val="320A3CAA"/>
    <w:rsid w:val="3272726D"/>
    <w:rsid w:val="36047C1E"/>
    <w:rsid w:val="387B14EE"/>
    <w:rsid w:val="389425B0"/>
    <w:rsid w:val="38B752E1"/>
    <w:rsid w:val="3A45313A"/>
    <w:rsid w:val="3A543DA5"/>
    <w:rsid w:val="3B9568E4"/>
    <w:rsid w:val="3D463A20"/>
    <w:rsid w:val="3D544EA3"/>
    <w:rsid w:val="3EC303C2"/>
    <w:rsid w:val="43D43E5C"/>
    <w:rsid w:val="451F7F48"/>
    <w:rsid w:val="46AD057B"/>
    <w:rsid w:val="48266353"/>
    <w:rsid w:val="4D810EFD"/>
    <w:rsid w:val="50355FCF"/>
    <w:rsid w:val="50591CBD"/>
    <w:rsid w:val="51856AE2"/>
    <w:rsid w:val="51F173C9"/>
    <w:rsid w:val="52171E30"/>
    <w:rsid w:val="52380673"/>
    <w:rsid w:val="566118CC"/>
    <w:rsid w:val="5A077E96"/>
    <w:rsid w:val="5A767910"/>
    <w:rsid w:val="5B0853BA"/>
    <w:rsid w:val="5FBA3BCA"/>
    <w:rsid w:val="5FBA4847"/>
    <w:rsid w:val="5FF164C4"/>
    <w:rsid w:val="605E53B0"/>
    <w:rsid w:val="605F176F"/>
    <w:rsid w:val="67000236"/>
    <w:rsid w:val="67896ED4"/>
    <w:rsid w:val="67FB5505"/>
    <w:rsid w:val="69731BEA"/>
    <w:rsid w:val="69760037"/>
    <w:rsid w:val="71092E34"/>
    <w:rsid w:val="71255D05"/>
    <w:rsid w:val="713954C7"/>
    <w:rsid w:val="722A368A"/>
    <w:rsid w:val="77335B8F"/>
    <w:rsid w:val="78F63C9E"/>
    <w:rsid w:val="7B5C5B5F"/>
    <w:rsid w:val="7F9E2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2692</Words>
  <Characters>2789</Characters>
  <TotalTime>213</TotalTime>
  <ScaleCrop>false</ScaleCrop>
  <LinksUpToDate>false</LinksUpToDate>
  <CharactersWithSpaces>2867</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2023-01-18T00:32:00Z</dcterms:created>
  <dc:creator>Kingsoft-PDF</dc:creator>
  <cp:lastModifiedBy>Administrator</cp:lastModifiedBy>
  <dcterms:modified xsi:type="dcterms:W3CDTF">2024-01-31T08:37:38Z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2023-01-17T16:32:56Z</vt:filetime>
  </property>
  <property fmtid="{D5CDD505-2E9C-101B-9397-08002B2CF9AE}" pid="4" name="UsrData">
    <vt:lpwstr>63c65d2ba2d7b000159f3a2c</vt:lpwstr>
  </property>
  <property fmtid="{D5CDD505-2E9C-101B-9397-08002B2CF9AE}" pid="5" name="KSOProductBuildVer">
    <vt:lpwstr>2052-12.1.0.16120</vt:lpwstr>
  </property>
  <property fmtid="{D5CDD505-2E9C-101B-9397-08002B2CF9AE}" pid="6" name="ICV">
    <vt:lpwstr>DE9AECF5366A4BF1951EDCE8513B6F34_13</vt:lpwstr>
  </property>
</Properties>
</file>