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临淄区退役军人事务局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2024年政府信息公开工作年度报告</w:t>
      </w:r>
    </w:p>
    <w:p>
      <w:pPr>
        <w:spacing w:line="6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 xml:space="preserve"> </w:t>
      </w:r>
    </w:p>
    <w:p>
      <w:pPr>
        <w:autoSpaceDE w:val="0"/>
        <w:spacing w:line="560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OLE_LINK7"/>
      <w:r>
        <w:rPr>
          <w:rFonts w:hint="default" w:ascii="Times New Roman" w:hAnsi="Times New Roman" w:eastAsia="仿宋_GB2312" w:cs="Times New Roman"/>
          <w:sz w:val="32"/>
          <w:szCs w:val="32"/>
        </w:rPr>
        <w:t>本年度报告中所列数据统计期限从2024年1月1日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到12月31日止。如对报告内容有疑问，请与临淄区退役军人事务局联系（地址：临淄区晏婴路149号；邮编：255400；电话：0533-7181936；邮箱：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"mailto:lzqtyjrswj@zb.shandong.cn"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6"/>
          <w:rFonts w:hint="default" w:ascii="Times New Roman" w:hAnsi="Times New Roman" w:eastAsia="仿宋_GB2312" w:cs="Times New Roman"/>
          <w:sz w:val="32"/>
          <w:szCs w:val="32"/>
        </w:rPr>
        <w:t>lzqtyjrswj@zb.shandong.cn</w:t>
      </w:r>
      <w:r>
        <w:rPr>
          <w:rFonts w:hint="default" w:ascii="Times New Roman" w:hAnsi="Times New Roman" w:cs="Times New Roman"/>
        </w:rPr>
        <w:fldChar w:fldCharType="end"/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）</w:t>
      </w:r>
    </w:p>
    <w:p>
      <w:pPr>
        <w:autoSpaceDE w:val="0"/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一、总体情况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2024年，临淄区退役军人事务局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全面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贯彻落实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党的二十大精神和《中华人民共和国政府信息公开条例》相关要求，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围绕全区政务公开年度重点工作及退役军人稳岗就业等重点领域，切实加强组织领导，深化优化公开内容，进一步提升政务公开工作水平和服务质效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，具体情况如下：</w:t>
      </w:r>
    </w:p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主动公开信息情况。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年，通过临淄区人民政府门户网站主动公开信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息53条。其中业务工作8条、规划计划2条、机构职能3条、政府信息公开指南1条、部门会议5条，民生公益4条，管理和服务公开6条、稳岗就业7条、重要部署执行公开4条、财政信息4条、政府信息公开年度报告1条、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部门单位公开目录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1条、政府信息公开制度1条、主动公开基本目录1条、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政务公开保障机制5条。</w:t>
      </w:r>
    </w:p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（二）依申请公开工作情况。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年度我单位未收到依申请公开信息申请。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（三）政府信息管理情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进一步完善政府信息公开工作机制，明确工作责任，推进工作机构、责任人员、工作职责 “三落实”，</w:t>
      </w:r>
      <w:bookmarkStart w:id="1" w:name="OLE_LINK5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构建“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一把手负总责、分管领导具体负责、业务科室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具体落实”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的工作体系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，确保政府信息公开工作规范运行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进一步规范信息发布流程，严格落实信息发布“三审三校”制度，确保各项工作标准化、程序化、制度化。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安排专人负责政府信息公开平台的统一管理和维护，及时梳理更新政府信息公开内容。充分发挥微信公众号等政务新媒体作用，及时发布退役军人就业创业、双拥共建等政策宣传信息，通过政务公开栏、宣传横幅、电子屏、微信群等媒介，将与退役军人相关的政策和信息面向全社会公开，</w:t>
      </w:r>
      <w:bookmarkStart w:id="2" w:name="OLE_LINK6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切实保障社会公众的知情权、参与权和监督权。</w:t>
      </w:r>
    </w:p>
    <w:bookmarkEnd w:id="2"/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（五）政府信息公开监督保障情况。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根据人事变动，及时调整充实政府信息公开领导小组，完善政府信息公开工作机制，积极组织开展政策宣讲和政务公开业务培训，切实提高政务公开人员素质水平。加强政府信息公开的指导协调和督促检查，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各科室（中心）安排专人负责政府信息公开日常工作，</w:t>
      </w:r>
      <w:bookmarkStart w:id="3" w:name="OLE_LINK4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政府信息公开领导小组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每季度末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自查评估，及时发现问题并迅速整改落实</w:t>
      </w:r>
      <w:bookmarkEnd w:id="3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autoSpaceDE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主动公开政府信息情况</w:t>
      </w:r>
    </w:p>
    <w:p>
      <w:pPr>
        <w:spacing w:before="9"/>
        <w:jc w:val="left"/>
        <w:rPr>
          <w:rFonts w:hint="default" w:ascii="Times New Roman" w:hAnsi="Times New Roman" w:cs="Times New Roman"/>
          <w:kern w:val="0"/>
        </w:rPr>
      </w:pPr>
      <w:r>
        <w:rPr>
          <w:rFonts w:hint="default" w:ascii="Times New Roman" w:hAnsi="Times New Roman" w:cs="Times New Roman"/>
          <w:kern w:val="0"/>
        </w:rPr>
        <w:t xml:space="preserve"> </w:t>
      </w:r>
    </w:p>
    <w:tbl>
      <w:tblPr>
        <w:tblStyle w:val="7"/>
        <w:tblW w:w="8800" w:type="dxa"/>
        <w:tblInd w:w="2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1824"/>
        <w:gridCol w:w="1949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00" w:type="dxa"/>
            <w:gridSpan w:val="4"/>
            <w:tcBorders>
              <w:top w:val="single" w:color="2B283F" w:sz="8" w:space="0"/>
              <w:left w:val="single" w:color="3B3B44" w:sz="6" w:space="0"/>
              <w:bottom w:val="single" w:color="64647C" w:sz="4" w:space="0"/>
              <w:right w:val="single" w:color="3B3B44" w:sz="8" w:space="0"/>
            </w:tcBorders>
          </w:tcPr>
          <w:p>
            <w:pPr>
              <w:spacing w:before="142"/>
              <w:ind w:left="-1" w:right="1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 （一）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3555" w:type="dxa"/>
            <w:tcBorders>
              <w:top w:val="single" w:color="64647C" w:sz="4" w:space="0"/>
              <w:left w:val="single" w:color="3B3B44" w:sz="6" w:space="0"/>
              <w:bottom w:val="single" w:color="707790" w:sz="4" w:space="0"/>
              <w:right w:val="single" w:color="7C7C83" w:sz="4" w:space="0"/>
            </w:tcBorders>
          </w:tcPr>
          <w:p>
            <w:pPr>
              <w:spacing w:before="135"/>
              <w:ind w:right="27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信息内容</w:t>
            </w:r>
          </w:p>
        </w:tc>
        <w:tc>
          <w:tcPr>
            <w:tcW w:w="1824" w:type="dxa"/>
            <w:tcBorders>
              <w:top w:val="single" w:color="64647C" w:sz="4" w:space="0"/>
              <w:left w:val="nil"/>
              <w:bottom w:val="single" w:color="707790" w:sz="4" w:space="0"/>
              <w:right w:val="single" w:color="777780" w:sz="4" w:space="0"/>
            </w:tcBorders>
          </w:tcPr>
          <w:p>
            <w:pPr>
              <w:spacing w:before="13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本年制发件数</w:t>
            </w:r>
          </w:p>
        </w:tc>
        <w:tc>
          <w:tcPr>
            <w:tcW w:w="1949" w:type="dxa"/>
            <w:tcBorders>
              <w:top w:val="single" w:color="64647C" w:sz="4" w:space="0"/>
              <w:left w:val="nil"/>
              <w:bottom w:val="single" w:color="835B67" w:sz="4" w:space="0"/>
              <w:right w:val="single" w:color="606064" w:sz="2" w:space="0"/>
            </w:tcBorders>
          </w:tcPr>
          <w:p>
            <w:pPr>
              <w:spacing w:before="135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本年废止件数</w:t>
            </w:r>
          </w:p>
        </w:tc>
        <w:tc>
          <w:tcPr>
            <w:tcW w:w="1472" w:type="dxa"/>
            <w:tcBorders>
              <w:top w:val="single" w:color="64647C" w:sz="4" w:space="0"/>
              <w:left w:val="nil"/>
              <w:bottom w:val="single" w:color="835B67" w:sz="4" w:space="0"/>
              <w:right w:val="single" w:color="3B3B44" w:sz="8" w:space="0"/>
            </w:tcBorders>
          </w:tcPr>
          <w:p>
            <w:pPr>
              <w:spacing w:before="130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3555" w:type="dxa"/>
            <w:tcBorders>
              <w:top w:val="single" w:color="707790" w:sz="4" w:space="0"/>
              <w:left w:val="single" w:color="3B3B44" w:sz="6" w:space="0"/>
              <w:bottom w:val="single" w:color="747487" w:sz="4" w:space="0"/>
              <w:right w:val="single" w:color="97979C" w:sz="4" w:space="0"/>
            </w:tcBorders>
          </w:tcPr>
          <w:p>
            <w:pPr>
              <w:spacing w:before="147"/>
              <w:ind w:left="93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规章</w:t>
            </w:r>
          </w:p>
        </w:tc>
        <w:tc>
          <w:tcPr>
            <w:tcW w:w="1824" w:type="dxa"/>
            <w:tcBorders>
              <w:top w:val="single" w:color="707790" w:sz="4" w:space="0"/>
              <w:left w:val="nil"/>
              <w:bottom w:val="single" w:color="747487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color="835B67" w:sz="4" w:space="0"/>
              <w:left w:val="nil"/>
              <w:bottom w:val="single" w:color="546080" w:sz="2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color="835B67" w:sz="4" w:space="0"/>
              <w:left w:val="nil"/>
              <w:bottom w:val="single" w:color="74778C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555" w:type="dxa"/>
            <w:tcBorders>
              <w:top w:val="single" w:color="747487" w:sz="4" w:space="0"/>
              <w:left w:val="single" w:color="3B3B44" w:sz="6" w:space="0"/>
              <w:bottom w:val="single" w:color="5B6080" w:sz="4" w:space="0"/>
              <w:right w:val="single" w:color="97979C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行政规范性文件</w:t>
            </w:r>
          </w:p>
        </w:tc>
        <w:tc>
          <w:tcPr>
            <w:tcW w:w="1824" w:type="dxa"/>
            <w:tcBorders>
              <w:top w:val="single" w:color="747487" w:sz="4" w:space="0"/>
              <w:left w:val="nil"/>
              <w:bottom w:val="single" w:color="5B6080" w:sz="4" w:space="0"/>
              <w:right w:val="single" w:color="939397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49" w:type="dxa"/>
            <w:tcBorders>
              <w:top w:val="single" w:color="546080" w:sz="2" w:space="0"/>
              <w:left w:val="nil"/>
              <w:bottom w:val="single" w:color="5B6080" w:sz="4" w:space="0"/>
              <w:right w:val="single" w:color="97939C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72" w:type="dxa"/>
            <w:tcBorders>
              <w:top w:val="single" w:color="74778C" w:sz="4" w:space="0"/>
              <w:left w:val="nil"/>
              <w:bottom w:val="single" w:color="5B6080" w:sz="4" w:space="0"/>
              <w:right w:val="single" w:color="3B3B3F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8800" w:type="dxa"/>
            <w:gridSpan w:val="4"/>
            <w:tcBorders>
              <w:top w:val="single" w:color="5B6080" w:sz="4" w:space="0"/>
              <w:left w:val="single" w:color="3B3B44" w:sz="6" w:space="0"/>
              <w:bottom w:val="single" w:color="646B80" w:sz="4" w:space="0"/>
              <w:right w:val="single" w:color="3B3B3F" w:sz="8" w:space="0"/>
            </w:tcBorders>
          </w:tcPr>
          <w:p>
            <w:pPr>
              <w:spacing w:before="140"/>
              <w:ind w:left="5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 （五）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555" w:type="dxa"/>
            <w:tcBorders>
              <w:top w:val="single" w:color="646B80" w:sz="4" w:space="0"/>
              <w:left w:val="single" w:color="3B3B44" w:sz="6" w:space="0"/>
              <w:bottom w:val="single" w:color="80676B" w:sz="4" w:space="0"/>
              <w:right w:val="single" w:color="878787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信息内容</w:t>
            </w:r>
          </w:p>
        </w:tc>
        <w:tc>
          <w:tcPr>
            <w:tcW w:w="5245" w:type="dxa"/>
            <w:gridSpan w:val="3"/>
            <w:tcBorders>
              <w:top w:val="single" w:color="646B80" w:sz="4" w:space="0"/>
              <w:left w:val="nil"/>
              <w:bottom w:val="single" w:color="7C7474" w:sz="4" w:space="0"/>
              <w:right w:val="single" w:color="3B3B3F" w:sz="8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555" w:type="dxa"/>
            <w:tcBorders>
              <w:top w:val="single" w:color="80676B" w:sz="4" w:space="0"/>
              <w:left w:val="single" w:color="3B3B44" w:sz="6" w:space="0"/>
              <w:bottom w:val="single" w:color="646487" w:sz="4" w:space="0"/>
              <w:right w:val="single" w:color="878787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行政许可</w:t>
            </w:r>
          </w:p>
        </w:tc>
        <w:tc>
          <w:tcPr>
            <w:tcW w:w="5245" w:type="dxa"/>
            <w:gridSpan w:val="3"/>
            <w:tcBorders>
              <w:top w:val="single" w:color="7C7474" w:sz="4" w:space="0"/>
              <w:left w:val="nil"/>
              <w:bottom w:val="single" w:color="646487" w:sz="4" w:space="0"/>
              <w:right w:val="single" w:color="3B3B3F" w:sz="8" w:space="0"/>
            </w:tcBorders>
            <w:vAlign w:val="center"/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8800" w:type="dxa"/>
            <w:gridSpan w:val="4"/>
            <w:tcBorders>
              <w:top w:val="single" w:color="646487" w:sz="4" w:space="0"/>
              <w:left w:val="single" w:color="3B3B44" w:sz="6" w:space="0"/>
              <w:bottom w:val="single" w:color="607087" w:sz="4" w:space="0"/>
              <w:right w:val="single" w:color="3B3B3F" w:sz="8" w:space="0"/>
            </w:tcBorders>
          </w:tcPr>
          <w:p>
            <w:pPr>
              <w:spacing w:before="142"/>
              <w:ind w:left="15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 （六）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3555" w:type="dxa"/>
            <w:tcBorders>
              <w:top w:val="single" w:color="607087" w:sz="4" w:space="0"/>
              <w:left w:val="single" w:color="3B3B44" w:sz="6" w:space="0"/>
              <w:bottom w:val="single" w:color="8C7774" w:sz="4" w:space="0"/>
              <w:right w:val="single" w:color="909093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信息内容</w:t>
            </w:r>
          </w:p>
        </w:tc>
        <w:tc>
          <w:tcPr>
            <w:tcW w:w="5245" w:type="dxa"/>
            <w:gridSpan w:val="3"/>
            <w:tcBorders>
              <w:top w:val="single" w:color="607087" w:sz="4" w:space="0"/>
              <w:left w:val="nil"/>
              <w:bottom w:val="single" w:color="747074" w:sz="4" w:space="0"/>
              <w:right w:val="single" w:color="3B3B3F" w:sz="8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555" w:type="dxa"/>
            <w:tcBorders>
              <w:top w:val="single" w:color="8C7774" w:sz="4" w:space="0"/>
              <w:left w:val="single" w:color="3B3B44" w:sz="6" w:space="0"/>
              <w:bottom w:val="single" w:color="7C6B74" w:sz="4" w:space="0"/>
              <w:right w:val="single" w:color="909093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行政处罚</w:t>
            </w:r>
          </w:p>
        </w:tc>
        <w:tc>
          <w:tcPr>
            <w:tcW w:w="5245" w:type="dxa"/>
            <w:gridSpan w:val="3"/>
            <w:tcBorders>
              <w:top w:val="single" w:color="747074" w:sz="4" w:space="0"/>
              <w:left w:val="nil"/>
              <w:bottom w:val="single" w:color="7C6B74" w:sz="4" w:space="0"/>
              <w:right w:val="single" w:color="3B3B3F" w:sz="8" w:space="0"/>
            </w:tcBorders>
            <w:vAlign w:val="center"/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3555" w:type="dxa"/>
            <w:tcBorders>
              <w:top w:val="single" w:color="7C6B74" w:sz="4" w:space="0"/>
              <w:left w:val="single" w:color="3B3B44" w:sz="6" w:space="0"/>
              <w:bottom w:val="single" w:color="646080" w:sz="4" w:space="0"/>
              <w:right w:val="single" w:color="909093" w:sz="4" w:space="0"/>
            </w:tcBorders>
          </w:tcPr>
          <w:p>
            <w:pPr>
              <w:spacing w:before="138"/>
              <w:ind w:left="93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行政强制</w:t>
            </w:r>
          </w:p>
        </w:tc>
        <w:tc>
          <w:tcPr>
            <w:tcW w:w="5245" w:type="dxa"/>
            <w:gridSpan w:val="3"/>
            <w:tcBorders>
              <w:top w:val="single" w:color="7C6B74" w:sz="4" w:space="0"/>
              <w:left w:val="nil"/>
              <w:bottom w:val="single" w:color="646080" w:sz="4" w:space="0"/>
              <w:right w:val="single" w:color="3B3B3F" w:sz="8" w:space="0"/>
            </w:tcBorders>
            <w:vAlign w:val="center"/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8800" w:type="dxa"/>
            <w:gridSpan w:val="4"/>
            <w:tcBorders>
              <w:top w:val="single" w:color="646080" w:sz="4" w:space="0"/>
              <w:left w:val="single" w:color="3B3B44" w:sz="6" w:space="0"/>
              <w:bottom w:val="nil"/>
              <w:right w:val="single" w:color="3B3B3F" w:sz="8" w:space="0"/>
            </w:tcBorders>
          </w:tcPr>
          <w:p>
            <w:pPr>
              <w:spacing w:before="142"/>
              <w:ind w:left="25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第二十条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ab/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szCs w:val="24"/>
                <w:lang w:eastAsia="en-US"/>
              </w:rPr>
              <w:t>第 （八） 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3555" w:type="dxa"/>
            <w:tcBorders>
              <w:top w:val="single" w:color="6B747C" w:sz="4" w:space="0"/>
              <w:left w:val="single" w:color="5B5B60" w:sz="6" w:space="0"/>
              <w:bottom w:val="single" w:color="77778C" w:sz="4" w:space="0"/>
              <w:right w:val="single" w:color="auto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信息内容</w:t>
            </w:r>
          </w:p>
        </w:tc>
        <w:tc>
          <w:tcPr>
            <w:tcW w:w="52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138"/>
              <w:ind w:left="93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zh-CN"/>
              </w:rPr>
              <w:t>本年收费金额  （单位 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3555" w:type="dxa"/>
            <w:tcBorders>
              <w:top w:val="single" w:color="77778C" w:sz="4" w:space="0"/>
              <w:left w:val="single" w:color="5B5B60" w:sz="6" w:space="0"/>
              <w:bottom w:val="single" w:color="3B383F" w:sz="8" w:space="0"/>
              <w:right w:val="single" w:color="8C8C93" w:sz="2" w:space="0"/>
            </w:tcBorders>
          </w:tcPr>
          <w:p>
            <w:pPr>
              <w:spacing w:before="138"/>
              <w:ind w:left="107"/>
              <w:jc w:val="left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行政事业性收费</w:t>
            </w:r>
          </w:p>
        </w:tc>
        <w:tc>
          <w:tcPr>
            <w:tcW w:w="5245" w:type="dxa"/>
            <w:gridSpan w:val="3"/>
            <w:tcBorders>
              <w:top w:val="single" w:color="77778C" w:sz="4" w:space="0"/>
              <w:left w:val="nil"/>
              <w:bottom w:val="single" w:color="3B383F" w:sz="8" w:space="0"/>
              <w:right w:val="single" w:color="3B3B44" w:sz="8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4"/>
                <w:szCs w:val="24"/>
                <w:lang w:eastAsia="en-US"/>
              </w:rPr>
              <w:t>0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三、收到和处理政府信息公开申请情况</w:t>
      </w:r>
    </w:p>
    <w:tbl>
      <w:tblPr>
        <w:tblStyle w:val="4"/>
        <w:tblW w:w="9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525"/>
        <w:gridCol w:w="2634"/>
        <w:gridCol w:w="554"/>
        <w:gridCol w:w="693"/>
        <w:gridCol w:w="692"/>
        <w:gridCol w:w="693"/>
        <w:gridCol w:w="693"/>
        <w:gridCol w:w="695"/>
        <w:gridCol w:w="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4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5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自然人</w:t>
            </w:r>
          </w:p>
        </w:tc>
        <w:tc>
          <w:tcPr>
            <w:tcW w:w="34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法人或其他组织</w:t>
            </w:r>
          </w:p>
        </w:tc>
        <w:tc>
          <w:tcPr>
            <w:tcW w:w="6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5" w:hRule="atLeast"/>
          <w:jc w:val="center"/>
        </w:trPr>
        <w:tc>
          <w:tcPr>
            <w:tcW w:w="1150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  <w:tc>
          <w:tcPr>
            <w:tcW w:w="46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商业企业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科研机构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社会公益组织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法律服务机构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其他</w:t>
            </w:r>
          </w:p>
        </w:tc>
        <w:tc>
          <w:tcPr>
            <w:tcW w:w="6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一、本年新收政府信息公开申请数量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二、上年结转政府信息公开申请数量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5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三、本年度办理结果</w:t>
            </w: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（一）予以公开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（三）不予公开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1．属于国家秘密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3．危及“三安全一稳定”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4．保护第三方合法权益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5．属于三类内部事务信息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6．属于四类过程性信息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7．属于行政执法案卷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8．属于行政查询事项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（四）无法提供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（五）不予处理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1．信访举报投诉类申请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2．重复申请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3．要求提供公开出版物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15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（六）其他处理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1.申请人无正当理由逾期不补正、行政机关不再处理其政府信息公开申请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2.申请人逾期未按收费通知 要求缴纳费用、行政机关不再处理其政府信息公开申请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left="180" w:hanging="180" w:hangingChars="100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3.其他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47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</w:p>
        </w:tc>
        <w:tc>
          <w:tcPr>
            <w:tcW w:w="41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（七）总计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四、结转下年度继续办理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 </w:t>
      </w:r>
    </w:p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四、政府信息公开行政复议、行政诉讼情况</w:t>
      </w:r>
    </w:p>
    <w:tbl>
      <w:tblPr>
        <w:tblStyle w:val="4"/>
        <w:tblW w:w="9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709"/>
        <w:gridCol w:w="709"/>
        <w:gridCol w:w="706"/>
        <w:gridCol w:w="428"/>
        <w:gridCol w:w="708"/>
        <w:gridCol w:w="709"/>
        <w:gridCol w:w="709"/>
        <w:gridCol w:w="709"/>
        <w:gridCol w:w="425"/>
        <w:gridCol w:w="709"/>
        <w:gridCol w:w="708"/>
        <w:gridCol w:w="709"/>
        <w:gridCol w:w="694"/>
        <w:gridCol w:w="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32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行政复议</w:t>
            </w:r>
          </w:p>
        </w:tc>
        <w:tc>
          <w:tcPr>
            <w:tcW w:w="65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结果维持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结果纠正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其他结果</w:t>
            </w:r>
          </w:p>
        </w:tc>
        <w:tc>
          <w:tcPr>
            <w:tcW w:w="7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尚未审结</w:t>
            </w:r>
          </w:p>
        </w:tc>
        <w:tc>
          <w:tcPr>
            <w:tcW w:w="4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总计</w:t>
            </w:r>
          </w:p>
        </w:tc>
        <w:tc>
          <w:tcPr>
            <w:tcW w:w="3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未经复议直接起诉</w:t>
            </w:r>
          </w:p>
        </w:tc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320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  <w:tc>
          <w:tcPr>
            <w:tcW w:w="4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结果维持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结果纠正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其他结果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尚未审结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总计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结果维持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结果纠正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其他结果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尚未审结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18"/>
                <w:szCs w:val="18"/>
              </w:rPr>
              <w:t>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0"/>
              </w:rPr>
              <w:t>0</w:t>
            </w:r>
          </w:p>
        </w:tc>
      </w:tr>
    </w:tbl>
    <w:p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五、存在的主要问题及改进情况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（一）存在的主要问题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政务公开内容还不够全面，部分领域的信息公开还不够及时。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二是</w:t>
      </w:r>
      <w:bookmarkStart w:id="4" w:name="OLE_LINK1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政务公开的形式还不够丰富，群众参与度还不够高</w:t>
      </w:r>
      <w:bookmarkEnd w:id="4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三是</w:t>
      </w:r>
      <w:bookmarkStart w:id="5" w:name="OLE_LINK2"/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政务公开的队伍建设还需要加强，工作人员的业务水平还需要提高。</w:t>
      </w:r>
      <w:bookmarkStart w:id="7" w:name="_GoBack"/>
      <w:bookmarkEnd w:id="7"/>
    </w:p>
    <w:bookmarkEnd w:id="5"/>
    <w:p>
      <w:pPr>
        <w:spacing w:line="560" w:lineRule="exact"/>
        <w:ind w:firstLine="640" w:firstLineChars="200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（二）改进情况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一是针对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政务公开内容不够全面，部分领域的信息公开还不够及时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的问题，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进一步拓展政务公开内容，加大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对退役军人工作重点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、关键环节信息公开的力度，确保信息公开及时、准确、全面。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二是针对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政务公开形式不够丰富，群众参与度还不够高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的问题，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不断创新政务公开形式，积极探索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一问一答、流程图、短视频等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群众喜闻乐见的公开方式，提高群众参与度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和知晓率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三是针对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政务公开队伍建设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工作人员业务水平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方面存在的问题，进一步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加大培训力度，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通过轮岗、交流见学等多种形式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提高工作人员能力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水平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left="630"/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sz w:val="32"/>
          <w:szCs w:val="32"/>
          <w:shd w:val="clear" w:color="auto" w:fill="FFFFFF"/>
        </w:rPr>
        <w:t>六、其他需要报告的事项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（一）收取信息处理费情况。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2024年临淄区退役军人事务局未收取信息处理费。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（二）人大代表建议和政协提案办理结果情况。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本年度</w:t>
      </w:r>
    </w:p>
    <w:p>
      <w:pPr>
        <w:spacing w:line="560" w:lineRule="exact"/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收到人大建议0件，收到政协提案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</w:t>
      </w:r>
      <w:r>
        <w:rPr>
          <w:rFonts w:ascii="楷体_GB2312" w:hAnsi="宋体" w:eastAsia="楷体_GB2312" w:cs="楷体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年度工作要点落实情况</w:t>
      </w: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强化组织领导，充分发挥政府信息公开领导小组职能，建立“管业务就要管公开”工作机制，形成工作合力，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推动业务工作与政务公开深度融合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结合退役军人工作实际，制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定政府信息公开年度工作计划并认真督促落实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围绕政府信息公开工作的重点、热点和难点问题，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强化政务公开培训，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规范公开程序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定期听取政务公开工作汇报并研究解决重点难点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问题，推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</w:rPr>
        <w:t>动政务公开工作扎实有效开展。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（四）创新实践情况。</w:t>
      </w: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val="en-US" w:eastAsia="zh-CN"/>
        </w:rPr>
        <w:t>结合退役军人工作实际，</w:t>
      </w: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</w:rPr>
        <w:t>深化退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</w:rPr>
        <w:t>役军人稳岗就业信息公开，</w:t>
      </w:r>
      <w:bookmarkStart w:id="6" w:name="OLE_LINK3"/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eastAsia="zh-CN"/>
        </w:rPr>
        <w:t>优化完善事前、事中、事后全环节、各流程</w:t>
      </w:r>
      <w:bookmarkEnd w:id="6"/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  <w:lang w:eastAsia="zh-CN"/>
        </w:rPr>
        <w:t>政务公开效能，</w:t>
      </w:r>
      <w:r>
        <w:rPr>
          <w:rFonts w:hint="default" w:ascii="Times New Roman" w:hAnsi="Times New Roman" w:eastAsia="仿宋_GB2312" w:cs="Times New Roman"/>
          <w:spacing w:val="0"/>
          <w:kern w:val="21"/>
          <w:sz w:val="32"/>
          <w:szCs w:val="32"/>
        </w:rPr>
        <w:t>加大政策宣传推送力度，多角度加强政策解读，多渠道深化政民互动，积极回应群众关切，全力打造“三心服务 情系老兵”品牌，切实</w:t>
      </w:r>
      <w:r>
        <w:rPr>
          <w:rFonts w:hint="default" w:ascii="Times New Roman" w:hAnsi="Times New Roman" w:eastAsia="仿宋_GB2312" w:cs="Times New Roman"/>
          <w:kern w:val="21"/>
          <w:sz w:val="32"/>
          <w:szCs w:val="32"/>
        </w:rPr>
        <w:t>提升退役军人服务保障质效水平。</w:t>
      </w:r>
    </w:p>
    <w:p>
      <w:pPr>
        <w:rPr>
          <w:rFonts w:hint="default" w:ascii="Times New Roman" w:hAnsi="Times New Roman" w:eastAsia="宋体" w:cs="Times New Roman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80A53"/>
    <w:rsid w:val="005A316B"/>
    <w:rsid w:val="00D00A86"/>
    <w:rsid w:val="00E80A53"/>
    <w:rsid w:val="00F81412"/>
    <w:rsid w:val="017F3D1E"/>
    <w:rsid w:val="07EB3301"/>
    <w:rsid w:val="0E187BA7"/>
    <w:rsid w:val="217061E2"/>
    <w:rsid w:val="26A30860"/>
    <w:rsid w:val="335B71AD"/>
    <w:rsid w:val="37F62181"/>
    <w:rsid w:val="3A406878"/>
    <w:rsid w:val="3F077992"/>
    <w:rsid w:val="41EE31DE"/>
    <w:rsid w:val="578A271B"/>
    <w:rsid w:val="6414412D"/>
    <w:rsid w:val="650D1751"/>
    <w:rsid w:val="6F7D18E2"/>
    <w:rsid w:val="73DA60C4"/>
    <w:rsid w:val="78EB0B43"/>
    <w:rsid w:val="BF5F551E"/>
    <w:rsid w:val="F4FEC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table" w:customStyle="1" w:styleId="7">
    <w:name w:val="Table Normal"/>
    <w:basedOn w:val="3"/>
    <w:qFormat/>
    <w:uiPriority w:val="0"/>
    <w:pPr>
      <w:widowControl w:val="0"/>
    </w:pPr>
    <w:rPr>
      <w:rFonts w:ascii="Times New Roman" w:hAnsi="Times New Roman" w:eastAsia="Times New Roman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2203</Words>
  <Characters>2276</Characters>
  <Lines>19</Lines>
  <Paragraphs>5</Paragraphs>
  <TotalTime>46</TotalTime>
  <ScaleCrop>false</ScaleCrop>
  <LinksUpToDate>false</LinksUpToDate>
  <CharactersWithSpaces>2306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2025-01-07T11:24:00Z</dcterms:created>
  <dc:creator>AutoBVT</dc:creator>
  <cp:lastModifiedBy>邢文静</cp:lastModifiedBy>
  <dcterms:modified xsi:type="dcterms:W3CDTF">2025-01-20T03:39:09Z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eyJoZGlkIjoiNGZmNTcxYjRlYjYxMzE5OWEwMmEwM2I2NmI1ZWEwNWEiLCJ1c2VySWQiOiIxMTc5MTg1NTkzIn0=</vt:lpwstr>
  </property>
  <property fmtid="{D5CDD505-2E9C-101B-9397-08002B2CF9AE}" pid="3" name="KSOProductBuildVer">
    <vt:lpwstr>2052-11.8.6.8810</vt:lpwstr>
  </property>
  <property fmtid="{D5CDD505-2E9C-101B-9397-08002B2CF9AE}" pid="4" name="ICV">
    <vt:lpwstr>0ADC943DBDE6486C99C93050DBB0C9F8_12</vt:lpwstr>
  </property>
</Properties>
</file>