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12065</wp:posOffset>
                </wp:positionV>
                <wp:extent cx="4153535" cy="1854835"/>
                <wp:effectExtent l="5080" t="4445" r="13335" b="762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方正小标宋简体" w:hAnsi="黑体" w:eastAsia="方正小标宋简体"/>
                                <w:color w:val="FF0000"/>
                                <w:spacing w:val="1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color w:val="FF0000"/>
                                <w:spacing w:val="100"/>
                                <w:sz w:val="48"/>
                                <w:szCs w:val="48"/>
                              </w:rPr>
                              <w:t>中共临淄区委宣传部</w:t>
                            </w:r>
                          </w:p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方正小标宋简体" w:hAnsi="黑体" w:eastAsia="方正小标宋简体"/>
                                <w:color w:val="FF0000"/>
                                <w:spacing w:val="9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color w:val="FF0000"/>
                                <w:spacing w:val="92"/>
                                <w:sz w:val="48"/>
                                <w:szCs w:val="48"/>
                              </w:rPr>
                              <w:t>临 淄 区 财 政 局</w:t>
                            </w:r>
                          </w:p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方正小标宋简体" w:hAnsi="黑体" w:eastAsia="方正小标宋简体"/>
                                <w:color w:val="FF0000"/>
                                <w:spacing w:val="9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color w:val="FF0000"/>
                                <w:spacing w:val="-14"/>
                                <w:sz w:val="48"/>
                                <w:szCs w:val="48"/>
                              </w:rPr>
                              <w:t xml:space="preserve">临 </w:t>
                            </w:r>
                            <w:r>
                              <w:rPr>
                                <w:rFonts w:ascii="方正小标宋简体" w:hAnsi="黑体" w:eastAsia="方正小标宋简体"/>
                                <w:color w:val="FF0000"/>
                                <w:spacing w:val="-1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color w:val="FF0000"/>
                                <w:spacing w:val="-14"/>
                                <w:sz w:val="48"/>
                                <w:szCs w:val="48"/>
                              </w:rPr>
                              <w:t xml:space="preserve">淄 区 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color w:val="FF0000"/>
                                <w:spacing w:val="92"/>
                                <w:sz w:val="48"/>
                                <w:szCs w:val="48"/>
                              </w:rPr>
                              <w:t>教育</w:t>
                            </w:r>
                            <w:r>
                              <w:rPr>
                                <w:rFonts w:ascii="方正小标宋简体" w:hAnsi="黑体" w:eastAsia="方正小标宋简体"/>
                                <w:color w:val="FF0000"/>
                                <w:spacing w:val="92"/>
                                <w:sz w:val="48"/>
                                <w:szCs w:val="48"/>
                              </w:rPr>
                              <w:t>和体育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color w:val="FF0000"/>
                                <w:spacing w:val="92"/>
                                <w:sz w:val="48"/>
                                <w:szCs w:val="48"/>
                              </w:rPr>
                              <w:t>局</w:t>
                            </w:r>
                          </w:p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方正小标宋简体" w:hAnsi="黑体" w:eastAsia="方正小标宋简体"/>
                                <w:color w:val="FF0000"/>
                                <w:spacing w:val="-1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color w:val="FF0000"/>
                                <w:spacing w:val="-14"/>
                                <w:sz w:val="48"/>
                                <w:szCs w:val="48"/>
                              </w:rPr>
                              <w:t xml:space="preserve">临 </w:t>
                            </w:r>
                            <w:r>
                              <w:rPr>
                                <w:rFonts w:ascii="方正小标宋简体" w:hAnsi="黑体" w:eastAsia="方正小标宋简体"/>
                                <w:color w:val="FF0000"/>
                                <w:spacing w:val="-1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color w:val="FF0000"/>
                                <w:spacing w:val="-14"/>
                                <w:sz w:val="48"/>
                                <w:szCs w:val="48"/>
                              </w:rPr>
                              <w:t>淄 区 文 化 和 旅 游 局</w:t>
                            </w:r>
                          </w:p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方正小标宋简体" w:hAnsi="黑体" w:eastAsia="方正小标宋简体"/>
                                <w:color w:val="FF0000"/>
                                <w:spacing w:val="14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35pt;margin-top:0.95pt;height:146.05pt;width:327.0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po+nnTAAAABwEAAA8AAAAAAAAAAQAg&#10;AAAAIgAAAGRycy9kb3ducmV2LnhtbFBLAQIUABQAAAAIAIdO4kCV/BLwEwIAAFAEAAAOAAAAAAAA&#10;AAEAIAAAACIBAABkcnMvZTJvRG9jLnhtbFBLBQYAAAAABgAGAFkBAACnBQAAAAA=&#10;">
                <v:fill on="t" focussize="0,0"/>
                <v:stroke weight="0.2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left"/>
                        <w:rPr>
                          <w:rFonts w:ascii="方正小标宋简体" w:hAnsi="黑体" w:eastAsia="方正小标宋简体"/>
                          <w:color w:val="FF0000"/>
                          <w:spacing w:val="1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color w:val="FF0000"/>
                          <w:spacing w:val="100"/>
                          <w:sz w:val="48"/>
                          <w:szCs w:val="48"/>
                        </w:rPr>
                        <w:t>中共临淄区委宣传部</w:t>
                      </w:r>
                    </w:p>
                    <w:p>
                      <w:pPr>
                        <w:spacing w:line="600" w:lineRule="exact"/>
                        <w:jc w:val="left"/>
                        <w:rPr>
                          <w:rFonts w:ascii="方正小标宋简体" w:hAnsi="黑体" w:eastAsia="方正小标宋简体"/>
                          <w:color w:val="FF0000"/>
                          <w:spacing w:val="92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color w:val="FF0000"/>
                          <w:spacing w:val="92"/>
                          <w:sz w:val="48"/>
                          <w:szCs w:val="48"/>
                        </w:rPr>
                        <w:t>临 淄 区 财 政 局</w:t>
                      </w:r>
                    </w:p>
                    <w:p>
                      <w:pPr>
                        <w:spacing w:line="600" w:lineRule="exact"/>
                        <w:jc w:val="left"/>
                        <w:rPr>
                          <w:rFonts w:ascii="方正小标宋简体" w:hAnsi="黑体" w:eastAsia="方正小标宋简体"/>
                          <w:color w:val="FF0000"/>
                          <w:spacing w:val="92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color w:val="FF0000"/>
                          <w:spacing w:val="-14"/>
                          <w:sz w:val="48"/>
                          <w:szCs w:val="48"/>
                        </w:rPr>
                        <w:t xml:space="preserve">临 </w:t>
                      </w:r>
                      <w:r>
                        <w:rPr>
                          <w:rFonts w:ascii="方正小标宋简体" w:hAnsi="黑体" w:eastAsia="方正小标宋简体"/>
                          <w:color w:val="FF0000"/>
                          <w:spacing w:val="-1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hint="eastAsia" w:ascii="方正小标宋简体" w:hAnsi="黑体" w:eastAsia="方正小标宋简体"/>
                          <w:color w:val="FF0000"/>
                          <w:spacing w:val="-14"/>
                          <w:sz w:val="48"/>
                          <w:szCs w:val="48"/>
                        </w:rPr>
                        <w:t xml:space="preserve">淄 区 </w:t>
                      </w:r>
                      <w:r>
                        <w:rPr>
                          <w:rFonts w:hint="eastAsia" w:ascii="方正小标宋简体" w:hAnsi="黑体" w:eastAsia="方正小标宋简体"/>
                          <w:color w:val="FF0000"/>
                          <w:spacing w:val="92"/>
                          <w:sz w:val="48"/>
                          <w:szCs w:val="48"/>
                        </w:rPr>
                        <w:t>教育</w:t>
                      </w:r>
                      <w:r>
                        <w:rPr>
                          <w:rFonts w:ascii="方正小标宋简体" w:hAnsi="黑体" w:eastAsia="方正小标宋简体"/>
                          <w:color w:val="FF0000"/>
                          <w:spacing w:val="92"/>
                          <w:sz w:val="48"/>
                          <w:szCs w:val="48"/>
                        </w:rPr>
                        <w:t>和体育</w:t>
                      </w:r>
                      <w:r>
                        <w:rPr>
                          <w:rFonts w:hint="eastAsia" w:ascii="方正小标宋简体" w:hAnsi="黑体" w:eastAsia="方正小标宋简体"/>
                          <w:color w:val="FF0000"/>
                          <w:spacing w:val="92"/>
                          <w:sz w:val="48"/>
                          <w:szCs w:val="48"/>
                        </w:rPr>
                        <w:t>局</w:t>
                      </w:r>
                    </w:p>
                    <w:p>
                      <w:pPr>
                        <w:spacing w:line="600" w:lineRule="exact"/>
                        <w:jc w:val="left"/>
                        <w:rPr>
                          <w:rFonts w:ascii="方正小标宋简体" w:hAnsi="黑体" w:eastAsia="方正小标宋简体"/>
                          <w:color w:val="FF0000"/>
                          <w:spacing w:val="-14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color w:val="FF0000"/>
                          <w:spacing w:val="-14"/>
                          <w:sz w:val="48"/>
                          <w:szCs w:val="48"/>
                        </w:rPr>
                        <w:t xml:space="preserve">临 </w:t>
                      </w:r>
                      <w:r>
                        <w:rPr>
                          <w:rFonts w:ascii="方正小标宋简体" w:hAnsi="黑体" w:eastAsia="方正小标宋简体"/>
                          <w:color w:val="FF0000"/>
                          <w:spacing w:val="-1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hint="eastAsia" w:ascii="方正小标宋简体" w:hAnsi="黑体" w:eastAsia="方正小标宋简体"/>
                          <w:color w:val="FF0000"/>
                          <w:spacing w:val="-14"/>
                          <w:sz w:val="48"/>
                          <w:szCs w:val="48"/>
                        </w:rPr>
                        <w:t>淄 区 文 化 和 旅 游 局</w:t>
                      </w:r>
                    </w:p>
                    <w:p>
                      <w:pPr>
                        <w:spacing w:line="600" w:lineRule="exact"/>
                        <w:jc w:val="left"/>
                        <w:rPr>
                          <w:rFonts w:ascii="方正小标宋简体" w:hAnsi="黑体" w:eastAsia="方正小标宋简体"/>
                          <w:color w:val="FF0000"/>
                          <w:spacing w:val="146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334645</wp:posOffset>
                </wp:positionV>
                <wp:extent cx="1553845" cy="1240155"/>
                <wp:effectExtent l="4445" t="4445" r="22860" b="12700"/>
                <wp:wrapSquare wrapText="bothSides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hAnsi="黑体" w:eastAsia="方正小标宋_GBK"/>
                                <w:color w:val="FF00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_GBK" w:hAnsi="黑体" w:eastAsia="方正小标宋_GBK"/>
                                <w:color w:val="FF000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36.95pt;margin-top:26.35pt;height:97.65pt;width:122.3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F263/ZAAAACgEAAA8AAAAA&#10;AAAAAQAgAAAAIgAAAGRycy9kb3ducmV2LnhtbFBLAQIUABQAAAAIAIdO4kB/5BBoEwIAAFAEAAAO&#10;AAAAAAAAAAEAIAAAACg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hAnsi="黑体" w:eastAsia="方正小标宋_GBK"/>
                          <w:color w:val="FF000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_GBK" w:hAnsi="黑体" w:eastAsia="方正小标宋_GBK"/>
                          <w:color w:val="FF000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7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临文发</w:t>
      </w:r>
      <w:r>
        <w:rPr>
          <w:rFonts w:ascii="仿宋_GB2312" w:eastAsia="仿宋_GB2312"/>
          <w:sz w:val="30"/>
          <w:szCs w:val="30"/>
        </w:rPr>
        <w:t>〔</w:t>
      </w: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022</w:t>
      </w:r>
      <w:r>
        <w:rPr>
          <w:rFonts w:ascii="仿宋_GB2312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号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95250</wp:posOffset>
                </wp:positionV>
                <wp:extent cx="5795010" cy="12065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010" cy="1206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27.2pt;margin-top:7.5pt;height:0.95pt;width:456.3pt;z-index:251662336;mso-width-relative:page;mso-height-relative:page;" filled="f" stroked="t" coordsize="21600,21600" o:gfxdata="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93iU7YAAAACQEAAA8AAAAAAAAAAQAgAAAAIgAAAGRycy9kb3ducmV2Lnht&#10;bFBLAQIUABQAAAAIAIdO4kBAVuSC+QEAAOgDAAAOAAAAAAAAAAEAIAAAACcBAABkcnMvZTJvRG9j&#10;LnhtbFBLBQYAAAAABgAGAFkBAACS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临淄区20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年戏曲进校园工作方案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left="15" w:leftChars="7" w:firstLine="617" w:firstLineChars="1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戏曲是表现和传承中华优秀传统文化的重要载体。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为贯彻落实《淄博市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戏曲进校园工作方案》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淄文旅发</w:t>
      </w:r>
      <w:r>
        <w:rPr>
          <w:rFonts w:ascii="仿宋_GB2312" w:eastAsia="仿宋_GB2312"/>
          <w:sz w:val="30"/>
          <w:szCs w:val="30"/>
        </w:rPr>
        <w:t>〔</w:t>
      </w: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022</w:t>
      </w:r>
      <w:r>
        <w:rPr>
          <w:rFonts w:ascii="仿宋_GB2312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文件精神，弘扬中华优秀传统文化，加强社会主义核心价值观教育，以优质文化资源占领校园阵地，提升在校学生美育水平，圆满完成20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年临淄区戏曲进校园工作。现制定工作方案如下：</w:t>
      </w:r>
    </w:p>
    <w:p>
      <w:pPr>
        <w:spacing w:line="560" w:lineRule="exact"/>
        <w:ind w:left="315" w:leftChars="150"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以习近平新时代中国特色社会主义思想和党的十九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届历次全会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精神为指导，全面落实党的教育方针，以立德树人为根本任务，汇聚我市、</w:t>
      </w:r>
      <w:r>
        <w:rPr>
          <w:rFonts w:ascii="仿宋_GB2312" w:hAnsi="仿宋_GB2312" w:eastAsia="仿宋_GB2312" w:cs="仿宋_GB2312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戏曲艺术优质资源，加强戏曲通识普及教育，丰富校园文化生活，培养学生健康的审美情趣和良好的艺术素养，引领学生全面发展，促进戏曲艺术传承发展。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二、实施目标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通过优质演出进校园、开设戏曲课程、建立学生社团、开展校园戏曲活动等多种形式，深入实施戏曲进校园活动。完成为全区每个中小学免费送</w:t>
      </w:r>
      <w:r>
        <w:rPr>
          <w:rFonts w:ascii="仿宋_GB2312" w:hAnsi="仿宋_GB2312" w:eastAsia="仿宋_GB2312" w:cs="仿宋_GB2312"/>
          <w:sz w:val="32"/>
          <w:szCs w:val="32"/>
        </w:rPr>
        <w:t>戏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三、主要任务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（一）时间安排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起止时间为9月至12月，</w:t>
      </w:r>
      <w:r>
        <w:rPr>
          <w:rFonts w:hint="eastAsia" w:ascii="仿宋_GB2312" w:eastAsia="仿宋_GB2312"/>
          <w:sz w:val="32"/>
          <w:szCs w:val="32"/>
        </w:rPr>
        <w:t>具体时间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</w:t>
      </w:r>
      <w:r>
        <w:rPr>
          <w:rFonts w:hint="eastAsia" w:ascii="仿宋_GB2312" w:eastAsia="仿宋_GB2312"/>
          <w:sz w:val="32"/>
          <w:szCs w:val="32"/>
        </w:rPr>
        <w:t>由各校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与戏曲艺术表演团</w:t>
      </w:r>
      <w:r>
        <w:rPr>
          <w:rFonts w:hint="eastAsia" w:ascii="仿宋_GB2312" w:eastAsia="仿宋_GB2312"/>
          <w:sz w:val="32"/>
          <w:szCs w:val="32"/>
        </w:rPr>
        <w:t>自行确定，应与课堂教学、课外活动及学生综合实践活动有机结合。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（二）参与对象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1.全区中小学的在校学生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市京剧院、市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五音戏艺术传承保护中心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3.全区各类戏曲艺术表演团体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.戏曲艺术专业人员（含艺术专家、表演人才、研究人员、非遗传承人和志愿者等）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5.其他相关的社会团体和人才资源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（三）任务分配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市京剧院、市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五音戏艺术传承保护中心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为我区部分中小学送戏2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场，区文化</w:t>
      </w:r>
      <w:r>
        <w:rPr>
          <w:rFonts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旅游局以购买服务方式为各镇、街道中小学送戏</w:t>
      </w:r>
      <w:r>
        <w:rPr>
          <w:rFonts w:ascii="仿宋_GB2312" w:hAnsi="仿宋_GB2312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场。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（四）主要形式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1.观看一场传统戏曲演出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结合学校教育实际及不同年龄段学生身心特点，选择优秀、经典、适合学生观看的戏曲艺术作品，组织戏曲艺术表演团体进校园演出。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2.讲一堂传统戏曲课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组织戏曲名家、优秀演员走进课堂，充实艺术教育课堂。根据不同年龄段学生认知水平和心理特点，组织戏曲赏析（讲座），传统戏曲行当、服饰、音乐、表演等知识普及。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3.指导一个戏曲社团建设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戏曲艺术表演团体与中小学戏曲社团开展“结对子、种文化”活动，组织戏曲艺术专业人员深入学校戏曲社团“面对面”“一对一”指导中小学戏曲社团成员，开展戏曲辅导活动。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、组织管理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（一）管理机构职责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区委宣传部负责宏观指导和统筹协调，加大宣传支持力度，营造良好社会舆论氛围。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区财政局负责研究完善支持政策，做好戏曲进校园相关资金投入工作，加强资金监管。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区教育和</w:t>
      </w:r>
      <w:r>
        <w:rPr>
          <w:rFonts w:ascii="仿宋_GB2312" w:eastAsia="仿宋_GB2312"/>
          <w:sz w:val="32"/>
          <w:szCs w:val="32"/>
        </w:rPr>
        <w:t>体育</w:t>
      </w:r>
      <w:r>
        <w:rPr>
          <w:rFonts w:hint="eastAsia" w:ascii="仿宋_GB2312" w:eastAsia="仿宋_GB2312"/>
          <w:sz w:val="32"/>
          <w:szCs w:val="32"/>
        </w:rPr>
        <w:t>局负责规划实施和组织管理，确定进校园的时间和需求数量，组织指导学校参加和开展活动。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区文化和旅游局负责审查、推荐剧（节）目，审核戏曲艺术表演团体参演资格，对表演团体进行业务指导和组织管理。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（二）戏曲表演团体资格审核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除规定</w:t>
      </w:r>
      <w:r>
        <w:rPr>
          <w:rFonts w:ascii="仿宋_GB2312" w:eastAsia="仿宋_GB2312"/>
          <w:sz w:val="32"/>
          <w:szCs w:val="32"/>
        </w:rPr>
        <w:t>的市级院团外，</w:t>
      </w:r>
      <w:r>
        <w:rPr>
          <w:rFonts w:hint="eastAsia" w:ascii="仿宋_GB2312" w:eastAsia="仿宋_GB2312"/>
          <w:sz w:val="32"/>
          <w:szCs w:val="32"/>
        </w:rPr>
        <w:t>戏曲艺术表演团体和相关社会团体等的资格由区文化和旅游局审定。凡符合申报条件的团体，按要求报名参加戏曲进校园的资质统一评审，并向社会公布。凡取得戏曲进校园资格的团体，需严格按照审定和公布的剧（节）目目录进行演出和提供相关服务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（三）完善安全制度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牢固树立“安全第一”的指导思想，加强安全教育和管理工作，建立健全安全管理制度。特别是在组织学生观看演出、讲座和参加相关活动的过程中，学校、表演团体和场馆等各参与方要提高安全意识，认真做好安全预案，严格安全程序，切实保障戏曲进校园工作的顺利实施和学生的安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附件：戏曲进校园课程目录</w:t>
      </w:r>
    </w:p>
    <w:p>
      <w:pPr>
        <w:ind w:left="2560" w:hanging="2560" w:hanging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</w:t>
      </w:r>
    </w:p>
    <w:p>
      <w:pPr>
        <w:ind w:left="2560" w:hanging="2560" w:hangingChars="8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中共临淄区委宣传部 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临淄区财政局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临淄区教育和</w:t>
      </w:r>
      <w:r>
        <w:rPr>
          <w:rFonts w:ascii="仿宋_GB2312" w:eastAsia="仿宋_GB2312"/>
          <w:sz w:val="32"/>
          <w:szCs w:val="32"/>
        </w:rPr>
        <w:t>体育</w:t>
      </w:r>
      <w:r>
        <w:rPr>
          <w:rFonts w:hint="eastAsia" w:ascii="仿宋_GB2312" w:eastAsia="仿宋_GB2312"/>
          <w:sz w:val="32"/>
          <w:szCs w:val="32"/>
        </w:rPr>
        <w:t xml:space="preserve">局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临淄区文化和旅游局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pStyle w:val="7"/>
        <w:widowControl/>
        <w:spacing w:beforeAutospacing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7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7"/>
        <w:widowControl/>
        <w:spacing w:beforeAutospacing="0" w:afterAutospacing="0"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市京剧院、市五音戏艺术传承保护中心</w:t>
      </w:r>
    </w:p>
    <w:p>
      <w:pPr>
        <w:pStyle w:val="7"/>
        <w:widowControl/>
        <w:spacing w:beforeAutospacing="0" w:afterAutospacing="0"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戏曲进校园课程目录</w:t>
      </w:r>
    </w:p>
    <w:p>
      <w:pPr>
        <w:pStyle w:val="7"/>
        <w:widowControl/>
        <w:spacing w:beforeAutospacing="0" w:afterAutospacing="0"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9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26"/>
        <w:gridCol w:w="1566"/>
        <w:gridCol w:w="1578"/>
        <w:gridCol w:w="123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44" w:type="dxa"/>
            <w:vAlign w:val="center"/>
          </w:tcPr>
          <w:p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1626" w:type="dxa"/>
            <w:vAlign w:val="center"/>
          </w:tcPr>
          <w:p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课程内容</w:t>
            </w:r>
          </w:p>
        </w:tc>
        <w:tc>
          <w:tcPr>
            <w:tcW w:w="1566" w:type="dxa"/>
            <w:vAlign w:val="center"/>
          </w:tcPr>
          <w:p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场地需求</w:t>
            </w:r>
          </w:p>
        </w:tc>
        <w:tc>
          <w:tcPr>
            <w:tcW w:w="1578" w:type="dxa"/>
            <w:vAlign w:val="center"/>
          </w:tcPr>
          <w:p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演出单位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联系人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五音戏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唱段展示、学生互动体验、戏曲服饰展示、五音戏剧目赏析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投影、音响、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话筒、桌椅两套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淄博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市五音戏艺术传承保护中心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朱雷声</w:t>
            </w:r>
          </w:p>
        </w:tc>
        <w:tc>
          <w:tcPr>
            <w:tcW w:w="17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13789894629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京剧起源，京剧行当讲解，京剧乐队乐器讲解，唱段展示，学生互动体验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需要配备音响设备，LED屏幕或投影仪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市演艺中心（市京剧院）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梅  艳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赵国栋</w:t>
            </w:r>
          </w:p>
        </w:tc>
        <w:tc>
          <w:tcPr>
            <w:tcW w:w="1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18853386073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15695435999</w:t>
            </w:r>
          </w:p>
        </w:tc>
      </w:tr>
    </w:tbl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ZG/Ys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dkb9i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jQ2MTEzNDg1MzNlZTE1NTE1NzdiYzZlODdlY2MifQ=="/>
  </w:docVars>
  <w:rsids>
    <w:rsidRoot w:val="00DB7B03"/>
    <w:rsid w:val="00052E0E"/>
    <w:rsid w:val="000A2AB0"/>
    <w:rsid w:val="001071F7"/>
    <w:rsid w:val="00113C66"/>
    <w:rsid w:val="0013672B"/>
    <w:rsid w:val="00167F42"/>
    <w:rsid w:val="00182552"/>
    <w:rsid w:val="001855D7"/>
    <w:rsid w:val="00190F9A"/>
    <w:rsid w:val="001A3AB5"/>
    <w:rsid w:val="001C1724"/>
    <w:rsid w:val="001F29BD"/>
    <w:rsid w:val="00214197"/>
    <w:rsid w:val="00214CB0"/>
    <w:rsid w:val="00240928"/>
    <w:rsid w:val="00241E70"/>
    <w:rsid w:val="00243870"/>
    <w:rsid w:val="002442CA"/>
    <w:rsid w:val="002466C0"/>
    <w:rsid w:val="00293AEA"/>
    <w:rsid w:val="00300439"/>
    <w:rsid w:val="003033CE"/>
    <w:rsid w:val="00304A83"/>
    <w:rsid w:val="00330FBE"/>
    <w:rsid w:val="0033591C"/>
    <w:rsid w:val="00343CF3"/>
    <w:rsid w:val="003661A8"/>
    <w:rsid w:val="00374BBF"/>
    <w:rsid w:val="00393901"/>
    <w:rsid w:val="003A03CE"/>
    <w:rsid w:val="003A1D40"/>
    <w:rsid w:val="003D7A7A"/>
    <w:rsid w:val="003E2C8B"/>
    <w:rsid w:val="003E355E"/>
    <w:rsid w:val="00400C6A"/>
    <w:rsid w:val="0042200C"/>
    <w:rsid w:val="00422518"/>
    <w:rsid w:val="004479B1"/>
    <w:rsid w:val="004670E8"/>
    <w:rsid w:val="004874DC"/>
    <w:rsid w:val="00487B1C"/>
    <w:rsid w:val="004D68D0"/>
    <w:rsid w:val="004F5870"/>
    <w:rsid w:val="005139BF"/>
    <w:rsid w:val="00523BD3"/>
    <w:rsid w:val="00541CDF"/>
    <w:rsid w:val="005913EC"/>
    <w:rsid w:val="00596528"/>
    <w:rsid w:val="005E7525"/>
    <w:rsid w:val="00625D63"/>
    <w:rsid w:val="006C4E89"/>
    <w:rsid w:val="006F20AE"/>
    <w:rsid w:val="0070321F"/>
    <w:rsid w:val="0073433D"/>
    <w:rsid w:val="007519BC"/>
    <w:rsid w:val="00751D7F"/>
    <w:rsid w:val="00756801"/>
    <w:rsid w:val="00761B5E"/>
    <w:rsid w:val="00792C77"/>
    <w:rsid w:val="007952E8"/>
    <w:rsid w:val="007A3872"/>
    <w:rsid w:val="007B3935"/>
    <w:rsid w:val="007D452C"/>
    <w:rsid w:val="007E72AE"/>
    <w:rsid w:val="007F1A4D"/>
    <w:rsid w:val="00813EAA"/>
    <w:rsid w:val="00816741"/>
    <w:rsid w:val="00821571"/>
    <w:rsid w:val="00864223"/>
    <w:rsid w:val="008E100A"/>
    <w:rsid w:val="008F6162"/>
    <w:rsid w:val="00905CB8"/>
    <w:rsid w:val="009125D1"/>
    <w:rsid w:val="00942830"/>
    <w:rsid w:val="00945824"/>
    <w:rsid w:val="00972CF6"/>
    <w:rsid w:val="00973965"/>
    <w:rsid w:val="009C202C"/>
    <w:rsid w:val="009C408C"/>
    <w:rsid w:val="009F73D4"/>
    <w:rsid w:val="00A779B7"/>
    <w:rsid w:val="00AA3B1E"/>
    <w:rsid w:val="00AE604B"/>
    <w:rsid w:val="00B208AC"/>
    <w:rsid w:val="00BC7207"/>
    <w:rsid w:val="00BD4BCF"/>
    <w:rsid w:val="00BE71EA"/>
    <w:rsid w:val="00C10AEA"/>
    <w:rsid w:val="00C154C0"/>
    <w:rsid w:val="00C365FB"/>
    <w:rsid w:val="00C45427"/>
    <w:rsid w:val="00C56047"/>
    <w:rsid w:val="00C62D7B"/>
    <w:rsid w:val="00C82042"/>
    <w:rsid w:val="00C97094"/>
    <w:rsid w:val="00CE36E6"/>
    <w:rsid w:val="00CF7C6F"/>
    <w:rsid w:val="00D00319"/>
    <w:rsid w:val="00D10777"/>
    <w:rsid w:val="00D30BC4"/>
    <w:rsid w:val="00D56C2F"/>
    <w:rsid w:val="00D60DE1"/>
    <w:rsid w:val="00D646B3"/>
    <w:rsid w:val="00D856DA"/>
    <w:rsid w:val="00D92BEB"/>
    <w:rsid w:val="00DB7B03"/>
    <w:rsid w:val="00DD3B67"/>
    <w:rsid w:val="00DD7259"/>
    <w:rsid w:val="00DE51E5"/>
    <w:rsid w:val="00E0383B"/>
    <w:rsid w:val="00E11883"/>
    <w:rsid w:val="00E3291D"/>
    <w:rsid w:val="00E465BA"/>
    <w:rsid w:val="00E8027B"/>
    <w:rsid w:val="00E8533F"/>
    <w:rsid w:val="00E9296B"/>
    <w:rsid w:val="00E94D77"/>
    <w:rsid w:val="00EA2FD3"/>
    <w:rsid w:val="00EB1D45"/>
    <w:rsid w:val="00EE0107"/>
    <w:rsid w:val="00F2070E"/>
    <w:rsid w:val="00F55C0F"/>
    <w:rsid w:val="00F61B2E"/>
    <w:rsid w:val="00F63E03"/>
    <w:rsid w:val="00F708AF"/>
    <w:rsid w:val="00F943F1"/>
    <w:rsid w:val="00F957AE"/>
    <w:rsid w:val="00FD1F1E"/>
    <w:rsid w:val="00FF0738"/>
    <w:rsid w:val="016D71A3"/>
    <w:rsid w:val="017D2ED1"/>
    <w:rsid w:val="019D0FF5"/>
    <w:rsid w:val="01C67499"/>
    <w:rsid w:val="01E82C8E"/>
    <w:rsid w:val="02597CF7"/>
    <w:rsid w:val="02F545CC"/>
    <w:rsid w:val="03843B6A"/>
    <w:rsid w:val="03892C2A"/>
    <w:rsid w:val="03F12654"/>
    <w:rsid w:val="047D550F"/>
    <w:rsid w:val="054A1522"/>
    <w:rsid w:val="054D5EBB"/>
    <w:rsid w:val="05756E3B"/>
    <w:rsid w:val="06960AE7"/>
    <w:rsid w:val="06BB75F6"/>
    <w:rsid w:val="06CD4BF4"/>
    <w:rsid w:val="07291FA3"/>
    <w:rsid w:val="075C1C87"/>
    <w:rsid w:val="087606C0"/>
    <w:rsid w:val="08EA4597"/>
    <w:rsid w:val="092072AA"/>
    <w:rsid w:val="09DA67FC"/>
    <w:rsid w:val="0AC2767A"/>
    <w:rsid w:val="0B440D35"/>
    <w:rsid w:val="0B81676F"/>
    <w:rsid w:val="0C2C36FC"/>
    <w:rsid w:val="0D730A1A"/>
    <w:rsid w:val="0DB10287"/>
    <w:rsid w:val="0E6837F4"/>
    <w:rsid w:val="10127635"/>
    <w:rsid w:val="10353C3E"/>
    <w:rsid w:val="104257B7"/>
    <w:rsid w:val="104D5EB4"/>
    <w:rsid w:val="10565860"/>
    <w:rsid w:val="10762A35"/>
    <w:rsid w:val="109647C1"/>
    <w:rsid w:val="10A67B44"/>
    <w:rsid w:val="10C3541F"/>
    <w:rsid w:val="11524B97"/>
    <w:rsid w:val="1160329D"/>
    <w:rsid w:val="11E87FA9"/>
    <w:rsid w:val="12412C22"/>
    <w:rsid w:val="12C5027A"/>
    <w:rsid w:val="134751E7"/>
    <w:rsid w:val="13A45F05"/>
    <w:rsid w:val="141D2E7F"/>
    <w:rsid w:val="15A112E3"/>
    <w:rsid w:val="15FB45EC"/>
    <w:rsid w:val="1728201F"/>
    <w:rsid w:val="17470C45"/>
    <w:rsid w:val="176C6BA3"/>
    <w:rsid w:val="192857FE"/>
    <w:rsid w:val="195057CD"/>
    <w:rsid w:val="19856FBB"/>
    <w:rsid w:val="19D31DFA"/>
    <w:rsid w:val="1A4C121F"/>
    <w:rsid w:val="1A591C3C"/>
    <w:rsid w:val="1B183F2A"/>
    <w:rsid w:val="1B557B14"/>
    <w:rsid w:val="1B9E3FCC"/>
    <w:rsid w:val="1BA93268"/>
    <w:rsid w:val="1BF22FE2"/>
    <w:rsid w:val="1C013147"/>
    <w:rsid w:val="1EF37A60"/>
    <w:rsid w:val="1F7E0F3B"/>
    <w:rsid w:val="1FA45AC6"/>
    <w:rsid w:val="20474EF5"/>
    <w:rsid w:val="20672773"/>
    <w:rsid w:val="222C5BB0"/>
    <w:rsid w:val="23613726"/>
    <w:rsid w:val="249C3805"/>
    <w:rsid w:val="25193CFD"/>
    <w:rsid w:val="252F06C3"/>
    <w:rsid w:val="253B7390"/>
    <w:rsid w:val="25BE6875"/>
    <w:rsid w:val="25C860D2"/>
    <w:rsid w:val="261874FA"/>
    <w:rsid w:val="26417AB0"/>
    <w:rsid w:val="268062EE"/>
    <w:rsid w:val="26EB0E9B"/>
    <w:rsid w:val="27665C56"/>
    <w:rsid w:val="27B22888"/>
    <w:rsid w:val="27E56ECF"/>
    <w:rsid w:val="28125B01"/>
    <w:rsid w:val="28A32D83"/>
    <w:rsid w:val="28AC0306"/>
    <w:rsid w:val="290F277E"/>
    <w:rsid w:val="29855D7B"/>
    <w:rsid w:val="2A646A65"/>
    <w:rsid w:val="2AB96751"/>
    <w:rsid w:val="2B220135"/>
    <w:rsid w:val="2C494873"/>
    <w:rsid w:val="2CBA0442"/>
    <w:rsid w:val="2CD768A8"/>
    <w:rsid w:val="2D2E6CCA"/>
    <w:rsid w:val="2DC80E02"/>
    <w:rsid w:val="2DE20E59"/>
    <w:rsid w:val="2E037577"/>
    <w:rsid w:val="2E1058AF"/>
    <w:rsid w:val="2E450891"/>
    <w:rsid w:val="2E8D4182"/>
    <w:rsid w:val="2F5A02E1"/>
    <w:rsid w:val="3028559A"/>
    <w:rsid w:val="30304AD5"/>
    <w:rsid w:val="30417E28"/>
    <w:rsid w:val="30DC7485"/>
    <w:rsid w:val="30EE0DB8"/>
    <w:rsid w:val="318B7EC0"/>
    <w:rsid w:val="31DD41D0"/>
    <w:rsid w:val="32363FCB"/>
    <w:rsid w:val="333C4FCF"/>
    <w:rsid w:val="33B728ED"/>
    <w:rsid w:val="33F54C5C"/>
    <w:rsid w:val="34411D63"/>
    <w:rsid w:val="346A0835"/>
    <w:rsid w:val="34F72708"/>
    <w:rsid w:val="35873D46"/>
    <w:rsid w:val="362401F2"/>
    <w:rsid w:val="36B6651D"/>
    <w:rsid w:val="372204F9"/>
    <w:rsid w:val="378F6855"/>
    <w:rsid w:val="38121E4E"/>
    <w:rsid w:val="385D0CCD"/>
    <w:rsid w:val="38D95E32"/>
    <w:rsid w:val="39552994"/>
    <w:rsid w:val="39E13B02"/>
    <w:rsid w:val="3AF240E1"/>
    <w:rsid w:val="3B432077"/>
    <w:rsid w:val="3B4D5C20"/>
    <w:rsid w:val="3DB625C3"/>
    <w:rsid w:val="3DCE0C34"/>
    <w:rsid w:val="3DFD398C"/>
    <w:rsid w:val="3E1D1CB1"/>
    <w:rsid w:val="3EB85E4A"/>
    <w:rsid w:val="3F557F61"/>
    <w:rsid w:val="3FA93508"/>
    <w:rsid w:val="3FC412F9"/>
    <w:rsid w:val="404A6415"/>
    <w:rsid w:val="418A62CA"/>
    <w:rsid w:val="41CB1750"/>
    <w:rsid w:val="41CB6B97"/>
    <w:rsid w:val="42C15944"/>
    <w:rsid w:val="42DC6AC8"/>
    <w:rsid w:val="42EF7B27"/>
    <w:rsid w:val="434209C3"/>
    <w:rsid w:val="444E01F6"/>
    <w:rsid w:val="44524EF8"/>
    <w:rsid w:val="4489728A"/>
    <w:rsid w:val="4598417E"/>
    <w:rsid w:val="464E06D0"/>
    <w:rsid w:val="46524267"/>
    <w:rsid w:val="46A44491"/>
    <w:rsid w:val="46B144E7"/>
    <w:rsid w:val="46DD7AAD"/>
    <w:rsid w:val="46E7613D"/>
    <w:rsid w:val="47AA5C6C"/>
    <w:rsid w:val="483C78BB"/>
    <w:rsid w:val="483E4CF0"/>
    <w:rsid w:val="487D0794"/>
    <w:rsid w:val="49507F5C"/>
    <w:rsid w:val="4ACE3684"/>
    <w:rsid w:val="4B024473"/>
    <w:rsid w:val="4B3434C9"/>
    <w:rsid w:val="4BA46982"/>
    <w:rsid w:val="4BB63A2C"/>
    <w:rsid w:val="4C6942EA"/>
    <w:rsid w:val="4C7F68DA"/>
    <w:rsid w:val="4CCD6454"/>
    <w:rsid w:val="4D0323FD"/>
    <w:rsid w:val="4D1431DB"/>
    <w:rsid w:val="4D7F0FB6"/>
    <w:rsid w:val="4DC2621D"/>
    <w:rsid w:val="4E090520"/>
    <w:rsid w:val="4EBA70C1"/>
    <w:rsid w:val="4F2A1130"/>
    <w:rsid w:val="50015386"/>
    <w:rsid w:val="50303820"/>
    <w:rsid w:val="50B7042A"/>
    <w:rsid w:val="50D04CC6"/>
    <w:rsid w:val="51142ECF"/>
    <w:rsid w:val="512916FA"/>
    <w:rsid w:val="519F0DDE"/>
    <w:rsid w:val="522C3508"/>
    <w:rsid w:val="52490653"/>
    <w:rsid w:val="526C1036"/>
    <w:rsid w:val="534E1F7A"/>
    <w:rsid w:val="53797ADE"/>
    <w:rsid w:val="53C56161"/>
    <w:rsid w:val="54191025"/>
    <w:rsid w:val="54BE355C"/>
    <w:rsid w:val="54D01AF9"/>
    <w:rsid w:val="55815724"/>
    <w:rsid w:val="558315F5"/>
    <w:rsid w:val="55F50C03"/>
    <w:rsid w:val="56234287"/>
    <w:rsid w:val="566C3D2F"/>
    <w:rsid w:val="56BB6A78"/>
    <w:rsid w:val="57776767"/>
    <w:rsid w:val="57F81F16"/>
    <w:rsid w:val="57FE7FB3"/>
    <w:rsid w:val="590421CA"/>
    <w:rsid w:val="590D2DC7"/>
    <w:rsid w:val="59B90B2C"/>
    <w:rsid w:val="5A1B69C6"/>
    <w:rsid w:val="5A5E1229"/>
    <w:rsid w:val="5B012D8F"/>
    <w:rsid w:val="5B8B2DBA"/>
    <w:rsid w:val="5B8F7B28"/>
    <w:rsid w:val="5BBF6753"/>
    <w:rsid w:val="5C8500E6"/>
    <w:rsid w:val="5D7C4640"/>
    <w:rsid w:val="5DBC0C9D"/>
    <w:rsid w:val="5EB07A7C"/>
    <w:rsid w:val="5ED06E15"/>
    <w:rsid w:val="5FB64270"/>
    <w:rsid w:val="60B2294B"/>
    <w:rsid w:val="60EC6886"/>
    <w:rsid w:val="612431DA"/>
    <w:rsid w:val="613B74A9"/>
    <w:rsid w:val="613B74AE"/>
    <w:rsid w:val="613C189E"/>
    <w:rsid w:val="61425230"/>
    <w:rsid w:val="61EF4ED0"/>
    <w:rsid w:val="620D5642"/>
    <w:rsid w:val="621E6EDC"/>
    <w:rsid w:val="62AA0298"/>
    <w:rsid w:val="62B82AF8"/>
    <w:rsid w:val="62B90DE1"/>
    <w:rsid w:val="62FA64A4"/>
    <w:rsid w:val="637F1DC9"/>
    <w:rsid w:val="63DB0121"/>
    <w:rsid w:val="642B13E4"/>
    <w:rsid w:val="645A793B"/>
    <w:rsid w:val="65441223"/>
    <w:rsid w:val="656A18BC"/>
    <w:rsid w:val="66001E19"/>
    <w:rsid w:val="661D68F3"/>
    <w:rsid w:val="66AB4902"/>
    <w:rsid w:val="66EA23C8"/>
    <w:rsid w:val="67447084"/>
    <w:rsid w:val="67CA6667"/>
    <w:rsid w:val="67CF4D8E"/>
    <w:rsid w:val="6A6C57B9"/>
    <w:rsid w:val="6B4E2073"/>
    <w:rsid w:val="6BF83071"/>
    <w:rsid w:val="6C2C197B"/>
    <w:rsid w:val="6D5C2C2E"/>
    <w:rsid w:val="6D6131B4"/>
    <w:rsid w:val="6D732CB7"/>
    <w:rsid w:val="6D923EC3"/>
    <w:rsid w:val="6DD95087"/>
    <w:rsid w:val="6DDB7273"/>
    <w:rsid w:val="6E2363E8"/>
    <w:rsid w:val="6E4C32AA"/>
    <w:rsid w:val="6E6B5C31"/>
    <w:rsid w:val="6FCC7254"/>
    <w:rsid w:val="700F0A93"/>
    <w:rsid w:val="717367BA"/>
    <w:rsid w:val="724F10E2"/>
    <w:rsid w:val="725B7DFB"/>
    <w:rsid w:val="72FD01EF"/>
    <w:rsid w:val="7391322D"/>
    <w:rsid w:val="73A66F14"/>
    <w:rsid w:val="73FF460B"/>
    <w:rsid w:val="75592069"/>
    <w:rsid w:val="75703AB2"/>
    <w:rsid w:val="76C257A3"/>
    <w:rsid w:val="775F0D82"/>
    <w:rsid w:val="776D1D86"/>
    <w:rsid w:val="779816A8"/>
    <w:rsid w:val="78413C42"/>
    <w:rsid w:val="79BC0665"/>
    <w:rsid w:val="7A546935"/>
    <w:rsid w:val="7A9C625F"/>
    <w:rsid w:val="7AEA70D6"/>
    <w:rsid w:val="7B2344EA"/>
    <w:rsid w:val="7BBE6D69"/>
    <w:rsid w:val="7BD0282E"/>
    <w:rsid w:val="7BFB255D"/>
    <w:rsid w:val="7C6902DA"/>
    <w:rsid w:val="7C836E28"/>
    <w:rsid w:val="7D2D1227"/>
    <w:rsid w:val="7D375727"/>
    <w:rsid w:val="7D9A2A10"/>
    <w:rsid w:val="7E53215B"/>
    <w:rsid w:val="7EBE151E"/>
    <w:rsid w:val="7EEC3923"/>
    <w:rsid w:val="7F194D5F"/>
    <w:rsid w:val="7FA31C89"/>
    <w:rsid w:val="7FC3641D"/>
    <w:rsid w:val="7FE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1546</Words>
  <Characters>1608</Characters>
  <Lines>14</Lines>
  <Paragraphs>4</Paragraphs>
  <TotalTime>39</TotalTime>
  <ScaleCrop>false</ScaleCrop>
  <LinksUpToDate>false</LinksUpToDate>
  <CharactersWithSpaces>1723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芙君</cp:lastModifiedBy>
  <cp:lastPrinted>2022-09-16T00:52:00Z</cp:lastPrinted>
  <dcterms:modified xsi:type="dcterms:W3CDTF">2022-10-09T02:10:47Z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70AAFDB61AA64564A77F42C8DC4D5C95</vt:lpwstr>
  </property>
</Properties>
</file>