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asciiTheme="majorEastAsia" w:hAnsiTheme="majorEastAsia" w:eastAsiaTheme="majorEastAsia"/>
          <w:sz w:val="44"/>
          <w:szCs w:val="44"/>
        </w:rPr>
      </w:pPr>
    </w:p>
    <w:p>
      <w:pPr>
        <w:ind w:firstLine="880"/>
        <w:jc w:val="center"/>
        <w:rPr>
          <w:rFonts w:asciiTheme="majorEastAsia" w:hAnsiTheme="majorEastAsia" w:eastAsiaTheme="majorEastAsia"/>
          <w:sz w:val="44"/>
          <w:szCs w:val="44"/>
        </w:rPr>
      </w:pPr>
    </w:p>
    <w:p>
      <w:pPr>
        <w:ind w:firstLine="880"/>
        <w:jc w:val="center"/>
        <w:rPr>
          <w:rFonts w:asciiTheme="majorEastAsia" w:hAnsiTheme="majorEastAsia" w:eastAsiaTheme="majorEastAsia"/>
          <w:sz w:val="44"/>
          <w:szCs w:val="44"/>
        </w:rPr>
      </w:pPr>
    </w:p>
    <w:p>
      <w:pPr>
        <w:ind w:firstLine="880"/>
        <w:jc w:val="center"/>
        <w:rPr>
          <w:rFonts w:asciiTheme="majorEastAsia" w:hAnsiTheme="majorEastAsia" w:eastAsiaTheme="majorEastAsia"/>
          <w:sz w:val="44"/>
          <w:szCs w:val="44"/>
        </w:rPr>
      </w:pPr>
    </w:p>
    <w:p>
      <w:pPr>
        <w:spacing w:line="580" w:lineRule="exact"/>
        <w:ind w:firstLine="0" w:firstLineChars="0"/>
        <w:jc w:val="center"/>
        <w:rPr>
          <w:rFonts w:hint="eastAsia" w:ascii="宋体" w:hAnsi="宋体" w:eastAsia="宋体" w:cs="方正小标宋简体"/>
          <w:b/>
          <w:bCs/>
          <w:sz w:val="44"/>
          <w:szCs w:val="44"/>
          <w:lang w:eastAsia="zh-CN"/>
        </w:rPr>
      </w:pPr>
      <w:r>
        <w:rPr>
          <w:rFonts w:hint="eastAsia" w:ascii="宋体" w:hAnsi="宋体" w:cs="方正小标宋简体"/>
          <w:b/>
          <w:bCs/>
          <w:sz w:val="44"/>
          <w:szCs w:val="44"/>
        </w:rPr>
        <w:t>临淄区</w:t>
      </w:r>
      <w:r>
        <w:rPr>
          <w:rFonts w:hint="eastAsia" w:ascii="宋体" w:hAnsi="宋体" w:cs="方正小标宋简体"/>
          <w:b/>
          <w:bCs/>
          <w:sz w:val="44"/>
          <w:szCs w:val="44"/>
          <w:lang w:eastAsia="zh-CN"/>
        </w:rPr>
        <w:t>影视文化产业发展扶持资金</w:t>
      </w:r>
    </w:p>
    <w:p>
      <w:pPr>
        <w:spacing w:line="580" w:lineRule="exact"/>
        <w:ind w:firstLine="0" w:firstLineChars="0"/>
        <w:jc w:val="center"/>
        <w:rPr>
          <w:rFonts w:ascii="宋体" w:hAnsi="宋体" w:cs="方正小标宋简体"/>
          <w:b/>
          <w:bCs/>
          <w:sz w:val="44"/>
          <w:szCs w:val="44"/>
        </w:rPr>
      </w:pPr>
      <w:r>
        <w:rPr>
          <w:rFonts w:hint="eastAsia" w:ascii="宋体" w:hAnsi="宋体" w:cs="方正小标宋简体"/>
          <w:b/>
          <w:bCs/>
          <w:sz w:val="44"/>
          <w:szCs w:val="44"/>
        </w:rPr>
        <w:t>绩效评价报告</w:t>
      </w:r>
    </w:p>
    <w:p>
      <w:pPr>
        <w:ind w:firstLine="880"/>
        <w:jc w:val="center"/>
        <w:rPr>
          <w:rFonts w:asciiTheme="majorEastAsia" w:hAnsiTheme="majorEastAsia" w:eastAsiaTheme="majorEastAsia"/>
          <w:sz w:val="44"/>
          <w:szCs w:val="44"/>
        </w:rPr>
      </w:pPr>
    </w:p>
    <w:p>
      <w:pPr>
        <w:ind w:firstLine="880"/>
        <w:jc w:val="center"/>
        <w:rPr>
          <w:rFonts w:asciiTheme="majorEastAsia" w:hAnsiTheme="majorEastAsia" w:eastAsiaTheme="majorEastAsia"/>
          <w:sz w:val="44"/>
          <w:szCs w:val="44"/>
        </w:rPr>
      </w:pPr>
    </w:p>
    <w:p>
      <w:pPr>
        <w:ind w:firstLine="880"/>
        <w:jc w:val="center"/>
        <w:rPr>
          <w:rFonts w:asciiTheme="majorEastAsia" w:hAnsiTheme="majorEastAsia" w:eastAsiaTheme="majorEastAsia"/>
          <w:sz w:val="44"/>
          <w:szCs w:val="44"/>
        </w:rPr>
      </w:pPr>
    </w:p>
    <w:p>
      <w:pPr>
        <w:ind w:firstLine="880"/>
        <w:jc w:val="center"/>
        <w:rPr>
          <w:rFonts w:asciiTheme="majorEastAsia" w:hAnsiTheme="majorEastAsia" w:eastAsiaTheme="majorEastAsia"/>
          <w:sz w:val="44"/>
          <w:szCs w:val="44"/>
        </w:rPr>
      </w:pPr>
    </w:p>
    <w:p>
      <w:pPr>
        <w:ind w:firstLine="880"/>
        <w:jc w:val="center"/>
        <w:rPr>
          <w:rFonts w:asciiTheme="majorEastAsia" w:hAnsiTheme="majorEastAsia" w:eastAsiaTheme="majorEastAsia"/>
          <w:sz w:val="44"/>
          <w:szCs w:val="44"/>
        </w:rPr>
      </w:pPr>
    </w:p>
    <w:p>
      <w:pPr>
        <w:ind w:firstLine="880"/>
        <w:jc w:val="center"/>
        <w:rPr>
          <w:rFonts w:asciiTheme="majorEastAsia" w:hAnsiTheme="majorEastAsia" w:eastAsiaTheme="majorEastAsia"/>
          <w:sz w:val="44"/>
          <w:szCs w:val="44"/>
        </w:rPr>
      </w:pPr>
    </w:p>
    <w:p>
      <w:pPr>
        <w:ind w:firstLine="880"/>
        <w:jc w:val="center"/>
        <w:rPr>
          <w:rFonts w:asciiTheme="majorEastAsia" w:hAnsiTheme="majorEastAsia" w:eastAsiaTheme="majorEastAsia"/>
          <w:sz w:val="44"/>
          <w:szCs w:val="44"/>
        </w:rPr>
      </w:pPr>
    </w:p>
    <w:p>
      <w:pPr>
        <w:ind w:firstLine="0" w:firstLineChars="0"/>
        <w:rPr>
          <w:rFonts w:hint="eastAsia" w:asciiTheme="majorEastAsia" w:hAnsiTheme="majorEastAsia" w:eastAsiaTheme="majorEastAsia"/>
          <w:sz w:val="44"/>
          <w:szCs w:val="44"/>
        </w:rPr>
      </w:pPr>
    </w:p>
    <w:p>
      <w:pPr>
        <w:ind w:left="0" w:leftChars="0" w:firstLine="0" w:firstLineChars="0"/>
        <w:jc w:val="left"/>
        <w:rPr>
          <w:rFonts w:hint="eastAsia" w:ascii="宋体" w:hAnsi="宋体" w:eastAsia="宋体" w:cs="宋体"/>
          <w:sz w:val="36"/>
          <w:szCs w:val="36"/>
        </w:rPr>
      </w:pPr>
      <w:r>
        <w:rPr>
          <w:rFonts w:hint="eastAsia" w:ascii="宋体" w:hAnsi="宋体" w:eastAsia="宋体" w:cs="宋体"/>
          <w:sz w:val="36"/>
          <w:szCs w:val="36"/>
        </w:rPr>
        <w:t>评价机构：北京中瑞岳华工程管理咨询有限公司</w:t>
      </w:r>
    </w:p>
    <w:p>
      <w:pPr>
        <w:ind w:left="0" w:leftChars="0" w:firstLine="0" w:firstLineChars="0"/>
        <w:jc w:val="left"/>
        <w:rPr>
          <w:rFonts w:hint="eastAsia" w:ascii="宋体" w:hAnsi="宋体" w:eastAsia="宋体" w:cs="宋体"/>
          <w:sz w:val="36"/>
          <w:szCs w:val="36"/>
        </w:rPr>
      </w:pPr>
    </w:p>
    <w:p>
      <w:pPr>
        <w:ind w:firstLine="1440" w:firstLineChars="400"/>
        <w:jc w:val="left"/>
        <w:rPr>
          <w:rFonts w:hint="eastAsia" w:ascii="宋体" w:hAnsi="宋体" w:eastAsia="宋体" w:cs="宋体"/>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宋体" w:hAnsi="宋体" w:eastAsia="宋体" w:cs="宋体"/>
          <w:sz w:val="36"/>
          <w:szCs w:val="36"/>
        </w:rPr>
      </w:pPr>
      <w:r>
        <w:rPr>
          <w:rFonts w:hint="eastAsia" w:ascii="宋体" w:hAnsi="宋体" w:eastAsia="宋体" w:cs="宋体"/>
          <w:sz w:val="36"/>
          <w:szCs w:val="36"/>
          <w:lang w:val="en-US" w:eastAsia="zh-CN"/>
        </w:rPr>
        <w:t>2020</w:t>
      </w:r>
      <w:r>
        <w:rPr>
          <w:rFonts w:hint="eastAsia" w:ascii="宋体" w:hAnsi="宋体" w:eastAsia="宋体" w:cs="宋体"/>
          <w:sz w:val="36"/>
          <w:szCs w:val="36"/>
        </w:rPr>
        <w:t>年</w:t>
      </w:r>
      <w:r>
        <w:rPr>
          <w:rFonts w:hint="eastAsia" w:ascii="宋体" w:hAnsi="宋体" w:eastAsia="宋体" w:cs="宋体"/>
          <w:sz w:val="36"/>
          <w:szCs w:val="36"/>
          <w:lang w:val="en-US" w:eastAsia="zh-CN"/>
        </w:rPr>
        <w:t>7</w:t>
      </w:r>
      <w:r>
        <w:rPr>
          <w:rFonts w:hint="eastAsia" w:ascii="宋体" w:hAnsi="宋体" w:eastAsia="宋体" w:cs="宋体"/>
          <w:sz w:val="36"/>
          <w:szCs w:val="36"/>
        </w:rPr>
        <w:t>月</w:t>
      </w:r>
    </w:p>
    <w:p>
      <w:pPr>
        <w:ind w:firstLine="0" w:firstLineChars="0"/>
        <w:rPr>
          <w:rFonts w:asciiTheme="majorEastAsia" w:hAnsiTheme="majorEastAsia" w:eastAsiaTheme="majorEastAsia"/>
          <w:sz w:val="44"/>
          <w:szCs w:val="44"/>
        </w:rPr>
      </w:pPr>
    </w:p>
    <w:sdt>
      <w:sdtPr>
        <w:rPr>
          <w:rFonts w:ascii="仿宋" w:hAnsi="仿宋" w:eastAsia="仿宋" w:cstheme="minorBidi"/>
          <w:b w:val="0"/>
          <w:color w:val="auto"/>
          <w:kern w:val="2"/>
          <w:sz w:val="28"/>
          <w:szCs w:val="28"/>
          <w:lang w:val="zh-CN"/>
        </w:rPr>
        <w:id w:val="-1498419086"/>
        <w:docPartObj>
          <w:docPartGallery w:val="Table of Contents"/>
          <w:docPartUnique/>
        </w:docPartObj>
      </w:sdtPr>
      <w:sdtEndPr>
        <w:rPr>
          <w:rFonts w:ascii="仿宋" w:hAnsi="仿宋" w:eastAsia="宋体" w:cstheme="minorBidi"/>
          <w:b w:val="0"/>
          <w:bCs/>
          <w:color w:val="auto"/>
          <w:kern w:val="2"/>
          <w:sz w:val="28"/>
          <w:szCs w:val="28"/>
          <w:lang w:val="zh-CN"/>
        </w:rPr>
      </w:sdtEndPr>
      <w:sdtContent>
        <w:p>
          <w:pPr>
            <w:pStyle w:val="18"/>
            <w:tabs>
              <w:tab w:val="left" w:pos="2700"/>
              <w:tab w:val="center" w:pos="4473"/>
            </w:tabs>
            <w:spacing w:line="360" w:lineRule="auto"/>
            <w:ind w:firstLine="560"/>
            <w:rPr>
              <w:rFonts w:ascii="宋体" w:hAnsi="宋体" w:eastAsia="宋体"/>
              <w:sz w:val="36"/>
              <w:szCs w:val="36"/>
              <w:lang w:val="zh-CN"/>
            </w:rPr>
          </w:pPr>
          <w:r>
            <w:rPr>
              <w:rFonts w:ascii="仿宋" w:hAnsi="仿宋" w:eastAsia="仿宋" w:cstheme="minorBidi"/>
              <w:b w:val="0"/>
              <w:color w:val="auto"/>
              <w:kern w:val="2"/>
              <w:sz w:val="28"/>
              <w:szCs w:val="28"/>
              <w:lang w:val="zh-CN"/>
            </w:rPr>
            <w:tab/>
          </w:r>
          <w:r>
            <w:rPr>
              <w:rFonts w:ascii="仿宋" w:hAnsi="仿宋" w:eastAsia="仿宋" w:cstheme="minorBidi"/>
              <w:b w:val="0"/>
              <w:color w:val="auto"/>
              <w:kern w:val="2"/>
              <w:sz w:val="28"/>
              <w:szCs w:val="28"/>
              <w:lang w:val="zh-CN"/>
            </w:rPr>
            <w:tab/>
          </w:r>
          <w:r>
            <w:rPr>
              <w:rFonts w:ascii="宋体" w:hAnsi="宋体" w:eastAsia="宋体"/>
              <w:sz w:val="36"/>
              <w:szCs w:val="36"/>
              <w:lang w:val="zh-CN"/>
            </w:rPr>
            <w:t>目</w:t>
          </w:r>
          <w:r>
            <w:rPr>
              <w:rFonts w:hint="eastAsia" w:ascii="宋体" w:hAnsi="宋体" w:eastAsia="宋体"/>
              <w:sz w:val="36"/>
              <w:szCs w:val="36"/>
              <w:lang w:val="zh-CN"/>
            </w:rPr>
            <w:t xml:space="preserve"> </w:t>
          </w:r>
          <w:r>
            <w:rPr>
              <w:rFonts w:ascii="宋体" w:hAnsi="宋体" w:eastAsia="宋体"/>
              <w:sz w:val="36"/>
              <w:szCs w:val="36"/>
              <w:lang w:val="zh-CN"/>
            </w:rPr>
            <w:t xml:space="preserve"> 录</w:t>
          </w:r>
        </w:p>
        <w:p>
          <w:pPr>
            <w:pStyle w:val="9"/>
            <w:pageBreakBefore w:val="0"/>
            <w:kinsoku/>
            <w:wordWrap/>
            <w:overflowPunct/>
            <w:topLinePunct w:val="0"/>
            <w:autoSpaceDE/>
            <w:autoSpaceDN/>
            <w:bidi w:val="0"/>
            <w:adjustRightInd/>
            <w:snapToGrid/>
            <w:spacing w:line="560" w:lineRule="exact"/>
            <w:textAlignment w:val="auto"/>
            <w:rPr>
              <w:rFonts w:cstheme="minorBidi"/>
              <w:kern w:val="2"/>
            </w:rPr>
          </w:pPr>
          <w:r>
            <w:rPr>
              <w:rFonts w:cstheme="majorBidi"/>
              <w:color w:val="7B230B" w:themeColor="accent1" w:themeShade="BF"/>
            </w:rPr>
            <w:fldChar w:fldCharType="begin"/>
          </w:r>
          <w:r>
            <w:rPr>
              <w:rFonts w:cstheme="majorBidi"/>
              <w:color w:val="7B230B" w:themeColor="accent1" w:themeShade="BF"/>
            </w:rPr>
            <w:instrText xml:space="preserve"> TOC \o "1-2" \h \z \u </w:instrText>
          </w:r>
          <w:r>
            <w:rPr>
              <w:rFonts w:cstheme="majorBidi"/>
              <w:color w:val="7B230B" w:themeColor="accent1" w:themeShade="BF"/>
            </w:rPr>
            <w:fldChar w:fldCharType="separate"/>
          </w:r>
          <w:r>
            <w:fldChar w:fldCharType="begin"/>
          </w:r>
          <w:r>
            <w:instrText xml:space="preserve"> HYPERLINK \l "_Toc48120198" </w:instrText>
          </w:r>
          <w:r>
            <w:fldChar w:fldCharType="separate"/>
          </w:r>
          <w:r>
            <w:rPr>
              <w:rStyle w:val="16"/>
            </w:rPr>
            <w:t>一、基本情况</w:t>
          </w:r>
          <w:r>
            <w:tab/>
          </w:r>
          <w:r>
            <w:fldChar w:fldCharType="begin"/>
          </w:r>
          <w:r>
            <w:instrText xml:space="preserve"> PAGEREF _Toc48120198 \h </w:instrText>
          </w:r>
          <w:r>
            <w:fldChar w:fldCharType="separate"/>
          </w:r>
          <w:r>
            <w:t>1</w:t>
          </w:r>
          <w:r>
            <w:fldChar w:fldCharType="end"/>
          </w:r>
          <w:r>
            <w:fldChar w:fldCharType="end"/>
          </w:r>
        </w:p>
        <w:p>
          <w:pPr>
            <w:pStyle w:val="10"/>
            <w:pageBreakBefore w:val="0"/>
            <w:kinsoku/>
            <w:wordWrap/>
            <w:overflowPunct/>
            <w:topLinePunct w:val="0"/>
            <w:autoSpaceDE/>
            <w:autoSpaceDN/>
            <w:bidi w:val="0"/>
            <w:adjustRightInd/>
            <w:snapToGrid/>
            <w:spacing w:line="560" w:lineRule="exact"/>
            <w:ind w:firstLine="540"/>
            <w:textAlignment w:val="auto"/>
            <w:rPr>
              <w:rFonts w:ascii="宋体" w:hAnsi="宋体" w:cstheme="minorBidi"/>
              <w:b w:val="0"/>
              <w:kern w:val="2"/>
              <w:sz w:val="27"/>
              <w:szCs w:val="27"/>
            </w:rPr>
          </w:pPr>
          <w:r>
            <w:fldChar w:fldCharType="begin"/>
          </w:r>
          <w:r>
            <w:instrText xml:space="preserve"> HYPERLINK \l "_Toc48120199" </w:instrText>
          </w:r>
          <w:r>
            <w:fldChar w:fldCharType="separate"/>
          </w:r>
          <w:r>
            <w:rPr>
              <w:rStyle w:val="16"/>
              <w:rFonts w:ascii="宋体" w:hAnsi="宋体"/>
              <w:b w:val="0"/>
              <w:sz w:val="27"/>
              <w:szCs w:val="27"/>
            </w:rPr>
            <w:t>（一）项目概况</w:t>
          </w:r>
          <w:r>
            <w:rPr>
              <w:rFonts w:ascii="宋体" w:hAnsi="宋体"/>
              <w:b w:val="0"/>
              <w:sz w:val="27"/>
              <w:szCs w:val="27"/>
            </w:rPr>
            <w:tab/>
          </w:r>
          <w:r>
            <w:rPr>
              <w:rFonts w:ascii="宋体" w:hAnsi="宋体"/>
              <w:b w:val="0"/>
              <w:sz w:val="27"/>
              <w:szCs w:val="27"/>
            </w:rPr>
            <w:fldChar w:fldCharType="begin"/>
          </w:r>
          <w:r>
            <w:rPr>
              <w:rFonts w:ascii="宋体" w:hAnsi="宋体"/>
              <w:b w:val="0"/>
              <w:sz w:val="27"/>
              <w:szCs w:val="27"/>
            </w:rPr>
            <w:instrText xml:space="preserve"> PAGEREF _Toc48120199 \h </w:instrText>
          </w:r>
          <w:r>
            <w:rPr>
              <w:rFonts w:ascii="宋体" w:hAnsi="宋体"/>
              <w:b w:val="0"/>
              <w:sz w:val="27"/>
              <w:szCs w:val="27"/>
            </w:rPr>
            <w:fldChar w:fldCharType="separate"/>
          </w:r>
          <w:r>
            <w:rPr>
              <w:rFonts w:ascii="宋体" w:hAnsi="宋体"/>
              <w:b w:val="0"/>
              <w:sz w:val="27"/>
              <w:szCs w:val="27"/>
            </w:rPr>
            <w:t>1</w:t>
          </w:r>
          <w:r>
            <w:rPr>
              <w:rFonts w:ascii="宋体" w:hAnsi="宋体"/>
              <w:b w:val="0"/>
              <w:sz w:val="27"/>
              <w:szCs w:val="27"/>
            </w:rPr>
            <w:fldChar w:fldCharType="end"/>
          </w:r>
          <w:r>
            <w:rPr>
              <w:rFonts w:ascii="宋体" w:hAnsi="宋体"/>
              <w:b w:val="0"/>
              <w:sz w:val="27"/>
              <w:szCs w:val="27"/>
            </w:rPr>
            <w:fldChar w:fldCharType="end"/>
          </w:r>
        </w:p>
        <w:p>
          <w:pPr>
            <w:pStyle w:val="10"/>
            <w:pageBreakBefore w:val="0"/>
            <w:kinsoku/>
            <w:wordWrap/>
            <w:overflowPunct/>
            <w:topLinePunct w:val="0"/>
            <w:autoSpaceDE/>
            <w:autoSpaceDN/>
            <w:bidi w:val="0"/>
            <w:adjustRightInd/>
            <w:snapToGrid/>
            <w:spacing w:line="560" w:lineRule="exact"/>
            <w:ind w:firstLine="540"/>
            <w:textAlignment w:val="auto"/>
            <w:rPr>
              <w:rFonts w:ascii="宋体" w:hAnsi="宋体" w:cstheme="minorBidi"/>
              <w:b w:val="0"/>
              <w:kern w:val="2"/>
              <w:sz w:val="27"/>
              <w:szCs w:val="27"/>
            </w:rPr>
          </w:pPr>
          <w:r>
            <w:fldChar w:fldCharType="begin"/>
          </w:r>
          <w:r>
            <w:instrText xml:space="preserve"> HYPERLINK \l "_Toc48120200" </w:instrText>
          </w:r>
          <w:r>
            <w:fldChar w:fldCharType="separate"/>
          </w:r>
          <w:r>
            <w:rPr>
              <w:rStyle w:val="16"/>
              <w:rFonts w:ascii="宋体" w:hAnsi="宋体"/>
              <w:b w:val="0"/>
              <w:sz w:val="27"/>
              <w:szCs w:val="27"/>
            </w:rPr>
            <w:t>（二）项目绩效目标</w:t>
          </w:r>
          <w:r>
            <w:rPr>
              <w:rFonts w:ascii="宋体" w:hAnsi="宋体"/>
              <w:b w:val="0"/>
              <w:sz w:val="27"/>
              <w:szCs w:val="27"/>
            </w:rPr>
            <w:tab/>
          </w:r>
          <w:r>
            <w:rPr>
              <w:rFonts w:ascii="宋体" w:hAnsi="宋体"/>
              <w:b w:val="0"/>
              <w:sz w:val="27"/>
              <w:szCs w:val="27"/>
            </w:rPr>
            <w:fldChar w:fldCharType="begin"/>
          </w:r>
          <w:r>
            <w:rPr>
              <w:rFonts w:ascii="宋体" w:hAnsi="宋体"/>
              <w:b w:val="0"/>
              <w:sz w:val="27"/>
              <w:szCs w:val="27"/>
            </w:rPr>
            <w:instrText xml:space="preserve"> PAGEREF _Toc48120200 \h </w:instrText>
          </w:r>
          <w:r>
            <w:rPr>
              <w:rFonts w:ascii="宋体" w:hAnsi="宋体"/>
              <w:b w:val="0"/>
              <w:sz w:val="27"/>
              <w:szCs w:val="27"/>
            </w:rPr>
            <w:fldChar w:fldCharType="separate"/>
          </w:r>
          <w:r>
            <w:rPr>
              <w:rFonts w:ascii="宋体" w:hAnsi="宋体"/>
              <w:b w:val="0"/>
              <w:sz w:val="27"/>
              <w:szCs w:val="27"/>
            </w:rPr>
            <w:t>2</w:t>
          </w:r>
          <w:r>
            <w:rPr>
              <w:rFonts w:ascii="宋体" w:hAnsi="宋体"/>
              <w:b w:val="0"/>
              <w:sz w:val="27"/>
              <w:szCs w:val="27"/>
            </w:rPr>
            <w:fldChar w:fldCharType="end"/>
          </w:r>
          <w:r>
            <w:rPr>
              <w:rFonts w:ascii="宋体" w:hAnsi="宋体"/>
              <w:b w:val="0"/>
              <w:sz w:val="27"/>
              <w:szCs w:val="27"/>
            </w:rPr>
            <w:fldChar w:fldCharType="end"/>
          </w:r>
        </w:p>
        <w:p>
          <w:pPr>
            <w:pStyle w:val="9"/>
            <w:pageBreakBefore w:val="0"/>
            <w:kinsoku/>
            <w:wordWrap/>
            <w:overflowPunct/>
            <w:topLinePunct w:val="0"/>
            <w:autoSpaceDE/>
            <w:autoSpaceDN/>
            <w:bidi w:val="0"/>
            <w:adjustRightInd/>
            <w:snapToGrid/>
            <w:spacing w:line="560" w:lineRule="exact"/>
            <w:textAlignment w:val="auto"/>
            <w:rPr>
              <w:rFonts w:cstheme="minorBidi"/>
              <w:kern w:val="2"/>
            </w:rPr>
          </w:pPr>
          <w:r>
            <w:fldChar w:fldCharType="begin"/>
          </w:r>
          <w:r>
            <w:instrText xml:space="preserve"> HYPERLINK \l "_Toc48120201" </w:instrText>
          </w:r>
          <w:r>
            <w:fldChar w:fldCharType="separate"/>
          </w:r>
          <w:r>
            <w:rPr>
              <w:rStyle w:val="16"/>
            </w:rPr>
            <w:t>二、绩效评价工作开展情况</w:t>
          </w:r>
          <w:r>
            <w:tab/>
          </w:r>
          <w:r>
            <w:fldChar w:fldCharType="begin"/>
          </w:r>
          <w:r>
            <w:instrText xml:space="preserve"> PAGEREF _Toc48120201 \h </w:instrText>
          </w:r>
          <w:r>
            <w:fldChar w:fldCharType="separate"/>
          </w:r>
          <w:r>
            <w:t>4</w:t>
          </w:r>
          <w:r>
            <w:fldChar w:fldCharType="end"/>
          </w:r>
          <w:r>
            <w:fldChar w:fldCharType="end"/>
          </w:r>
        </w:p>
        <w:p>
          <w:pPr>
            <w:pStyle w:val="10"/>
            <w:pageBreakBefore w:val="0"/>
            <w:kinsoku/>
            <w:wordWrap/>
            <w:overflowPunct/>
            <w:topLinePunct w:val="0"/>
            <w:autoSpaceDE/>
            <w:autoSpaceDN/>
            <w:bidi w:val="0"/>
            <w:adjustRightInd/>
            <w:snapToGrid/>
            <w:spacing w:line="560" w:lineRule="exact"/>
            <w:ind w:firstLine="540"/>
            <w:textAlignment w:val="auto"/>
            <w:rPr>
              <w:rFonts w:ascii="宋体" w:hAnsi="宋体" w:cstheme="minorBidi"/>
              <w:b w:val="0"/>
              <w:kern w:val="2"/>
              <w:sz w:val="27"/>
              <w:szCs w:val="27"/>
            </w:rPr>
          </w:pPr>
          <w:r>
            <w:fldChar w:fldCharType="begin"/>
          </w:r>
          <w:r>
            <w:instrText xml:space="preserve"> HYPERLINK \l "_Toc48120202" </w:instrText>
          </w:r>
          <w:r>
            <w:fldChar w:fldCharType="separate"/>
          </w:r>
          <w:r>
            <w:rPr>
              <w:rStyle w:val="16"/>
              <w:rFonts w:ascii="宋体" w:hAnsi="宋体"/>
              <w:b w:val="0"/>
              <w:sz w:val="27"/>
              <w:szCs w:val="27"/>
            </w:rPr>
            <w:t>（一）绩效评价目的、对象和范围</w:t>
          </w:r>
          <w:r>
            <w:rPr>
              <w:rFonts w:ascii="宋体" w:hAnsi="宋体"/>
              <w:b w:val="0"/>
              <w:sz w:val="27"/>
              <w:szCs w:val="27"/>
            </w:rPr>
            <w:tab/>
          </w:r>
          <w:r>
            <w:rPr>
              <w:rFonts w:ascii="宋体" w:hAnsi="宋体"/>
              <w:b w:val="0"/>
              <w:sz w:val="27"/>
              <w:szCs w:val="27"/>
            </w:rPr>
            <w:fldChar w:fldCharType="begin"/>
          </w:r>
          <w:r>
            <w:rPr>
              <w:rFonts w:ascii="宋体" w:hAnsi="宋体"/>
              <w:b w:val="0"/>
              <w:sz w:val="27"/>
              <w:szCs w:val="27"/>
            </w:rPr>
            <w:instrText xml:space="preserve"> PAGEREF _Toc48120202 \h </w:instrText>
          </w:r>
          <w:r>
            <w:rPr>
              <w:rFonts w:ascii="宋体" w:hAnsi="宋体"/>
              <w:b w:val="0"/>
              <w:sz w:val="27"/>
              <w:szCs w:val="27"/>
            </w:rPr>
            <w:fldChar w:fldCharType="separate"/>
          </w:r>
          <w:r>
            <w:rPr>
              <w:rFonts w:ascii="宋体" w:hAnsi="宋体"/>
              <w:b w:val="0"/>
              <w:sz w:val="27"/>
              <w:szCs w:val="27"/>
            </w:rPr>
            <w:t>4</w:t>
          </w:r>
          <w:r>
            <w:rPr>
              <w:rFonts w:ascii="宋体" w:hAnsi="宋体"/>
              <w:b w:val="0"/>
              <w:sz w:val="27"/>
              <w:szCs w:val="27"/>
            </w:rPr>
            <w:fldChar w:fldCharType="end"/>
          </w:r>
          <w:r>
            <w:rPr>
              <w:rFonts w:ascii="宋体" w:hAnsi="宋体"/>
              <w:b w:val="0"/>
              <w:sz w:val="27"/>
              <w:szCs w:val="27"/>
            </w:rPr>
            <w:fldChar w:fldCharType="end"/>
          </w:r>
        </w:p>
        <w:p>
          <w:pPr>
            <w:pStyle w:val="10"/>
            <w:pageBreakBefore w:val="0"/>
            <w:kinsoku/>
            <w:wordWrap/>
            <w:overflowPunct/>
            <w:topLinePunct w:val="0"/>
            <w:autoSpaceDE/>
            <w:autoSpaceDN/>
            <w:bidi w:val="0"/>
            <w:adjustRightInd/>
            <w:snapToGrid/>
            <w:spacing w:line="560" w:lineRule="exact"/>
            <w:ind w:firstLine="540"/>
            <w:textAlignment w:val="auto"/>
            <w:rPr>
              <w:rFonts w:ascii="宋体" w:hAnsi="宋体" w:cstheme="minorBidi"/>
              <w:b w:val="0"/>
              <w:kern w:val="2"/>
              <w:sz w:val="27"/>
              <w:szCs w:val="27"/>
            </w:rPr>
          </w:pPr>
          <w:r>
            <w:fldChar w:fldCharType="begin"/>
          </w:r>
          <w:r>
            <w:instrText xml:space="preserve"> HYPERLINK \l "_Toc48120203" </w:instrText>
          </w:r>
          <w:r>
            <w:fldChar w:fldCharType="separate"/>
          </w:r>
          <w:r>
            <w:rPr>
              <w:rStyle w:val="16"/>
              <w:rFonts w:ascii="宋体" w:hAnsi="宋体"/>
              <w:b w:val="0"/>
              <w:sz w:val="27"/>
              <w:szCs w:val="27"/>
            </w:rPr>
            <w:t>（二）绩效评价原则、评价指标体系</w:t>
          </w:r>
          <w:r>
            <w:rPr>
              <w:rFonts w:ascii="宋体" w:hAnsi="宋体"/>
              <w:b w:val="0"/>
              <w:sz w:val="27"/>
              <w:szCs w:val="27"/>
            </w:rPr>
            <w:tab/>
          </w:r>
          <w:r>
            <w:rPr>
              <w:rFonts w:ascii="宋体" w:hAnsi="宋体"/>
              <w:b w:val="0"/>
              <w:sz w:val="27"/>
              <w:szCs w:val="27"/>
            </w:rPr>
            <w:fldChar w:fldCharType="begin"/>
          </w:r>
          <w:r>
            <w:rPr>
              <w:rFonts w:ascii="宋体" w:hAnsi="宋体"/>
              <w:b w:val="0"/>
              <w:sz w:val="27"/>
              <w:szCs w:val="27"/>
            </w:rPr>
            <w:instrText xml:space="preserve"> PAGEREF _Toc48120203 \h </w:instrText>
          </w:r>
          <w:r>
            <w:rPr>
              <w:rFonts w:ascii="宋体" w:hAnsi="宋体"/>
              <w:b w:val="0"/>
              <w:sz w:val="27"/>
              <w:szCs w:val="27"/>
            </w:rPr>
            <w:fldChar w:fldCharType="separate"/>
          </w:r>
          <w:r>
            <w:rPr>
              <w:rFonts w:ascii="宋体" w:hAnsi="宋体"/>
              <w:b w:val="0"/>
              <w:sz w:val="27"/>
              <w:szCs w:val="27"/>
            </w:rPr>
            <w:t>5</w:t>
          </w:r>
          <w:r>
            <w:rPr>
              <w:rFonts w:ascii="宋体" w:hAnsi="宋体"/>
              <w:b w:val="0"/>
              <w:sz w:val="27"/>
              <w:szCs w:val="27"/>
            </w:rPr>
            <w:fldChar w:fldCharType="end"/>
          </w:r>
          <w:r>
            <w:rPr>
              <w:rFonts w:ascii="宋体" w:hAnsi="宋体"/>
              <w:b w:val="0"/>
              <w:sz w:val="27"/>
              <w:szCs w:val="27"/>
            </w:rPr>
            <w:fldChar w:fldCharType="end"/>
          </w:r>
        </w:p>
        <w:p>
          <w:pPr>
            <w:pStyle w:val="10"/>
            <w:pageBreakBefore w:val="0"/>
            <w:kinsoku/>
            <w:wordWrap/>
            <w:overflowPunct/>
            <w:topLinePunct w:val="0"/>
            <w:autoSpaceDE/>
            <w:autoSpaceDN/>
            <w:bidi w:val="0"/>
            <w:adjustRightInd/>
            <w:snapToGrid/>
            <w:spacing w:line="560" w:lineRule="exact"/>
            <w:ind w:firstLine="540"/>
            <w:textAlignment w:val="auto"/>
            <w:rPr>
              <w:rFonts w:ascii="宋体" w:hAnsi="宋体" w:cstheme="minorBidi"/>
              <w:b w:val="0"/>
              <w:kern w:val="2"/>
              <w:sz w:val="27"/>
              <w:szCs w:val="27"/>
            </w:rPr>
          </w:pPr>
          <w:r>
            <w:fldChar w:fldCharType="begin"/>
          </w:r>
          <w:r>
            <w:instrText xml:space="preserve"> HYPERLINK \l "_Toc48120204" </w:instrText>
          </w:r>
          <w:r>
            <w:fldChar w:fldCharType="separate"/>
          </w:r>
          <w:r>
            <w:rPr>
              <w:rStyle w:val="16"/>
              <w:rFonts w:ascii="宋体" w:hAnsi="宋体"/>
              <w:b w:val="0"/>
              <w:sz w:val="27"/>
              <w:szCs w:val="27"/>
            </w:rPr>
            <w:t>（三）绩效评价工作过程</w:t>
          </w:r>
          <w:r>
            <w:rPr>
              <w:rFonts w:ascii="宋体" w:hAnsi="宋体"/>
              <w:b w:val="0"/>
              <w:sz w:val="27"/>
              <w:szCs w:val="27"/>
            </w:rPr>
            <w:tab/>
          </w:r>
          <w:r>
            <w:rPr>
              <w:rFonts w:ascii="宋体" w:hAnsi="宋体"/>
              <w:b w:val="0"/>
              <w:sz w:val="27"/>
              <w:szCs w:val="27"/>
            </w:rPr>
            <w:fldChar w:fldCharType="begin"/>
          </w:r>
          <w:r>
            <w:rPr>
              <w:rFonts w:ascii="宋体" w:hAnsi="宋体"/>
              <w:b w:val="0"/>
              <w:sz w:val="27"/>
              <w:szCs w:val="27"/>
            </w:rPr>
            <w:instrText xml:space="preserve"> PAGEREF _Toc48120204 \h </w:instrText>
          </w:r>
          <w:r>
            <w:rPr>
              <w:rFonts w:ascii="宋体" w:hAnsi="宋体"/>
              <w:b w:val="0"/>
              <w:sz w:val="27"/>
              <w:szCs w:val="27"/>
            </w:rPr>
            <w:fldChar w:fldCharType="separate"/>
          </w:r>
          <w:r>
            <w:rPr>
              <w:rFonts w:ascii="宋体" w:hAnsi="宋体"/>
              <w:b w:val="0"/>
              <w:sz w:val="27"/>
              <w:szCs w:val="27"/>
            </w:rPr>
            <w:t>9</w:t>
          </w:r>
          <w:r>
            <w:rPr>
              <w:rFonts w:ascii="宋体" w:hAnsi="宋体"/>
              <w:b w:val="0"/>
              <w:sz w:val="27"/>
              <w:szCs w:val="27"/>
            </w:rPr>
            <w:fldChar w:fldCharType="end"/>
          </w:r>
          <w:r>
            <w:rPr>
              <w:rFonts w:ascii="宋体" w:hAnsi="宋体"/>
              <w:b w:val="0"/>
              <w:sz w:val="27"/>
              <w:szCs w:val="27"/>
            </w:rPr>
            <w:fldChar w:fldCharType="end"/>
          </w:r>
        </w:p>
        <w:p>
          <w:pPr>
            <w:pStyle w:val="9"/>
            <w:pageBreakBefore w:val="0"/>
            <w:kinsoku/>
            <w:wordWrap/>
            <w:overflowPunct/>
            <w:topLinePunct w:val="0"/>
            <w:autoSpaceDE/>
            <w:autoSpaceDN/>
            <w:bidi w:val="0"/>
            <w:adjustRightInd/>
            <w:snapToGrid/>
            <w:spacing w:line="560" w:lineRule="exact"/>
            <w:textAlignment w:val="auto"/>
            <w:rPr>
              <w:rFonts w:cstheme="minorBidi"/>
              <w:kern w:val="2"/>
            </w:rPr>
          </w:pPr>
          <w:r>
            <w:fldChar w:fldCharType="begin"/>
          </w:r>
          <w:r>
            <w:instrText xml:space="preserve"> HYPERLINK \l "_Toc48120205" </w:instrText>
          </w:r>
          <w:r>
            <w:fldChar w:fldCharType="separate"/>
          </w:r>
          <w:r>
            <w:rPr>
              <w:rStyle w:val="16"/>
            </w:rPr>
            <w:t>三、综合评价情况及评价结论</w:t>
          </w:r>
          <w:r>
            <w:tab/>
          </w:r>
          <w:r>
            <w:fldChar w:fldCharType="begin"/>
          </w:r>
          <w:r>
            <w:instrText xml:space="preserve"> PAGEREF _Toc48120205 \h </w:instrText>
          </w:r>
          <w:r>
            <w:fldChar w:fldCharType="separate"/>
          </w:r>
          <w:r>
            <w:t>14</w:t>
          </w:r>
          <w:r>
            <w:fldChar w:fldCharType="end"/>
          </w:r>
          <w:r>
            <w:fldChar w:fldCharType="end"/>
          </w:r>
        </w:p>
        <w:p>
          <w:pPr>
            <w:pStyle w:val="9"/>
            <w:pageBreakBefore w:val="0"/>
            <w:kinsoku/>
            <w:wordWrap/>
            <w:overflowPunct/>
            <w:topLinePunct w:val="0"/>
            <w:autoSpaceDE/>
            <w:autoSpaceDN/>
            <w:bidi w:val="0"/>
            <w:adjustRightInd/>
            <w:snapToGrid/>
            <w:spacing w:line="560" w:lineRule="exact"/>
            <w:textAlignment w:val="auto"/>
            <w:rPr>
              <w:rFonts w:cstheme="minorBidi"/>
              <w:kern w:val="2"/>
            </w:rPr>
          </w:pPr>
          <w:r>
            <w:fldChar w:fldCharType="begin"/>
          </w:r>
          <w:r>
            <w:instrText xml:space="preserve"> HYPERLINK \l "_Toc48120206" </w:instrText>
          </w:r>
          <w:r>
            <w:fldChar w:fldCharType="separate"/>
          </w:r>
          <w:r>
            <w:rPr>
              <w:rStyle w:val="16"/>
            </w:rPr>
            <w:t>四、绩效评价指标分析</w:t>
          </w:r>
          <w:r>
            <w:tab/>
          </w:r>
          <w:r>
            <w:fldChar w:fldCharType="begin"/>
          </w:r>
          <w:r>
            <w:instrText xml:space="preserve"> PAGEREF _Toc48120206 \h </w:instrText>
          </w:r>
          <w:r>
            <w:fldChar w:fldCharType="separate"/>
          </w:r>
          <w:r>
            <w:t>15</w:t>
          </w:r>
          <w:r>
            <w:fldChar w:fldCharType="end"/>
          </w:r>
          <w:r>
            <w:fldChar w:fldCharType="end"/>
          </w:r>
        </w:p>
        <w:p>
          <w:pPr>
            <w:pStyle w:val="10"/>
            <w:pageBreakBefore w:val="0"/>
            <w:kinsoku/>
            <w:wordWrap/>
            <w:overflowPunct/>
            <w:topLinePunct w:val="0"/>
            <w:autoSpaceDE/>
            <w:autoSpaceDN/>
            <w:bidi w:val="0"/>
            <w:adjustRightInd/>
            <w:snapToGrid/>
            <w:spacing w:line="560" w:lineRule="exact"/>
            <w:ind w:firstLine="540"/>
            <w:textAlignment w:val="auto"/>
            <w:rPr>
              <w:rFonts w:ascii="宋体" w:hAnsi="宋体" w:cstheme="minorBidi"/>
              <w:b w:val="0"/>
              <w:kern w:val="2"/>
              <w:sz w:val="27"/>
              <w:szCs w:val="27"/>
            </w:rPr>
          </w:pPr>
          <w:r>
            <w:fldChar w:fldCharType="begin"/>
          </w:r>
          <w:r>
            <w:instrText xml:space="preserve"> HYPERLINK \l "_Toc48120207" </w:instrText>
          </w:r>
          <w:r>
            <w:fldChar w:fldCharType="separate"/>
          </w:r>
          <w:r>
            <w:rPr>
              <w:rStyle w:val="16"/>
              <w:rFonts w:ascii="宋体" w:hAnsi="宋体"/>
              <w:b w:val="0"/>
              <w:sz w:val="27"/>
              <w:szCs w:val="27"/>
            </w:rPr>
            <w:t>（一）项目决策情况</w:t>
          </w:r>
          <w:r>
            <w:rPr>
              <w:rFonts w:ascii="宋体" w:hAnsi="宋体"/>
              <w:b w:val="0"/>
              <w:sz w:val="27"/>
              <w:szCs w:val="27"/>
            </w:rPr>
            <w:tab/>
          </w:r>
          <w:r>
            <w:rPr>
              <w:rFonts w:ascii="宋体" w:hAnsi="宋体"/>
              <w:b w:val="0"/>
              <w:sz w:val="27"/>
              <w:szCs w:val="27"/>
            </w:rPr>
            <w:fldChar w:fldCharType="begin"/>
          </w:r>
          <w:r>
            <w:rPr>
              <w:rFonts w:ascii="宋体" w:hAnsi="宋体"/>
              <w:b w:val="0"/>
              <w:sz w:val="27"/>
              <w:szCs w:val="27"/>
            </w:rPr>
            <w:instrText xml:space="preserve"> PAGEREF _Toc48120207 \h </w:instrText>
          </w:r>
          <w:r>
            <w:rPr>
              <w:rFonts w:ascii="宋体" w:hAnsi="宋体"/>
              <w:b w:val="0"/>
              <w:sz w:val="27"/>
              <w:szCs w:val="27"/>
            </w:rPr>
            <w:fldChar w:fldCharType="separate"/>
          </w:r>
          <w:r>
            <w:rPr>
              <w:rFonts w:ascii="宋体" w:hAnsi="宋体"/>
              <w:b w:val="0"/>
              <w:sz w:val="27"/>
              <w:szCs w:val="27"/>
            </w:rPr>
            <w:t>15</w:t>
          </w:r>
          <w:r>
            <w:rPr>
              <w:rFonts w:ascii="宋体" w:hAnsi="宋体"/>
              <w:b w:val="0"/>
              <w:sz w:val="27"/>
              <w:szCs w:val="27"/>
            </w:rPr>
            <w:fldChar w:fldCharType="end"/>
          </w:r>
          <w:r>
            <w:rPr>
              <w:rFonts w:ascii="宋体" w:hAnsi="宋体"/>
              <w:b w:val="0"/>
              <w:sz w:val="27"/>
              <w:szCs w:val="27"/>
            </w:rPr>
            <w:fldChar w:fldCharType="end"/>
          </w:r>
        </w:p>
        <w:p>
          <w:pPr>
            <w:pStyle w:val="10"/>
            <w:pageBreakBefore w:val="0"/>
            <w:kinsoku/>
            <w:wordWrap/>
            <w:overflowPunct/>
            <w:topLinePunct w:val="0"/>
            <w:autoSpaceDE/>
            <w:autoSpaceDN/>
            <w:bidi w:val="0"/>
            <w:adjustRightInd/>
            <w:snapToGrid/>
            <w:spacing w:line="560" w:lineRule="exact"/>
            <w:ind w:firstLine="540"/>
            <w:textAlignment w:val="auto"/>
            <w:rPr>
              <w:rFonts w:ascii="宋体" w:hAnsi="宋体" w:cstheme="minorBidi"/>
              <w:b w:val="0"/>
              <w:kern w:val="2"/>
              <w:sz w:val="27"/>
              <w:szCs w:val="27"/>
            </w:rPr>
          </w:pPr>
          <w:r>
            <w:fldChar w:fldCharType="begin"/>
          </w:r>
          <w:r>
            <w:instrText xml:space="preserve"> HYPERLINK \l "_Toc48120208" </w:instrText>
          </w:r>
          <w:r>
            <w:fldChar w:fldCharType="separate"/>
          </w:r>
          <w:r>
            <w:rPr>
              <w:rStyle w:val="16"/>
              <w:rFonts w:ascii="宋体" w:hAnsi="宋体"/>
              <w:b w:val="0"/>
              <w:sz w:val="27"/>
              <w:szCs w:val="27"/>
            </w:rPr>
            <w:t>（二）项目过程情况</w:t>
          </w:r>
          <w:r>
            <w:rPr>
              <w:rFonts w:ascii="宋体" w:hAnsi="宋体"/>
              <w:b w:val="0"/>
              <w:sz w:val="27"/>
              <w:szCs w:val="27"/>
            </w:rPr>
            <w:tab/>
          </w:r>
          <w:r>
            <w:rPr>
              <w:rFonts w:ascii="宋体" w:hAnsi="宋体"/>
              <w:b w:val="0"/>
              <w:sz w:val="27"/>
              <w:szCs w:val="27"/>
            </w:rPr>
            <w:fldChar w:fldCharType="begin"/>
          </w:r>
          <w:r>
            <w:rPr>
              <w:rFonts w:ascii="宋体" w:hAnsi="宋体"/>
              <w:b w:val="0"/>
              <w:sz w:val="27"/>
              <w:szCs w:val="27"/>
            </w:rPr>
            <w:instrText xml:space="preserve"> PAGEREF _Toc48120208 \h </w:instrText>
          </w:r>
          <w:r>
            <w:rPr>
              <w:rFonts w:ascii="宋体" w:hAnsi="宋体"/>
              <w:b w:val="0"/>
              <w:sz w:val="27"/>
              <w:szCs w:val="27"/>
            </w:rPr>
            <w:fldChar w:fldCharType="separate"/>
          </w:r>
          <w:r>
            <w:rPr>
              <w:rFonts w:ascii="宋体" w:hAnsi="宋体"/>
              <w:b w:val="0"/>
              <w:sz w:val="27"/>
              <w:szCs w:val="27"/>
            </w:rPr>
            <w:t>17</w:t>
          </w:r>
          <w:r>
            <w:rPr>
              <w:rFonts w:ascii="宋体" w:hAnsi="宋体"/>
              <w:b w:val="0"/>
              <w:sz w:val="27"/>
              <w:szCs w:val="27"/>
            </w:rPr>
            <w:fldChar w:fldCharType="end"/>
          </w:r>
          <w:r>
            <w:rPr>
              <w:rFonts w:ascii="宋体" w:hAnsi="宋体"/>
              <w:b w:val="0"/>
              <w:sz w:val="27"/>
              <w:szCs w:val="27"/>
            </w:rPr>
            <w:fldChar w:fldCharType="end"/>
          </w:r>
        </w:p>
        <w:p>
          <w:pPr>
            <w:pStyle w:val="10"/>
            <w:pageBreakBefore w:val="0"/>
            <w:kinsoku/>
            <w:wordWrap/>
            <w:overflowPunct/>
            <w:topLinePunct w:val="0"/>
            <w:autoSpaceDE/>
            <w:autoSpaceDN/>
            <w:bidi w:val="0"/>
            <w:adjustRightInd/>
            <w:snapToGrid/>
            <w:spacing w:line="560" w:lineRule="exact"/>
            <w:ind w:firstLine="540"/>
            <w:textAlignment w:val="auto"/>
            <w:rPr>
              <w:rFonts w:ascii="宋体" w:hAnsi="宋体" w:cstheme="minorBidi"/>
              <w:b w:val="0"/>
              <w:kern w:val="2"/>
              <w:sz w:val="27"/>
              <w:szCs w:val="27"/>
            </w:rPr>
          </w:pPr>
          <w:r>
            <w:fldChar w:fldCharType="begin"/>
          </w:r>
          <w:r>
            <w:instrText xml:space="preserve"> HYPERLINK \l "_Toc48120209" </w:instrText>
          </w:r>
          <w:r>
            <w:fldChar w:fldCharType="separate"/>
          </w:r>
          <w:r>
            <w:rPr>
              <w:rStyle w:val="16"/>
              <w:rFonts w:ascii="宋体" w:hAnsi="宋体"/>
              <w:b w:val="0"/>
              <w:sz w:val="27"/>
              <w:szCs w:val="27"/>
            </w:rPr>
            <w:t>（三）项目产出情况</w:t>
          </w:r>
          <w:r>
            <w:rPr>
              <w:rFonts w:ascii="宋体" w:hAnsi="宋体"/>
              <w:b w:val="0"/>
              <w:sz w:val="27"/>
              <w:szCs w:val="27"/>
            </w:rPr>
            <w:tab/>
          </w:r>
          <w:r>
            <w:rPr>
              <w:rFonts w:ascii="宋体" w:hAnsi="宋体"/>
              <w:b w:val="0"/>
              <w:sz w:val="27"/>
              <w:szCs w:val="27"/>
            </w:rPr>
            <w:fldChar w:fldCharType="begin"/>
          </w:r>
          <w:r>
            <w:rPr>
              <w:rFonts w:ascii="宋体" w:hAnsi="宋体"/>
              <w:b w:val="0"/>
              <w:sz w:val="27"/>
              <w:szCs w:val="27"/>
            </w:rPr>
            <w:instrText xml:space="preserve"> PAGEREF _Toc48120209 \h </w:instrText>
          </w:r>
          <w:r>
            <w:rPr>
              <w:rFonts w:ascii="宋体" w:hAnsi="宋体"/>
              <w:b w:val="0"/>
              <w:sz w:val="27"/>
              <w:szCs w:val="27"/>
            </w:rPr>
            <w:fldChar w:fldCharType="separate"/>
          </w:r>
          <w:r>
            <w:rPr>
              <w:rFonts w:ascii="宋体" w:hAnsi="宋体"/>
              <w:b w:val="0"/>
              <w:sz w:val="27"/>
              <w:szCs w:val="27"/>
            </w:rPr>
            <w:t>19</w:t>
          </w:r>
          <w:r>
            <w:rPr>
              <w:rFonts w:ascii="宋体" w:hAnsi="宋体"/>
              <w:b w:val="0"/>
              <w:sz w:val="27"/>
              <w:szCs w:val="27"/>
            </w:rPr>
            <w:fldChar w:fldCharType="end"/>
          </w:r>
          <w:r>
            <w:rPr>
              <w:rFonts w:ascii="宋体" w:hAnsi="宋体"/>
              <w:b w:val="0"/>
              <w:sz w:val="27"/>
              <w:szCs w:val="27"/>
            </w:rPr>
            <w:fldChar w:fldCharType="end"/>
          </w:r>
        </w:p>
        <w:p>
          <w:pPr>
            <w:pStyle w:val="10"/>
            <w:pageBreakBefore w:val="0"/>
            <w:kinsoku/>
            <w:wordWrap/>
            <w:overflowPunct/>
            <w:topLinePunct w:val="0"/>
            <w:autoSpaceDE/>
            <w:autoSpaceDN/>
            <w:bidi w:val="0"/>
            <w:adjustRightInd/>
            <w:snapToGrid/>
            <w:spacing w:line="560" w:lineRule="exact"/>
            <w:ind w:firstLine="540"/>
            <w:textAlignment w:val="auto"/>
            <w:rPr>
              <w:rFonts w:ascii="宋体" w:hAnsi="宋体" w:cstheme="minorBidi"/>
              <w:b w:val="0"/>
              <w:kern w:val="2"/>
              <w:sz w:val="27"/>
              <w:szCs w:val="27"/>
            </w:rPr>
          </w:pPr>
          <w:r>
            <w:fldChar w:fldCharType="begin"/>
          </w:r>
          <w:r>
            <w:instrText xml:space="preserve"> HYPERLINK \l "_Toc48120210" </w:instrText>
          </w:r>
          <w:r>
            <w:fldChar w:fldCharType="separate"/>
          </w:r>
          <w:r>
            <w:rPr>
              <w:rStyle w:val="16"/>
              <w:rFonts w:ascii="宋体" w:hAnsi="宋体"/>
              <w:b w:val="0"/>
              <w:sz w:val="27"/>
              <w:szCs w:val="27"/>
            </w:rPr>
            <w:t>（四）项目效益情况</w:t>
          </w:r>
          <w:r>
            <w:rPr>
              <w:rFonts w:ascii="宋体" w:hAnsi="宋体"/>
              <w:b w:val="0"/>
              <w:sz w:val="27"/>
              <w:szCs w:val="27"/>
            </w:rPr>
            <w:tab/>
          </w:r>
          <w:r>
            <w:rPr>
              <w:rFonts w:ascii="宋体" w:hAnsi="宋体"/>
              <w:b w:val="0"/>
              <w:sz w:val="27"/>
              <w:szCs w:val="27"/>
            </w:rPr>
            <w:fldChar w:fldCharType="begin"/>
          </w:r>
          <w:r>
            <w:rPr>
              <w:rFonts w:ascii="宋体" w:hAnsi="宋体"/>
              <w:b w:val="0"/>
              <w:sz w:val="27"/>
              <w:szCs w:val="27"/>
            </w:rPr>
            <w:instrText xml:space="preserve"> PAGEREF _Toc48120210 \h </w:instrText>
          </w:r>
          <w:r>
            <w:rPr>
              <w:rFonts w:ascii="宋体" w:hAnsi="宋体"/>
              <w:b w:val="0"/>
              <w:sz w:val="27"/>
              <w:szCs w:val="27"/>
            </w:rPr>
            <w:fldChar w:fldCharType="separate"/>
          </w:r>
          <w:r>
            <w:rPr>
              <w:rFonts w:ascii="宋体" w:hAnsi="宋体"/>
              <w:b w:val="0"/>
              <w:sz w:val="27"/>
              <w:szCs w:val="27"/>
            </w:rPr>
            <w:t>22</w:t>
          </w:r>
          <w:r>
            <w:rPr>
              <w:rFonts w:ascii="宋体" w:hAnsi="宋体"/>
              <w:b w:val="0"/>
              <w:sz w:val="27"/>
              <w:szCs w:val="27"/>
            </w:rPr>
            <w:fldChar w:fldCharType="end"/>
          </w:r>
          <w:r>
            <w:rPr>
              <w:rFonts w:ascii="宋体" w:hAnsi="宋体"/>
              <w:b w:val="0"/>
              <w:sz w:val="27"/>
              <w:szCs w:val="27"/>
            </w:rPr>
            <w:fldChar w:fldCharType="end"/>
          </w:r>
        </w:p>
        <w:p>
          <w:pPr>
            <w:pStyle w:val="9"/>
            <w:pageBreakBefore w:val="0"/>
            <w:kinsoku/>
            <w:wordWrap/>
            <w:overflowPunct/>
            <w:topLinePunct w:val="0"/>
            <w:autoSpaceDE/>
            <w:autoSpaceDN/>
            <w:bidi w:val="0"/>
            <w:adjustRightInd/>
            <w:snapToGrid/>
            <w:spacing w:line="560" w:lineRule="exact"/>
            <w:textAlignment w:val="auto"/>
            <w:rPr>
              <w:rFonts w:cstheme="minorBidi"/>
              <w:kern w:val="2"/>
            </w:rPr>
          </w:pPr>
          <w:r>
            <w:fldChar w:fldCharType="begin"/>
          </w:r>
          <w:r>
            <w:instrText xml:space="preserve"> HYPERLINK \l "_Toc48120211" </w:instrText>
          </w:r>
          <w:r>
            <w:fldChar w:fldCharType="separate"/>
          </w:r>
          <w:r>
            <w:rPr>
              <w:rStyle w:val="16"/>
            </w:rPr>
            <w:t>五、主要经验及做法、存在的问题及原因分析</w:t>
          </w:r>
          <w:r>
            <w:tab/>
          </w:r>
          <w:r>
            <w:fldChar w:fldCharType="begin"/>
          </w:r>
          <w:r>
            <w:instrText xml:space="preserve"> PAGEREF _Toc48120211 \h </w:instrText>
          </w:r>
          <w:r>
            <w:fldChar w:fldCharType="separate"/>
          </w:r>
          <w:r>
            <w:t>24</w:t>
          </w:r>
          <w:r>
            <w:fldChar w:fldCharType="end"/>
          </w:r>
          <w:r>
            <w:fldChar w:fldCharType="end"/>
          </w:r>
        </w:p>
        <w:p>
          <w:pPr>
            <w:pStyle w:val="10"/>
            <w:pageBreakBefore w:val="0"/>
            <w:kinsoku/>
            <w:wordWrap/>
            <w:overflowPunct/>
            <w:topLinePunct w:val="0"/>
            <w:autoSpaceDE/>
            <w:autoSpaceDN/>
            <w:bidi w:val="0"/>
            <w:adjustRightInd/>
            <w:snapToGrid/>
            <w:spacing w:line="560" w:lineRule="exact"/>
            <w:ind w:firstLine="540"/>
            <w:textAlignment w:val="auto"/>
            <w:rPr>
              <w:rFonts w:ascii="宋体" w:hAnsi="宋体" w:cstheme="minorBidi"/>
              <w:b w:val="0"/>
              <w:kern w:val="2"/>
              <w:sz w:val="27"/>
              <w:szCs w:val="27"/>
            </w:rPr>
          </w:pPr>
          <w:r>
            <w:fldChar w:fldCharType="begin"/>
          </w:r>
          <w:r>
            <w:instrText xml:space="preserve"> HYPERLINK \l "_Toc48120212" </w:instrText>
          </w:r>
          <w:r>
            <w:fldChar w:fldCharType="separate"/>
          </w:r>
          <w:r>
            <w:rPr>
              <w:rStyle w:val="16"/>
              <w:rFonts w:ascii="宋体" w:hAnsi="宋体"/>
              <w:b w:val="0"/>
              <w:sz w:val="27"/>
              <w:szCs w:val="27"/>
            </w:rPr>
            <w:t>（一）主要经验及做法</w:t>
          </w:r>
          <w:r>
            <w:rPr>
              <w:rFonts w:ascii="宋体" w:hAnsi="宋体"/>
              <w:b w:val="0"/>
              <w:sz w:val="27"/>
              <w:szCs w:val="27"/>
            </w:rPr>
            <w:tab/>
          </w:r>
          <w:r>
            <w:rPr>
              <w:rFonts w:ascii="宋体" w:hAnsi="宋体"/>
              <w:b w:val="0"/>
              <w:sz w:val="27"/>
              <w:szCs w:val="27"/>
            </w:rPr>
            <w:fldChar w:fldCharType="begin"/>
          </w:r>
          <w:r>
            <w:rPr>
              <w:rFonts w:ascii="宋体" w:hAnsi="宋体"/>
              <w:b w:val="0"/>
              <w:sz w:val="27"/>
              <w:szCs w:val="27"/>
            </w:rPr>
            <w:instrText xml:space="preserve"> PAGEREF _Toc48120212 \h </w:instrText>
          </w:r>
          <w:r>
            <w:rPr>
              <w:rFonts w:ascii="宋体" w:hAnsi="宋体"/>
              <w:b w:val="0"/>
              <w:sz w:val="27"/>
              <w:szCs w:val="27"/>
            </w:rPr>
            <w:fldChar w:fldCharType="separate"/>
          </w:r>
          <w:r>
            <w:rPr>
              <w:rFonts w:ascii="宋体" w:hAnsi="宋体"/>
              <w:b w:val="0"/>
              <w:sz w:val="27"/>
              <w:szCs w:val="27"/>
            </w:rPr>
            <w:t>24</w:t>
          </w:r>
          <w:r>
            <w:rPr>
              <w:rFonts w:ascii="宋体" w:hAnsi="宋体"/>
              <w:b w:val="0"/>
              <w:sz w:val="27"/>
              <w:szCs w:val="27"/>
            </w:rPr>
            <w:fldChar w:fldCharType="end"/>
          </w:r>
          <w:r>
            <w:rPr>
              <w:rFonts w:ascii="宋体" w:hAnsi="宋体"/>
              <w:b w:val="0"/>
              <w:sz w:val="27"/>
              <w:szCs w:val="27"/>
            </w:rPr>
            <w:fldChar w:fldCharType="end"/>
          </w:r>
        </w:p>
        <w:p>
          <w:pPr>
            <w:pStyle w:val="10"/>
            <w:pageBreakBefore w:val="0"/>
            <w:kinsoku/>
            <w:wordWrap/>
            <w:overflowPunct/>
            <w:topLinePunct w:val="0"/>
            <w:autoSpaceDE/>
            <w:autoSpaceDN/>
            <w:bidi w:val="0"/>
            <w:adjustRightInd/>
            <w:snapToGrid/>
            <w:spacing w:line="560" w:lineRule="exact"/>
            <w:ind w:firstLine="540"/>
            <w:textAlignment w:val="auto"/>
            <w:rPr>
              <w:rFonts w:ascii="宋体" w:hAnsi="宋体" w:cstheme="minorBidi"/>
              <w:b w:val="0"/>
              <w:kern w:val="2"/>
              <w:sz w:val="27"/>
              <w:szCs w:val="27"/>
            </w:rPr>
          </w:pPr>
          <w:r>
            <w:fldChar w:fldCharType="begin"/>
          </w:r>
          <w:r>
            <w:instrText xml:space="preserve"> HYPERLINK \l "_Toc48120213" </w:instrText>
          </w:r>
          <w:r>
            <w:fldChar w:fldCharType="separate"/>
          </w:r>
          <w:r>
            <w:rPr>
              <w:rStyle w:val="16"/>
              <w:rFonts w:ascii="宋体" w:hAnsi="宋体"/>
              <w:b w:val="0"/>
              <w:sz w:val="27"/>
              <w:szCs w:val="27"/>
            </w:rPr>
            <w:t>（二）存在的问题及原因分析</w:t>
          </w:r>
          <w:r>
            <w:rPr>
              <w:rFonts w:ascii="宋体" w:hAnsi="宋体"/>
              <w:b w:val="0"/>
              <w:sz w:val="27"/>
              <w:szCs w:val="27"/>
            </w:rPr>
            <w:tab/>
          </w:r>
          <w:r>
            <w:rPr>
              <w:rFonts w:ascii="宋体" w:hAnsi="宋体"/>
              <w:b w:val="0"/>
              <w:sz w:val="27"/>
              <w:szCs w:val="27"/>
            </w:rPr>
            <w:fldChar w:fldCharType="begin"/>
          </w:r>
          <w:r>
            <w:rPr>
              <w:rFonts w:ascii="宋体" w:hAnsi="宋体"/>
              <w:b w:val="0"/>
              <w:sz w:val="27"/>
              <w:szCs w:val="27"/>
            </w:rPr>
            <w:instrText xml:space="preserve"> PAGEREF _Toc48120213 \h </w:instrText>
          </w:r>
          <w:r>
            <w:rPr>
              <w:rFonts w:ascii="宋体" w:hAnsi="宋体"/>
              <w:b w:val="0"/>
              <w:sz w:val="27"/>
              <w:szCs w:val="27"/>
            </w:rPr>
            <w:fldChar w:fldCharType="separate"/>
          </w:r>
          <w:r>
            <w:rPr>
              <w:rFonts w:ascii="宋体" w:hAnsi="宋体"/>
              <w:b w:val="0"/>
              <w:sz w:val="27"/>
              <w:szCs w:val="27"/>
            </w:rPr>
            <w:t>24</w:t>
          </w:r>
          <w:r>
            <w:rPr>
              <w:rFonts w:ascii="宋体" w:hAnsi="宋体"/>
              <w:b w:val="0"/>
              <w:sz w:val="27"/>
              <w:szCs w:val="27"/>
            </w:rPr>
            <w:fldChar w:fldCharType="end"/>
          </w:r>
          <w:r>
            <w:rPr>
              <w:rFonts w:ascii="宋体" w:hAnsi="宋体"/>
              <w:b w:val="0"/>
              <w:sz w:val="27"/>
              <w:szCs w:val="27"/>
            </w:rPr>
            <w:fldChar w:fldCharType="end"/>
          </w:r>
        </w:p>
        <w:p>
          <w:pPr>
            <w:pStyle w:val="9"/>
            <w:pageBreakBefore w:val="0"/>
            <w:kinsoku/>
            <w:wordWrap/>
            <w:overflowPunct/>
            <w:topLinePunct w:val="0"/>
            <w:autoSpaceDE/>
            <w:autoSpaceDN/>
            <w:bidi w:val="0"/>
            <w:adjustRightInd/>
            <w:snapToGrid/>
            <w:spacing w:line="560" w:lineRule="exact"/>
            <w:textAlignment w:val="auto"/>
            <w:rPr>
              <w:rFonts w:cstheme="minorBidi"/>
              <w:kern w:val="2"/>
            </w:rPr>
          </w:pPr>
          <w:r>
            <w:fldChar w:fldCharType="begin"/>
          </w:r>
          <w:r>
            <w:instrText xml:space="preserve"> HYPERLINK \l "_Toc48120214" </w:instrText>
          </w:r>
          <w:r>
            <w:fldChar w:fldCharType="separate"/>
          </w:r>
          <w:r>
            <w:rPr>
              <w:rStyle w:val="16"/>
            </w:rPr>
            <w:t>六、有关建议</w:t>
          </w:r>
          <w:r>
            <w:tab/>
          </w:r>
          <w:r>
            <w:fldChar w:fldCharType="begin"/>
          </w:r>
          <w:r>
            <w:instrText xml:space="preserve"> PAGEREF _Toc48120214 \h </w:instrText>
          </w:r>
          <w:r>
            <w:fldChar w:fldCharType="separate"/>
          </w:r>
          <w:r>
            <w:t>25</w:t>
          </w:r>
          <w:r>
            <w:fldChar w:fldCharType="end"/>
          </w:r>
          <w:r>
            <w:fldChar w:fldCharType="end"/>
          </w:r>
        </w:p>
        <w:p>
          <w:pPr>
            <w:pStyle w:val="9"/>
            <w:pageBreakBefore w:val="0"/>
            <w:kinsoku/>
            <w:wordWrap/>
            <w:overflowPunct/>
            <w:topLinePunct w:val="0"/>
            <w:autoSpaceDE/>
            <w:autoSpaceDN/>
            <w:bidi w:val="0"/>
            <w:adjustRightInd/>
            <w:snapToGrid/>
            <w:spacing w:line="560" w:lineRule="exact"/>
            <w:textAlignment w:val="auto"/>
            <w:rPr>
              <w:rFonts w:cstheme="minorBidi"/>
              <w:kern w:val="2"/>
            </w:rPr>
          </w:pPr>
          <w:r>
            <w:fldChar w:fldCharType="begin"/>
          </w:r>
          <w:r>
            <w:instrText xml:space="preserve"> HYPERLINK \l "_Toc48120215" </w:instrText>
          </w:r>
          <w:r>
            <w:fldChar w:fldCharType="separate"/>
          </w:r>
          <w:r>
            <w:rPr>
              <w:rStyle w:val="16"/>
            </w:rPr>
            <w:t>七、其他需要说明的问题</w:t>
          </w:r>
          <w:r>
            <w:tab/>
          </w:r>
          <w:r>
            <w:fldChar w:fldCharType="begin"/>
          </w:r>
          <w:r>
            <w:instrText xml:space="preserve"> PAGEREF _Toc48120215 \h </w:instrText>
          </w:r>
          <w:r>
            <w:fldChar w:fldCharType="separate"/>
          </w:r>
          <w:r>
            <w:t>26</w:t>
          </w:r>
          <w:r>
            <w:fldChar w:fldCharType="end"/>
          </w:r>
          <w:r>
            <w:fldChar w:fldCharType="end"/>
          </w:r>
        </w:p>
        <w:p>
          <w:pPr>
            <w:pageBreakBefore w:val="0"/>
            <w:kinsoku/>
            <w:wordWrap/>
            <w:overflowPunct/>
            <w:topLinePunct w:val="0"/>
            <w:autoSpaceDE/>
            <w:autoSpaceDN/>
            <w:bidi w:val="0"/>
            <w:adjustRightInd/>
            <w:snapToGrid/>
            <w:spacing w:line="560" w:lineRule="exact"/>
            <w:ind w:left="0" w:leftChars="0" w:firstLine="0" w:firstLineChars="0"/>
            <w:textAlignment w:val="auto"/>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ascii="宋体" w:hAnsi="宋体" w:cstheme="majorBidi"/>
              <w:b/>
              <w:color w:val="7B230B" w:themeColor="accent1" w:themeShade="BF"/>
              <w:kern w:val="0"/>
              <w:szCs w:val="27"/>
            </w:rPr>
            <w:fldChar w:fldCharType="end"/>
          </w:r>
        </w:p>
      </w:sdtContent>
    </w:sdt>
    <w:p>
      <w:pPr>
        <w:spacing w:line="580" w:lineRule="exact"/>
        <w:ind w:firstLine="0" w:firstLineChars="0"/>
        <w:jc w:val="center"/>
        <w:rPr>
          <w:rFonts w:hint="eastAsia" w:ascii="宋体" w:hAnsi="宋体" w:eastAsia="宋体" w:cs="方正小标宋简体"/>
          <w:b/>
          <w:bCs/>
          <w:sz w:val="44"/>
          <w:szCs w:val="44"/>
          <w:lang w:eastAsia="zh-CN"/>
        </w:rPr>
      </w:pPr>
      <w:bookmarkStart w:id="0" w:name="_Toc514979959"/>
      <w:bookmarkStart w:id="1" w:name="_Toc514979706"/>
      <w:r>
        <w:rPr>
          <w:rFonts w:hint="eastAsia" w:ascii="宋体" w:hAnsi="宋体" w:cs="方正小标宋简体"/>
          <w:b/>
          <w:bCs/>
          <w:sz w:val="44"/>
          <w:szCs w:val="44"/>
        </w:rPr>
        <w:t>临淄区</w:t>
      </w:r>
      <w:r>
        <w:rPr>
          <w:rFonts w:hint="eastAsia" w:ascii="宋体" w:hAnsi="宋体" w:cs="方正小标宋简体"/>
          <w:b/>
          <w:bCs/>
          <w:sz w:val="44"/>
          <w:szCs w:val="44"/>
          <w:lang w:eastAsia="zh-CN"/>
        </w:rPr>
        <w:t>影视文化产业发展扶持资金</w:t>
      </w:r>
    </w:p>
    <w:p>
      <w:pPr>
        <w:spacing w:line="580" w:lineRule="exact"/>
        <w:ind w:firstLine="0" w:firstLineChars="0"/>
        <w:jc w:val="center"/>
        <w:rPr>
          <w:rFonts w:ascii="宋体" w:hAnsi="宋体" w:cs="方正小标宋简体"/>
          <w:b/>
          <w:bCs/>
          <w:sz w:val="44"/>
          <w:szCs w:val="44"/>
        </w:rPr>
      </w:pPr>
      <w:r>
        <w:rPr>
          <w:rFonts w:hint="eastAsia" w:ascii="宋体" w:hAnsi="宋体" w:cs="方正小标宋简体"/>
          <w:b/>
          <w:bCs/>
          <w:sz w:val="44"/>
          <w:szCs w:val="44"/>
        </w:rPr>
        <w:t>绩效评价报告</w:t>
      </w:r>
    </w:p>
    <w:p>
      <w:pPr>
        <w:ind w:firstLine="540"/>
      </w:pPr>
    </w:p>
    <w:p>
      <w:pPr>
        <w:ind w:firstLine="540"/>
        <w:rPr>
          <w:rFonts w:hAnsi="仿宋_GB2312"/>
          <w:color w:val="000000"/>
        </w:rPr>
      </w:pPr>
      <w:r>
        <w:rPr>
          <w:rFonts w:hint="eastAsia"/>
        </w:rPr>
        <w:t>按照淄博市临淄区财政局对2</w:t>
      </w:r>
      <w:r>
        <w:t>019</w:t>
      </w:r>
      <w:r>
        <w:rPr>
          <w:rFonts w:hint="eastAsia"/>
        </w:rPr>
        <w:t>年重点项目绩效评价的要求，我公司高度重视，迅速组织开展</w:t>
      </w:r>
      <w:r>
        <w:rPr>
          <w:rFonts w:hint="eastAsia"/>
          <w:lang w:eastAsia="zh-CN"/>
        </w:rPr>
        <w:t>影视文化产业发展扶持资金</w:t>
      </w:r>
      <w:r>
        <w:rPr>
          <w:rFonts w:hint="eastAsia"/>
        </w:rPr>
        <w:t>绩效评价工作。经综合评价，该项目绩效评价</w:t>
      </w:r>
      <w:r>
        <w:rPr>
          <w:rFonts w:hint="eastAsia" w:hAnsi="仿宋_GB2312"/>
          <w:color w:val="000000"/>
        </w:rPr>
        <w:t>等级为“优”。</w:t>
      </w:r>
      <w:bookmarkEnd w:id="0"/>
      <w:bookmarkEnd w:id="1"/>
      <w:bookmarkStart w:id="2" w:name="_Toc48120198"/>
    </w:p>
    <w:p>
      <w:pPr>
        <w:ind w:firstLine="600"/>
        <w:rPr>
          <w:rFonts w:ascii="黑体" w:hAnsi="黑体" w:eastAsia="黑体"/>
          <w:sz w:val="30"/>
          <w:szCs w:val="30"/>
        </w:rPr>
      </w:pPr>
      <w:r>
        <w:rPr>
          <w:rFonts w:hint="eastAsia" w:ascii="黑体" w:hAnsi="黑体" w:eastAsia="黑体"/>
          <w:sz w:val="30"/>
          <w:szCs w:val="30"/>
        </w:rPr>
        <w:t>一、基本情况</w:t>
      </w:r>
      <w:bookmarkEnd w:id="2"/>
    </w:p>
    <w:p>
      <w:pPr>
        <w:pStyle w:val="3"/>
        <w:ind w:firstLine="562"/>
      </w:pPr>
      <w:bookmarkStart w:id="3" w:name="_Toc48120199"/>
      <w:r>
        <w:rPr>
          <w:rFonts w:hint="eastAsia"/>
        </w:rPr>
        <w:t>（一）项目概况</w:t>
      </w:r>
      <w:bookmarkEnd w:id="3"/>
    </w:p>
    <w:p>
      <w:pPr>
        <w:pStyle w:val="4"/>
        <w:ind w:firstLine="562"/>
      </w:pPr>
      <w:r>
        <w:rPr>
          <w:rFonts w:hint="eastAsia" w:hAnsi="仿宋"/>
        </w:rPr>
        <w:t>1</w:t>
      </w:r>
      <w:r>
        <w:rPr>
          <w:rFonts w:hAnsi="仿宋"/>
        </w:rPr>
        <w:t>.</w:t>
      </w:r>
      <w:r>
        <w:t>项目背景</w:t>
      </w:r>
    </w:p>
    <w:p>
      <w:pPr>
        <w:ind w:firstLine="540"/>
      </w:pPr>
      <w:r>
        <w:rPr>
          <w:rFonts w:hint="eastAsia"/>
          <w:lang w:val="en-US" w:eastAsia="zh-CN"/>
        </w:rPr>
        <w:t>为了更好地培育和加快推进临淄区影视文化产业发展，扩大影视产业规模，使影视产业成为产业转型的经济增长点，临淄区人民政府先后印发了“关于印发临淄区扶持影视文化产业发展规定的通知”（临政字</w:t>
      </w:r>
      <w:r>
        <w:rPr>
          <w:rFonts w:hint="eastAsia" w:ascii="宋体" w:hAnsi="宋体" w:eastAsia="宋体" w:cs="宋体"/>
          <w:lang w:val="en-US" w:eastAsia="zh-CN"/>
        </w:rPr>
        <w:t>〔</w:t>
      </w:r>
      <w:r>
        <w:rPr>
          <w:rFonts w:hint="eastAsia" w:ascii="宋体" w:hAnsi="宋体" w:cs="宋体"/>
          <w:lang w:val="en-US" w:eastAsia="zh-CN"/>
        </w:rPr>
        <w:t>2016</w:t>
      </w:r>
      <w:r>
        <w:rPr>
          <w:rFonts w:hint="eastAsia" w:ascii="宋体" w:hAnsi="宋体" w:eastAsia="宋体" w:cs="宋体"/>
          <w:lang w:val="en-US" w:eastAsia="zh-CN"/>
        </w:rPr>
        <w:t>〕</w:t>
      </w:r>
      <w:r>
        <w:rPr>
          <w:rFonts w:hint="eastAsia"/>
          <w:lang w:val="en-US" w:eastAsia="zh-CN"/>
        </w:rPr>
        <w:t>100号）和“临淄区人民政府关于进一步扶持影视文化产业发展的通知”（临政字</w:t>
      </w:r>
      <w:r>
        <w:rPr>
          <w:rFonts w:hint="eastAsia" w:ascii="宋体" w:hAnsi="宋体" w:eastAsia="宋体" w:cs="宋体"/>
          <w:lang w:val="en-US" w:eastAsia="zh-CN"/>
        </w:rPr>
        <w:t>〔</w:t>
      </w:r>
      <w:r>
        <w:rPr>
          <w:rFonts w:hint="eastAsia" w:ascii="宋体" w:hAnsi="宋体" w:cs="宋体"/>
          <w:lang w:val="en-US" w:eastAsia="zh-CN"/>
        </w:rPr>
        <w:t>2017</w:t>
      </w:r>
      <w:r>
        <w:rPr>
          <w:rFonts w:hint="eastAsia" w:ascii="宋体" w:hAnsi="宋体" w:eastAsia="宋体" w:cs="宋体"/>
          <w:lang w:val="en-US" w:eastAsia="zh-CN"/>
        </w:rPr>
        <w:t>〕</w:t>
      </w:r>
      <w:r>
        <w:rPr>
          <w:rFonts w:hint="eastAsia" w:ascii="宋体" w:hAnsi="宋体" w:cs="宋体"/>
          <w:lang w:val="en-US" w:eastAsia="zh-CN"/>
        </w:rPr>
        <w:t>24</w:t>
      </w:r>
      <w:r>
        <w:rPr>
          <w:rFonts w:hint="eastAsia"/>
          <w:lang w:val="en-US" w:eastAsia="zh-CN"/>
        </w:rPr>
        <w:t>号）。</w:t>
      </w:r>
    </w:p>
    <w:p>
      <w:pPr>
        <w:ind w:firstLine="540"/>
        <w:rPr>
          <w:rFonts w:hint="eastAsia"/>
        </w:rPr>
      </w:pPr>
      <w:r>
        <w:rPr>
          <w:rFonts w:hint="eastAsia"/>
          <w:lang w:eastAsia="zh-CN"/>
        </w:rPr>
        <w:t>影视文化产业发展扶持资金</w:t>
      </w:r>
      <w:r>
        <w:rPr>
          <w:rFonts w:hint="eastAsia"/>
        </w:rPr>
        <w:t>用途主要包括：</w:t>
      </w:r>
      <w:r>
        <w:rPr>
          <w:rFonts w:hint="eastAsia"/>
          <w:lang w:val="en-US" w:eastAsia="zh-CN"/>
        </w:rPr>
        <w:t>按投资规模进行扶持；按地方财政贡献进行扶持；鼓励影视企业在临淄长期经营；鼓励剧组到临淄取景拍摄影视作品等</w:t>
      </w:r>
      <w:r>
        <w:rPr>
          <w:rFonts w:hint="eastAsia"/>
        </w:rPr>
        <w:t>。</w:t>
      </w:r>
    </w:p>
    <w:p>
      <w:pPr>
        <w:ind w:firstLine="540"/>
        <w:rPr>
          <w:rFonts w:hint="eastAsia" w:ascii="楷体" w:hAnsi="楷体" w:eastAsia="楷体" w:cs="楷体"/>
          <w:b/>
          <w:bCs/>
          <w:sz w:val="28"/>
          <w:szCs w:val="28"/>
        </w:rPr>
      </w:pPr>
      <w:r>
        <w:rPr>
          <w:rFonts w:hint="eastAsia" w:ascii="楷体" w:hAnsi="楷体" w:eastAsia="楷体" w:cs="楷体"/>
          <w:b/>
          <w:bCs/>
          <w:sz w:val="28"/>
          <w:szCs w:val="28"/>
        </w:rPr>
        <w:t>2.项目实施情况</w:t>
      </w:r>
    </w:p>
    <w:p>
      <w:pPr>
        <w:ind w:firstLine="540"/>
        <w:rPr>
          <w:rFonts w:hint="eastAsia" w:ascii="宋体" w:hAnsi="宋体" w:eastAsia="宋体" w:cs="宋体"/>
          <w:b w:val="0"/>
          <w:bCs w:val="0"/>
          <w:sz w:val="27"/>
          <w:szCs w:val="27"/>
        </w:rPr>
      </w:pPr>
      <w:r>
        <w:rPr>
          <w:rFonts w:hint="eastAsia" w:ascii="宋体" w:hAnsi="宋体" w:eastAsia="宋体" w:cs="宋体"/>
          <w:b w:val="0"/>
          <w:bCs w:val="0"/>
          <w:sz w:val="27"/>
          <w:szCs w:val="27"/>
          <w:lang w:val="en-US" w:eastAsia="zh-CN"/>
        </w:rPr>
        <w:t>截至</w:t>
      </w:r>
      <w:r>
        <w:rPr>
          <w:rFonts w:hint="eastAsia" w:ascii="宋体" w:hAnsi="宋体" w:eastAsia="宋体" w:cs="宋体"/>
          <w:b w:val="0"/>
          <w:bCs w:val="0"/>
          <w:sz w:val="27"/>
          <w:szCs w:val="27"/>
        </w:rPr>
        <w:t>2019年底，该项目目前招商</w:t>
      </w:r>
      <w:r>
        <w:rPr>
          <w:rFonts w:hint="eastAsia" w:ascii="宋体" w:hAnsi="宋体" w:cs="宋体"/>
          <w:b w:val="0"/>
          <w:bCs w:val="0"/>
          <w:sz w:val="27"/>
          <w:szCs w:val="27"/>
          <w:lang w:val="en-US" w:eastAsia="zh-CN"/>
        </w:rPr>
        <w:t>影视类企业</w:t>
      </w:r>
      <w:r>
        <w:rPr>
          <w:rFonts w:hint="eastAsia" w:ascii="宋体" w:hAnsi="宋体" w:eastAsia="宋体" w:cs="宋体"/>
          <w:b w:val="0"/>
          <w:bCs w:val="0"/>
          <w:sz w:val="27"/>
          <w:szCs w:val="27"/>
        </w:rPr>
        <w:t>242家，带动了当地影视文化产业的发展，提高了税收收入。影视活动刺激和带动了临淄第三产业的发展；全国各地的知名演员到临淄拍摄（协议要求影片中必须有临淄的地标建筑）多部影视剧的上映，让社会更加全面的了解临淄，宣传了临淄并提升了知名度和美誉度，带动了文化和旅游产业的发展。</w:t>
      </w:r>
    </w:p>
    <w:p>
      <w:pPr>
        <w:pStyle w:val="4"/>
        <w:ind w:firstLine="562"/>
      </w:pPr>
      <w:r>
        <w:t>3.</w:t>
      </w:r>
      <w:r>
        <w:rPr>
          <w:rFonts w:hint="eastAsia"/>
        </w:rPr>
        <w:t>资金投入及使用情况</w:t>
      </w:r>
    </w:p>
    <w:p>
      <w:pPr>
        <w:ind w:firstLine="540"/>
        <w:rPr>
          <w:rFonts w:hint="eastAsia"/>
        </w:rPr>
      </w:pPr>
      <w:r>
        <w:rPr>
          <w:rFonts w:hint="eastAsia" w:ascii="宋体" w:hAnsi="宋体" w:eastAsia="宋体" w:cs="宋体"/>
          <w:szCs w:val="30"/>
        </w:rPr>
        <w:t>根据文件</w:t>
      </w:r>
      <w:r>
        <w:rPr>
          <w:rFonts w:hint="eastAsia" w:ascii="宋体" w:hAnsi="宋体" w:eastAsia="宋体" w:cs="宋体"/>
          <w:szCs w:val="30"/>
          <w:lang w:val="en-US" w:eastAsia="zh-CN"/>
        </w:rPr>
        <w:t>规定</w:t>
      </w:r>
      <w:r>
        <w:rPr>
          <w:rFonts w:hint="eastAsia" w:ascii="宋体" w:hAnsi="宋体" w:eastAsia="宋体" w:cs="宋体"/>
          <w:szCs w:val="30"/>
        </w:rPr>
        <w:t>和近两年招商运营情况测算，</w:t>
      </w:r>
      <w:r>
        <w:rPr>
          <w:rFonts w:hint="eastAsia" w:ascii="宋体" w:hAnsi="宋体" w:cs="宋体"/>
          <w:szCs w:val="30"/>
          <w:lang w:val="en-US" w:eastAsia="zh-CN"/>
        </w:rPr>
        <w:t>淄博市文旅局申请</w:t>
      </w:r>
      <w:r>
        <w:rPr>
          <w:rFonts w:hint="eastAsia" w:ascii="宋体" w:hAnsi="宋体" w:eastAsia="宋体" w:cs="宋体"/>
          <w:szCs w:val="30"/>
        </w:rPr>
        <w:t>预算</w:t>
      </w:r>
      <w:r>
        <w:rPr>
          <w:rFonts w:hint="eastAsia" w:ascii="宋体" w:hAnsi="宋体" w:cs="宋体"/>
          <w:szCs w:val="30"/>
          <w:lang w:val="en-US" w:eastAsia="zh-CN"/>
        </w:rPr>
        <w:t>资金</w:t>
      </w:r>
      <w:r>
        <w:rPr>
          <w:rFonts w:hint="eastAsia" w:ascii="宋体" w:hAnsi="宋体" w:eastAsia="宋体" w:cs="宋体"/>
          <w:szCs w:val="30"/>
        </w:rPr>
        <w:t>1000万元</w:t>
      </w:r>
      <w:r>
        <w:rPr>
          <w:rFonts w:hint="eastAsia"/>
        </w:rPr>
        <w:t>用于临淄区</w:t>
      </w:r>
      <w:r>
        <w:rPr>
          <w:rFonts w:hint="eastAsia"/>
          <w:lang w:eastAsia="zh-CN"/>
        </w:rPr>
        <w:t>影视文化产业发展扶持资金</w:t>
      </w:r>
      <w:r>
        <w:rPr>
          <w:rFonts w:hint="eastAsia"/>
        </w:rPr>
        <w:t>，</w:t>
      </w:r>
      <w:r>
        <w:t>2019</w:t>
      </w:r>
      <w:r>
        <w:rPr>
          <w:rFonts w:hint="eastAsia"/>
        </w:rPr>
        <w:t>年度共支出</w:t>
      </w:r>
      <w:r>
        <w:rPr>
          <w:rFonts w:hint="eastAsia"/>
          <w:lang w:val="en-US" w:eastAsia="zh-CN"/>
        </w:rPr>
        <w:t>876.59</w:t>
      </w:r>
      <w:r>
        <w:rPr>
          <w:rFonts w:hint="eastAsia"/>
        </w:rPr>
        <w:t>万元。</w:t>
      </w:r>
    </w:p>
    <w:tbl>
      <w:tblPr>
        <w:tblStyle w:val="13"/>
        <w:tblW w:w="7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4227"/>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31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项目名称</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1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影视文化产业扶持</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31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影视制作拍摄补贴</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31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财政贡献扶持</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31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花海项目</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31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rPr>
            </w:pP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876.59</w:t>
            </w:r>
          </w:p>
        </w:tc>
      </w:tr>
    </w:tbl>
    <w:p>
      <w:pPr>
        <w:pStyle w:val="3"/>
        <w:ind w:firstLine="562"/>
      </w:pPr>
      <w:bookmarkStart w:id="4" w:name="_Toc48120200"/>
      <w:r>
        <w:rPr>
          <w:rFonts w:hint="eastAsia"/>
        </w:rPr>
        <w:t>（二）项目绩效目标</w:t>
      </w:r>
      <w:bookmarkEnd w:id="4"/>
    </w:p>
    <w:p>
      <w:pPr>
        <w:pStyle w:val="4"/>
        <w:ind w:firstLine="562"/>
      </w:pPr>
      <w:r>
        <w:rPr>
          <w:rFonts w:hint="eastAsia"/>
        </w:rPr>
        <w:t>1</w:t>
      </w:r>
      <w:r>
        <w:t>.</w:t>
      </w:r>
      <w:r>
        <w:rPr>
          <w:rFonts w:hint="eastAsia"/>
        </w:rPr>
        <w:t>长期目标</w:t>
      </w:r>
    </w:p>
    <w:p>
      <w:pPr>
        <w:spacing w:line="600" w:lineRule="exact"/>
        <w:ind w:firstLine="540" w:firstLineChars="200"/>
      </w:pPr>
      <w:r>
        <w:rPr>
          <w:rFonts w:hint="eastAsia" w:ascii="宋体" w:hAnsi="宋体" w:cs="宋体"/>
          <w:szCs w:val="21"/>
          <w:shd w:val="clear" w:color="auto" w:fill="FDFDFD"/>
          <w:lang w:val="en-US" w:eastAsia="zh-CN"/>
        </w:rPr>
        <w:t>优化影视文化产业发展环境，促进临淄区影视文化产业发展。</w:t>
      </w:r>
      <w:r>
        <w:rPr>
          <w:rFonts w:hint="eastAsia" w:ascii="宋体" w:hAnsi="宋体" w:eastAsia="宋体" w:cs="宋体"/>
          <w:szCs w:val="21"/>
          <w:shd w:val="clear" w:color="auto" w:fill="FDFDFD"/>
        </w:rPr>
        <w:t>总体目标</w:t>
      </w:r>
      <w:r>
        <w:rPr>
          <w:rFonts w:hint="eastAsia" w:ascii="宋体" w:hAnsi="宋体" w:cs="宋体"/>
          <w:szCs w:val="21"/>
          <w:shd w:val="clear" w:color="auto" w:fill="FDFDFD"/>
          <w:lang w:val="en-US" w:eastAsia="zh-CN"/>
        </w:rPr>
        <w:t>为：</w:t>
      </w:r>
      <w:r>
        <w:rPr>
          <w:rFonts w:hint="eastAsia" w:ascii="宋体" w:hAnsi="宋体" w:eastAsia="宋体" w:cs="宋体"/>
          <w:szCs w:val="21"/>
          <w:shd w:val="clear" w:color="auto" w:fill="FDFDFD"/>
        </w:rPr>
        <w:t>五</w:t>
      </w:r>
      <w:r>
        <w:rPr>
          <w:rFonts w:hint="eastAsia" w:ascii="宋体" w:hAnsi="宋体" w:eastAsia="宋体" w:cs="宋体"/>
          <w:color w:val="000000"/>
          <w:szCs w:val="21"/>
          <w:shd w:val="clear" w:color="auto" w:fill="FDFDFD"/>
        </w:rPr>
        <w:t>年内，招商引资300家以上的影视文化企业落户园区，五年内拉动临淄区文化产业GDP10亿以上。</w:t>
      </w:r>
    </w:p>
    <w:p>
      <w:pPr>
        <w:pStyle w:val="4"/>
        <w:ind w:firstLine="562"/>
      </w:pPr>
      <w:r>
        <w:rPr>
          <w:rFonts w:hint="eastAsia"/>
        </w:rPr>
        <w:t>2</w:t>
      </w:r>
      <w:r>
        <w:t>.</w:t>
      </w:r>
      <w:r>
        <w:rPr>
          <w:rFonts w:hint="eastAsia"/>
        </w:rPr>
        <w:t>年度目标</w:t>
      </w:r>
    </w:p>
    <w:p>
      <w:pPr>
        <w:spacing w:line="600" w:lineRule="exact"/>
        <w:ind w:firstLine="540" w:firstLineChars="200"/>
        <w:rPr>
          <w:rFonts w:hint="eastAsia" w:ascii="宋体" w:hAnsi="宋体" w:eastAsia="宋体" w:cs="宋体"/>
          <w:szCs w:val="21"/>
          <w:shd w:val="clear" w:color="auto" w:fill="FDFDFD"/>
        </w:rPr>
      </w:pPr>
      <w:r>
        <w:rPr>
          <w:rFonts w:hint="eastAsia" w:ascii="宋体" w:hAnsi="宋体" w:eastAsia="宋体" w:cs="宋体"/>
          <w:szCs w:val="21"/>
          <w:shd w:val="clear" w:color="auto" w:fill="FDFDFD"/>
        </w:rPr>
        <w:t>年度目标：2019年，计划招商引进外地影视企业30家，拍摄2部以上的影视作品，并对已入驻产业园的39家企业进行整顿清理，对近一年无业绩无营业额的企业进行警告，引进新的有作为、有业绩的影视企业，争取年度拉动临淄区文化产业GDP1.5亿元以上。</w:t>
      </w:r>
    </w:p>
    <w:p>
      <w:pPr>
        <w:pStyle w:val="4"/>
        <w:ind w:firstLine="562"/>
      </w:pPr>
      <w:r>
        <w:rPr>
          <w:rFonts w:hint="eastAsia"/>
        </w:rPr>
        <w:t>3</w:t>
      </w:r>
      <w:r>
        <w:t>.</w:t>
      </w:r>
      <w:r>
        <w:rPr>
          <w:rFonts w:hint="eastAsia"/>
        </w:rPr>
        <w:t>年度指标明细</w:t>
      </w:r>
    </w:p>
    <w:tbl>
      <w:tblPr>
        <w:tblStyle w:val="12"/>
        <w:tblW w:w="7763" w:type="dxa"/>
        <w:jc w:val="center"/>
        <w:tblLayout w:type="fixed"/>
        <w:tblCellMar>
          <w:top w:w="15" w:type="dxa"/>
          <w:left w:w="108" w:type="dxa"/>
          <w:bottom w:w="15" w:type="dxa"/>
          <w:right w:w="108" w:type="dxa"/>
        </w:tblCellMar>
      </w:tblPr>
      <w:tblGrid>
        <w:gridCol w:w="1149"/>
        <w:gridCol w:w="1134"/>
        <w:gridCol w:w="1134"/>
        <w:gridCol w:w="2977"/>
        <w:gridCol w:w="1369"/>
      </w:tblGrid>
      <w:tr>
        <w:tblPrEx>
          <w:tblCellMar>
            <w:top w:w="15" w:type="dxa"/>
            <w:left w:w="108" w:type="dxa"/>
            <w:bottom w:w="15" w:type="dxa"/>
            <w:right w:w="108" w:type="dxa"/>
          </w:tblCellMar>
        </w:tblPrEx>
        <w:trPr>
          <w:trHeight w:val="352" w:hRule="atLeast"/>
          <w:jc w:val="center"/>
        </w:trPr>
        <w:tc>
          <w:tcPr>
            <w:tcW w:w="7763"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ind w:firstLine="0" w:firstLineChars="0"/>
              <w:jc w:val="center"/>
              <w:rPr>
                <w:rFonts w:hAnsi="仿宋"/>
                <w:color w:val="000000"/>
                <w:sz w:val="24"/>
                <w:szCs w:val="24"/>
              </w:rPr>
            </w:pPr>
            <w:r>
              <w:rPr>
                <w:rFonts w:hint="eastAsia" w:hAnsi="仿宋"/>
                <w:color w:val="000000"/>
                <w:sz w:val="24"/>
                <w:szCs w:val="24"/>
              </w:rPr>
              <w:t>年度绩效指标</w:t>
            </w:r>
          </w:p>
        </w:tc>
      </w:tr>
      <w:tr>
        <w:tblPrEx>
          <w:tblCellMar>
            <w:top w:w="15" w:type="dxa"/>
            <w:left w:w="108" w:type="dxa"/>
            <w:bottom w:w="15" w:type="dxa"/>
            <w:right w:w="108" w:type="dxa"/>
          </w:tblCellMar>
        </w:tblPrEx>
        <w:trPr>
          <w:trHeight w:val="234" w:hRule="atLeast"/>
          <w:jc w:val="center"/>
        </w:trPr>
        <w:tc>
          <w:tcPr>
            <w:tcW w:w="1149" w:type="dxa"/>
            <w:tcBorders>
              <w:top w:val="single" w:color="000000" w:sz="4" w:space="0"/>
              <w:left w:val="single" w:color="000000" w:sz="4" w:space="0"/>
              <w:bottom w:val="single" w:color="auto" w:sz="4" w:space="0"/>
              <w:right w:val="single" w:color="000000"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rPr>
              <w:t>一级指标</w:t>
            </w:r>
          </w:p>
        </w:tc>
        <w:tc>
          <w:tcPr>
            <w:tcW w:w="1134" w:type="dxa"/>
            <w:tcBorders>
              <w:top w:val="single" w:color="000000" w:sz="4" w:space="0"/>
              <w:left w:val="single" w:color="000000" w:sz="4" w:space="0"/>
              <w:bottom w:val="single" w:color="auto" w:sz="4" w:space="0"/>
              <w:right w:val="single" w:color="auto"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rPr>
              <w:t>二级指标</w:t>
            </w:r>
          </w:p>
        </w:tc>
        <w:tc>
          <w:tcPr>
            <w:tcW w:w="1134" w:type="dxa"/>
            <w:tcBorders>
              <w:top w:val="single" w:color="000000"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rPr>
              <w:t>三级指标</w:t>
            </w:r>
          </w:p>
        </w:tc>
        <w:tc>
          <w:tcPr>
            <w:tcW w:w="2977" w:type="dxa"/>
            <w:tcBorders>
              <w:top w:val="single" w:color="000000" w:sz="4" w:space="0"/>
              <w:left w:val="single" w:color="auto" w:sz="4" w:space="0"/>
              <w:bottom w:val="single" w:color="auto" w:sz="4" w:space="0"/>
              <w:right w:val="single" w:color="auto"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四级指标</w:t>
            </w:r>
          </w:p>
        </w:tc>
        <w:tc>
          <w:tcPr>
            <w:tcW w:w="1369" w:type="dxa"/>
            <w:tcBorders>
              <w:top w:val="single" w:color="000000" w:sz="4" w:space="0"/>
              <w:left w:val="single" w:color="auto" w:sz="4" w:space="0"/>
              <w:bottom w:val="single" w:color="auto" w:sz="4" w:space="0"/>
              <w:right w:val="single" w:color="000000"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指标值</w:t>
            </w:r>
          </w:p>
        </w:tc>
      </w:tr>
      <w:tr>
        <w:tblPrEx>
          <w:tblCellMar>
            <w:top w:w="15" w:type="dxa"/>
            <w:left w:w="108" w:type="dxa"/>
            <w:bottom w:w="15" w:type="dxa"/>
            <w:right w:w="108" w:type="dxa"/>
          </w:tblCellMar>
        </w:tblPrEx>
        <w:trPr>
          <w:trHeight w:val="320" w:hRule="atLeast"/>
          <w:jc w:val="center"/>
        </w:trPr>
        <w:tc>
          <w:tcPr>
            <w:tcW w:w="1149" w:type="dxa"/>
            <w:vMerge w:val="restart"/>
            <w:tcBorders>
              <w:top w:val="single" w:color="auto" w:sz="4" w:space="0"/>
              <w:left w:val="single" w:color="000000" w:sz="4" w:space="0"/>
              <w:right w:val="single" w:color="000000" w:sz="4" w:space="0"/>
            </w:tcBorders>
            <w:shd w:val="clear" w:color="auto" w:fill="auto"/>
          </w:tcPr>
          <w:p>
            <w:pPr>
              <w:spacing w:line="240" w:lineRule="auto"/>
              <w:ind w:firstLine="0" w:firstLineChars="0"/>
              <w:rPr>
                <w:rFonts w:ascii="宋体" w:hAnsi="宋体"/>
                <w:color w:val="000000"/>
                <w:sz w:val="21"/>
                <w:szCs w:val="21"/>
              </w:rPr>
            </w:pPr>
          </w:p>
          <w:p>
            <w:pPr>
              <w:spacing w:line="240" w:lineRule="auto"/>
              <w:ind w:firstLine="0" w:firstLineChars="0"/>
              <w:rPr>
                <w:rFonts w:ascii="宋体" w:hAnsi="宋体"/>
                <w:color w:val="000000"/>
                <w:sz w:val="21"/>
                <w:szCs w:val="21"/>
              </w:rPr>
            </w:pPr>
          </w:p>
          <w:p>
            <w:pPr>
              <w:spacing w:line="240" w:lineRule="auto"/>
              <w:ind w:firstLine="0" w:firstLineChars="0"/>
              <w:rPr>
                <w:rFonts w:ascii="宋体" w:hAnsi="宋体"/>
                <w:color w:val="000000"/>
                <w:sz w:val="21"/>
                <w:szCs w:val="21"/>
              </w:rPr>
            </w:pPr>
          </w:p>
          <w:p>
            <w:pPr>
              <w:spacing w:line="240" w:lineRule="auto"/>
              <w:ind w:firstLine="0" w:firstLineChars="0"/>
              <w:rPr>
                <w:rFonts w:ascii="宋体" w:hAnsi="宋体"/>
                <w:color w:val="000000"/>
                <w:sz w:val="21"/>
                <w:szCs w:val="21"/>
              </w:rPr>
            </w:pPr>
          </w:p>
          <w:p>
            <w:pPr>
              <w:spacing w:line="240" w:lineRule="auto"/>
              <w:ind w:firstLine="0" w:firstLineChars="0"/>
              <w:rPr>
                <w:rFonts w:ascii="宋体" w:hAnsi="宋体"/>
                <w:color w:val="000000"/>
                <w:sz w:val="21"/>
                <w:szCs w:val="21"/>
              </w:rPr>
            </w:pPr>
          </w:p>
          <w:p>
            <w:pPr>
              <w:spacing w:line="240" w:lineRule="auto"/>
              <w:ind w:firstLine="0" w:firstLineChars="0"/>
              <w:rPr>
                <w:rFonts w:ascii="宋体" w:hAnsi="宋体"/>
                <w:color w:val="000000"/>
                <w:sz w:val="21"/>
                <w:szCs w:val="21"/>
              </w:rPr>
            </w:pPr>
          </w:p>
          <w:p>
            <w:pPr>
              <w:spacing w:line="240" w:lineRule="auto"/>
              <w:ind w:firstLine="0" w:firstLineChars="0"/>
              <w:rPr>
                <w:rFonts w:ascii="宋体" w:hAnsi="宋体"/>
                <w:color w:val="000000"/>
                <w:sz w:val="21"/>
                <w:szCs w:val="21"/>
              </w:rPr>
            </w:pPr>
            <w:r>
              <w:rPr>
                <w:rFonts w:hint="eastAsia" w:ascii="宋体" w:hAnsi="宋体"/>
                <w:color w:val="000000"/>
                <w:sz w:val="21"/>
                <w:szCs w:val="21"/>
              </w:rPr>
              <w:t xml:space="preserve">产 </w:t>
            </w:r>
            <w:r>
              <w:rPr>
                <w:rFonts w:ascii="宋体" w:hAnsi="宋体"/>
                <w:color w:val="000000"/>
                <w:sz w:val="21"/>
                <w:szCs w:val="21"/>
              </w:rPr>
              <w:t xml:space="preserve"> </w:t>
            </w:r>
            <w:r>
              <w:rPr>
                <w:rFonts w:hint="eastAsia" w:ascii="宋体" w:hAnsi="宋体"/>
                <w:color w:val="000000"/>
                <w:sz w:val="21"/>
                <w:szCs w:val="21"/>
              </w:rPr>
              <w:t>出</w:t>
            </w:r>
          </w:p>
        </w:tc>
        <w:tc>
          <w:tcPr>
            <w:tcW w:w="1134" w:type="dxa"/>
            <w:vMerge w:val="restart"/>
            <w:tcBorders>
              <w:top w:val="single" w:color="auto" w:sz="4" w:space="0"/>
              <w:left w:val="single" w:color="000000" w:sz="4" w:space="0"/>
              <w:right w:val="single" w:color="auto" w:sz="4" w:space="0"/>
            </w:tcBorders>
            <w:shd w:val="clear" w:color="auto" w:fill="auto"/>
          </w:tcPr>
          <w:p>
            <w:pPr>
              <w:spacing w:line="240" w:lineRule="auto"/>
              <w:ind w:firstLine="0" w:firstLineChars="0"/>
              <w:rPr>
                <w:rFonts w:ascii="宋体" w:hAnsi="宋体"/>
                <w:color w:val="000000"/>
                <w:sz w:val="21"/>
                <w:szCs w:val="21"/>
              </w:rPr>
            </w:pPr>
          </w:p>
          <w:p>
            <w:pPr>
              <w:spacing w:line="240" w:lineRule="auto"/>
              <w:ind w:firstLine="0" w:firstLineChars="0"/>
              <w:rPr>
                <w:rFonts w:ascii="宋体" w:hAnsi="宋体"/>
                <w:color w:val="000000"/>
                <w:sz w:val="21"/>
                <w:szCs w:val="21"/>
              </w:rPr>
            </w:pPr>
          </w:p>
          <w:p>
            <w:pPr>
              <w:spacing w:line="240" w:lineRule="auto"/>
              <w:ind w:firstLine="0" w:firstLineChars="0"/>
              <w:rPr>
                <w:rFonts w:ascii="宋体" w:hAnsi="宋体"/>
                <w:color w:val="000000"/>
                <w:sz w:val="21"/>
                <w:szCs w:val="21"/>
              </w:rPr>
            </w:pPr>
          </w:p>
          <w:p>
            <w:pPr>
              <w:spacing w:line="240" w:lineRule="auto"/>
              <w:ind w:firstLine="0" w:firstLineChars="0"/>
              <w:rPr>
                <w:rFonts w:ascii="宋体" w:hAnsi="宋体"/>
                <w:color w:val="000000"/>
                <w:sz w:val="21"/>
                <w:szCs w:val="21"/>
              </w:rPr>
            </w:pPr>
          </w:p>
          <w:p>
            <w:pPr>
              <w:spacing w:line="240" w:lineRule="auto"/>
              <w:ind w:firstLine="0" w:firstLineChars="0"/>
              <w:rPr>
                <w:rFonts w:ascii="宋体" w:hAnsi="宋体"/>
                <w:color w:val="000000"/>
                <w:sz w:val="21"/>
                <w:szCs w:val="21"/>
              </w:rPr>
            </w:pPr>
          </w:p>
          <w:p>
            <w:pPr>
              <w:spacing w:line="240" w:lineRule="auto"/>
              <w:ind w:firstLine="0" w:firstLineChars="0"/>
              <w:rPr>
                <w:rFonts w:ascii="宋体" w:hAnsi="宋体"/>
                <w:color w:val="000000"/>
                <w:sz w:val="21"/>
                <w:szCs w:val="21"/>
              </w:rPr>
            </w:pPr>
          </w:p>
          <w:p>
            <w:pPr>
              <w:spacing w:line="240" w:lineRule="auto"/>
              <w:ind w:firstLine="0" w:firstLineChars="0"/>
              <w:rPr>
                <w:rFonts w:ascii="宋体" w:hAnsi="宋体"/>
                <w:color w:val="000000"/>
                <w:sz w:val="21"/>
                <w:szCs w:val="21"/>
              </w:rPr>
            </w:pPr>
            <w:r>
              <w:rPr>
                <w:rFonts w:hint="eastAsia" w:ascii="宋体" w:hAnsi="宋体"/>
                <w:color w:val="000000"/>
                <w:sz w:val="21"/>
                <w:szCs w:val="21"/>
              </w:rPr>
              <w:t>项目产出</w:t>
            </w:r>
          </w:p>
        </w:tc>
        <w:tc>
          <w:tcPr>
            <w:tcW w:w="1134"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rPr>
              <w:t>数量指标</w:t>
            </w:r>
          </w:p>
        </w:tc>
        <w:tc>
          <w:tcPr>
            <w:tcW w:w="2977"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完成入驻企业</w:t>
            </w:r>
          </w:p>
        </w:tc>
        <w:tc>
          <w:tcPr>
            <w:tcW w:w="1369" w:type="dxa"/>
            <w:tcBorders>
              <w:top w:val="single" w:color="auto" w:sz="4" w:space="0"/>
              <w:left w:val="single" w:color="auto" w:sz="4" w:space="0"/>
              <w:bottom w:val="single" w:color="000000" w:sz="4" w:space="0"/>
              <w:right w:val="single" w:color="000000" w:sz="4" w:space="0"/>
            </w:tcBorders>
            <w:shd w:val="clear" w:color="auto" w:fill="auto"/>
          </w:tcPr>
          <w:p>
            <w:pPr>
              <w:spacing w:line="240" w:lineRule="auto"/>
              <w:ind w:firstLine="0" w:firstLineChars="0"/>
              <w:jc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30家</w:t>
            </w:r>
          </w:p>
        </w:tc>
      </w:tr>
      <w:tr>
        <w:tblPrEx>
          <w:tblCellMar>
            <w:top w:w="15" w:type="dxa"/>
            <w:left w:w="108" w:type="dxa"/>
            <w:bottom w:w="15" w:type="dxa"/>
            <w:right w:w="108" w:type="dxa"/>
          </w:tblCellMar>
        </w:tblPrEx>
        <w:trPr>
          <w:trHeight w:val="318" w:hRule="atLeast"/>
          <w:jc w:val="center"/>
        </w:trPr>
        <w:tc>
          <w:tcPr>
            <w:tcW w:w="1149" w:type="dxa"/>
            <w:vMerge w:val="continue"/>
            <w:tcBorders>
              <w:left w:val="single" w:color="000000" w:sz="4" w:space="0"/>
              <w:right w:val="single" w:color="000000" w:sz="4" w:space="0"/>
            </w:tcBorders>
            <w:shd w:val="clear" w:color="auto" w:fill="auto"/>
          </w:tcPr>
          <w:p>
            <w:pPr>
              <w:spacing w:line="240" w:lineRule="auto"/>
              <w:ind w:firstLine="0" w:firstLineChars="0"/>
              <w:rPr>
                <w:rFonts w:ascii="宋体" w:hAnsi="宋体"/>
                <w:color w:val="000000"/>
                <w:sz w:val="21"/>
                <w:szCs w:val="21"/>
              </w:rPr>
            </w:pPr>
          </w:p>
        </w:tc>
        <w:tc>
          <w:tcPr>
            <w:tcW w:w="1134" w:type="dxa"/>
            <w:vMerge w:val="continue"/>
            <w:tcBorders>
              <w:left w:val="single" w:color="000000" w:sz="4" w:space="0"/>
              <w:right w:val="single" w:color="auto" w:sz="4" w:space="0"/>
            </w:tcBorders>
            <w:shd w:val="clear" w:color="auto" w:fill="auto"/>
          </w:tcPr>
          <w:p>
            <w:pPr>
              <w:ind w:firstLine="0" w:firstLineChars="0"/>
              <w:rPr>
                <w:rFonts w:ascii="宋体" w:hAnsi="宋体"/>
                <w:color w:val="000000"/>
                <w:sz w:val="21"/>
                <w:szCs w:val="21"/>
              </w:rPr>
            </w:pPr>
          </w:p>
        </w:tc>
        <w:tc>
          <w:tcPr>
            <w:tcW w:w="1134"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rPr>
              <w:t>数量指标</w:t>
            </w:r>
          </w:p>
        </w:tc>
        <w:tc>
          <w:tcPr>
            <w:tcW w:w="2977"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拍摄影视作品</w:t>
            </w:r>
          </w:p>
        </w:tc>
        <w:tc>
          <w:tcPr>
            <w:tcW w:w="1369" w:type="dxa"/>
            <w:tcBorders>
              <w:top w:val="single" w:color="auto" w:sz="4" w:space="0"/>
              <w:left w:val="single" w:color="auto" w:sz="4" w:space="0"/>
              <w:bottom w:val="single" w:color="000000" w:sz="4" w:space="0"/>
              <w:right w:val="single" w:color="000000" w:sz="4" w:space="0"/>
            </w:tcBorders>
            <w:shd w:val="clear" w:color="auto" w:fill="auto"/>
          </w:tcPr>
          <w:p>
            <w:pPr>
              <w:spacing w:line="240" w:lineRule="auto"/>
              <w:ind w:firstLine="0" w:firstLineChars="0"/>
              <w:jc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2部</w:t>
            </w:r>
          </w:p>
        </w:tc>
      </w:tr>
      <w:tr>
        <w:tblPrEx>
          <w:tblCellMar>
            <w:top w:w="15" w:type="dxa"/>
            <w:left w:w="108" w:type="dxa"/>
            <w:bottom w:w="15" w:type="dxa"/>
            <w:right w:w="108" w:type="dxa"/>
          </w:tblCellMar>
        </w:tblPrEx>
        <w:trPr>
          <w:trHeight w:val="241" w:hRule="atLeast"/>
          <w:jc w:val="center"/>
        </w:trPr>
        <w:tc>
          <w:tcPr>
            <w:tcW w:w="1149" w:type="dxa"/>
            <w:vMerge w:val="continue"/>
            <w:tcBorders>
              <w:left w:val="single" w:color="000000" w:sz="4" w:space="0"/>
              <w:right w:val="single" w:color="000000" w:sz="4" w:space="0"/>
            </w:tcBorders>
            <w:shd w:val="clear" w:color="auto" w:fill="auto"/>
          </w:tcPr>
          <w:p>
            <w:pPr>
              <w:spacing w:line="240" w:lineRule="auto"/>
              <w:ind w:firstLine="0" w:firstLineChars="0"/>
              <w:rPr>
                <w:rFonts w:ascii="宋体" w:hAnsi="宋体"/>
                <w:color w:val="000000"/>
                <w:sz w:val="21"/>
                <w:szCs w:val="21"/>
              </w:rPr>
            </w:pPr>
          </w:p>
        </w:tc>
        <w:tc>
          <w:tcPr>
            <w:tcW w:w="1134" w:type="dxa"/>
            <w:vMerge w:val="continue"/>
            <w:tcBorders>
              <w:left w:val="single" w:color="000000" w:sz="4" w:space="0"/>
              <w:right w:val="single" w:color="auto" w:sz="4" w:space="0"/>
            </w:tcBorders>
            <w:shd w:val="clear" w:color="auto" w:fill="auto"/>
          </w:tcPr>
          <w:p>
            <w:pPr>
              <w:ind w:firstLine="0" w:firstLineChars="0"/>
              <w:rPr>
                <w:rFonts w:ascii="宋体" w:hAnsi="宋体"/>
                <w:color w:val="000000"/>
                <w:sz w:val="21"/>
                <w:szCs w:val="21"/>
              </w:rPr>
            </w:pPr>
          </w:p>
        </w:tc>
        <w:tc>
          <w:tcPr>
            <w:tcW w:w="1134"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rPr>
              <w:t>时效指标</w:t>
            </w:r>
          </w:p>
        </w:tc>
        <w:tc>
          <w:tcPr>
            <w:tcW w:w="2977"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完成30家企业入驻及2部作品拍摄的及时性</w:t>
            </w:r>
          </w:p>
        </w:tc>
        <w:tc>
          <w:tcPr>
            <w:tcW w:w="1369" w:type="dxa"/>
            <w:tcBorders>
              <w:top w:val="single" w:color="auto" w:sz="4" w:space="0"/>
              <w:left w:val="single" w:color="auto" w:sz="4" w:space="0"/>
              <w:bottom w:val="single" w:color="000000" w:sz="4" w:space="0"/>
              <w:right w:val="single" w:color="000000"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及时</w:t>
            </w:r>
          </w:p>
        </w:tc>
      </w:tr>
      <w:tr>
        <w:tblPrEx>
          <w:tblCellMar>
            <w:top w:w="15" w:type="dxa"/>
            <w:left w:w="108" w:type="dxa"/>
            <w:bottom w:w="15" w:type="dxa"/>
            <w:right w:w="108" w:type="dxa"/>
          </w:tblCellMar>
        </w:tblPrEx>
        <w:trPr>
          <w:trHeight w:val="318" w:hRule="atLeast"/>
          <w:jc w:val="center"/>
        </w:trPr>
        <w:tc>
          <w:tcPr>
            <w:tcW w:w="1149" w:type="dxa"/>
            <w:vMerge w:val="continue"/>
            <w:tcBorders>
              <w:left w:val="single" w:color="000000" w:sz="4" w:space="0"/>
              <w:right w:val="single" w:color="000000" w:sz="4" w:space="0"/>
            </w:tcBorders>
            <w:shd w:val="clear" w:color="auto" w:fill="auto"/>
          </w:tcPr>
          <w:p>
            <w:pPr>
              <w:spacing w:line="240" w:lineRule="auto"/>
              <w:ind w:firstLine="0" w:firstLineChars="0"/>
              <w:rPr>
                <w:rFonts w:ascii="宋体" w:hAnsi="宋体"/>
                <w:color w:val="000000"/>
                <w:sz w:val="21"/>
                <w:szCs w:val="21"/>
              </w:rPr>
            </w:pPr>
          </w:p>
        </w:tc>
        <w:tc>
          <w:tcPr>
            <w:tcW w:w="1134" w:type="dxa"/>
            <w:vMerge w:val="continue"/>
            <w:tcBorders>
              <w:left w:val="single" w:color="000000" w:sz="4" w:space="0"/>
              <w:right w:val="single" w:color="auto" w:sz="4" w:space="0"/>
            </w:tcBorders>
            <w:shd w:val="clear" w:color="auto" w:fill="auto"/>
          </w:tcPr>
          <w:p>
            <w:pPr>
              <w:ind w:firstLine="0" w:firstLineChars="0"/>
              <w:rPr>
                <w:rFonts w:ascii="宋体" w:hAnsi="宋体"/>
                <w:color w:val="000000"/>
                <w:sz w:val="21"/>
                <w:szCs w:val="21"/>
              </w:rPr>
            </w:pPr>
          </w:p>
        </w:tc>
        <w:tc>
          <w:tcPr>
            <w:tcW w:w="1134"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rPr>
              <w:t>时效指标</w:t>
            </w:r>
          </w:p>
        </w:tc>
        <w:tc>
          <w:tcPr>
            <w:tcW w:w="2977"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资金拨付及时性</w:t>
            </w:r>
          </w:p>
        </w:tc>
        <w:tc>
          <w:tcPr>
            <w:tcW w:w="1369" w:type="dxa"/>
            <w:tcBorders>
              <w:top w:val="single" w:color="auto" w:sz="4" w:space="0"/>
              <w:left w:val="single" w:color="auto" w:sz="4" w:space="0"/>
              <w:bottom w:val="single" w:color="000000" w:sz="4" w:space="0"/>
              <w:right w:val="single" w:color="000000"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及时</w:t>
            </w:r>
          </w:p>
        </w:tc>
      </w:tr>
      <w:tr>
        <w:tblPrEx>
          <w:tblCellMar>
            <w:top w:w="15" w:type="dxa"/>
            <w:left w:w="108" w:type="dxa"/>
            <w:bottom w:w="15" w:type="dxa"/>
            <w:right w:w="108" w:type="dxa"/>
          </w:tblCellMar>
        </w:tblPrEx>
        <w:trPr>
          <w:trHeight w:val="324" w:hRule="atLeast"/>
          <w:jc w:val="center"/>
        </w:trPr>
        <w:tc>
          <w:tcPr>
            <w:tcW w:w="1149" w:type="dxa"/>
            <w:vMerge w:val="continue"/>
            <w:tcBorders>
              <w:left w:val="single" w:color="000000" w:sz="4" w:space="0"/>
              <w:right w:val="single" w:color="000000" w:sz="4" w:space="0"/>
            </w:tcBorders>
            <w:shd w:val="clear" w:color="auto" w:fill="auto"/>
          </w:tcPr>
          <w:p>
            <w:pPr>
              <w:spacing w:line="240" w:lineRule="auto"/>
              <w:ind w:firstLine="0" w:firstLineChars="0"/>
              <w:rPr>
                <w:rFonts w:ascii="宋体" w:hAnsi="宋体"/>
                <w:color w:val="000000"/>
                <w:sz w:val="21"/>
                <w:szCs w:val="21"/>
              </w:rPr>
            </w:pPr>
          </w:p>
        </w:tc>
        <w:tc>
          <w:tcPr>
            <w:tcW w:w="1134" w:type="dxa"/>
            <w:vMerge w:val="continue"/>
            <w:tcBorders>
              <w:left w:val="single" w:color="000000" w:sz="4" w:space="0"/>
              <w:right w:val="single" w:color="auto" w:sz="4" w:space="0"/>
            </w:tcBorders>
            <w:shd w:val="clear" w:color="auto" w:fill="auto"/>
          </w:tcPr>
          <w:p>
            <w:pPr>
              <w:ind w:firstLine="0" w:firstLineChars="0"/>
              <w:rPr>
                <w:rFonts w:ascii="宋体" w:hAnsi="宋体"/>
                <w:color w:val="000000"/>
                <w:sz w:val="21"/>
                <w:szCs w:val="21"/>
              </w:rPr>
            </w:pPr>
          </w:p>
        </w:tc>
        <w:tc>
          <w:tcPr>
            <w:tcW w:w="1134"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rPr>
              <w:t>质量指标</w:t>
            </w:r>
          </w:p>
        </w:tc>
        <w:tc>
          <w:tcPr>
            <w:tcW w:w="2977"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入驻企业的质量及拍摄影视作品的质量</w:t>
            </w:r>
          </w:p>
        </w:tc>
        <w:tc>
          <w:tcPr>
            <w:tcW w:w="1369" w:type="dxa"/>
            <w:tcBorders>
              <w:top w:val="single" w:color="auto" w:sz="4" w:space="0"/>
              <w:left w:val="single" w:color="auto" w:sz="4" w:space="0"/>
              <w:bottom w:val="single" w:color="000000" w:sz="4" w:space="0"/>
              <w:right w:val="single" w:color="000000" w:sz="4" w:space="0"/>
            </w:tcBorders>
            <w:shd w:val="clear" w:color="auto" w:fill="auto"/>
          </w:tcPr>
          <w:p>
            <w:pPr>
              <w:spacing w:line="240" w:lineRule="auto"/>
              <w:ind w:firstLine="0" w:firstLineChars="0"/>
              <w:jc w:val="center"/>
              <w:rPr>
                <w:rFonts w:hint="eastAsia" w:ascii="宋体" w:hAnsi="宋体" w:eastAsia="宋体"/>
                <w:color w:val="000000"/>
                <w:sz w:val="21"/>
                <w:szCs w:val="21"/>
                <w:lang w:eastAsia="zh-CN"/>
              </w:rPr>
            </w:pPr>
            <w:r>
              <w:rPr>
                <w:rFonts w:hint="eastAsia" w:ascii="宋体" w:hAnsi="宋体"/>
                <w:color w:val="000000"/>
                <w:sz w:val="21"/>
                <w:szCs w:val="21"/>
                <w:lang w:val="en-US" w:eastAsia="zh-CN"/>
              </w:rPr>
              <w:t>优质</w:t>
            </w:r>
          </w:p>
        </w:tc>
      </w:tr>
      <w:tr>
        <w:tblPrEx>
          <w:tblCellMar>
            <w:top w:w="15" w:type="dxa"/>
            <w:left w:w="108" w:type="dxa"/>
            <w:bottom w:w="15" w:type="dxa"/>
            <w:right w:w="108" w:type="dxa"/>
          </w:tblCellMar>
        </w:tblPrEx>
        <w:trPr>
          <w:trHeight w:val="244" w:hRule="atLeast"/>
          <w:jc w:val="center"/>
        </w:trPr>
        <w:tc>
          <w:tcPr>
            <w:tcW w:w="1149" w:type="dxa"/>
            <w:vMerge w:val="continue"/>
            <w:tcBorders>
              <w:left w:val="single" w:color="000000" w:sz="4" w:space="0"/>
              <w:right w:val="single" w:color="000000" w:sz="4" w:space="0"/>
            </w:tcBorders>
            <w:shd w:val="clear" w:color="auto" w:fill="auto"/>
          </w:tcPr>
          <w:p>
            <w:pPr>
              <w:spacing w:line="240" w:lineRule="auto"/>
              <w:ind w:firstLine="0" w:firstLineChars="0"/>
              <w:rPr>
                <w:rFonts w:ascii="宋体" w:hAnsi="宋体"/>
                <w:color w:val="000000"/>
                <w:sz w:val="21"/>
                <w:szCs w:val="21"/>
              </w:rPr>
            </w:pPr>
          </w:p>
        </w:tc>
        <w:tc>
          <w:tcPr>
            <w:tcW w:w="1134" w:type="dxa"/>
            <w:vMerge w:val="continue"/>
            <w:tcBorders>
              <w:left w:val="single" w:color="000000" w:sz="4" w:space="0"/>
              <w:right w:val="single" w:color="auto" w:sz="4" w:space="0"/>
            </w:tcBorders>
            <w:shd w:val="clear" w:color="auto" w:fill="auto"/>
          </w:tcPr>
          <w:p>
            <w:pPr>
              <w:ind w:firstLine="0" w:firstLineChars="0"/>
              <w:rPr>
                <w:rFonts w:ascii="宋体" w:hAnsi="宋体"/>
                <w:color w:val="000000"/>
                <w:sz w:val="21"/>
                <w:szCs w:val="21"/>
              </w:rPr>
            </w:pPr>
          </w:p>
        </w:tc>
        <w:tc>
          <w:tcPr>
            <w:tcW w:w="1134"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rPr>
              <w:t>质量指标</w:t>
            </w:r>
          </w:p>
        </w:tc>
        <w:tc>
          <w:tcPr>
            <w:tcW w:w="2977"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入驻企业正常运营率</w:t>
            </w:r>
          </w:p>
        </w:tc>
        <w:tc>
          <w:tcPr>
            <w:tcW w:w="1369" w:type="dxa"/>
            <w:tcBorders>
              <w:top w:val="single" w:color="auto" w:sz="4" w:space="0"/>
              <w:left w:val="single" w:color="auto" w:sz="4" w:space="0"/>
              <w:bottom w:val="single" w:color="000000" w:sz="4" w:space="0"/>
              <w:right w:val="single" w:color="000000"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90%</w:t>
            </w:r>
          </w:p>
        </w:tc>
      </w:tr>
      <w:tr>
        <w:tblPrEx>
          <w:tblCellMar>
            <w:top w:w="15" w:type="dxa"/>
            <w:left w:w="108" w:type="dxa"/>
            <w:bottom w:w="15" w:type="dxa"/>
            <w:right w:w="108" w:type="dxa"/>
          </w:tblCellMar>
        </w:tblPrEx>
        <w:trPr>
          <w:trHeight w:val="300" w:hRule="atLeast"/>
          <w:jc w:val="center"/>
        </w:trPr>
        <w:tc>
          <w:tcPr>
            <w:tcW w:w="1149" w:type="dxa"/>
            <w:vMerge w:val="restart"/>
            <w:tcBorders>
              <w:top w:val="single" w:color="auto" w:sz="4" w:space="0"/>
              <w:left w:val="single" w:color="000000" w:sz="4" w:space="0"/>
              <w:right w:val="single" w:color="000000" w:sz="4" w:space="0"/>
            </w:tcBorders>
            <w:shd w:val="clear" w:color="auto" w:fill="auto"/>
          </w:tcPr>
          <w:p>
            <w:pPr>
              <w:spacing w:line="240" w:lineRule="auto"/>
              <w:ind w:firstLine="0" w:firstLineChars="0"/>
              <w:rPr>
                <w:rFonts w:ascii="宋体" w:hAnsi="宋体"/>
                <w:color w:val="000000"/>
                <w:sz w:val="21"/>
                <w:szCs w:val="21"/>
              </w:rPr>
            </w:pPr>
          </w:p>
          <w:p>
            <w:pPr>
              <w:spacing w:line="240" w:lineRule="auto"/>
              <w:ind w:firstLine="0" w:firstLineChars="0"/>
              <w:rPr>
                <w:rFonts w:ascii="宋体" w:hAnsi="宋体"/>
                <w:color w:val="000000"/>
                <w:sz w:val="21"/>
                <w:szCs w:val="21"/>
              </w:rPr>
            </w:pPr>
            <w:r>
              <w:rPr>
                <w:rFonts w:hint="eastAsia" w:ascii="宋体" w:hAnsi="宋体"/>
                <w:color w:val="000000"/>
                <w:sz w:val="21"/>
                <w:szCs w:val="21"/>
              </w:rPr>
              <w:t>效  果</w:t>
            </w:r>
          </w:p>
        </w:tc>
        <w:tc>
          <w:tcPr>
            <w:tcW w:w="1134" w:type="dxa"/>
            <w:tcBorders>
              <w:top w:val="single" w:color="auto" w:sz="4" w:space="0"/>
              <w:left w:val="single" w:color="000000" w:sz="4" w:space="0"/>
              <w:bottom w:val="single" w:color="000000" w:sz="4" w:space="0"/>
              <w:right w:val="single" w:color="auto"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rPr>
              <w:t>项目效益</w:t>
            </w:r>
          </w:p>
        </w:tc>
        <w:tc>
          <w:tcPr>
            <w:tcW w:w="1134"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lang w:val="en-US" w:eastAsia="zh-CN"/>
              </w:rPr>
              <w:t>经济</w:t>
            </w:r>
            <w:r>
              <w:rPr>
                <w:rFonts w:hint="eastAsia" w:ascii="宋体" w:hAnsi="宋体"/>
                <w:color w:val="000000"/>
                <w:sz w:val="21"/>
                <w:szCs w:val="21"/>
              </w:rPr>
              <w:t>效益</w:t>
            </w:r>
          </w:p>
        </w:tc>
        <w:tc>
          <w:tcPr>
            <w:tcW w:w="2977"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促进影视文化产业发展，拉动文化产业GDP增长</w:t>
            </w:r>
          </w:p>
        </w:tc>
        <w:tc>
          <w:tcPr>
            <w:tcW w:w="1369" w:type="dxa"/>
            <w:tcBorders>
              <w:top w:val="single" w:color="auto" w:sz="4" w:space="0"/>
              <w:left w:val="single" w:color="auto" w:sz="4" w:space="0"/>
              <w:bottom w:val="single" w:color="000000" w:sz="4" w:space="0"/>
              <w:right w:val="single" w:color="000000" w:sz="4" w:space="0"/>
            </w:tcBorders>
            <w:shd w:val="clear" w:color="auto" w:fill="auto"/>
          </w:tcPr>
          <w:p>
            <w:pPr>
              <w:spacing w:line="240" w:lineRule="auto"/>
              <w:ind w:firstLine="0" w:firstLineChars="0"/>
              <w:jc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增长</w:t>
            </w:r>
          </w:p>
        </w:tc>
      </w:tr>
      <w:tr>
        <w:tblPrEx>
          <w:tblCellMar>
            <w:top w:w="15" w:type="dxa"/>
            <w:left w:w="108" w:type="dxa"/>
            <w:bottom w:w="15" w:type="dxa"/>
            <w:right w:w="108" w:type="dxa"/>
          </w:tblCellMar>
        </w:tblPrEx>
        <w:trPr>
          <w:trHeight w:val="316" w:hRule="atLeast"/>
          <w:jc w:val="center"/>
        </w:trPr>
        <w:tc>
          <w:tcPr>
            <w:tcW w:w="1149" w:type="dxa"/>
            <w:vMerge w:val="continue"/>
            <w:tcBorders>
              <w:left w:val="single" w:color="000000" w:sz="4" w:space="0"/>
              <w:right w:val="single" w:color="000000" w:sz="4" w:space="0"/>
            </w:tcBorders>
            <w:shd w:val="clear" w:color="auto" w:fill="auto"/>
          </w:tcPr>
          <w:p>
            <w:pPr>
              <w:spacing w:line="240" w:lineRule="auto"/>
              <w:ind w:firstLine="0" w:firstLineChars="0"/>
              <w:rPr>
                <w:rFonts w:ascii="宋体" w:hAnsi="宋体"/>
                <w:color w:val="000000"/>
                <w:sz w:val="21"/>
                <w:szCs w:val="21"/>
              </w:rPr>
            </w:pPr>
          </w:p>
        </w:tc>
        <w:tc>
          <w:tcPr>
            <w:tcW w:w="1134" w:type="dxa"/>
            <w:tcBorders>
              <w:top w:val="single" w:color="auto" w:sz="4" w:space="0"/>
              <w:left w:val="single" w:color="000000" w:sz="4" w:space="0"/>
              <w:bottom w:val="single" w:color="000000" w:sz="4" w:space="0"/>
              <w:right w:val="single" w:color="auto" w:sz="4" w:space="0"/>
            </w:tcBorders>
            <w:shd w:val="clear" w:color="auto" w:fill="auto"/>
          </w:tcPr>
          <w:p>
            <w:pPr>
              <w:widowControl/>
              <w:spacing w:line="240" w:lineRule="auto"/>
              <w:ind w:firstLine="0" w:firstLineChars="0"/>
              <w:rPr>
                <w:rFonts w:ascii="宋体" w:hAnsi="宋体"/>
                <w:color w:val="000000"/>
                <w:sz w:val="21"/>
                <w:szCs w:val="21"/>
              </w:rPr>
            </w:pPr>
            <w:r>
              <w:rPr>
                <w:rFonts w:hint="eastAsia" w:ascii="宋体" w:hAnsi="宋体"/>
                <w:color w:val="000000"/>
                <w:sz w:val="21"/>
                <w:szCs w:val="21"/>
              </w:rPr>
              <w:t>项目效益</w:t>
            </w:r>
          </w:p>
        </w:tc>
        <w:tc>
          <w:tcPr>
            <w:tcW w:w="1134" w:type="dxa"/>
            <w:tcBorders>
              <w:top w:val="single" w:color="auto" w:sz="4" w:space="0"/>
              <w:left w:val="single" w:color="auto" w:sz="4" w:space="0"/>
              <w:bottom w:val="single" w:color="000000" w:sz="4" w:space="0"/>
              <w:right w:val="single" w:color="auto" w:sz="4" w:space="0"/>
            </w:tcBorders>
            <w:shd w:val="clear" w:color="auto" w:fill="auto"/>
          </w:tcPr>
          <w:p>
            <w:pPr>
              <w:widowControl/>
              <w:spacing w:line="240" w:lineRule="auto"/>
              <w:ind w:firstLine="0" w:firstLineChars="0"/>
              <w:rPr>
                <w:rFonts w:ascii="宋体" w:hAnsi="宋体"/>
                <w:color w:val="000000"/>
                <w:sz w:val="21"/>
                <w:szCs w:val="21"/>
              </w:rPr>
            </w:pPr>
            <w:r>
              <w:rPr>
                <w:rFonts w:hint="eastAsia" w:ascii="宋体" w:hAnsi="宋体"/>
                <w:color w:val="000000"/>
                <w:sz w:val="21"/>
                <w:szCs w:val="21"/>
                <w:lang w:val="en-US" w:eastAsia="zh-CN"/>
              </w:rPr>
              <w:t>社会</w:t>
            </w:r>
            <w:r>
              <w:rPr>
                <w:rFonts w:hint="eastAsia" w:ascii="宋体" w:hAnsi="宋体"/>
                <w:color w:val="000000"/>
                <w:sz w:val="21"/>
                <w:szCs w:val="21"/>
              </w:rPr>
              <w:t>效益</w:t>
            </w:r>
          </w:p>
        </w:tc>
        <w:tc>
          <w:tcPr>
            <w:tcW w:w="2977" w:type="dxa"/>
            <w:tcBorders>
              <w:top w:val="single" w:color="auto" w:sz="4" w:space="0"/>
              <w:left w:val="single" w:color="auto" w:sz="4" w:space="0"/>
              <w:bottom w:val="single" w:color="000000" w:sz="4" w:space="0"/>
              <w:right w:val="single" w:color="auto" w:sz="4" w:space="0"/>
            </w:tcBorders>
            <w:shd w:val="clear" w:color="auto" w:fill="auto"/>
          </w:tcPr>
          <w:p>
            <w:pPr>
              <w:widowControl/>
              <w:spacing w:line="240" w:lineRule="auto"/>
              <w:ind w:firstLine="0" w:firstLineChars="0"/>
              <w:jc w:val="center"/>
              <w:rPr>
                <w:rFonts w:ascii="宋体" w:hAnsi="宋体"/>
                <w:color w:val="000000"/>
                <w:sz w:val="21"/>
                <w:szCs w:val="21"/>
              </w:rPr>
            </w:pPr>
            <w:r>
              <w:rPr>
                <w:rFonts w:hint="eastAsia" w:ascii="宋体" w:hAnsi="宋体"/>
                <w:color w:val="000000"/>
                <w:sz w:val="21"/>
                <w:szCs w:val="21"/>
              </w:rPr>
              <w:t>带动周边的旅游景区、餐饮、宾馆酒店等经济发展</w:t>
            </w:r>
          </w:p>
        </w:tc>
        <w:tc>
          <w:tcPr>
            <w:tcW w:w="1369" w:type="dxa"/>
            <w:tcBorders>
              <w:top w:val="single" w:color="auto" w:sz="4" w:space="0"/>
              <w:left w:val="single" w:color="auto" w:sz="4" w:space="0"/>
              <w:bottom w:val="single" w:color="000000" w:sz="4" w:space="0"/>
              <w:right w:val="single" w:color="000000" w:sz="4" w:space="0"/>
            </w:tcBorders>
            <w:shd w:val="clear" w:color="auto" w:fill="auto"/>
          </w:tcPr>
          <w:p>
            <w:pPr>
              <w:spacing w:line="240" w:lineRule="auto"/>
              <w:ind w:firstLine="0" w:firstLineChars="0"/>
              <w:jc w:val="center"/>
              <w:rPr>
                <w:rFonts w:hint="eastAsia" w:ascii="宋体" w:hAnsi="宋体" w:eastAsia="宋体"/>
                <w:color w:val="000000"/>
                <w:sz w:val="21"/>
                <w:szCs w:val="21"/>
                <w:lang w:eastAsia="zh-CN"/>
              </w:rPr>
            </w:pPr>
            <w:r>
              <w:rPr>
                <w:rFonts w:hint="eastAsia" w:ascii="宋体" w:hAnsi="宋体"/>
                <w:color w:val="000000"/>
                <w:sz w:val="21"/>
                <w:szCs w:val="21"/>
                <w:lang w:val="en-US" w:eastAsia="zh-CN"/>
              </w:rPr>
              <w:t>带动</w:t>
            </w:r>
          </w:p>
        </w:tc>
      </w:tr>
      <w:tr>
        <w:tblPrEx>
          <w:tblCellMar>
            <w:top w:w="15" w:type="dxa"/>
            <w:left w:w="108" w:type="dxa"/>
            <w:bottom w:w="15" w:type="dxa"/>
            <w:right w:w="108" w:type="dxa"/>
          </w:tblCellMar>
        </w:tblPrEx>
        <w:trPr>
          <w:trHeight w:val="250" w:hRule="atLeast"/>
          <w:jc w:val="center"/>
        </w:trPr>
        <w:tc>
          <w:tcPr>
            <w:tcW w:w="1149" w:type="dxa"/>
            <w:vMerge w:val="continue"/>
            <w:tcBorders>
              <w:left w:val="single" w:color="000000" w:sz="4" w:space="0"/>
              <w:bottom w:val="single" w:color="000000" w:sz="4" w:space="0"/>
              <w:right w:val="single" w:color="000000" w:sz="4" w:space="0"/>
            </w:tcBorders>
            <w:shd w:val="clear" w:color="auto" w:fill="auto"/>
          </w:tcPr>
          <w:p>
            <w:pPr>
              <w:spacing w:line="240" w:lineRule="auto"/>
              <w:ind w:firstLine="0" w:firstLineChars="0"/>
              <w:rPr>
                <w:rFonts w:ascii="宋体" w:hAnsi="宋体"/>
                <w:color w:val="000000"/>
                <w:sz w:val="21"/>
                <w:szCs w:val="21"/>
              </w:rPr>
            </w:pPr>
          </w:p>
        </w:tc>
        <w:tc>
          <w:tcPr>
            <w:tcW w:w="1134" w:type="dxa"/>
            <w:tcBorders>
              <w:top w:val="single" w:color="auto" w:sz="4" w:space="0"/>
              <w:left w:val="single" w:color="000000" w:sz="4" w:space="0"/>
              <w:bottom w:val="single" w:color="000000" w:sz="4" w:space="0"/>
              <w:right w:val="single" w:color="auto"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rPr>
              <w:t>项目效益</w:t>
            </w:r>
          </w:p>
        </w:tc>
        <w:tc>
          <w:tcPr>
            <w:tcW w:w="1134"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rPr>
              <w:t>满意度</w:t>
            </w:r>
          </w:p>
        </w:tc>
        <w:tc>
          <w:tcPr>
            <w:tcW w:w="2977" w:type="dxa"/>
            <w:tcBorders>
              <w:top w:val="single" w:color="auto" w:sz="4" w:space="0"/>
              <w:left w:val="single" w:color="auto" w:sz="4" w:space="0"/>
              <w:bottom w:val="single" w:color="000000" w:sz="4" w:space="0"/>
              <w:right w:val="single" w:color="auto"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招商入驻企业满意度满意度</w:t>
            </w:r>
          </w:p>
        </w:tc>
        <w:tc>
          <w:tcPr>
            <w:tcW w:w="1369" w:type="dxa"/>
            <w:tcBorders>
              <w:top w:val="single" w:color="auto" w:sz="4" w:space="0"/>
              <w:left w:val="single" w:color="auto" w:sz="4" w:space="0"/>
              <w:bottom w:val="single" w:color="000000" w:sz="4" w:space="0"/>
              <w:right w:val="single" w:color="000000"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90%</w:t>
            </w:r>
          </w:p>
        </w:tc>
      </w:tr>
      <w:tr>
        <w:tblPrEx>
          <w:tblCellMar>
            <w:top w:w="15" w:type="dxa"/>
            <w:left w:w="108" w:type="dxa"/>
            <w:bottom w:w="15" w:type="dxa"/>
            <w:right w:w="108" w:type="dxa"/>
          </w:tblCellMar>
        </w:tblPrEx>
        <w:trPr>
          <w:trHeight w:val="312"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ind w:firstLine="0" w:firstLineChars="0"/>
              <w:rPr>
                <w:rFonts w:ascii="宋体" w:hAnsi="宋体"/>
                <w:color w:val="000000"/>
                <w:sz w:val="21"/>
                <w:szCs w:val="21"/>
              </w:rPr>
            </w:pPr>
            <w:r>
              <w:rPr>
                <w:rFonts w:hint="eastAsia" w:ascii="宋体" w:hAnsi="宋体"/>
                <w:color w:val="000000"/>
                <w:sz w:val="21"/>
                <w:szCs w:val="21"/>
              </w:rPr>
              <w:t>其他说明</w:t>
            </w:r>
          </w:p>
        </w:tc>
        <w:tc>
          <w:tcPr>
            <w:tcW w:w="6614"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ind w:firstLine="0" w:firstLineChars="0"/>
              <w:jc w:val="center"/>
              <w:rPr>
                <w:rFonts w:ascii="宋体" w:hAnsi="宋体"/>
                <w:color w:val="000000"/>
                <w:sz w:val="21"/>
                <w:szCs w:val="21"/>
              </w:rPr>
            </w:pPr>
            <w:r>
              <w:rPr>
                <w:rFonts w:hint="eastAsia" w:ascii="宋体" w:hAnsi="宋体"/>
                <w:color w:val="000000"/>
                <w:sz w:val="21"/>
                <w:szCs w:val="21"/>
              </w:rPr>
              <w:t>无</w:t>
            </w:r>
          </w:p>
        </w:tc>
      </w:tr>
    </w:tbl>
    <w:p>
      <w:pPr>
        <w:pStyle w:val="2"/>
        <w:ind w:firstLine="600"/>
      </w:pPr>
      <w:bookmarkStart w:id="5" w:name="_Toc48120201"/>
      <w:r>
        <w:rPr>
          <w:rFonts w:hint="eastAsia"/>
        </w:rPr>
        <w:t>二、绩效评价工作开展情况</w:t>
      </w:r>
      <w:bookmarkEnd w:id="5"/>
    </w:p>
    <w:p>
      <w:pPr>
        <w:pStyle w:val="3"/>
        <w:ind w:firstLine="562"/>
      </w:pPr>
      <w:bookmarkStart w:id="6" w:name="_Toc48120202"/>
      <w:r>
        <w:rPr>
          <w:rFonts w:hint="eastAsia"/>
        </w:rPr>
        <w:t>（一）绩效评价目的、对象和范围</w:t>
      </w:r>
      <w:bookmarkEnd w:id="6"/>
    </w:p>
    <w:p>
      <w:pPr>
        <w:pStyle w:val="4"/>
        <w:ind w:firstLine="562"/>
      </w:pPr>
      <w:r>
        <w:rPr>
          <w:rFonts w:hint="eastAsia"/>
        </w:rPr>
        <w:t>1</w:t>
      </w:r>
      <w:r>
        <w:t>.</w:t>
      </w:r>
      <w:r>
        <w:rPr>
          <w:rFonts w:hint="eastAsia"/>
        </w:rPr>
        <w:t>绩效评价目的</w:t>
      </w:r>
    </w:p>
    <w:p>
      <w:pPr>
        <w:ind w:firstLine="540"/>
      </w:pPr>
      <w:r>
        <w:rPr>
          <w:rFonts w:hint="eastAsia"/>
        </w:rPr>
        <w:t>随着财政管理改革的不断深化，预算管理制度持续完善， 2018年9月出台了《中共中央国务院关于全面实施预算绩效管理的意见》（中发</w:t>
      </w:r>
      <w:r>
        <w:rPr>
          <w:rFonts w:hint="eastAsia" w:ascii="宋体" w:hAnsi="宋体" w:eastAsia="宋体" w:cs="宋体"/>
          <w:lang w:val="en-US" w:eastAsia="zh-CN"/>
        </w:rPr>
        <w:t>〔</w:t>
      </w:r>
      <w:r>
        <w:rPr>
          <w:rFonts w:hint="eastAsia" w:ascii="宋体" w:hAnsi="宋体" w:cs="宋体"/>
          <w:lang w:val="en-US" w:eastAsia="zh-CN"/>
        </w:rPr>
        <w:t>2018</w:t>
      </w:r>
      <w:r>
        <w:rPr>
          <w:rFonts w:hint="eastAsia" w:ascii="宋体" w:hAnsi="宋体" w:eastAsia="宋体" w:cs="宋体"/>
          <w:lang w:val="en-US" w:eastAsia="zh-CN"/>
        </w:rPr>
        <w:t>〕</w:t>
      </w:r>
      <w:r>
        <w:rPr>
          <w:rFonts w:hint="eastAsia"/>
        </w:rPr>
        <w:t>34号），文件明确：力争用3－5年时间基本建成全方位、全过程、全覆盖的预算绩效管理体系，实现预算和绩效管理一体化，提高预算管理水平和政策实施效果，为经济社会发展提供有力保障。</w:t>
      </w:r>
    </w:p>
    <w:p>
      <w:pPr>
        <w:ind w:firstLine="540"/>
      </w:pPr>
      <w:r>
        <w:rPr>
          <w:rFonts w:hint="eastAsia"/>
        </w:rPr>
        <w:t>绩效评价的目的是为体现项目单位使用财政资金的产出和效果，包括决策、管理和绩效等内容。重点围绕绩效目标的设立和实现情况，评价财政资金的使用管理情况、决策和组织管理情况，分析评价绩效实现的经济性、效率性和效益性，并对下一年度财政预算项目实施的必要性、可行性、绩效目标设置的科学性、财政支持的方式和项目预算的合理性等方面进行评估。</w:t>
      </w:r>
    </w:p>
    <w:p>
      <w:pPr>
        <w:ind w:firstLine="540"/>
        <w:rPr>
          <w:b/>
          <w:bCs/>
        </w:rPr>
      </w:pPr>
      <w:r>
        <w:rPr>
          <w:rFonts w:hint="eastAsia"/>
        </w:rPr>
        <w:t>为深入贯彻落实党的十九大“全面实施绩效管理”决策部署，加快构建全方位、全过程、全覆盖的预算绩效管理体系，提高财政资金使用效益，切实各主管部门以及资金使用单位的支出责任和效率意识，组织此次绩效评价。</w:t>
      </w:r>
    </w:p>
    <w:p>
      <w:pPr>
        <w:pStyle w:val="4"/>
        <w:ind w:firstLine="562"/>
      </w:pPr>
      <w:r>
        <w:t>2.</w:t>
      </w:r>
      <w:r>
        <w:rPr>
          <w:rFonts w:hint="eastAsia"/>
        </w:rPr>
        <w:t>绩效评价对象</w:t>
      </w:r>
    </w:p>
    <w:p>
      <w:pPr>
        <w:ind w:firstLine="540"/>
        <w:rPr>
          <w:b/>
          <w:bCs/>
        </w:rPr>
      </w:pPr>
      <w:r>
        <w:rPr>
          <w:rFonts w:hint="eastAsia"/>
        </w:rPr>
        <w:t>根据</w:t>
      </w:r>
      <w:r>
        <w:rPr>
          <w:rFonts w:hint="eastAsia" w:ascii="宋体" w:hAnsi="宋体" w:cs="宋体"/>
        </w:rPr>
        <w:t>《</w:t>
      </w:r>
      <w:r>
        <w:rPr>
          <w:rFonts w:hint="eastAsia"/>
        </w:rPr>
        <w:t>项目支出绩效评价管理办法</w:t>
      </w:r>
      <w:r>
        <w:rPr>
          <w:rFonts w:hint="eastAsia" w:ascii="宋体" w:hAnsi="宋体" w:cs="宋体"/>
        </w:rPr>
        <w:t>》</w:t>
      </w:r>
      <w:r>
        <w:rPr>
          <w:rFonts w:hint="eastAsia"/>
        </w:rPr>
        <w:t>（财预〔2020〕1</w:t>
      </w:r>
      <w:r>
        <w:t>0</w:t>
      </w:r>
      <w:r>
        <w:rPr>
          <w:rFonts w:hint="eastAsia"/>
        </w:rPr>
        <w:t>号）及淄博市临淄区财政局有关绩效评价的文件要求，本次绩效评价对象为淄博市临淄区</w:t>
      </w:r>
      <w:r>
        <w:rPr>
          <w:rFonts w:hint="eastAsia"/>
          <w:lang w:val="en-US" w:eastAsia="zh-CN"/>
        </w:rPr>
        <w:t>文旅</w:t>
      </w:r>
      <w:r>
        <w:rPr>
          <w:rFonts w:hint="eastAsia"/>
        </w:rPr>
        <w:t>局组织实施的</w:t>
      </w:r>
      <w:r>
        <w:rPr>
          <w:rFonts w:hint="eastAsia"/>
          <w:lang w:eastAsia="zh-CN"/>
        </w:rPr>
        <w:t>影视文化产业发展扶持资金</w:t>
      </w:r>
      <w:r>
        <w:rPr>
          <w:rFonts w:hint="eastAsia"/>
        </w:rPr>
        <w:t>。</w:t>
      </w:r>
    </w:p>
    <w:p>
      <w:pPr>
        <w:pStyle w:val="4"/>
        <w:ind w:firstLine="562"/>
      </w:pPr>
      <w:bookmarkStart w:id="7" w:name="_Toc318"/>
      <w:r>
        <w:rPr>
          <w:rFonts w:hint="eastAsia"/>
        </w:rPr>
        <w:t>3.绩效评价范围</w:t>
      </w:r>
      <w:bookmarkEnd w:id="7"/>
    </w:p>
    <w:p>
      <w:pPr>
        <w:ind w:firstLine="540"/>
        <w:rPr>
          <w:b/>
          <w:bCs/>
        </w:rPr>
      </w:pPr>
      <w:bookmarkStart w:id="8" w:name="_Toc24884"/>
      <w:r>
        <w:rPr>
          <w:rFonts w:hint="eastAsia"/>
        </w:rPr>
        <w:t>本次绩效评价范围为</w:t>
      </w:r>
      <w:r>
        <w:rPr>
          <w:rFonts w:hint="eastAsia"/>
          <w:lang w:eastAsia="zh-CN"/>
        </w:rPr>
        <w:t>影视文化产业发展扶持资金</w:t>
      </w:r>
      <w:r>
        <w:rPr>
          <w:rFonts w:hint="eastAsia"/>
        </w:rPr>
        <w:t>，项目单位为淄博市临淄区</w:t>
      </w:r>
      <w:r>
        <w:rPr>
          <w:rFonts w:hint="eastAsia"/>
          <w:lang w:val="en-US" w:eastAsia="zh-CN"/>
        </w:rPr>
        <w:t>文旅局</w:t>
      </w:r>
      <w:r>
        <w:rPr>
          <w:rFonts w:hint="eastAsia"/>
        </w:rPr>
        <w:t>，金额</w:t>
      </w:r>
      <w:r>
        <w:rPr>
          <w:rFonts w:hint="eastAsia"/>
          <w:lang w:val="en-US" w:eastAsia="zh-CN"/>
        </w:rPr>
        <w:t>1000</w:t>
      </w:r>
      <w:r>
        <w:rPr>
          <w:rFonts w:hint="eastAsia"/>
        </w:rPr>
        <w:t>万元。</w:t>
      </w:r>
      <w:bookmarkEnd w:id="8"/>
    </w:p>
    <w:p>
      <w:pPr>
        <w:pStyle w:val="4"/>
        <w:ind w:firstLine="562"/>
      </w:pPr>
      <w:bookmarkStart w:id="9" w:name="_Toc10436"/>
      <w:r>
        <w:rPr>
          <w:rFonts w:hint="eastAsia"/>
        </w:rPr>
        <w:t>4.绩效评价依据</w:t>
      </w:r>
      <w:bookmarkEnd w:id="9"/>
    </w:p>
    <w:p>
      <w:pPr>
        <w:ind w:firstLine="540"/>
      </w:pPr>
      <w:r>
        <w:rPr>
          <w:rFonts w:hint="eastAsia"/>
        </w:rPr>
        <w:t>（1）《中华人民共和国预算法》</w:t>
      </w:r>
    </w:p>
    <w:p>
      <w:pPr>
        <w:ind w:firstLine="540"/>
      </w:pPr>
      <w:r>
        <w:rPr>
          <w:rFonts w:hint="eastAsia"/>
        </w:rPr>
        <w:t>（2）《中共中央国务院关于全面实施预算绩效管理的意见》</w:t>
      </w:r>
    </w:p>
    <w:p>
      <w:pPr>
        <w:ind w:firstLine="540"/>
      </w:pPr>
      <w:r>
        <w:rPr>
          <w:rFonts w:hint="eastAsia"/>
        </w:rPr>
        <w:t>（3）财政部《项目支出绩效评价管理办法》（财预〔2020〕1</w:t>
      </w:r>
      <w:r>
        <w:t>0</w:t>
      </w:r>
      <w:r>
        <w:rPr>
          <w:rFonts w:hint="eastAsia"/>
        </w:rPr>
        <w:t>号）</w:t>
      </w:r>
    </w:p>
    <w:p>
      <w:pPr>
        <w:ind w:firstLine="540"/>
      </w:pPr>
      <w:r>
        <w:rPr>
          <w:rFonts w:hint="eastAsia"/>
        </w:rPr>
        <w:t>（</w:t>
      </w:r>
      <w:r>
        <w:t>4</w:t>
      </w:r>
      <w:r>
        <w:rPr>
          <w:rFonts w:hint="eastAsia"/>
        </w:rPr>
        <w:t>）山东省财政厅关于印发《关于印发山东省省级预算支出项目第三方绩效评价工作规程（试行）》的通知（鲁财绩〔2018〕7号）</w:t>
      </w:r>
    </w:p>
    <w:p>
      <w:pPr>
        <w:ind w:firstLine="540"/>
      </w:pPr>
      <w:r>
        <w:rPr>
          <w:rFonts w:hint="eastAsia"/>
        </w:rPr>
        <w:t>（</w:t>
      </w:r>
      <w:r>
        <w:t>5</w:t>
      </w:r>
      <w:r>
        <w:rPr>
          <w:rFonts w:hint="eastAsia"/>
        </w:rPr>
        <w:t>）其他相关规定</w:t>
      </w:r>
    </w:p>
    <w:p>
      <w:pPr>
        <w:pStyle w:val="3"/>
        <w:ind w:firstLine="562"/>
        <w:rPr>
          <w:rFonts w:cs="Times New Roman"/>
        </w:rPr>
      </w:pPr>
      <w:bookmarkStart w:id="10" w:name="_Toc5483"/>
      <w:bookmarkStart w:id="11" w:name="_Toc48120203"/>
      <w:r>
        <w:rPr>
          <w:rFonts w:hint="eastAsia"/>
        </w:rPr>
        <w:t>（二）绩效评价原则、评价指标体系</w:t>
      </w:r>
      <w:bookmarkEnd w:id="10"/>
      <w:bookmarkEnd w:id="11"/>
    </w:p>
    <w:p>
      <w:pPr>
        <w:pStyle w:val="4"/>
        <w:ind w:firstLine="562"/>
      </w:pPr>
      <w:r>
        <w:rPr>
          <w:rFonts w:hint="eastAsia"/>
        </w:rPr>
        <w:t>1.绩效评价原则</w:t>
      </w:r>
    </w:p>
    <w:p>
      <w:pPr>
        <w:ind w:firstLine="540"/>
      </w:pPr>
      <w:r>
        <w:rPr>
          <w:rFonts w:hint="eastAsia"/>
        </w:rPr>
        <w:t>绩效评价遵循以下原则：</w:t>
      </w:r>
      <w:bookmarkStart w:id="12" w:name="_Toc5544"/>
    </w:p>
    <w:p>
      <w:pPr>
        <w:ind w:firstLine="540"/>
      </w:pPr>
      <w:r>
        <w:rPr>
          <w:rFonts w:hint="eastAsia"/>
        </w:rPr>
        <w:t>（1）科学规范原则</w:t>
      </w:r>
      <w:bookmarkEnd w:id="12"/>
    </w:p>
    <w:p>
      <w:pPr>
        <w:ind w:firstLine="540"/>
      </w:pPr>
      <w:r>
        <w:rPr>
          <w:rFonts w:hint="eastAsia"/>
        </w:rPr>
        <w:t>绩效评价严格执行规定的程序，按照科学可行的要求，采用定量与定性相结合的方式进行。</w:t>
      </w:r>
      <w:bookmarkStart w:id="13" w:name="_Toc20051"/>
    </w:p>
    <w:p>
      <w:pPr>
        <w:ind w:firstLine="540"/>
      </w:pPr>
      <w:r>
        <w:rPr>
          <w:rFonts w:hint="eastAsia"/>
        </w:rPr>
        <w:t>（2）公正公开原则</w:t>
      </w:r>
      <w:bookmarkEnd w:id="13"/>
    </w:p>
    <w:p>
      <w:pPr>
        <w:ind w:firstLine="540"/>
      </w:pPr>
      <w:r>
        <w:rPr>
          <w:rFonts w:hint="eastAsia"/>
        </w:rPr>
        <w:t>绩效评价应符合真实、客观、公正的要求，依法公开并接受社会监督。</w:t>
      </w:r>
      <w:bookmarkStart w:id="14" w:name="_Toc16429"/>
    </w:p>
    <w:p>
      <w:pPr>
        <w:ind w:firstLine="540"/>
      </w:pPr>
      <w:r>
        <w:rPr>
          <w:rFonts w:hint="eastAsia"/>
        </w:rPr>
        <w:t>（3）分级分类原则</w:t>
      </w:r>
      <w:bookmarkEnd w:id="14"/>
    </w:p>
    <w:p>
      <w:pPr>
        <w:ind w:firstLine="540"/>
      </w:pPr>
      <w:r>
        <w:rPr>
          <w:rFonts w:hint="eastAsia"/>
        </w:rPr>
        <w:t>绩效评价由省财政厅、各省级预算部门根据评价对象的特点分类组织实施。</w:t>
      </w:r>
      <w:bookmarkStart w:id="15" w:name="_Toc6461"/>
    </w:p>
    <w:p>
      <w:pPr>
        <w:ind w:firstLine="540"/>
      </w:pPr>
      <w:r>
        <w:rPr>
          <w:rFonts w:hint="eastAsia"/>
        </w:rPr>
        <w:t>（4）绩效相关原则</w:t>
      </w:r>
      <w:bookmarkEnd w:id="15"/>
    </w:p>
    <w:p>
      <w:pPr>
        <w:ind w:firstLine="540"/>
      </w:pPr>
      <w:r>
        <w:rPr>
          <w:rFonts w:hint="eastAsia"/>
        </w:rPr>
        <w:t>绩效评价应针对具体支出及其产出绩效进行，评价结果应清晰反映支出与产出绩效之间的对应关系。</w:t>
      </w:r>
    </w:p>
    <w:p>
      <w:pPr>
        <w:pStyle w:val="4"/>
        <w:ind w:firstLine="562"/>
      </w:pPr>
      <w:bookmarkStart w:id="16" w:name="_Toc22624"/>
      <w:r>
        <w:t>2</w:t>
      </w:r>
      <w:r>
        <w:rPr>
          <w:rFonts w:hint="eastAsia"/>
        </w:rPr>
        <w:t>.绩效评价指标体系</w:t>
      </w:r>
      <w:bookmarkEnd w:id="16"/>
    </w:p>
    <w:p>
      <w:pPr>
        <w:ind w:firstLine="540"/>
      </w:pPr>
      <w:r>
        <w:rPr>
          <w:rFonts w:hint="eastAsia"/>
        </w:rPr>
        <w:t>本公司评价工作小组将与项目相关单位充分沟通，考虑完整性、重要性、相关性、可比性、可行性、经济性和有效性等因素，科学设置绩效评价指标，合理分配指标权重，明确评价标准，充分体现和客观反映项目绩效状况。不同投向或不同类型的项目应分别设置个性指标。将根据指标文件、绩效目标、资金用途等分别编制个性指标体系。</w:t>
      </w:r>
    </w:p>
    <w:p>
      <w:pPr>
        <w:ind w:firstLine="540"/>
      </w:pPr>
      <w:r>
        <w:rPr>
          <w:rFonts w:hint="eastAsia"/>
        </w:rPr>
        <w:t>（1）设置绩效评价指标</w:t>
      </w:r>
    </w:p>
    <w:p>
      <w:pPr>
        <w:ind w:firstLine="540"/>
      </w:pPr>
      <w:r>
        <w:rPr>
          <w:rFonts w:hint="eastAsia"/>
        </w:rPr>
        <w:t>绩效评价指标是衡量绩效目标实现程度的考核工具，评价指标的确定应当符合以下要求：</w:t>
      </w:r>
    </w:p>
    <w:p>
      <w:pPr>
        <w:ind w:firstLine="540"/>
      </w:pPr>
      <w:r>
        <w:rPr>
          <w:rFonts w:hint="eastAsia"/>
        </w:rPr>
        <w:t>①与评价对象密切相关，能够全面反映项目决策、项目和资金管理、产出和效益。</w:t>
      </w:r>
    </w:p>
    <w:p>
      <w:pPr>
        <w:ind w:firstLine="540"/>
      </w:pPr>
      <w:r>
        <w:rPr>
          <w:rFonts w:hint="eastAsia"/>
        </w:rPr>
        <w:t>②优先选取最具代表性、最能能够反映产出和效益的核心指标，精简实用。</w:t>
      </w:r>
    </w:p>
    <w:p>
      <w:pPr>
        <w:ind w:firstLine="540"/>
      </w:pPr>
      <w:r>
        <w:rPr>
          <w:rFonts w:hAnsi="仿宋"/>
        </w:rPr>
        <w:t>③</w:t>
      </w:r>
      <w:r>
        <w:rPr>
          <w:rFonts w:hint="eastAsia"/>
        </w:rPr>
        <w:t>指标内涵应当明确、具体、可衡量，数据及佐证资料应当可采集、可获得。</w:t>
      </w:r>
    </w:p>
    <w:p>
      <w:pPr>
        <w:ind w:firstLine="540"/>
      </w:pPr>
      <w:r>
        <w:rPr>
          <w:rFonts w:hint="eastAsia" w:hAnsi="仿宋"/>
        </w:rPr>
        <w:fldChar w:fldCharType="begin"/>
      </w:r>
      <w:r>
        <w:rPr>
          <w:rFonts w:hint="eastAsia" w:hAnsi="仿宋"/>
        </w:rPr>
        <w:instrText xml:space="preserve"> = 4 \* GB3 \* MERGEFORMAT </w:instrText>
      </w:r>
      <w:r>
        <w:rPr>
          <w:rFonts w:hint="eastAsia" w:hAnsi="仿宋"/>
        </w:rPr>
        <w:fldChar w:fldCharType="separate"/>
      </w:r>
      <w:r>
        <w:rPr>
          <w:rFonts w:hAnsi="仿宋"/>
        </w:rPr>
        <w:t>④</w:t>
      </w:r>
      <w:r>
        <w:rPr>
          <w:rFonts w:hint="eastAsia" w:hAnsi="仿宋"/>
        </w:rPr>
        <w:fldChar w:fldCharType="end"/>
      </w:r>
      <w:r>
        <w:rPr>
          <w:rFonts w:hint="eastAsia"/>
        </w:rPr>
        <w:t>同类项目绩效评价指标和标准应具有一致性，评价结果可比较。</w:t>
      </w:r>
    </w:p>
    <w:p>
      <w:pPr>
        <w:ind w:firstLine="540"/>
      </w:pPr>
      <w:r>
        <w:rPr>
          <w:rFonts w:hint="eastAsia"/>
        </w:rPr>
        <w:fldChar w:fldCharType="begin"/>
      </w:r>
      <w:r>
        <w:rPr>
          <w:rFonts w:hint="eastAsia"/>
        </w:rPr>
        <w:instrText xml:space="preserve"> = 5 \* GB3 \* MERGEFORMAT </w:instrText>
      </w:r>
      <w:r>
        <w:rPr>
          <w:rFonts w:hint="eastAsia"/>
        </w:rPr>
        <w:fldChar w:fldCharType="separate"/>
      </w:r>
      <w:r>
        <w:rPr>
          <w:rFonts w:hint="eastAsia"/>
        </w:rPr>
        <w:t>⑤</w:t>
      </w:r>
      <w:r>
        <w:rPr>
          <w:rFonts w:hint="eastAsia"/>
        </w:rPr>
        <w:fldChar w:fldCharType="end"/>
      </w:r>
      <w:r>
        <w:rPr>
          <w:rFonts w:hint="eastAsia"/>
        </w:rPr>
        <w:t>个性指标应体现项目特点，准确、客观反映评价项目绩效。</w:t>
      </w:r>
    </w:p>
    <w:p>
      <w:pPr>
        <w:ind w:firstLine="540"/>
      </w:pPr>
      <w:r>
        <w:rPr>
          <w:rFonts w:hint="eastAsia"/>
        </w:rPr>
        <w:fldChar w:fldCharType="begin"/>
      </w:r>
      <w:r>
        <w:rPr>
          <w:rFonts w:hint="eastAsia"/>
        </w:rPr>
        <w:instrText xml:space="preserve"> = 6 \* GB3 \* MERGEFORMAT </w:instrText>
      </w:r>
      <w:r>
        <w:rPr>
          <w:rFonts w:hint="eastAsia"/>
        </w:rPr>
        <w:fldChar w:fldCharType="separate"/>
      </w:r>
      <w:r>
        <w:rPr>
          <w:rFonts w:hint="eastAsia"/>
        </w:rPr>
        <w:t>⑥</w:t>
      </w:r>
      <w:r>
        <w:rPr>
          <w:rFonts w:hint="eastAsia"/>
        </w:rPr>
        <w:fldChar w:fldCharType="end"/>
      </w:r>
      <w:r>
        <w:rPr>
          <w:rFonts w:hint="eastAsia"/>
        </w:rPr>
        <w:t>根据管理工作需要，可设置否决性核心指标，重点关注资金使用、资金拨付和政府采购的合规性、实际支出与预算差异度、实际支出进度与预算进度的相符性、项目实际完成率等关键指标，发挥否决性核心指标在优化资源配置中的引领作用。</w:t>
      </w:r>
    </w:p>
    <w:p>
      <w:pPr>
        <w:ind w:firstLine="540"/>
      </w:pPr>
      <w:r>
        <w:rPr>
          <w:rFonts w:hint="eastAsia"/>
        </w:rPr>
        <w:t>（2）确定绩效评价标准</w:t>
      </w:r>
    </w:p>
    <w:p>
      <w:pPr>
        <w:ind w:firstLine="540"/>
      </w:pPr>
      <w:r>
        <w:rPr>
          <w:rFonts w:hint="eastAsia"/>
        </w:rPr>
        <w:t>绩效评价标准是衡量绩效指标完成程度的标尺，一般包括计划标准、行业标准和历史标准等。绩效评价标准应根据相关法律法规、项目绩效，目标及相关管理办法，清晰、准确确定，具有明确指向和可操作性，不得模糊表达。</w:t>
      </w:r>
    </w:p>
    <w:p>
      <w:pPr>
        <w:ind w:firstLine="540"/>
      </w:pPr>
      <w:r>
        <w:rPr>
          <w:rFonts w:hint="eastAsia"/>
        </w:rPr>
        <w:t>（3）确定绩效评价指标权重</w:t>
      </w:r>
    </w:p>
    <w:p>
      <w:pPr>
        <w:ind w:firstLine="540"/>
        <w:rPr>
          <w:rFonts w:hint="eastAsia" w:eastAsia="宋体"/>
          <w:lang w:eastAsia="zh-CN"/>
        </w:rPr>
      </w:pPr>
      <w:r>
        <w:rPr>
          <w:rFonts w:hint="eastAsia"/>
        </w:rPr>
        <w:t>指标权重是指某一指标在评价体系中的赋分比重。评价工作组应根据各项指标在评价体系中的重要程度，合理设置各指标权重。应突出结果导向，原则上产出、效益指标权重不低于60%。同一评价对象处于不同实施阶段，指标权重应体现差异性。其中，实施期间的评价应更加注重决策、过程和产出；实施期结束后的评价应更加注重产出和效益。标准绩效评价指标体系如下，将根据指标文件、绩效目标、资金用途等分别编制个性指标体系。</w:t>
      </w:r>
      <w:r>
        <w:rPr>
          <w:rFonts w:hint="eastAsia"/>
          <w:lang w:eastAsia="zh-CN"/>
        </w:rPr>
        <w:t>（</w:t>
      </w:r>
      <w:r>
        <w:rPr>
          <w:rFonts w:hint="eastAsia"/>
          <w:lang w:val="en-US" w:eastAsia="zh-CN"/>
        </w:rPr>
        <w:t>详见附表</w:t>
      </w:r>
      <w:r>
        <w:rPr>
          <w:rFonts w:hint="eastAsia"/>
          <w:lang w:eastAsia="zh-CN"/>
        </w:rPr>
        <w:t>）</w:t>
      </w:r>
    </w:p>
    <w:p>
      <w:pPr>
        <w:ind w:firstLine="540"/>
      </w:pPr>
      <w:r>
        <w:rPr>
          <w:rFonts w:hint="eastAsia"/>
        </w:rPr>
        <w:t>3.绩效评价方法</w:t>
      </w:r>
    </w:p>
    <w:p>
      <w:pPr>
        <w:ind w:firstLine="540"/>
      </w:pPr>
      <w:r>
        <w:rPr>
          <w:rFonts w:hint="eastAsia"/>
        </w:rPr>
        <w:t>绩效评价方法是绩效评价主体根据设定的预算支出绩效目标、绩效指标和评价标准，分析绩效数据，得出评价结论的各种分析、评估和评价方法。</w:t>
      </w:r>
      <w:bookmarkStart w:id="17" w:name="_Toc22504"/>
    </w:p>
    <w:p>
      <w:pPr>
        <w:ind w:firstLine="540"/>
      </w:pPr>
      <w:r>
        <w:rPr>
          <w:rFonts w:hint="eastAsia"/>
        </w:rPr>
        <w:t>（1）成本效益分析法</w:t>
      </w:r>
      <w:bookmarkEnd w:id="17"/>
    </w:p>
    <w:p>
      <w:pPr>
        <w:ind w:firstLine="540"/>
      </w:pPr>
      <w:r>
        <w:rPr>
          <w:rFonts w:hint="eastAsia"/>
        </w:rPr>
        <w:t>成本效益分析法是指将一定时期内总成本与总效益进行对比分析，以评价绩效目标实现程度；</w:t>
      </w:r>
      <w:bookmarkStart w:id="18" w:name="_Toc29655"/>
    </w:p>
    <w:p>
      <w:pPr>
        <w:ind w:firstLine="540"/>
      </w:pPr>
      <w:r>
        <w:rPr>
          <w:rFonts w:hint="eastAsia"/>
        </w:rPr>
        <w:t>（2）比较法</w:t>
      </w:r>
      <w:bookmarkEnd w:id="18"/>
    </w:p>
    <w:p>
      <w:pPr>
        <w:ind w:firstLine="540"/>
      </w:pPr>
      <w:r>
        <w:rPr>
          <w:rFonts w:hint="eastAsia"/>
        </w:rPr>
        <w:t>比较法是指通过对绩效目标与实施效果、历史与当期情况、不同部门和地区同类支出的比较，综合分析绩效目标实现程度；</w:t>
      </w:r>
      <w:bookmarkStart w:id="19" w:name="_Toc15543"/>
      <w:r>
        <w:rPr>
          <w:rFonts w:hint="eastAsia"/>
        </w:rPr>
        <w:t xml:space="preserve"> </w:t>
      </w:r>
    </w:p>
    <w:p>
      <w:pPr>
        <w:ind w:firstLine="540"/>
      </w:pPr>
      <w:r>
        <w:rPr>
          <w:rFonts w:hint="eastAsia"/>
        </w:rPr>
        <w:t>（3）因素分析法</w:t>
      </w:r>
      <w:bookmarkEnd w:id="19"/>
    </w:p>
    <w:p>
      <w:pPr>
        <w:ind w:firstLine="540"/>
      </w:pPr>
      <w:r>
        <w:rPr>
          <w:rFonts w:hint="eastAsia"/>
        </w:rPr>
        <w:t>因素分析法是指通过综合分析影响绩效目标实现、实施效果的内外因素，计算投入产出比的方法；</w:t>
      </w:r>
      <w:bookmarkStart w:id="20" w:name="_Toc18107"/>
    </w:p>
    <w:p>
      <w:pPr>
        <w:ind w:firstLine="540"/>
      </w:pPr>
      <w:r>
        <w:rPr>
          <w:rFonts w:hint="eastAsia"/>
        </w:rPr>
        <w:t>（4）综合指数评价法</w:t>
      </w:r>
      <w:bookmarkEnd w:id="20"/>
    </w:p>
    <w:p>
      <w:pPr>
        <w:ind w:firstLine="540"/>
      </w:pPr>
      <w:r>
        <w:rPr>
          <w:rFonts w:hint="eastAsia"/>
        </w:rPr>
        <w:t>综合指数评价法是指把各项绩效指标的实际水平，对照评价标准值，分别计算各项指标评价得分，再按照设定的各项指标权数计算出综合评价得分，分析评价绩效目标实现情况的评价方法；</w:t>
      </w:r>
      <w:bookmarkStart w:id="21" w:name="_Toc2743"/>
    </w:p>
    <w:p>
      <w:pPr>
        <w:ind w:firstLine="540"/>
      </w:pPr>
      <w:r>
        <w:rPr>
          <w:rFonts w:hint="eastAsia"/>
        </w:rPr>
        <w:t>（5）公众评判法</w:t>
      </w:r>
      <w:bookmarkEnd w:id="21"/>
    </w:p>
    <w:p>
      <w:pPr>
        <w:ind w:firstLine="540"/>
      </w:pPr>
      <w:r>
        <w:rPr>
          <w:rFonts w:hint="eastAsia"/>
        </w:rPr>
        <w:t>公众评判法是指通过专家评估、公众问卷及抽样调查等对财政支出效果进行评判，评价绩效目标实现程度；</w:t>
      </w:r>
      <w:bookmarkStart w:id="22" w:name="_Toc10463"/>
    </w:p>
    <w:p>
      <w:pPr>
        <w:ind w:firstLine="540"/>
      </w:pPr>
      <w:r>
        <w:rPr>
          <w:rFonts w:hint="eastAsia"/>
        </w:rPr>
        <w:t>（6）其他评价方法</w:t>
      </w:r>
      <w:bookmarkEnd w:id="22"/>
    </w:p>
    <w:p>
      <w:pPr>
        <w:ind w:firstLine="540"/>
      </w:pPr>
      <w:r>
        <w:rPr>
          <w:rFonts w:hint="eastAsia"/>
        </w:rPr>
        <w:t>绩效评价方法的选用应坚持简便有效的原则。根据评价对象的具体情况，可采用一种或多种方法进行绩效评价。</w:t>
      </w:r>
    </w:p>
    <w:p>
      <w:pPr>
        <w:ind w:firstLine="540"/>
        <w:rPr>
          <w:b/>
          <w:bCs/>
        </w:rPr>
      </w:pPr>
      <w:r>
        <w:rPr>
          <w:rFonts w:hint="eastAsia"/>
        </w:rPr>
        <w:t>绩效评价应以定量评价为主，确实不能以量化指标进行评价的，可以在定性分析的基础上，根据绩效情况进行评价。</w:t>
      </w:r>
    </w:p>
    <w:p>
      <w:pPr>
        <w:pStyle w:val="4"/>
        <w:ind w:firstLine="562"/>
      </w:pPr>
      <w:bookmarkStart w:id="23" w:name="_Toc15351"/>
      <w:r>
        <w:rPr>
          <w:rFonts w:hint="eastAsia"/>
        </w:rPr>
        <w:t>4.绩效评价标准</w:t>
      </w:r>
      <w:bookmarkEnd w:id="23"/>
    </w:p>
    <w:p>
      <w:pPr>
        <w:ind w:firstLine="540"/>
      </w:pPr>
      <w:r>
        <w:rPr>
          <w:rFonts w:hint="eastAsia"/>
        </w:rPr>
        <w:t>绩效评价标准通常包括计划标准、行业标准、历史标准等，用于对绩效指标完成情况进行比较。</w:t>
      </w:r>
    </w:p>
    <w:p>
      <w:pPr>
        <w:ind w:firstLine="540"/>
      </w:pPr>
      <w:r>
        <w:rPr>
          <w:rFonts w:hint="eastAsia"/>
        </w:rPr>
        <w:t>（1）计划标准。指以预先制定的目标、计划、预算、定额等作为评价标准。</w:t>
      </w:r>
    </w:p>
    <w:p>
      <w:pPr>
        <w:ind w:firstLine="540"/>
      </w:pPr>
      <w:r>
        <w:rPr>
          <w:rFonts w:hint="eastAsia"/>
        </w:rPr>
        <w:t>（2）行业标准。指参照国家公布的行业指标数据制定的评价标准。</w:t>
      </w:r>
    </w:p>
    <w:p>
      <w:pPr>
        <w:ind w:firstLine="540"/>
      </w:pPr>
      <w:r>
        <w:rPr>
          <w:rFonts w:hint="eastAsia"/>
        </w:rPr>
        <w:t>（3）历史标准。指参照历史数据制定的评价标准，为体现绩效改进的原则，在可实现的条件下应当确定相对较高的评价标准。</w:t>
      </w:r>
    </w:p>
    <w:p>
      <w:pPr>
        <w:ind w:firstLine="540"/>
      </w:pPr>
      <w:r>
        <w:rPr>
          <w:rFonts w:hint="eastAsia"/>
        </w:rPr>
        <w:t>（4）财政部门和预算部门确认或认可的其他标准。</w:t>
      </w:r>
    </w:p>
    <w:p>
      <w:pPr>
        <w:pStyle w:val="3"/>
        <w:ind w:firstLine="562"/>
        <w:rPr>
          <w:rFonts w:cs="Times New Roman"/>
        </w:rPr>
      </w:pPr>
      <w:bookmarkStart w:id="24" w:name="_Toc48120204"/>
      <w:bookmarkStart w:id="25" w:name="_Toc30267"/>
      <w:r>
        <w:rPr>
          <w:rFonts w:hint="eastAsia"/>
        </w:rPr>
        <w:t>（三）绩效评价工作过程</w:t>
      </w:r>
      <w:bookmarkEnd w:id="24"/>
      <w:bookmarkEnd w:id="25"/>
    </w:p>
    <w:p>
      <w:pPr>
        <w:ind w:firstLine="540"/>
      </w:pPr>
      <w:r>
        <w:rPr>
          <w:rFonts w:hint="eastAsia"/>
        </w:rPr>
        <w:t>我公司在接到委托人委托通知后，迅速响应，根据委托人委托和项目具体情况，按照淄博市临淄区财政局要求迅速制定工作方案，选派项目合适的专业人员成立评价小组,开展绩效评价服务。</w:t>
      </w:r>
    </w:p>
    <w:p>
      <w:pPr>
        <w:ind w:firstLine="540"/>
      </w:pPr>
      <w:r>
        <w:rPr>
          <w:rFonts w:hint="eastAsia"/>
        </w:rPr>
        <w:t>1.接受委托、工作准备，成立评价工作组</w:t>
      </w:r>
    </w:p>
    <w:p>
      <w:pPr>
        <w:ind w:firstLine="540"/>
      </w:pPr>
      <w:r>
        <w:rPr>
          <w:rFonts w:hint="eastAsia"/>
        </w:rPr>
        <w:t>本公司在接受预算绩效管理服务委派项目后，根据具体服务对象、内容和服务范围与要求，选派项目合适的专业人员成立评价小组，并报甲方审核。审核内容包括人员结构、业务能力、利益关系回避等情况。评价小组依据 《山东省预算绩效管理实施办法》和其他项目相关内容和要求，遵循“科学规范、客观公正”的原则，依法、独立开展预算绩效管理服务相应工作。</w:t>
      </w:r>
    </w:p>
    <w:p>
      <w:pPr>
        <w:ind w:firstLine="0" w:firstLineChars="0"/>
        <w:jc w:val="center"/>
        <w:rPr>
          <w:rFonts w:ascii="宋体" w:hAnsi="宋体"/>
          <w:sz w:val="24"/>
          <w:szCs w:val="24"/>
        </w:rPr>
      </w:pPr>
      <w:r>
        <w:rPr>
          <w:rFonts w:hint="eastAsia" w:ascii="宋体" w:hAnsi="宋体"/>
          <w:sz w:val="24"/>
          <w:szCs w:val="24"/>
        </w:rPr>
        <w:t>表</w:t>
      </w:r>
      <w:r>
        <w:rPr>
          <w:rFonts w:ascii="宋体" w:hAnsi="宋体"/>
          <w:sz w:val="24"/>
          <w:szCs w:val="24"/>
        </w:rPr>
        <w:t>2:</w:t>
      </w:r>
      <w:r>
        <w:rPr>
          <w:rFonts w:hint="eastAsia" w:ascii="宋体" w:hAnsi="宋体"/>
          <w:sz w:val="24"/>
          <w:szCs w:val="24"/>
        </w:rPr>
        <w:t>人员安排表</w:t>
      </w:r>
    </w:p>
    <w:tbl>
      <w:tblPr>
        <w:tblStyle w:val="12"/>
        <w:tblW w:w="8217" w:type="dxa"/>
        <w:tblInd w:w="113" w:type="dxa"/>
        <w:tblLayout w:type="autofit"/>
        <w:tblCellMar>
          <w:top w:w="0" w:type="dxa"/>
          <w:left w:w="108" w:type="dxa"/>
          <w:bottom w:w="0" w:type="dxa"/>
          <w:right w:w="108" w:type="dxa"/>
        </w:tblCellMar>
      </w:tblPr>
      <w:tblGrid>
        <w:gridCol w:w="1696"/>
        <w:gridCol w:w="1985"/>
        <w:gridCol w:w="2410"/>
        <w:gridCol w:w="2126"/>
      </w:tblGrid>
      <w:tr>
        <w:tblPrEx>
          <w:tblCellMar>
            <w:top w:w="0" w:type="dxa"/>
            <w:left w:w="108" w:type="dxa"/>
            <w:bottom w:w="0" w:type="dxa"/>
            <w:right w:w="108" w:type="dxa"/>
          </w:tblCellMar>
        </w:tblPrEx>
        <w:trPr>
          <w:trHeight w:val="500" w:hRule="atLeast"/>
        </w:trPr>
        <w:tc>
          <w:tcPr>
            <w:tcW w:w="1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仿宋" w:cs="Arial"/>
                <w:kern w:val="0"/>
                <w:sz w:val="21"/>
                <w:szCs w:val="21"/>
              </w:rPr>
            </w:pPr>
            <w:r>
              <w:rPr>
                <w:rFonts w:hint="eastAsia" w:hAnsi="仿宋" w:cs="Arial"/>
                <w:kern w:val="0"/>
                <w:sz w:val="21"/>
                <w:szCs w:val="21"/>
              </w:rPr>
              <w:t>资金名称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仿宋" w:cs="Arial"/>
                <w:kern w:val="0"/>
                <w:sz w:val="21"/>
                <w:szCs w:val="21"/>
              </w:rPr>
            </w:pPr>
            <w:r>
              <w:rPr>
                <w:rFonts w:hint="eastAsia" w:hAnsi="仿宋" w:cs="Arial"/>
                <w:kern w:val="0"/>
                <w:sz w:val="21"/>
                <w:szCs w:val="21"/>
              </w:rPr>
              <w:t>项目负责人</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仿宋" w:cs="Arial"/>
                <w:kern w:val="0"/>
                <w:sz w:val="21"/>
                <w:szCs w:val="21"/>
              </w:rPr>
            </w:pPr>
            <w:r>
              <w:rPr>
                <w:rFonts w:hint="eastAsia" w:hAnsi="仿宋" w:cs="Arial"/>
                <w:kern w:val="0"/>
                <w:sz w:val="21"/>
                <w:szCs w:val="21"/>
              </w:rPr>
              <w:t>评价小组成员</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仿宋" w:cs="Arial"/>
                <w:kern w:val="0"/>
                <w:sz w:val="21"/>
                <w:szCs w:val="21"/>
              </w:rPr>
            </w:pPr>
            <w:r>
              <w:rPr>
                <w:rFonts w:hint="eastAsia" w:hAnsi="仿宋" w:cs="Arial"/>
                <w:kern w:val="0"/>
                <w:sz w:val="21"/>
                <w:szCs w:val="21"/>
              </w:rPr>
              <w:t>签字栏</w:t>
            </w:r>
          </w:p>
        </w:tc>
      </w:tr>
      <w:tr>
        <w:tblPrEx>
          <w:tblCellMar>
            <w:top w:w="0" w:type="dxa"/>
            <w:left w:w="108" w:type="dxa"/>
            <w:bottom w:w="0" w:type="dxa"/>
            <w:right w:w="108" w:type="dxa"/>
          </w:tblCellMar>
        </w:tblPrEx>
        <w:trPr>
          <w:trHeight w:val="500" w:hRule="atLeast"/>
        </w:trPr>
        <w:tc>
          <w:tcPr>
            <w:tcW w:w="1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int="default" w:hAnsi="仿宋" w:eastAsia="宋体" w:cs="Arial"/>
                <w:kern w:val="0"/>
                <w:sz w:val="21"/>
                <w:szCs w:val="21"/>
                <w:lang w:val="en-US" w:eastAsia="zh-CN"/>
              </w:rPr>
            </w:pPr>
            <w:r>
              <w:rPr>
                <w:rFonts w:hint="eastAsia" w:hAnsi="仿宋" w:cs="Arial"/>
                <w:kern w:val="0"/>
                <w:sz w:val="21"/>
                <w:szCs w:val="21"/>
                <w:lang w:val="en-US" w:eastAsia="zh-CN"/>
              </w:rPr>
              <w:t>影视文化产业扶持资金</w:t>
            </w:r>
          </w:p>
        </w:tc>
        <w:tc>
          <w:tcPr>
            <w:tcW w:w="198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rFonts w:hAnsi="仿宋" w:cs="Arial"/>
                <w:kern w:val="0"/>
                <w:sz w:val="21"/>
                <w:szCs w:val="21"/>
              </w:rPr>
            </w:pPr>
            <w:r>
              <w:rPr>
                <w:rFonts w:hint="eastAsia" w:hAnsi="仿宋" w:cs="Arial"/>
                <w:kern w:val="0"/>
                <w:sz w:val="21"/>
                <w:szCs w:val="21"/>
              </w:rPr>
              <w:t>王龙</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仿宋" w:cs="Arial"/>
                <w:kern w:val="0"/>
                <w:sz w:val="21"/>
                <w:szCs w:val="21"/>
              </w:rPr>
            </w:pPr>
            <w:r>
              <w:rPr>
                <w:rFonts w:hint="eastAsia" w:hAnsi="仿宋" w:cs="Arial"/>
                <w:kern w:val="0"/>
                <w:sz w:val="21"/>
                <w:szCs w:val="21"/>
              </w:rPr>
              <w:t>王龙</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仿宋" w:cs="Arial"/>
                <w:kern w:val="0"/>
                <w:sz w:val="21"/>
                <w:szCs w:val="21"/>
              </w:rPr>
            </w:pPr>
            <w:r>
              <w:rPr>
                <w:rFonts w:hint="eastAsia" w:hAnsi="仿宋" w:cs="Arial"/>
                <w:kern w:val="0"/>
                <w:sz w:val="21"/>
                <w:szCs w:val="21"/>
              </w:rPr>
              <w:t>　</w:t>
            </w:r>
          </w:p>
        </w:tc>
      </w:tr>
      <w:tr>
        <w:tblPrEx>
          <w:tblCellMar>
            <w:top w:w="0" w:type="dxa"/>
            <w:left w:w="108" w:type="dxa"/>
            <w:bottom w:w="0" w:type="dxa"/>
            <w:right w:w="108" w:type="dxa"/>
          </w:tblCellMar>
        </w:tblPrEx>
        <w:trPr>
          <w:trHeight w:val="500" w:hRule="atLeast"/>
        </w:trPr>
        <w:tc>
          <w:tcPr>
            <w:tcW w:w="1696"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Arial"/>
                <w:kern w:val="0"/>
                <w:sz w:val="21"/>
                <w:szCs w:val="21"/>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Arial"/>
                <w:kern w:val="0"/>
                <w:sz w:val="21"/>
                <w:szCs w:val="21"/>
              </w:rPr>
            </w:pP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仿宋" w:cs="Arial"/>
                <w:kern w:val="0"/>
                <w:sz w:val="21"/>
                <w:szCs w:val="21"/>
              </w:rPr>
            </w:pPr>
            <w:r>
              <w:rPr>
                <w:rFonts w:hint="eastAsia" w:hAnsi="仿宋" w:cs="Arial"/>
                <w:kern w:val="0"/>
                <w:sz w:val="21"/>
                <w:szCs w:val="21"/>
              </w:rPr>
              <w:t>赵继顺</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仿宋" w:cs="Arial"/>
                <w:kern w:val="0"/>
                <w:sz w:val="21"/>
                <w:szCs w:val="21"/>
              </w:rPr>
            </w:pPr>
            <w:r>
              <w:rPr>
                <w:rFonts w:hint="eastAsia" w:hAnsi="仿宋" w:cs="Arial"/>
                <w:kern w:val="0"/>
                <w:sz w:val="21"/>
                <w:szCs w:val="21"/>
              </w:rPr>
              <w:t>　</w:t>
            </w:r>
          </w:p>
        </w:tc>
      </w:tr>
      <w:tr>
        <w:tblPrEx>
          <w:tblCellMar>
            <w:top w:w="0" w:type="dxa"/>
            <w:left w:w="108" w:type="dxa"/>
            <w:bottom w:w="0" w:type="dxa"/>
            <w:right w:w="108" w:type="dxa"/>
          </w:tblCellMar>
        </w:tblPrEx>
        <w:trPr>
          <w:trHeight w:val="500" w:hRule="atLeast"/>
        </w:trPr>
        <w:tc>
          <w:tcPr>
            <w:tcW w:w="1696"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Arial"/>
                <w:kern w:val="0"/>
                <w:sz w:val="21"/>
                <w:szCs w:val="21"/>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Arial"/>
                <w:kern w:val="0"/>
                <w:sz w:val="21"/>
                <w:szCs w:val="21"/>
              </w:rPr>
            </w:pP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仿宋" w:cs="Arial"/>
                <w:kern w:val="0"/>
                <w:sz w:val="21"/>
                <w:szCs w:val="21"/>
              </w:rPr>
            </w:pPr>
            <w:r>
              <w:rPr>
                <w:rFonts w:hint="eastAsia" w:hAnsi="仿宋" w:cs="Arial"/>
                <w:kern w:val="0"/>
                <w:sz w:val="21"/>
                <w:szCs w:val="21"/>
              </w:rPr>
              <w:t>李洋</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仿宋" w:cs="Arial"/>
                <w:kern w:val="0"/>
                <w:sz w:val="21"/>
                <w:szCs w:val="21"/>
              </w:rPr>
            </w:pPr>
            <w:r>
              <w:rPr>
                <w:rFonts w:hint="eastAsia" w:hAnsi="仿宋" w:cs="Arial"/>
                <w:kern w:val="0"/>
                <w:sz w:val="21"/>
                <w:szCs w:val="21"/>
              </w:rPr>
              <w:t>　</w:t>
            </w:r>
          </w:p>
        </w:tc>
      </w:tr>
      <w:tr>
        <w:tblPrEx>
          <w:tblCellMar>
            <w:top w:w="0" w:type="dxa"/>
            <w:left w:w="108" w:type="dxa"/>
            <w:bottom w:w="0" w:type="dxa"/>
            <w:right w:w="108" w:type="dxa"/>
          </w:tblCellMar>
        </w:tblPrEx>
        <w:trPr>
          <w:trHeight w:val="500" w:hRule="atLeast"/>
        </w:trPr>
        <w:tc>
          <w:tcPr>
            <w:tcW w:w="1696"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Arial"/>
                <w:kern w:val="0"/>
                <w:sz w:val="21"/>
                <w:szCs w:val="21"/>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Arial"/>
                <w:kern w:val="0"/>
                <w:sz w:val="21"/>
                <w:szCs w:val="21"/>
              </w:rPr>
            </w:pP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仿宋" w:cs="Arial"/>
                <w:kern w:val="0"/>
                <w:sz w:val="21"/>
                <w:szCs w:val="21"/>
              </w:rPr>
            </w:pPr>
            <w:r>
              <w:rPr>
                <w:rFonts w:hint="eastAsia" w:hAnsi="仿宋" w:cs="Arial"/>
                <w:kern w:val="0"/>
                <w:sz w:val="21"/>
                <w:szCs w:val="21"/>
              </w:rPr>
              <w:t>田斌斌</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Ansi="仿宋" w:cs="Arial"/>
                <w:kern w:val="0"/>
                <w:sz w:val="21"/>
                <w:szCs w:val="21"/>
              </w:rPr>
            </w:pPr>
            <w:r>
              <w:rPr>
                <w:rFonts w:hint="eastAsia" w:hAnsi="仿宋" w:cs="Arial"/>
                <w:kern w:val="0"/>
                <w:sz w:val="21"/>
                <w:szCs w:val="21"/>
              </w:rPr>
              <w:t>　</w:t>
            </w:r>
          </w:p>
        </w:tc>
      </w:tr>
    </w:tbl>
    <w:p>
      <w:pPr>
        <w:ind w:firstLine="540"/>
      </w:pPr>
      <w:r>
        <w:rPr>
          <w:rFonts w:hint="eastAsia"/>
        </w:rPr>
        <w:t>2.开展前期调研</w:t>
      </w:r>
    </w:p>
    <w:p>
      <w:pPr>
        <w:ind w:firstLine="540"/>
      </w:pPr>
      <w:r>
        <w:rPr>
          <w:rFonts w:hint="eastAsia"/>
        </w:rPr>
        <w:t>本公司绩效评价小组在接受委派项目后，确定工作组人员分工，及时与委托方并项目单位进行沟通, 开展前期项目调研,根据被评审单位提供的相关信息资料，并通过网络、报纸、期刊等途径，充分了解与项目有关的政策文件，收集与具体预算绩效管理服务项目有关的资料，实地了解项目具体实施情况，进行认真分析与研究，准确掌握项目概况。具体包括项目的立项背景和目的、政策依据、项目的主要内容、规模、涉及范围、实施期限、项目预算及资金使用情况、项目绩效目标、项目的组织及管理、利益相关方等，经过与被评审单位充分沟通，确定合适的绩效目标。</w:t>
      </w:r>
    </w:p>
    <w:p>
      <w:pPr>
        <w:ind w:firstLine="540"/>
      </w:pPr>
      <w:r>
        <w:rPr>
          <w:rFonts w:hint="eastAsia"/>
        </w:rPr>
        <w:t>3.制订绩效评价工作方案和指标体系</w:t>
      </w:r>
    </w:p>
    <w:p>
      <w:pPr>
        <w:ind w:firstLine="540"/>
      </w:pPr>
      <w:r>
        <w:rPr>
          <w:rFonts w:hint="eastAsia"/>
        </w:rPr>
        <w:t>评价小组严格按照委托人的要求、根据相关规定，编写项目预算绩效管理服务工作方案。工作方案的内容主要包括项目概况、评价思路、工作计划、人员分工、评价指标体系、社会调查方案等，制作相关的工作底稿，并按时提交评价组织机构审定。</w:t>
      </w:r>
    </w:p>
    <w:p>
      <w:pPr>
        <w:ind w:firstLine="540"/>
      </w:pPr>
      <w:r>
        <w:rPr>
          <w:rFonts w:hint="eastAsia"/>
        </w:rPr>
        <w:t>绩效评价指标分为共性指标和个性指标，指标的确定要遵循相关性、重要性、可比性、系统性和经济性的原则。</w:t>
      </w:r>
    </w:p>
    <w:p>
      <w:pPr>
        <w:ind w:firstLine="540"/>
      </w:pPr>
      <w:r>
        <w:rPr>
          <w:rFonts w:hint="eastAsia"/>
        </w:rPr>
        <w:t>4.组织专家论证</w:t>
      </w:r>
    </w:p>
    <w:p>
      <w:pPr>
        <w:ind w:firstLine="540"/>
      </w:pPr>
      <w:r>
        <w:rPr>
          <w:rFonts w:hint="eastAsia"/>
        </w:rPr>
        <w:t>评价小组将组织召开论证会，对实施方案、评价指标体系和评价方法等进行论证评审，征求甲方及相关部门、行业专家和绩效专家的意见建议，根据论证会形成的意见进一步修改完善。修改完善后的评价实施方案报甲方审核同意后，组织实施评价。</w:t>
      </w:r>
    </w:p>
    <w:p>
      <w:pPr>
        <w:ind w:firstLine="540"/>
      </w:pPr>
      <w:r>
        <w:rPr>
          <w:rFonts w:hint="eastAsia"/>
        </w:rPr>
        <w:t>5.下达绩效评价通知书</w:t>
      </w:r>
    </w:p>
    <w:p>
      <w:pPr>
        <w:ind w:firstLine="540"/>
      </w:pPr>
      <w:r>
        <w:rPr>
          <w:rFonts w:hint="eastAsia"/>
        </w:rPr>
        <w:t>评价小组拟定绩效评价通知书，明确评价任务、对象、内容、工作进程安排、需被评价单位提供的资料等。</w:t>
      </w:r>
    </w:p>
    <w:p>
      <w:pPr>
        <w:ind w:firstLine="540"/>
      </w:pPr>
      <w:r>
        <w:rPr>
          <w:rFonts w:hint="eastAsia"/>
        </w:rPr>
        <w:t>6.非现场评价、现场评价</w:t>
      </w:r>
    </w:p>
    <w:p>
      <w:pPr>
        <w:ind w:firstLine="540"/>
      </w:pPr>
      <w:r>
        <w:rPr>
          <w:rFonts w:hint="eastAsia"/>
        </w:rPr>
        <w:t>评价小组将严格按照专家评审通过并修改完善的预算绩效管理服务工作方案进行调查取数，采取现场和非现场相结合的方式展开工作，通过听取介绍、实地勘察、调研、询查、复核等方式，对有关情况进行了解、核实、分析和判断。对需要问卷调查的评价项目，要认真做好调查表的发放、回收、整理、统计、分析、建档工作。做到调查充分、取数准确，保证数据来源的可靠性和取数过程的合理合规。评价小组通过开展座谈讨论、意见交流等方式全面了解掌握项目的总体实施情况。</w:t>
      </w:r>
    </w:p>
    <w:p>
      <w:pPr>
        <w:ind w:firstLine="540"/>
      </w:pPr>
      <w:r>
        <w:rPr>
          <w:rFonts w:hint="eastAsia"/>
        </w:rPr>
        <w:t>7.撰写报告</w:t>
      </w:r>
    </w:p>
    <w:p>
      <w:pPr>
        <w:ind w:firstLine="540"/>
      </w:pPr>
      <w:r>
        <w:rPr>
          <w:rFonts w:hint="eastAsia"/>
        </w:rPr>
        <w:t>评价小组将严格按照委托人的要求及与预算绩效管理服务相关的政策文件的精神，根据已完成数据的采集、整理、统计、分析和评判后，根据规定的文本格式要求撰写预算绩效管理服务结果报告。绩效评价工作是一项由项目评价组成员合作完成的工作，在撰写评价报告之前，必须通过评价组交流会的形式，对各项指标的评分值进行充分沟通和分析，最终确定绩效指标分值。绩效评价报告是对项目评价结果的完整反映，一般应由项目负责人亲自撰写或指定一名能全面了解和把握项目的评价人员负责撰写，应重点关注表述方式，并力求做到报告内容翔实，逻辑清晰，结论鲜明，依据真实、充分，底稿及附件齐全，并按时提交委托人。</w:t>
      </w:r>
    </w:p>
    <w:p>
      <w:pPr>
        <w:ind w:firstLine="540"/>
      </w:pPr>
      <w:r>
        <w:rPr>
          <w:rFonts w:hint="eastAsia"/>
        </w:rPr>
        <w:t>绩效评价报告是对财政支出绩效进行评价后形成的总结性结论文件。绩效评价报告应当依据充分、真实完整、数据准确、分析透彻、逻辑清晰、客观公正。绩效评价报告应当包括以下主要内容：</w:t>
      </w:r>
    </w:p>
    <w:p>
      <w:pPr>
        <w:ind w:firstLine="540"/>
      </w:pPr>
      <w:r>
        <w:rPr>
          <w:rFonts w:hint="eastAsia"/>
        </w:rPr>
        <w:t>（1）基本概况，包括与评价对象相关的发展规划、政策要求，评价对象预算绩效目标，财政预算资金安排及资金支出情况。</w:t>
      </w:r>
    </w:p>
    <w:p>
      <w:pPr>
        <w:ind w:firstLine="540"/>
      </w:pPr>
      <w:r>
        <w:rPr>
          <w:rFonts w:hint="eastAsia"/>
        </w:rPr>
        <w:t>（2）绩效评价的组织实施情况；</w:t>
      </w:r>
    </w:p>
    <w:p>
      <w:pPr>
        <w:ind w:firstLine="540"/>
      </w:pPr>
      <w:r>
        <w:rPr>
          <w:rFonts w:hint="eastAsia"/>
        </w:rPr>
        <w:t>（3）评价对象绩效目标、绩效指标、评价标准和评价方法；</w:t>
      </w:r>
    </w:p>
    <w:p>
      <w:pPr>
        <w:ind w:firstLine="540"/>
      </w:pPr>
      <w:r>
        <w:rPr>
          <w:rFonts w:hint="eastAsia"/>
        </w:rPr>
        <w:t>（4）各项绩效目标的实现情况；</w:t>
      </w:r>
    </w:p>
    <w:p>
      <w:pPr>
        <w:ind w:firstLine="540"/>
      </w:pPr>
      <w:r>
        <w:rPr>
          <w:rFonts w:hint="eastAsia"/>
        </w:rPr>
        <w:t>（</w:t>
      </w:r>
      <w:r>
        <w:t>5</w:t>
      </w:r>
      <w:r>
        <w:rPr>
          <w:rFonts w:hint="eastAsia"/>
        </w:rPr>
        <w:t>）绩效结果与绩效目标的一致性、差异性及其原因分析；</w:t>
      </w:r>
    </w:p>
    <w:p>
      <w:pPr>
        <w:ind w:firstLine="540"/>
      </w:pPr>
      <w:r>
        <w:rPr>
          <w:rFonts w:hint="eastAsia"/>
        </w:rPr>
        <w:t>（</w:t>
      </w:r>
      <w:r>
        <w:t>6</w:t>
      </w:r>
      <w:r>
        <w:rPr>
          <w:rFonts w:hint="eastAsia"/>
        </w:rPr>
        <w:t>）存在的问题、采取的纠偏措施及改进绩效管理建议；问题分析应准确到位，并提供真实、充分的证据支撑；对策建议针对性强应具有合理性和可操作性。</w:t>
      </w:r>
    </w:p>
    <w:p>
      <w:pPr>
        <w:ind w:firstLine="540"/>
      </w:pPr>
      <w:r>
        <w:rPr>
          <w:rFonts w:hint="eastAsia"/>
        </w:rPr>
        <w:t>（</w:t>
      </w:r>
      <w:r>
        <w:t>7</w:t>
      </w:r>
      <w:r>
        <w:rPr>
          <w:rFonts w:hint="eastAsia"/>
        </w:rPr>
        <w:t>）其他需要说明的问题。</w:t>
      </w:r>
    </w:p>
    <w:p>
      <w:pPr>
        <w:ind w:firstLine="540"/>
      </w:pPr>
      <w:r>
        <w:rPr>
          <w:rFonts w:hint="eastAsia"/>
        </w:rPr>
        <w:t>8.提交审核</w:t>
      </w:r>
    </w:p>
    <w:p>
      <w:pPr>
        <w:ind w:firstLine="540"/>
      </w:pPr>
      <w:r>
        <w:rPr>
          <w:rFonts w:hint="eastAsia"/>
        </w:rPr>
        <w:t>绩效评价报告的撰写是一个反复沟通、修改、完善的过程。评价人员在评价的基础上形成报告初稿，而通过与项目单位的反复沟通，可以发现评价过程中存在的程序遗漏或不到位的情况，并及时予以修正，起到一个查漏补缺的效果。另一方面，通过与委托单位或项目主管部门的沟通，往往可以从评价程序容易忽略或无法顾及的角度对项目提出不同的见解，为全面评价项目绩效提供参考。因此，在评价报告的撰写过程也是对评价工作进一步补充完善、进一步提炼的过程。</w:t>
      </w:r>
    </w:p>
    <w:p>
      <w:pPr>
        <w:ind w:firstLine="540"/>
      </w:pPr>
      <w:r>
        <w:rPr>
          <w:rFonts w:hint="eastAsia"/>
        </w:rPr>
        <w:t>评价小组，在规定时间内提交预算绩效管理服务结果报告初稿，征求被评价项目单位和评价组织机构的意见。评价小组根据反馈的有效意见对报告进行修改。如有对报告存在意见分歧，经协商仍不能取得一致的，由评价组织机构审定，评价小组再进行修改。</w:t>
      </w:r>
    </w:p>
    <w:p>
      <w:pPr>
        <w:ind w:firstLine="540"/>
      </w:pPr>
      <w:r>
        <w:rPr>
          <w:rFonts w:hint="eastAsia"/>
        </w:rPr>
        <w:t>9.提交正式报告</w:t>
      </w:r>
    </w:p>
    <w:p>
      <w:pPr>
        <w:ind w:firstLine="540"/>
      </w:pPr>
      <w:r>
        <w:rPr>
          <w:rFonts w:hint="eastAsia"/>
        </w:rPr>
        <w:t>评价小组将修改完善的预算绩效管理服务工作方案和结果报告，在规定时间内征求被评价项目单位和评价组织机构的意见，按时提交确认后的正式报告终稿。</w:t>
      </w:r>
    </w:p>
    <w:p>
      <w:pPr>
        <w:ind w:firstLine="540"/>
      </w:pPr>
      <w:r>
        <w:rPr>
          <w:rFonts w:hint="eastAsia"/>
        </w:rPr>
        <w:t>10.档案归集</w:t>
      </w:r>
    </w:p>
    <w:p>
      <w:pPr>
        <w:ind w:firstLine="540"/>
      </w:pPr>
      <w:r>
        <w:rPr>
          <w:rFonts w:hint="eastAsia"/>
        </w:rPr>
        <w:t>将建立和落实档案管理制度。建立健全档案归集、保管、借阅、使用和销毁等制度。需要存档的资料应包括但不限于：评价项目基本情况和相关文件、评价实施方案、委托评价协议、基础数据表、评价工作底稿及附件、会议纪要、访谈记录、现场勘查记录、调查问卷、调查问卷统计结果、绩效评价指标体系及评分表、绩效评价报告、问题清单及所反映问题的佐证材料等。其中，评价基础数据表、评价报告、问题清单等重要资料保存期限为10年，其他资料保存期限为5年。</w:t>
      </w:r>
    </w:p>
    <w:p>
      <w:pPr>
        <w:pStyle w:val="2"/>
        <w:ind w:firstLine="600"/>
      </w:pPr>
      <w:bookmarkStart w:id="26" w:name="_Toc48120205"/>
      <w:r>
        <w:rPr>
          <w:rFonts w:hint="eastAsia"/>
        </w:rPr>
        <w:t>三、综合评价情况及评价结论</w:t>
      </w:r>
      <w:bookmarkEnd w:id="26"/>
    </w:p>
    <w:p>
      <w:pPr>
        <w:ind w:firstLine="540"/>
        <w:rPr>
          <w:rFonts w:cs="仿宋_GB2312"/>
          <w:color w:val="000000"/>
          <w:szCs w:val="32"/>
        </w:rPr>
      </w:pPr>
      <w:r>
        <w:rPr>
          <w:rFonts w:hint="eastAsia" w:ascii="仿宋_GB2312"/>
        </w:rPr>
        <w:t>通过开展绩效评价，2019年</w:t>
      </w:r>
      <w:r>
        <w:rPr>
          <w:rFonts w:hint="eastAsia" w:ascii="仿宋_GB2312"/>
          <w:lang w:val="en-US" w:eastAsia="zh-CN"/>
        </w:rPr>
        <w:t>影视文化产业扶持资金</w:t>
      </w:r>
      <w:r>
        <w:rPr>
          <w:rFonts w:hint="eastAsia" w:ascii="仿宋_GB2312"/>
        </w:rPr>
        <w:t>整体预算都执行的较好，做到专款专用，资金使用合理。</w:t>
      </w:r>
      <w:r>
        <w:rPr>
          <w:rFonts w:hint="eastAsia"/>
        </w:rPr>
        <w:t>经综合评定，</w:t>
      </w:r>
      <w:r>
        <w:rPr>
          <w:rFonts w:hint="eastAsia"/>
          <w:lang w:eastAsia="zh-CN"/>
        </w:rPr>
        <w:t>影视文化产业发展扶持资金</w:t>
      </w:r>
      <w:r>
        <w:rPr>
          <w:rFonts w:hint="eastAsia"/>
        </w:rPr>
        <w:t>绩效评价最终得分为</w:t>
      </w:r>
      <w:r>
        <w:rPr>
          <w:rFonts w:hint="eastAsia"/>
          <w:lang w:val="en-US" w:eastAsia="zh-CN"/>
        </w:rPr>
        <w:t>95.56</w:t>
      </w:r>
      <w:r>
        <w:rPr>
          <w:rFonts w:hint="eastAsia"/>
        </w:rPr>
        <w:t>分，</w:t>
      </w:r>
      <w:r>
        <w:rPr>
          <w:rFonts w:hint="eastAsia" w:cs="仿宋_GB2312"/>
          <w:szCs w:val="32"/>
        </w:rPr>
        <w:t>该项目绩效评价</w:t>
      </w:r>
      <w:r>
        <w:rPr>
          <w:rFonts w:hint="eastAsia" w:cs="仿宋_GB2312"/>
          <w:color w:val="000000"/>
          <w:szCs w:val="32"/>
        </w:rPr>
        <w:t>等级为“优”（具体得分详见下图）。</w:t>
      </w:r>
    </w:p>
    <w:p>
      <w:pPr>
        <w:ind w:firstLine="0" w:firstLineChars="0"/>
        <w:rPr>
          <w:rFonts w:hint="eastAsia" w:cs="仿宋_GB2312"/>
          <w:color w:val="000000"/>
          <w:szCs w:val="32"/>
        </w:rPr>
      </w:pPr>
      <w:r>
        <w:drawing>
          <wp:anchor distT="0" distB="0" distL="114300" distR="114300" simplePos="0" relativeHeight="251657216" behindDoc="0" locked="0" layoutInCell="1" allowOverlap="1">
            <wp:simplePos x="0" y="0"/>
            <wp:positionH relativeFrom="column">
              <wp:posOffset>-6350</wp:posOffset>
            </wp:positionH>
            <wp:positionV relativeFrom="paragraph">
              <wp:posOffset>412750</wp:posOffset>
            </wp:positionV>
            <wp:extent cx="5274310" cy="3076575"/>
            <wp:effectExtent l="5080" t="4445" r="16510" b="508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ind w:firstLine="540"/>
        <w:rPr>
          <w:rFonts w:cs="仿宋_GB2312"/>
          <w:color w:val="000000"/>
          <w:szCs w:val="32"/>
        </w:rPr>
      </w:pPr>
    </w:p>
    <w:p>
      <w:pPr>
        <w:pStyle w:val="2"/>
        <w:ind w:firstLine="600"/>
      </w:pPr>
      <w:bookmarkStart w:id="27" w:name="_Toc48120206"/>
      <w:r>
        <w:rPr>
          <w:rFonts w:hint="eastAsia"/>
        </w:rPr>
        <w:t>四、绩效评价指标分析</w:t>
      </w:r>
      <w:bookmarkEnd w:id="27"/>
    </w:p>
    <w:p>
      <w:pPr>
        <w:pStyle w:val="3"/>
        <w:ind w:firstLine="562"/>
      </w:pPr>
      <w:bookmarkStart w:id="28" w:name="_Toc48120207"/>
      <w:r>
        <w:rPr>
          <w:rFonts w:hint="eastAsia"/>
        </w:rPr>
        <w:t>（一）项目决策情况</w:t>
      </w:r>
      <w:bookmarkEnd w:id="28"/>
    </w:p>
    <w:p>
      <w:pPr>
        <w:ind w:firstLine="540"/>
        <w:rPr>
          <w:rFonts w:hint="eastAsia"/>
        </w:rPr>
      </w:pPr>
      <w:r>
        <w:rPr>
          <w:rFonts w:hint="eastAsia"/>
        </w:rPr>
        <w:t>项目决策情况共设置一个一级指标，三个二级指标，六个三级指标，七个四级指标，旨在评价项目立项依据的充分性、立项程序的规范性、绩效目标的合理明确性及资金分配的科学合理性（具体得分详见下表）。</w:t>
      </w:r>
    </w:p>
    <w:p>
      <w:pPr>
        <w:ind w:firstLine="0" w:firstLineChars="0"/>
        <w:jc w:val="center"/>
        <w:rPr>
          <w:rFonts w:ascii="宋体" w:hAnsi="宋体"/>
          <w:sz w:val="24"/>
          <w:szCs w:val="24"/>
        </w:rPr>
      </w:pPr>
      <w:r>
        <w:rPr>
          <w:rFonts w:hint="eastAsia" w:ascii="宋体" w:hAnsi="宋体"/>
          <w:sz w:val="24"/>
          <w:szCs w:val="24"/>
        </w:rPr>
        <w:t>表3：项目决策情况得分表</w:t>
      </w:r>
    </w:p>
    <w:tbl>
      <w:tblPr>
        <w:tblStyle w:val="12"/>
        <w:tblW w:w="8217" w:type="dxa"/>
        <w:tblInd w:w="113" w:type="dxa"/>
        <w:tblLayout w:type="autofit"/>
        <w:tblCellMar>
          <w:top w:w="0" w:type="dxa"/>
          <w:left w:w="108" w:type="dxa"/>
          <w:bottom w:w="0" w:type="dxa"/>
          <w:right w:w="108" w:type="dxa"/>
        </w:tblCellMar>
      </w:tblPr>
      <w:tblGrid>
        <w:gridCol w:w="1020"/>
        <w:gridCol w:w="960"/>
        <w:gridCol w:w="1843"/>
        <w:gridCol w:w="3402"/>
        <w:gridCol w:w="992"/>
      </w:tblGrid>
      <w:tr>
        <w:tblPrEx>
          <w:tblCellMar>
            <w:top w:w="0" w:type="dxa"/>
            <w:left w:w="108" w:type="dxa"/>
            <w:bottom w:w="0" w:type="dxa"/>
            <w:right w:w="108" w:type="dxa"/>
          </w:tblCellMar>
        </w:tblPrEx>
        <w:trPr>
          <w:trHeight w:val="800" w:hRule="atLeast"/>
        </w:trPr>
        <w:tc>
          <w:tcPr>
            <w:tcW w:w="1020" w:type="dxa"/>
            <w:tcBorders>
              <w:top w:val="single" w:color="auto" w:sz="4" w:space="0"/>
              <w:left w:val="single" w:color="auto" w:sz="4" w:space="0"/>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一级指标及分值</w:t>
            </w:r>
          </w:p>
        </w:tc>
        <w:tc>
          <w:tcPr>
            <w:tcW w:w="960"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二级指标及分值</w:t>
            </w:r>
          </w:p>
        </w:tc>
        <w:tc>
          <w:tcPr>
            <w:tcW w:w="1843"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三级指标及分值</w:t>
            </w:r>
          </w:p>
        </w:tc>
        <w:tc>
          <w:tcPr>
            <w:tcW w:w="3402"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四级指标及分值</w:t>
            </w:r>
          </w:p>
        </w:tc>
        <w:tc>
          <w:tcPr>
            <w:tcW w:w="992"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得分</w:t>
            </w:r>
          </w:p>
        </w:tc>
      </w:tr>
      <w:tr>
        <w:tblPrEx>
          <w:tblCellMar>
            <w:top w:w="0" w:type="dxa"/>
            <w:left w:w="108" w:type="dxa"/>
            <w:bottom w:w="0" w:type="dxa"/>
            <w:right w:w="108" w:type="dxa"/>
          </w:tblCellMar>
        </w:tblPrEx>
        <w:trPr>
          <w:trHeight w:val="647" w:hRule="atLeast"/>
        </w:trPr>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决策</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（20分）</w:t>
            </w:r>
          </w:p>
        </w:tc>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项目立项</w:t>
            </w:r>
            <w:r>
              <w:rPr>
                <w:rFonts w:hint="eastAsia" w:ascii="宋体" w:hAnsi="宋体" w:cs="宋体"/>
                <w:kern w:val="0"/>
                <w:sz w:val="21"/>
                <w:szCs w:val="21"/>
              </w:rPr>
              <w:br w:type="textWrapping"/>
            </w:r>
            <w:r>
              <w:rPr>
                <w:rFonts w:hint="eastAsia" w:ascii="宋体" w:hAnsi="宋体" w:cs="宋体"/>
                <w:kern w:val="0"/>
                <w:sz w:val="21"/>
                <w:szCs w:val="21"/>
              </w:rPr>
              <w:t>（8分）</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项目立项依据</w:t>
            </w:r>
            <w:r>
              <w:rPr>
                <w:rFonts w:hint="eastAsia" w:ascii="宋体" w:hAnsi="宋体" w:cs="宋体"/>
                <w:kern w:val="0"/>
                <w:sz w:val="21"/>
                <w:szCs w:val="21"/>
              </w:rPr>
              <w:br w:type="textWrapping"/>
            </w:r>
            <w:r>
              <w:rPr>
                <w:rFonts w:hint="eastAsia" w:ascii="宋体" w:hAnsi="宋体" w:cs="宋体"/>
                <w:kern w:val="0"/>
                <w:sz w:val="21"/>
                <w:szCs w:val="21"/>
              </w:rPr>
              <w:t>（4分）</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项目符合法律法规、经济社会发展规划（2分）；符合部门职责和部门年度工作计划（2分）</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4</w:t>
            </w:r>
          </w:p>
        </w:tc>
      </w:tr>
      <w:tr>
        <w:tblPrEx>
          <w:tblCellMar>
            <w:top w:w="0" w:type="dxa"/>
            <w:left w:w="108" w:type="dxa"/>
            <w:bottom w:w="0" w:type="dxa"/>
            <w:right w:w="108" w:type="dxa"/>
          </w:tblCellMar>
        </w:tblPrEx>
        <w:trPr>
          <w:trHeight w:val="698"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项目立项程序规范性</w:t>
            </w:r>
            <w:r>
              <w:rPr>
                <w:rFonts w:hint="eastAsia" w:ascii="宋体" w:hAnsi="宋体" w:cs="宋体"/>
                <w:kern w:val="0"/>
                <w:sz w:val="21"/>
                <w:szCs w:val="21"/>
              </w:rPr>
              <w:br w:type="textWrapping"/>
            </w:r>
            <w:r>
              <w:rPr>
                <w:rFonts w:hint="eastAsia" w:ascii="宋体" w:hAnsi="宋体" w:cs="宋体"/>
                <w:kern w:val="0"/>
                <w:sz w:val="21"/>
                <w:szCs w:val="21"/>
              </w:rPr>
              <w:t>（4分）</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符合申报条件（1分）；申报、批复程序符合相关管理办法（2分）；项目实施调整履行相应手续（1分）</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4</w:t>
            </w:r>
          </w:p>
        </w:tc>
      </w:tr>
      <w:tr>
        <w:tblPrEx>
          <w:tblCellMar>
            <w:top w:w="0" w:type="dxa"/>
            <w:left w:w="108" w:type="dxa"/>
            <w:bottom w:w="0" w:type="dxa"/>
            <w:right w:w="108" w:type="dxa"/>
          </w:tblCellMar>
        </w:tblPrEx>
        <w:trPr>
          <w:trHeight w:val="457"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项目目标（6分）</w:t>
            </w:r>
          </w:p>
        </w:tc>
        <w:tc>
          <w:tcPr>
            <w:tcW w:w="1843" w:type="dxa"/>
            <w:vMerge w:val="restar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项目目标制定（3分）</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制定明确的投资进度、实施进度（1.5分）</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ascii="宋体" w:hAnsi="宋体" w:cs="宋体"/>
                <w:kern w:val="0"/>
                <w:sz w:val="21"/>
                <w:szCs w:val="21"/>
              </w:rPr>
              <w:t>1.5</w:t>
            </w:r>
          </w:p>
        </w:tc>
      </w:tr>
      <w:tr>
        <w:tblPrEx>
          <w:tblCellMar>
            <w:top w:w="0" w:type="dxa"/>
            <w:left w:w="108" w:type="dxa"/>
            <w:bottom w:w="0" w:type="dxa"/>
            <w:right w:w="108" w:type="dxa"/>
          </w:tblCellMar>
        </w:tblPrEx>
        <w:trPr>
          <w:trHeight w:val="62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96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843" w:type="dxa"/>
            <w:vMerge w:val="continue"/>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环境效益目标、社会效益目标、经济效益目标（1.5分）</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ascii="宋体" w:hAnsi="宋体" w:cs="宋体"/>
                <w:kern w:val="0"/>
                <w:sz w:val="21"/>
                <w:szCs w:val="21"/>
              </w:rPr>
              <w:t>1.5</w:t>
            </w:r>
          </w:p>
        </w:tc>
      </w:tr>
      <w:tr>
        <w:tblPrEx>
          <w:tblCellMar>
            <w:top w:w="0" w:type="dxa"/>
            <w:left w:w="108" w:type="dxa"/>
            <w:bottom w:w="0" w:type="dxa"/>
            <w:right w:w="108" w:type="dxa"/>
          </w:tblCellMar>
        </w:tblPrEx>
        <w:trPr>
          <w:trHeight w:val="544"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96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项目目标合理性（3分）</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项目所设定的目标是否依据充分，是否符合客观实际（3分）</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3</w:t>
            </w:r>
          </w:p>
        </w:tc>
      </w:tr>
      <w:tr>
        <w:tblPrEx>
          <w:tblCellMar>
            <w:top w:w="0" w:type="dxa"/>
            <w:left w:w="108" w:type="dxa"/>
            <w:bottom w:w="0" w:type="dxa"/>
            <w:right w:w="108" w:type="dxa"/>
          </w:tblCellMar>
        </w:tblPrEx>
        <w:trPr>
          <w:trHeight w:val="371"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资金投入（6分）</w:t>
            </w: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预算编制科学性（3分）</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预算编制科学性（3分）</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w:t>
            </w:r>
          </w:p>
        </w:tc>
      </w:tr>
      <w:tr>
        <w:tblPrEx>
          <w:tblCellMar>
            <w:top w:w="0" w:type="dxa"/>
            <w:left w:w="108" w:type="dxa"/>
            <w:bottom w:w="0" w:type="dxa"/>
            <w:right w:w="108" w:type="dxa"/>
          </w:tblCellMar>
        </w:tblPrEx>
        <w:trPr>
          <w:trHeight w:val="339"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资金分配合理性（3分）</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资金分配合理性（3分）</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3</w:t>
            </w:r>
          </w:p>
        </w:tc>
      </w:tr>
      <w:tr>
        <w:tblPrEx>
          <w:tblCellMar>
            <w:top w:w="0" w:type="dxa"/>
            <w:left w:w="108" w:type="dxa"/>
            <w:bottom w:w="0" w:type="dxa"/>
            <w:right w:w="108" w:type="dxa"/>
          </w:tblCellMar>
        </w:tblPrEx>
        <w:trPr>
          <w:trHeight w:val="462" w:hRule="atLeast"/>
        </w:trPr>
        <w:tc>
          <w:tcPr>
            <w:tcW w:w="722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 xml:space="preserve">总 </w:t>
            </w:r>
            <w:r>
              <w:rPr>
                <w:rFonts w:ascii="宋体" w:hAnsi="宋体" w:cs="宋体"/>
                <w:kern w:val="0"/>
                <w:sz w:val="21"/>
                <w:szCs w:val="21"/>
              </w:rPr>
              <w:t xml:space="preserve"> </w:t>
            </w:r>
            <w:r>
              <w:rPr>
                <w:rFonts w:hint="eastAsia" w:ascii="宋体" w:hAnsi="宋体" w:cs="宋体"/>
                <w:kern w:val="0"/>
                <w:sz w:val="21"/>
                <w:szCs w:val="21"/>
              </w:rPr>
              <w:t>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20</w:t>
            </w:r>
          </w:p>
        </w:tc>
      </w:tr>
    </w:tbl>
    <w:p>
      <w:pPr>
        <w:pStyle w:val="4"/>
        <w:ind w:firstLine="562"/>
      </w:pPr>
      <w:r>
        <w:rPr>
          <w:rFonts w:hint="eastAsia"/>
        </w:rPr>
        <w:t>1</w:t>
      </w:r>
      <w:r>
        <w:t>.</w:t>
      </w:r>
      <w:r>
        <w:rPr>
          <w:rFonts w:hint="eastAsia"/>
        </w:rPr>
        <w:t>项目立项依据</w:t>
      </w:r>
    </w:p>
    <w:p>
      <w:pPr>
        <w:ind w:firstLine="540"/>
      </w:pPr>
      <w:r>
        <w:rPr>
          <w:rFonts w:hint="eastAsia"/>
        </w:rPr>
        <w:t>该项权重分值4分，实际得分4分。</w:t>
      </w:r>
    </w:p>
    <w:p>
      <w:pPr>
        <w:ind w:firstLine="540"/>
      </w:pPr>
      <w:r>
        <w:rPr>
          <w:rFonts w:hint="eastAsia"/>
          <w:lang w:eastAsia="zh-CN"/>
        </w:rPr>
        <w:t>影视文化产业发展扶持资金</w:t>
      </w:r>
      <w:r>
        <w:rPr>
          <w:rFonts w:hint="eastAsia"/>
        </w:rPr>
        <w:t>是临淄区</w:t>
      </w:r>
      <w:r>
        <w:rPr>
          <w:rFonts w:hint="eastAsia"/>
          <w:lang w:eastAsia="zh-CN"/>
        </w:rPr>
        <w:t>文旅局</w:t>
      </w:r>
      <w:r>
        <w:rPr>
          <w:rFonts w:hint="eastAsia"/>
        </w:rPr>
        <w:t>的基本预算支出，是常年性业务项目，立项符合规定。</w:t>
      </w:r>
    </w:p>
    <w:p>
      <w:pPr>
        <w:ind w:firstLine="540"/>
      </w:pPr>
      <w:r>
        <w:rPr>
          <w:rFonts w:hint="eastAsia"/>
        </w:rPr>
        <w:t>根据评分标准，该指标得分4分。</w:t>
      </w:r>
    </w:p>
    <w:p>
      <w:pPr>
        <w:pStyle w:val="4"/>
        <w:ind w:firstLine="562"/>
      </w:pPr>
      <w:r>
        <w:rPr>
          <w:rFonts w:hint="eastAsia"/>
        </w:rPr>
        <w:t>2</w:t>
      </w:r>
      <w:r>
        <w:t>.</w:t>
      </w:r>
      <w:r>
        <w:rPr>
          <w:rFonts w:hint="eastAsia"/>
        </w:rPr>
        <w:t>项目立项程序规范性</w:t>
      </w:r>
    </w:p>
    <w:p>
      <w:pPr>
        <w:ind w:firstLine="540"/>
      </w:pPr>
      <w:r>
        <w:rPr>
          <w:rFonts w:hint="eastAsia"/>
        </w:rPr>
        <w:t>该项权重分值4分，实际得分4分。</w:t>
      </w:r>
    </w:p>
    <w:p>
      <w:pPr>
        <w:ind w:firstLine="540"/>
      </w:pPr>
      <w:r>
        <w:rPr>
          <w:rFonts w:hint="eastAsia"/>
          <w:lang w:eastAsia="zh-CN"/>
        </w:rPr>
        <w:t>影视文化产业发展扶持资金</w:t>
      </w:r>
      <w:r>
        <w:rPr>
          <w:rFonts w:hint="eastAsia"/>
        </w:rPr>
        <w:t>是</w:t>
      </w:r>
      <w:r>
        <w:rPr>
          <w:rFonts w:hint="eastAsia"/>
          <w:lang w:val="en-US" w:eastAsia="zh-CN"/>
        </w:rPr>
        <w:t>“关于印发临淄区扶持影视文化产业发展规定的通知”（临政字</w:t>
      </w:r>
      <w:r>
        <w:rPr>
          <w:rFonts w:hint="eastAsia" w:ascii="宋体" w:hAnsi="宋体" w:eastAsia="宋体" w:cs="宋体"/>
          <w:lang w:val="en-US" w:eastAsia="zh-CN"/>
        </w:rPr>
        <w:t>〔</w:t>
      </w:r>
      <w:r>
        <w:rPr>
          <w:rFonts w:hint="eastAsia" w:ascii="宋体" w:hAnsi="宋体" w:cs="宋体"/>
          <w:lang w:val="en-US" w:eastAsia="zh-CN"/>
        </w:rPr>
        <w:t>2016</w:t>
      </w:r>
      <w:r>
        <w:rPr>
          <w:rFonts w:hint="eastAsia" w:ascii="宋体" w:hAnsi="宋体" w:eastAsia="宋体" w:cs="宋体"/>
          <w:lang w:val="en-US" w:eastAsia="zh-CN"/>
        </w:rPr>
        <w:t>〕</w:t>
      </w:r>
      <w:r>
        <w:rPr>
          <w:rFonts w:hint="eastAsia"/>
          <w:lang w:val="en-US" w:eastAsia="zh-CN"/>
        </w:rPr>
        <w:t>100号）和“临淄区人民政府关于进一步扶持影视文化产业发展的通知”（临政字</w:t>
      </w:r>
      <w:r>
        <w:rPr>
          <w:rFonts w:hint="eastAsia" w:ascii="宋体" w:hAnsi="宋体" w:eastAsia="宋体" w:cs="宋体"/>
          <w:lang w:val="en-US" w:eastAsia="zh-CN"/>
        </w:rPr>
        <w:t>〔</w:t>
      </w:r>
      <w:r>
        <w:rPr>
          <w:rFonts w:hint="eastAsia" w:ascii="宋体" w:hAnsi="宋体" w:cs="宋体"/>
          <w:lang w:val="en-US" w:eastAsia="zh-CN"/>
        </w:rPr>
        <w:t>2017</w:t>
      </w:r>
      <w:r>
        <w:rPr>
          <w:rFonts w:hint="eastAsia" w:ascii="宋体" w:hAnsi="宋体" w:eastAsia="宋体" w:cs="宋体"/>
          <w:lang w:val="en-US" w:eastAsia="zh-CN"/>
        </w:rPr>
        <w:t>〕</w:t>
      </w:r>
      <w:r>
        <w:rPr>
          <w:rFonts w:hint="eastAsia" w:ascii="宋体" w:hAnsi="宋体" w:cs="宋体"/>
          <w:lang w:val="en-US" w:eastAsia="zh-CN"/>
        </w:rPr>
        <w:t>24</w:t>
      </w:r>
      <w:r>
        <w:rPr>
          <w:rFonts w:hint="eastAsia"/>
          <w:lang w:val="en-US" w:eastAsia="zh-CN"/>
        </w:rPr>
        <w:t>号）等文件的</w:t>
      </w:r>
      <w:r>
        <w:rPr>
          <w:rFonts w:hint="eastAsia"/>
        </w:rPr>
        <w:t>要求，作为临淄区</w:t>
      </w:r>
      <w:r>
        <w:rPr>
          <w:rFonts w:hint="eastAsia"/>
          <w:lang w:eastAsia="zh-CN"/>
        </w:rPr>
        <w:t>文旅局</w:t>
      </w:r>
      <w:r>
        <w:rPr>
          <w:rFonts w:hint="eastAsia"/>
        </w:rPr>
        <w:t>的基本预算支出，立项程序合法合规，符合规范。</w:t>
      </w:r>
    </w:p>
    <w:p>
      <w:pPr>
        <w:ind w:firstLine="540"/>
      </w:pPr>
      <w:r>
        <w:rPr>
          <w:rFonts w:hint="eastAsia"/>
        </w:rPr>
        <w:t>根据评分标准，该指标得分4分。</w:t>
      </w:r>
      <w:r>
        <w:rPr>
          <w:rFonts w:hint="eastAsia"/>
        </w:rPr>
        <w:br w:type="textWrapping"/>
      </w:r>
      <w:r>
        <w:rPr>
          <w:rFonts w:hint="eastAsia"/>
        </w:rPr>
        <w:t>3</w:t>
      </w:r>
      <w:r>
        <w:t>.</w:t>
      </w:r>
      <w:r>
        <w:rPr>
          <w:rFonts w:hint="eastAsia"/>
        </w:rPr>
        <w:t>项目目标制定</w:t>
      </w:r>
    </w:p>
    <w:p>
      <w:pPr>
        <w:ind w:firstLine="540"/>
      </w:pPr>
      <w:r>
        <w:rPr>
          <w:rFonts w:hint="eastAsia"/>
        </w:rPr>
        <w:t>该项权重分值</w:t>
      </w:r>
      <w:r>
        <w:t>3</w:t>
      </w:r>
      <w:r>
        <w:rPr>
          <w:rFonts w:hint="eastAsia"/>
        </w:rPr>
        <w:t>分，实际得分</w:t>
      </w:r>
      <w:r>
        <w:t>3</w:t>
      </w:r>
      <w:r>
        <w:rPr>
          <w:rFonts w:hint="eastAsia"/>
        </w:rPr>
        <w:t>分。</w:t>
      </w:r>
    </w:p>
    <w:p>
      <w:pPr>
        <w:ind w:firstLine="540"/>
      </w:pPr>
      <w:r>
        <w:rPr>
          <w:rFonts w:hint="eastAsia"/>
        </w:rPr>
        <w:t>本项目在资金申请时设置了绩效目标，制定了明确的投资进度计划，并设定了长期绩效目标和年度目标。年度指标明细将项目绩效目标细化为具体的绩效指标，分为</w:t>
      </w:r>
      <w:r>
        <w:t>2</w:t>
      </w:r>
      <w:r>
        <w:rPr>
          <w:rFonts w:hint="eastAsia"/>
        </w:rPr>
        <w:t>个一级指标、</w:t>
      </w:r>
      <w:r>
        <w:t>2</w:t>
      </w:r>
      <w:r>
        <w:rPr>
          <w:rFonts w:hint="eastAsia"/>
        </w:rPr>
        <w:t>个二级指标、</w:t>
      </w:r>
      <w:r>
        <w:t>6</w:t>
      </w:r>
      <w:r>
        <w:rPr>
          <w:rFonts w:hint="eastAsia"/>
        </w:rPr>
        <w:t>个三级指标，并设置了社会效益指标、满意度指标等，指标值清晰可衡量。</w:t>
      </w:r>
    </w:p>
    <w:p>
      <w:pPr>
        <w:ind w:firstLine="540"/>
      </w:pPr>
      <w:r>
        <w:rPr>
          <w:rFonts w:hint="eastAsia"/>
        </w:rPr>
        <w:t>根据评分标准，该指标得分3分。</w:t>
      </w:r>
    </w:p>
    <w:p>
      <w:pPr>
        <w:pStyle w:val="4"/>
        <w:ind w:firstLine="562"/>
      </w:pPr>
      <w:r>
        <w:rPr>
          <w:rFonts w:hint="eastAsia"/>
        </w:rPr>
        <w:t>4</w:t>
      </w:r>
      <w:r>
        <w:t>.</w:t>
      </w:r>
      <w:r>
        <w:rPr>
          <w:rFonts w:hint="eastAsia"/>
        </w:rPr>
        <w:t>项目目标合理性</w:t>
      </w:r>
    </w:p>
    <w:p>
      <w:pPr>
        <w:ind w:firstLine="540"/>
      </w:pPr>
      <w:r>
        <w:rPr>
          <w:rFonts w:hint="eastAsia"/>
        </w:rPr>
        <w:t>该项权重分值</w:t>
      </w:r>
      <w:r>
        <w:t>3</w:t>
      </w:r>
      <w:r>
        <w:rPr>
          <w:rFonts w:hint="eastAsia"/>
        </w:rPr>
        <w:t>分，实际得分</w:t>
      </w:r>
      <w:r>
        <w:rPr>
          <w:rFonts w:hint="eastAsia"/>
          <w:lang w:val="en-US" w:eastAsia="zh-CN"/>
        </w:rPr>
        <w:t>3</w:t>
      </w:r>
      <w:r>
        <w:rPr>
          <w:rFonts w:hint="eastAsia"/>
        </w:rPr>
        <w:t>分。</w:t>
      </w:r>
    </w:p>
    <w:p>
      <w:pPr>
        <w:ind w:firstLine="540"/>
      </w:pPr>
      <w:r>
        <w:rPr>
          <w:rFonts w:hint="eastAsia"/>
        </w:rPr>
        <w:t>制定了明确的投资进度计划，并有详细的项目测算依据，长期绩效目标和年度目标明确，符合项目实际，贴合项目内容。年度指标明细将项目绩效目标细化为具体的绩效指标，并设置了社会效益指标、满意度指标等，指标值清晰可衡量。根据评分标准，该指标得分</w:t>
      </w:r>
      <w:r>
        <w:rPr>
          <w:rFonts w:hint="eastAsia"/>
          <w:lang w:val="en-US" w:eastAsia="zh-CN"/>
        </w:rPr>
        <w:t>3</w:t>
      </w:r>
      <w:r>
        <w:rPr>
          <w:rFonts w:hint="eastAsia"/>
        </w:rPr>
        <w:t>分。</w:t>
      </w:r>
    </w:p>
    <w:p>
      <w:pPr>
        <w:pStyle w:val="4"/>
        <w:ind w:firstLine="562"/>
      </w:pPr>
      <w:r>
        <w:t>5.</w:t>
      </w:r>
      <w:r>
        <w:rPr>
          <w:rFonts w:hint="eastAsia"/>
        </w:rPr>
        <w:t>预算编制科学性</w:t>
      </w:r>
    </w:p>
    <w:p>
      <w:pPr>
        <w:ind w:firstLine="540"/>
      </w:pPr>
      <w:r>
        <w:rPr>
          <w:rFonts w:hint="eastAsia"/>
        </w:rPr>
        <w:t>该项权重分值</w:t>
      </w:r>
      <w:r>
        <w:t>3</w:t>
      </w:r>
      <w:r>
        <w:rPr>
          <w:rFonts w:hint="eastAsia"/>
        </w:rPr>
        <w:t>分，实际得分</w:t>
      </w:r>
      <w:r>
        <w:t>3</w:t>
      </w:r>
      <w:r>
        <w:rPr>
          <w:rFonts w:hint="eastAsia"/>
        </w:rPr>
        <w:t>分。</w:t>
      </w:r>
    </w:p>
    <w:p>
      <w:pPr>
        <w:ind w:firstLine="540"/>
      </w:pPr>
      <w:r>
        <w:rPr>
          <w:rFonts w:hint="eastAsia"/>
        </w:rPr>
        <w:t>本项目预算申请时，详细编制了管理经费、水电费、设施维修（维护）、消耗品采购、垃圾车辆维修、油耗、管理运行等费用，预算详细合理，编制依据科学。</w:t>
      </w:r>
    </w:p>
    <w:p>
      <w:pPr>
        <w:ind w:firstLine="540"/>
      </w:pPr>
      <w:r>
        <w:rPr>
          <w:rFonts w:hint="eastAsia"/>
        </w:rPr>
        <w:t>根据评分标准，该指标得分3分。</w:t>
      </w:r>
    </w:p>
    <w:p>
      <w:pPr>
        <w:pStyle w:val="4"/>
        <w:ind w:firstLine="562"/>
      </w:pPr>
      <w:r>
        <w:t>6.</w:t>
      </w:r>
      <w:r>
        <w:rPr>
          <w:rFonts w:hint="eastAsia"/>
        </w:rPr>
        <w:t>资金分配的合理性</w:t>
      </w:r>
    </w:p>
    <w:p>
      <w:pPr>
        <w:ind w:firstLine="540"/>
      </w:pPr>
      <w:r>
        <w:rPr>
          <w:rFonts w:hint="eastAsia"/>
        </w:rPr>
        <w:t>该项权重分值3分，实际得分</w:t>
      </w:r>
      <w:r>
        <w:t>3</w:t>
      </w:r>
      <w:r>
        <w:rPr>
          <w:rFonts w:hint="eastAsia"/>
        </w:rPr>
        <w:t>分。</w:t>
      </w:r>
    </w:p>
    <w:p>
      <w:pPr>
        <w:ind w:firstLine="540"/>
      </w:pPr>
      <w:r>
        <w:rPr>
          <w:rFonts w:hint="eastAsia"/>
        </w:rPr>
        <w:t>本项目资金分配按照部门预算基本要求，对符合资金使用要求的项目进行实报实销，资金分配合理。项目预算资金分配有详细的测算依据，与实际情况相适应，项目预算资金分配科学、合理。</w:t>
      </w:r>
    </w:p>
    <w:p>
      <w:pPr>
        <w:ind w:firstLine="540"/>
      </w:pPr>
      <w:r>
        <w:rPr>
          <w:rFonts w:hint="eastAsia"/>
        </w:rPr>
        <w:t>根据评分标准，该指标得分3分。</w:t>
      </w:r>
    </w:p>
    <w:p>
      <w:pPr>
        <w:pStyle w:val="3"/>
        <w:ind w:firstLine="562"/>
      </w:pPr>
      <w:bookmarkStart w:id="29" w:name="_Toc48120208"/>
      <w:r>
        <w:rPr>
          <w:rFonts w:hint="eastAsia"/>
        </w:rPr>
        <w:t>（二）项目过程情况</w:t>
      </w:r>
      <w:bookmarkEnd w:id="29"/>
    </w:p>
    <w:p>
      <w:pPr>
        <w:ind w:firstLine="540"/>
      </w:pPr>
      <w:r>
        <w:rPr>
          <w:rFonts w:hint="eastAsia"/>
        </w:rPr>
        <w:t>项目过程情况共设置1个一级指标，2个二级指标，6个三级指标，6个四级指标，旨在评价项目在过程阶段的资金管理情况、组织实施情况（具体得分详见下表）。</w:t>
      </w:r>
    </w:p>
    <w:p>
      <w:pPr>
        <w:ind w:firstLine="0" w:firstLineChars="0"/>
        <w:jc w:val="center"/>
        <w:rPr>
          <w:rFonts w:ascii="宋体" w:hAnsi="宋体"/>
          <w:sz w:val="24"/>
          <w:szCs w:val="24"/>
        </w:rPr>
      </w:pPr>
      <w:r>
        <w:rPr>
          <w:rFonts w:hint="eastAsia" w:ascii="宋体" w:hAnsi="宋体"/>
          <w:sz w:val="24"/>
          <w:szCs w:val="24"/>
        </w:rPr>
        <w:t>表4：项目过程情况得分表</w:t>
      </w:r>
    </w:p>
    <w:tbl>
      <w:tblPr>
        <w:tblStyle w:val="12"/>
        <w:tblW w:w="8359" w:type="dxa"/>
        <w:tblInd w:w="113" w:type="dxa"/>
        <w:tblLayout w:type="autofit"/>
        <w:tblCellMar>
          <w:top w:w="0" w:type="dxa"/>
          <w:left w:w="108" w:type="dxa"/>
          <w:bottom w:w="0" w:type="dxa"/>
          <w:right w:w="108" w:type="dxa"/>
        </w:tblCellMar>
      </w:tblPr>
      <w:tblGrid>
        <w:gridCol w:w="1020"/>
        <w:gridCol w:w="1102"/>
        <w:gridCol w:w="1417"/>
        <w:gridCol w:w="3686"/>
        <w:gridCol w:w="1134"/>
      </w:tblGrid>
      <w:tr>
        <w:tblPrEx>
          <w:tblCellMar>
            <w:top w:w="0" w:type="dxa"/>
            <w:left w:w="108" w:type="dxa"/>
            <w:bottom w:w="0" w:type="dxa"/>
            <w:right w:w="108" w:type="dxa"/>
          </w:tblCellMar>
        </w:tblPrEx>
        <w:trPr>
          <w:trHeight w:val="800" w:hRule="atLeast"/>
        </w:trPr>
        <w:tc>
          <w:tcPr>
            <w:tcW w:w="1020" w:type="dxa"/>
            <w:tcBorders>
              <w:top w:val="single" w:color="auto" w:sz="4" w:space="0"/>
              <w:left w:val="single" w:color="auto" w:sz="4" w:space="0"/>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一级指标及分值</w:t>
            </w:r>
          </w:p>
        </w:tc>
        <w:tc>
          <w:tcPr>
            <w:tcW w:w="1102"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二级指标及分值</w:t>
            </w:r>
          </w:p>
        </w:tc>
        <w:tc>
          <w:tcPr>
            <w:tcW w:w="1417"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三级指标及分值</w:t>
            </w:r>
          </w:p>
        </w:tc>
        <w:tc>
          <w:tcPr>
            <w:tcW w:w="3686"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四级指标及分值</w:t>
            </w:r>
          </w:p>
        </w:tc>
        <w:tc>
          <w:tcPr>
            <w:tcW w:w="1134"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得分</w:t>
            </w:r>
          </w:p>
        </w:tc>
      </w:tr>
      <w:tr>
        <w:tblPrEx>
          <w:tblCellMar>
            <w:top w:w="0" w:type="dxa"/>
            <w:left w:w="108" w:type="dxa"/>
            <w:bottom w:w="0" w:type="dxa"/>
            <w:right w:w="108" w:type="dxa"/>
          </w:tblCellMar>
        </w:tblPrEx>
        <w:trPr>
          <w:trHeight w:val="600" w:hRule="atLeast"/>
        </w:trPr>
        <w:tc>
          <w:tcPr>
            <w:tcW w:w="1020" w:type="dxa"/>
            <w:tcBorders>
              <w:top w:val="nil"/>
              <w:left w:val="single" w:color="auto" w:sz="4" w:space="0"/>
              <w:bottom w:val="nil"/>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02" w:type="dxa"/>
            <w:vMerge w:val="restart"/>
            <w:tcBorders>
              <w:top w:val="nil"/>
              <w:left w:val="single" w:color="auto" w:sz="4" w:space="0"/>
              <w:bottom w:val="nil"/>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资金管理</w:t>
            </w:r>
            <w:r>
              <w:rPr>
                <w:rFonts w:hint="eastAsia" w:ascii="宋体" w:hAnsi="宋体" w:cs="宋体"/>
                <w:kern w:val="0"/>
                <w:sz w:val="21"/>
                <w:szCs w:val="21"/>
              </w:rPr>
              <w:br w:type="textWrapping"/>
            </w:r>
            <w:r>
              <w:rPr>
                <w:rFonts w:hint="eastAsia" w:ascii="宋体" w:hAnsi="宋体" w:cs="宋体"/>
                <w:kern w:val="0"/>
                <w:sz w:val="21"/>
                <w:szCs w:val="21"/>
              </w:rPr>
              <w:t>(10分)</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资金到位率</w:t>
            </w:r>
            <w:r>
              <w:rPr>
                <w:rFonts w:hint="eastAsia" w:ascii="宋体" w:hAnsi="宋体" w:cs="宋体"/>
                <w:kern w:val="0"/>
                <w:sz w:val="21"/>
                <w:szCs w:val="21"/>
              </w:rPr>
              <w:br w:type="textWrapping"/>
            </w:r>
            <w:r>
              <w:rPr>
                <w:rFonts w:hint="eastAsia" w:ascii="宋体" w:hAnsi="宋体" w:cs="宋体"/>
                <w:kern w:val="0"/>
                <w:sz w:val="21"/>
                <w:szCs w:val="21"/>
              </w:rPr>
              <w:t>（3分）</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财政资金到位率</w:t>
            </w:r>
            <w:r>
              <w:rPr>
                <w:rFonts w:hint="eastAsia" w:ascii="宋体" w:hAnsi="宋体" w:cs="宋体"/>
                <w:kern w:val="0"/>
                <w:sz w:val="21"/>
                <w:szCs w:val="21"/>
              </w:rPr>
              <w:br w:type="textWrapping"/>
            </w:r>
            <w:r>
              <w:rPr>
                <w:rFonts w:hint="eastAsia" w:ascii="宋体" w:hAnsi="宋体" w:cs="宋体"/>
                <w:kern w:val="0"/>
                <w:sz w:val="21"/>
                <w:szCs w:val="21"/>
              </w:rPr>
              <w:t>（3分）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2.63</w:t>
            </w:r>
          </w:p>
        </w:tc>
      </w:tr>
      <w:tr>
        <w:tblPrEx>
          <w:tblCellMar>
            <w:top w:w="0" w:type="dxa"/>
            <w:left w:w="108" w:type="dxa"/>
            <w:bottom w:w="0" w:type="dxa"/>
            <w:right w:w="108" w:type="dxa"/>
          </w:tblCellMar>
        </w:tblPrEx>
        <w:trPr>
          <w:trHeight w:val="247" w:hRule="atLeast"/>
        </w:trPr>
        <w:tc>
          <w:tcPr>
            <w:tcW w:w="1020" w:type="dxa"/>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p>
            <w:pPr>
              <w:spacing w:line="240" w:lineRule="auto"/>
              <w:ind w:firstLine="420"/>
              <w:jc w:val="center"/>
              <w:rPr>
                <w:rFonts w:ascii="宋体" w:hAnsi="宋体" w:cs="宋体"/>
                <w:color w:val="000000"/>
                <w:kern w:val="0"/>
                <w:sz w:val="21"/>
                <w:szCs w:val="21"/>
              </w:rPr>
            </w:pPr>
            <w:r>
              <w:rPr>
                <w:rFonts w:hint="eastAsia" w:ascii="宋体" w:hAnsi="宋体" w:cs="宋体"/>
                <w:color w:val="000000"/>
                <w:kern w:val="0"/>
                <w:sz w:val="21"/>
                <w:szCs w:val="21"/>
              </w:rPr>
              <w:t>过程（20分）</w:t>
            </w:r>
          </w:p>
        </w:tc>
        <w:tc>
          <w:tcPr>
            <w:tcW w:w="110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预算执行率（3分）</w:t>
            </w:r>
          </w:p>
        </w:tc>
        <w:tc>
          <w:tcPr>
            <w:tcW w:w="36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预算执行率（3分）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lang w:val="en-US" w:eastAsia="zh-CN"/>
              </w:rPr>
              <w:t>2.63</w:t>
            </w:r>
          </w:p>
        </w:tc>
      </w:tr>
      <w:tr>
        <w:tblPrEx>
          <w:tblCellMar>
            <w:top w:w="0" w:type="dxa"/>
            <w:left w:w="108" w:type="dxa"/>
            <w:bottom w:w="0" w:type="dxa"/>
            <w:right w:w="108" w:type="dxa"/>
          </w:tblCellMar>
        </w:tblPrEx>
        <w:trPr>
          <w:trHeight w:val="596" w:hRule="atLeast"/>
        </w:trPr>
        <w:tc>
          <w:tcPr>
            <w:tcW w:w="1020" w:type="dxa"/>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p>
        </w:tc>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资金使用合规性（4分）</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按照财政、财务制度进行核算，资金支出专款专用，公开、透明，手续规范（4分）</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4</w:t>
            </w:r>
          </w:p>
        </w:tc>
      </w:tr>
      <w:tr>
        <w:tblPrEx>
          <w:tblCellMar>
            <w:top w:w="0" w:type="dxa"/>
            <w:left w:w="108" w:type="dxa"/>
            <w:bottom w:w="0" w:type="dxa"/>
            <w:right w:w="108" w:type="dxa"/>
          </w:tblCellMar>
        </w:tblPrEx>
        <w:trPr>
          <w:trHeight w:val="586" w:hRule="atLeast"/>
        </w:trPr>
        <w:tc>
          <w:tcPr>
            <w:tcW w:w="1020" w:type="dxa"/>
            <w:vMerge w:val="continue"/>
            <w:tcBorders>
              <w:left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1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组织实施（10分）</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组织机构</w:t>
            </w:r>
            <w:r>
              <w:rPr>
                <w:rFonts w:hint="eastAsia" w:ascii="宋体" w:hAnsi="宋体" w:cs="宋体"/>
                <w:kern w:val="0"/>
                <w:sz w:val="21"/>
                <w:szCs w:val="21"/>
              </w:rPr>
              <w:br w:type="textWrapping"/>
            </w:r>
            <w:r>
              <w:rPr>
                <w:rFonts w:hint="eastAsia" w:ascii="宋体" w:hAnsi="宋体" w:cs="宋体"/>
                <w:kern w:val="0"/>
                <w:sz w:val="21"/>
                <w:szCs w:val="21"/>
              </w:rPr>
              <w:t>（2分）</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设立专门的项目管理机构或工作小组（1分）；建立组织领导和工作协调机制并分工明确（1分）</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0</w:t>
            </w:r>
          </w:p>
        </w:tc>
      </w:tr>
      <w:tr>
        <w:tblPrEx>
          <w:tblCellMar>
            <w:top w:w="0" w:type="dxa"/>
            <w:left w:w="108" w:type="dxa"/>
            <w:bottom w:w="0" w:type="dxa"/>
            <w:right w:w="108" w:type="dxa"/>
          </w:tblCellMar>
        </w:tblPrEx>
        <w:trPr>
          <w:trHeight w:val="564" w:hRule="atLeast"/>
        </w:trPr>
        <w:tc>
          <w:tcPr>
            <w:tcW w:w="1020" w:type="dxa"/>
            <w:vMerge w:val="continue"/>
            <w:tcBorders>
              <w:left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管理制度健全性（4分）</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管理制度的健全性（4分）</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4</w:t>
            </w:r>
          </w:p>
        </w:tc>
      </w:tr>
      <w:tr>
        <w:tblPrEx>
          <w:tblCellMar>
            <w:top w:w="0" w:type="dxa"/>
            <w:left w:w="108" w:type="dxa"/>
            <w:bottom w:w="0" w:type="dxa"/>
            <w:right w:w="108" w:type="dxa"/>
          </w:tblCellMar>
        </w:tblPrEx>
        <w:trPr>
          <w:trHeight w:val="538" w:hRule="atLeast"/>
        </w:trPr>
        <w:tc>
          <w:tcPr>
            <w:tcW w:w="1020"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制度执行有效性（4分）</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财务等管理制度是否能有效执行（4分）</w:t>
            </w:r>
            <w:r>
              <w:rPr>
                <w:rFonts w:ascii="宋体" w:hAnsi="宋体" w:cs="Calibri"/>
                <w:color w:val="000000"/>
                <w:kern w:val="0"/>
                <w:sz w:val="21"/>
                <w:szCs w:val="21"/>
              </w:rPr>
              <w:t xml:space="preserve">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4</w:t>
            </w:r>
          </w:p>
        </w:tc>
      </w:tr>
      <w:tr>
        <w:tblPrEx>
          <w:tblCellMar>
            <w:top w:w="0" w:type="dxa"/>
            <w:left w:w="108" w:type="dxa"/>
            <w:bottom w:w="0" w:type="dxa"/>
            <w:right w:w="108" w:type="dxa"/>
          </w:tblCellMar>
        </w:tblPrEx>
        <w:trPr>
          <w:trHeight w:val="476" w:hRule="atLeast"/>
        </w:trPr>
        <w:tc>
          <w:tcPr>
            <w:tcW w:w="722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xml:space="preserve">总 </w:t>
            </w:r>
            <w:r>
              <w:rPr>
                <w:rFonts w:ascii="宋体" w:hAnsi="宋体" w:cs="宋体"/>
                <w:color w:val="000000"/>
                <w:kern w:val="0"/>
                <w:sz w:val="21"/>
                <w:szCs w:val="21"/>
              </w:rPr>
              <w:t xml:space="preserve"> </w:t>
            </w:r>
            <w:r>
              <w:rPr>
                <w:rFonts w:hint="eastAsia" w:ascii="宋体" w:hAnsi="宋体" w:cs="宋体"/>
                <w:color w:val="000000"/>
                <w:kern w:val="0"/>
                <w:sz w:val="21"/>
                <w:szCs w:val="21"/>
              </w:rPr>
              <w:t>分</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17.26</w:t>
            </w:r>
          </w:p>
        </w:tc>
      </w:tr>
    </w:tbl>
    <w:p>
      <w:pPr>
        <w:pStyle w:val="4"/>
        <w:ind w:firstLine="562"/>
      </w:pPr>
      <w:r>
        <w:rPr>
          <w:rFonts w:hint="eastAsia"/>
        </w:rPr>
        <w:t>1</w:t>
      </w:r>
      <w:r>
        <w:t>.</w:t>
      </w:r>
      <w:r>
        <w:rPr>
          <w:rFonts w:hint="eastAsia"/>
        </w:rPr>
        <w:t>资金到位率</w:t>
      </w:r>
    </w:p>
    <w:p>
      <w:pPr>
        <w:ind w:firstLine="540"/>
      </w:pPr>
      <w:r>
        <w:rPr>
          <w:rFonts w:hint="eastAsia"/>
        </w:rPr>
        <w:t>该项权重分值</w:t>
      </w:r>
      <w:r>
        <w:t>3</w:t>
      </w:r>
      <w:r>
        <w:rPr>
          <w:rFonts w:hint="eastAsia"/>
        </w:rPr>
        <w:t>分，实际得分</w:t>
      </w:r>
      <w:r>
        <w:rPr>
          <w:rFonts w:hint="eastAsia"/>
          <w:lang w:val="en-US" w:eastAsia="zh-CN"/>
        </w:rPr>
        <w:t>2.63</w:t>
      </w:r>
      <w:r>
        <w:rPr>
          <w:rFonts w:hint="eastAsia"/>
        </w:rPr>
        <w:t>分。</w:t>
      </w:r>
    </w:p>
    <w:p>
      <w:pPr>
        <w:ind w:firstLine="540"/>
      </w:pPr>
      <w:r>
        <w:rPr>
          <w:rFonts w:hint="eastAsia"/>
        </w:rPr>
        <w:t>本项目资金为</w:t>
      </w:r>
      <w:r>
        <w:rPr>
          <w:rFonts w:hint="eastAsia"/>
          <w:lang w:eastAsia="zh-CN"/>
        </w:rPr>
        <w:t>影视文化产业发展扶持资金</w:t>
      </w:r>
      <w:r>
        <w:rPr>
          <w:rFonts w:hint="eastAsia"/>
        </w:rPr>
        <w:t>，预算共计</w:t>
      </w:r>
      <w:r>
        <w:rPr>
          <w:rFonts w:hint="eastAsia"/>
          <w:lang w:val="en-US" w:eastAsia="zh-CN"/>
        </w:rPr>
        <w:t>1000</w:t>
      </w:r>
      <w:r>
        <w:rPr>
          <w:rFonts w:hint="eastAsia"/>
        </w:rPr>
        <w:t>万元，经查询财务资料，资金到位</w:t>
      </w:r>
      <w:r>
        <w:rPr>
          <w:rFonts w:hint="eastAsia"/>
          <w:lang w:val="en-US" w:eastAsia="zh-CN"/>
        </w:rPr>
        <w:t>876.59万元</w:t>
      </w:r>
      <w:r>
        <w:rPr>
          <w:rFonts w:hint="eastAsia"/>
        </w:rPr>
        <w:t>，到位率</w:t>
      </w:r>
      <w:r>
        <w:rPr>
          <w:rFonts w:hint="eastAsia"/>
          <w:lang w:val="en-US" w:eastAsia="zh-CN"/>
        </w:rPr>
        <w:t>87.66</w:t>
      </w:r>
      <w:r>
        <w:rPr>
          <w:rFonts w:hint="eastAsia"/>
        </w:rPr>
        <w:t>%。</w:t>
      </w:r>
    </w:p>
    <w:p>
      <w:pPr>
        <w:ind w:firstLine="540"/>
      </w:pPr>
      <w:r>
        <w:rPr>
          <w:rFonts w:hint="eastAsia"/>
        </w:rPr>
        <w:t>根据评分标准，该指标得分</w:t>
      </w:r>
      <w:r>
        <w:rPr>
          <w:rFonts w:hint="eastAsia"/>
          <w:lang w:val="en-US" w:eastAsia="zh-CN"/>
        </w:rPr>
        <w:t>2.63</w:t>
      </w:r>
      <w:r>
        <w:rPr>
          <w:rFonts w:hint="eastAsia"/>
        </w:rPr>
        <w:t>分。</w:t>
      </w:r>
    </w:p>
    <w:p>
      <w:pPr>
        <w:pStyle w:val="4"/>
        <w:ind w:firstLine="562"/>
      </w:pPr>
      <w:r>
        <w:rPr>
          <w:rFonts w:hint="eastAsia"/>
        </w:rPr>
        <w:t>2</w:t>
      </w:r>
      <w:r>
        <w:t>.</w:t>
      </w:r>
      <w:r>
        <w:rPr>
          <w:rFonts w:hint="eastAsia"/>
        </w:rPr>
        <w:t>预算执行率</w:t>
      </w:r>
    </w:p>
    <w:p>
      <w:pPr>
        <w:ind w:firstLine="540"/>
      </w:pPr>
      <w:r>
        <w:rPr>
          <w:rFonts w:hint="eastAsia"/>
        </w:rPr>
        <w:t>该项权重分值</w:t>
      </w:r>
      <w:r>
        <w:t>3</w:t>
      </w:r>
      <w:r>
        <w:rPr>
          <w:rFonts w:hint="eastAsia"/>
        </w:rPr>
        <w:t>分，实际得分</w:t>
      </w:r>
      <w:r>
        <w:t>2.</w:t>
      </w:r>
      <w:r>
        <w:rPr>
          <w:rFonts w:hint="eastAsia"/>
          <w:lang w:val="en-US" w:eastAsia="zh-CN"/>
        </w:rPr>
        <w:t>63</w:t>
      </w:r>
      <w:r>
        <w:rPr>
          <w:rFonts w:hint="eastAsia"/>
        </w:rPr>
        <w:t>分。</w:t>
      </w:r>
    </w:p>
    <w:p>
      <w:pPr>
        <w:ind w:firstLine="540"/>
      </w:pPr>
      <w:r>
        <w:rPr>
          <w:rFonts w:hint="eastAsia"/>
        </w:rPr>
        <w:t>经查询本项目财务资料，预算资金为</w:t>
      </w:r>
      <w:r>
        <w:rPr>
          <w:rFonts w:hint="eastAsia"/>
          <w:lang w:val="en-US" w:eastAsia="zh-CN"/>
        </w:rPr>
        <w:t>1000</w:t>
      </w:r>
      <w:r>
        <w:rPr>
          <w:rFonts w:hint="eastAsia"/>
        </w:rPr>
        <w:t>万元，实际执行资金为</w:t>
      </w:r>
      <w:r>
        <w:rPr>
          <w:rFonts w:hint="eastAsia"/>
          <w:lang w:val="en-US" w:eastAsia="zh-CN"/>
        </w:rPr>
        <w:t>876.59</w:t>
      </w:r>
      <w:r>
        <w:rPr>
          <w:rFonts w:hint="eastAsia"/>
        </w:rPr>
        <w:t>万元，预算执行率为</w:t>
      </w:r>
      <w:r>
        <w:rPr>
          <w:rFonts w:hint="eastAsia"/>
          <w:lang w:val="en-US" w:eastAsia="zh-CN"/>
        </w:rPr>
        <w:t>87.66</w:t>
      </w:r>
      <w:r>
        <w:rPr>
          <w:rFonts w:hint="eastAsia"/>
        </w:rPr>
        <w:t>%。</w:t>
      </w:r>
    </w:p>
    <w:p>
      <w:pPr>
        <w:ind w:firstLine="540"/>
      </w:pPr>
      <w:r>
        <w:rPr>
          <w:rFonts w:hint="eastAsia"/>
        </w:rPr>
        <w:t>根据评分标准，该指标得分</w:t>
      </w:r>
      <w:r>
        <w:rPr>
          <w:rFonts w:hint="eastAsia"/>
          <w:lang w:val="en-US" w:eastAsia="zh-CN"/>
        </w:rPr>
        <w:t>2.63</w:t>
      </w:r>
      <w:r>
        <w:rPr>
          <w:rFonts w:hint="eastAsia"/>
        </w:rPr>
        <w:t>分。</w:t>
      </w:r>
    </w:p>
    <w:p>
      <w:pPr>
        <w:pStyle w:val="4"/>
        <w:ind w:firstLine="562"/>
      </w:pPr>
      <w:r>
        <w:rPr>
          <w:rFonts w:hint="eastAsia"/>
        </w:rPr>
        <w:t>3</w:t>
      </w:r>
      <w:r>
        <w:t>.</w:t>
      </w:r>
      <w:r>
        <w:rPr>
          <w:rFonts w:hint="eastAsia"/>
        </w:rPr>
        <w:t>资金使用合规性</w:t>
      </w:r>
    </w:p>
    <w:p>
      <w:pPr>
        <w:ind w:firstLine="540"/>
      </w:pPr>
      <w:r>
        <w:rPr>
          <w:rFonts w:hint="eastAsia"/>
        </w:rPr>
        <w:t>该项权重分值</w:t>
      </w:r>
      <w:r>
        <w:t>4</w:t>
      </w:r>
      <w:r>
        <w:rPr>
          <w:rFonts w:hint="eastAsia"/>
        </w:rPr>
        <w:t>分，实际得分</w:t>
      </w:r>
      <w:r>
        <w:rPr>
          <w:rFonts w:hint="eastAsia"/>
          <w:lang w:val="en-US" w:eastAsia="zh-CN"/>
        </w:rPr>
        <w:t>4</w:t>
      </w:r>
      <w:r>
        <w:rPr>
          <w:rFonts w:hint="eastAsia"/>
        </w:rPr>
        <w:t>分。</w:t>
      </w:r>
    </w:p>
    <w:p>
      <w:pPr>
        <w:ind w:firstLine="540"/>
      </w:pPr>
      <w:r>
        <w:rPr>
          <w:rFonts w:hint="eastAsia"/>
        </w:rPr>
        <w:t>本项目资金在使用上符合资金使用范围</w:t>
      </w:r>
      <w:r>
        <w:rPr>
          <w:rFonts w:hint="eastAsia"/>
          <w:lang w:val="en-US" w:eastAsia="zh-CN"/>
        </w:rPr>
        <w:t>和规定</w:t>
      </w:r>
      <w:r>
        <w:rPr>
          <w:rFonts w:hint="eastAsia"/>
        </w:rPr>
        <w:t>，经查询临淄区</w:t>
      </w:r>
      <w:r>
        <w:rPr>
          <w:rFonts w:hint="eastAsia"/>
          <w:lang w:eastAsia="zh-CN"/>
        </w:rPr>
        <w:t>文旅局</w:t>
      </w:r>
      <w:r>
        <w:rPr>
          <w:rFonts w:hint="eastAsia"/>
        </w:rPr>
        <w:t>的财务系统，资金支出专款专用，公开、透明、手续规范，未发现截留、挤占、挪用、套取专项资金等不合规问题。</w:t>
      </w:r>
      <w:bookmarkStart w:id="30" w:name="_Hlk46925981"/>
    </w:p>
    <w:p>
      <w:pPr>
        <w:ind w:firstLine="540"/>
      </w:pPr>
      <w:r>
        <w:rPr>
          <w:rFonts w:hint="eastAsia"/>
        </w:rPr>
        <w:t>根据评分标准，该指标得分</w:t>
      </w:r>
      <w:r>
        <w:t>3</w:t>
      </w:r>
      <w:r>
        <w:rPr>
          <w:rFonts w:hint="eastAsia"/>
        </w:rPr>
        <w:t>分</w:t>
      </w:r>
      <w:bookmarkEnd w:id="30"/>
      <w:r>
        <w:rPr>
          <w:rFonts w:hint="eastAsia"/>
        </w:rPr>
        <w:t>。</w:t>
      </w:r>
    </w:p>
    <w:p>
      <w:pPr>
        <w:pStyle w:val="4"/>
        <w:ind w:firstLine="562"/>
      </w:pPr>
      <w:r>
        <w:rPr>
          <w:rFonts w:hint="eastAsia"/>
        </w:rPr>
        <w:t>4</w:t>
      </w:r>
      <w:r>
        <w:t>.</w:t>
      </w:r>
      <w:r>
        <w:rPr>
          <w:rFonts w:hint="eastAsia"/>
        </w:rPr>
        <w:t>组织机构</w:t>
      </w:r>
    </w:p>
    <w:p>
      <w:pPr>
        <w:ind w:firstLine="540"/>
      </w:pPr>
      <w:r>
        <w:rPr>
          <w:rFonts w:hint="eastAsia"/>
        </w:rPr>
        <w:t>该项权重分值</w:t>
      </w:r>
      <w:r>
        <w:t>2</w:t>
      </w:r>
      <w:r>
        <w:rPr>
          <w:rFonts w:hint="eastAsia"/>
        </w:rPr>
        <w:t>分，实际得分</w:t>
      </w:r>
      <w:r>
        <w:rPr>
          <w:rFonts w:hint="eastAsia"/>
          <w:lang w:val="en-US" w:eastAsia="zh-CN"/>
        </w:rPr>
        <w:t>0</w:t>
      </w:r>
      <w:r>
        <w:rPr>
          <w:rFonts w:hint="eastAsia"/>
        </w:rPr>
        <w:t>分。</w:t>
      </w:r>
    </w:p>
    <w:p>
      <w:pPr>
        <w:ind w:firstLine="540"/>
      </w:pPr>
      <w:r>
        <w:rPr>
          <w:rFonts w:hint="eastAsia"/>
        </w:rPr>
        <w:t>临淄区</w:t>
      </w:r>
      <w:r>
        <w:rPr>
          <w:rFonts w:hint="eastAsia"/>
          <w:lang w:eastAsia="zh-CN"/>
        </w:rPr>
        <w:t>文旅局</w:t>
      </w:r>
      <w:r>
        <w:rPr>
          <w:rFonts w:hint="eastAsia"/>
        </w:rPr>
        <w:t>未设置专门的项目管理机构和工作小组。</w:t>
      </w:r>
    </w:p>
    <w:p>
      <w:pPr>
        <w:ind w:firstLine="540"/>
      </w:pPr>
      <w:r>
        <w:rPr>
          <w:rFonts w:hint="eastAsia"/>
        </w:rPr>
        <w:t>根据评分标准，该指标得分</w:t>
      </w:r>
      <w:r>
        <w:t>0</w:t>
      </w:r>
      <w:r>
        <w:rPr>
          <w:rFonts w:hint="eastAsia"/>
        </w:rPr>
        <w:t>分。</w:t>
      </w:r>
    </w:p>
    <w:p>
      <w:pPr>
        <w:pStyle w:val="4"/>
        <w:ind w:firstLine="562"/>
      </w:pPr>
      <w:r>
        <w:t>5.</w:t>
      </w:r>
      <w:r>
        <w:rPr>
          <w:rFonts w:hint="eastAsia"/>
        </w:rPr>
        <w:t>财务管理制度健全性</w:t>
      </w:r>
    </w:p>
    <w:p>
      <w:pPr>
        <w:ind w:firstLine="540"/>
      </w:pPr>
      <w:r>
        <w:rPr>
          <w:rFonts w:hint="eastAsia"/>
        </w:rPr>
        <w:t>该项权重分值</w:t>
      </w:r>
      <w:r>
        <w:t>4</w:t>
      </w:r>
      <w:r>
        <w:rPr>
          <w:rFonts w:hint="eastAsia"/>
        </w:rPr>
        <w:t>分，实际得分</w:t>
      </w:r>
      <w:r>
        <w:t>4</w:t>
      </w:r>
      <w:r>
        <w:rPr>
          <w:rFonts w:hint="eastAsia"/>
        </w:rPr>
        <w:t>分。</w:t>
      </w:r>
    </w:p>
    <w:p>
      <w:pPr>
        <w:ind w:firstLine="540"/>
      </w:pPr>
      <w:r>
        <w:rPr>
          <w:rFonts w:hint="eastAsia"/>
        </w:rPr>
        <w:t>为保证公共财政资金合法、有效使用，进一步规范区级配套资金的财务管理工作，临淄区</w:t>
      </w:r>
      <w:r>
        <w:rPr>
          <w:rFonts w:hint="eastAsia"/>
          <w:lang w:eastAsia="zh-CN"/>
        </w:rPr>
        <w:t>文旅局</w:t>
      </w:r>
      <w:r>
        <w:rPr>
          <w:rFonts w:hint="eastAsia"/>
        </w:rPr>
        <w:t>根据《中华人民共和国会计法》、《中华人民共和国预算法》、财政部《行政、事业单位会计制度》等文件，制定了临淄区</w:t>
      </w:r>
      <w:r>
        <w:rPr>
          <w:rFonts w:hint="eastAsia"/>
          <w:lang w:eastAsia="zh-CN"/>
        </w:rPr>
        <w:t>文旅局</w:t>
      </w:r>
      <w:r>
        <w:rPr>
          <w:rFonts w:hint="eastAsia"/>
        </w:rPr>
        <w:t>财务管理制度，加强财务管理，降低行政成本，保障资金的有效使用，对资金的适用范围、支付流程等进行了规范。</w:t>
      </w:r>
    </w:p>
    <w:p>
      <w:pPr>
        <w:ind w:firstLine="540"/>
      </w:pPr>
      <w:r>
        <w:rPr>
          <w:rFonts w:hint="eastAsia"/>
        </w:rPr>
        <w:t>根据评分标准，该指标得分</w:t>
      </w:r>
      <w:r>
        <w:t>4</w:t>
      </w:r>
      <w:r>
        <w:rPr>
          <w:rFonts w:hint="eastAsia"/>
        </w:rPr>
        <w:t>分。</w:t>
      </w:r>
    </w:p>
    <w:p>
      <w:pPr>
        <w:pStyle w:val="4"/>
        <w:ind w:firstLine="562"/>
      </w:pPr>
      <w:r>
        <w:t>6.</w:t>
      </w:r>
      <w:r>
        <w:rPr>
          <w:rFonts w:hint="eastAsia"/>
        </w:rPr>
        <w:t>财务管理制度执行有效性</w:t>
      </w:r>
    </w:p>
    <w:p>
      <w:pPr>
        <w:ind w:firstLine="540"/>
      </w:pPr>
      <w:r>
        <w:rPr>
          <w:rFonts w:hint="eastAsia"/>
        </w:rPr>
        <w:t>该项权重分值</w:t>
      </w:r>
      <w:r>
        <w:t>4</w:t>
      </w:r>
      <w:r>
        <w:rPr>
          <w:rFonts w:hint="eastAsia"/>
        </w:rPr>
        <w:t>分，实际得分</w:t>
      </w:r>
      <w:r>
        <w:t>4</w:t>
      </w:r>
      <w:r>
        <w:rPr>
          <w:rFonts w:hint="eastAsia"/>
        </w:rPr>
        <w:t>分。</w:t>
      </w:r>
    </w:p>
    <w:p>
      <w:pPr>
        <w:ind w:firstLine="540"/>
      </w:pPr>
      <w:r>
        <w:rPr>
          <w:rFonts w:hint="eastAsia"/>
        </w:rPr>
        <w:t>经查看本项目的财务凭证，符合本项目资金支出要求的支出，均提供正规发票，程序符合临淄区</w:t>
      </w:r>
      <w:r>
        <w:rPr>
          <w:rFonts w:hint="eastAsia"/>
          <w:lang w:eastAsia="zh-CN"/>
        </w:rPr>
        <w:t>文旅局</w:t>
      </w:r>
      <w:r>
        <w:rPr>
          <w:rFonts w:hint="eastAsia"/>
        </w:rPr>
        <w:t>有关财务规定，严格按照财务管理办法实施，保证了财务管理制度有效执行。</w:t>
      </w:r>
    </w:p>
    <w:p>
      <w:pPr>
        <w:ind w:firstLine="540"/>
      </w:pPr>
      <w:r>
        <w:rPr>
          <w:rFonts w:hint="eastAsia"/>
        </w:rPr>
        <w:t>根据评分标准，该指标得分</w:t>
      </w:r>
      <w:r>
        <w:t>4</w:t>
      </w:r>
      <w:r>
        <w:rPr>
          <w:rFonts w:hint="eastAsia"/>
        </w:rPr>
        <w:t>分。</w:t>
      </w:r>
    </w:p>
    <w:p>
      <w:pPr>
        <w:pStyle w:val="3"/>
        <w:ind w:firstLine="562"/>
      </w:pPr>
      <w:bookmarkStart w:id="31" w:name="_Toc48120209"/>
      <w:r>
        <w:rPr>
          <w:rFonts w:hint="eastAsia"/>
        </w:rPr>
        <w:t>（三）项目产出情况</w:t>
      </w:r>
      <w:bookmarkEnd w:id="31"/>
    </w:p>
    <w:p>
      <w:pPr>
        <w:ind w:firstLine="540"/>
      </w:pPr>
      <w:r>
        <w:rPr>
          <w:rFonts w:hint="eastAsia"/>
        </w:rPr>
        <w:t>项目产出情况共设置1个一级指标，</w:t>
      </w:r>
      <w:r>
        <w:t>4</w:t>
      </w:r>
      <w:r>
        <w:rPr>
          <w:rFonts w:hint="eastAsia"/>
        </w:rPr>
        <w:t>个二级指标，</w:t>
      </w:r>
      <w:r>
        <w:t>4</w:t>
      </w:r>
      <w:r>
        <w:rPr>
          <w:rFonts w:hint="eastAsia"/>
        </w:rPr>
        <w:t>个三级指标，</w:t>
      </w:r>
      <w:r>
        <w:t>5</w:t>
      </w:r>
      <w:r>
        <w:rPr>
          <w:rFonts w:hint="eastAsia"/>
        </w:rPr>
        <w:t>个四级指标，旨在评价项目实际产出情况（具体得分详见下表）。</w:t>
      </w:r>
    </w:p>
    <w:p>
      <w:pPr>
        <w:ind w:firstLine="0" w:firstLineChars="0"/>
        <w:jc w:val="center"/>
        <w:rPr>
          <w:rFonts w:ascii="宋体" w:hAnsi="宋体"/>
          <w:sz w:val="24"/>
          <w:szCs w:val="24"/>
        </w:rPr>
      </w:pPr>
      <w:r>
        <w:rPr>
          <w:rFonts w:hint="eastAsia" w:ascii="宋体" w:hAnsi="宋体"/>
          <w:sz w:val="24"/>
          <w:szCs w:val="24"/>
        </w:rPr>
        <w:t>表5：项目产出情况得分表</w:t>
      </w:r>
    </w:p>
    <w:tbl>
      <w:tblPr>
        <w:tblStyle w:val="12"/>
        <w:tblW w:w="8217" w:type="dxa"/>
        <w:tblInd w:w="113" w:type="dxa"/>
        <w:tblLayout w:type="autofit"/>
        <w:tblCellMar>
          <w:top w:w="0" w:type="dxa"/>
          <w:left w:w="108" w:type="dxa"/>
          <w:bottom w:w="0" w:type="dxa"/>
          <w:right w:w="108" w:type="dxa"/>
        </w:tblCellMar>
      </w:tblPr>
      <w:tblGrid>
        <w:gridCol w:w="988"/>
        <w:gridCol w:w="992"/>
        <w:gridCol w:w="1417"/>
        <w:gridCol w:w="3544"/>
        <w:gridCol w:w="1276"/>
      </w:tblGrid>
      <w:tr>
        <w:trPr>
          <w:trHeight w:val="463" w:hRule="atLeast"/>
        </w:trPr>
        <w:tc>
          <w:tcPr>
            <w:tcW w:w="988" w:type="dxa"/>
            <w:tcBorders>
              <w:top w:val="single" w:color="auto" w:sz="4" w:space="0"/>
              <w:left w:val="single" w:color="auto" w:sz="4" w:space="0"/>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一级指标及分值</w:t>
            </w:r>
          </w:p>
        </w:tc>
        <w:tc>
          <w:tcPr>
            <w:tcW w:w="992"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二级指标及分值</w:t>
            </w:r>
          </w:p>
        </w:tc>
        <w:tc>
          <w:tcPr>
            <w:tcW w:w="1417"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三级指标及分值</w:t>
            </w:r>
          </w:p>
        </w:tc>
        <w:tc>
          <w:tcPr>
            <w:tcW w:w="3544"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四级指标及分值</w:t>
            </w:r>
          </w:p>
        </w:tc>
        <w:tc>
          <w:tcPr>
            <w:tcW w:w="1276"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得分</w:t>
            </w:r>
          </w:p>
        </w:tc>
      </w:tr>
      <w:tr>
        <w:tblPrEx>
          <w:tblCellMar>
            <w:top w:w="0" w:type="dxa"/>
            <w:left w:w="108" w:type="dxa"/>
            <w:bottom w:w="0" w:type="dxa"/>
            <w:right w:w="108" w:type="dxa"/>
          </w:tblCellMar>
        </w:tblPrEx>
        <w:trPr>
          <w:trHeight w:val="259" w:hRule="atLeast"/>
        </w:trPr>
        <w:tc>
          <w:tcPr>
            <w:tcW w:w="9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产出</w:t>
            </w:r>
            <w:r>
              <w:rPr>
                <w:rFonts w:hint="eastAsia" w:ascii="宋体" w:hAnsi="宋体" w:cs="宋体"/>
                <w:kern w:val="0"/>
                <w:sz w:val="21"/>
                <w:szCs w:val="21"/>
              </w:rPr>
              <w:br w:type="textWrapping"/>
            </w:r>
            <w:r>
              <w:rPr>
                <w:rFonts w:hint="eastAsia" w:ascii="宋体" w:hAnsi="宋体" w:cs="宋体"/>
                <w:kern w:val="0"/>
                <w:sz w:val="21"/>
                <w:szCs w:val="21"/>
              </w:rPr>
              <w:t>（30分）</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产出数量</w:t>
            </w:r>
            <w:r>
              <w:rPr>
                <w:rFonts w:hint="eastAsia" w:ascii="宋体" w:hAnsi="宋体" w:cs="宋体"/>
                <w:kern w:val="0"/>
                <w:sz w:val="21"/>
                <w:szCs w:val="21"/>
              </w:rPr>
              <w:br w:type="textWrapping"/>
            </w:r>
            <w:r>
              <w:rPr>
                <w:rFonts w:hint="eastAsia" w:ascii="宋体" w:hAnsi="宋体" w:cs="宋体"/>
                <w:kern w:val="0"/>
                <w:sz w:val="21"/>
                <w:szCs w:val="21"/>
              </w:rPr>
              <w:t>（</w:t>
            </w:r>
            <w:r>
              <w:rPr>
                <w:rFonts w:hint="eastAsia" w:ascii="宋体" w:hAnsi="宋体" w:cs="宋体"/>
                <w:kern w:val="0"/>
                <w:sz w:val="21"/>
                <w:szCs w:val="21"/>
                <w:lang w:val="en-US" w:eastAsia="zh-CN"/>
              </w:rPr>
              <w:t>9</w:t>
            </w:r>
            <w:r>
              <w:rPr>
                <w:rFonts w:hint="eastAsia" w:ascii="宋体" w:hAnsi="宋体" w:cs="宋体"/>
                <w:kern w:val="0"/>
                <w:sz w:val="21"/>
                <w:szCs w:val="21"/>
              </w:rPr>
              <w:t>分）</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产出数量</w:t>
            </w:r>
            <w:r>
              <w:rPr>
                <w:rFonts w:hint="eastAsia" w:ascii="宋体" w:hAnsi="宋体" w:cs="宋体"/>
                <w:kern w:val="0"/>
                <w:sz w:val="21"/>
                <w:szCs w:val="21"/>
              </w:rPr>
              <w:br w:type="textWrapping"/>
            </w:r>
            <w:r>
              <w:rPr>
                <w:rFonts w:hint="eastAsia" w:ascii="宋体" w:hAnsi="宋体" w:cs="宋体"/>
                <w:kern w:val="0"/>
                <w:sz w:val="21"/>
                <w:szCs w:val="21"/>
              </w:rPr>
              <w:t>（</w:t>
            </w:r>
            <w:r>
              <w:rPr>
                <w:rFonts w:hint="eastAsia" w:ascii="宋体" w:hAnsi="宋体" w:cs="宋体"/>
                <w:kern w:val="0"/>
                <w:sz w:val="21"/>
                <w:szCs w:val="21"/>
                <w:lang w:val="en-US" w:eastAsia="zh-CN"/>
              </w:rPr>
              <w:t>9</w:t>
            </w:r>
            <w:r>
              <w:rPr>
                <w:rFonts w:hint="eastAsia" w:ascii="宋体" w:hAnsi="宋体" w:cs="宋体"/>
                <w:kern w:val="0"/>
                <w:sz w:val="21"/>
                <w:szCs w:val="21"/>
              </w:rPr>
              <w:t>分）</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ascii="宋体" w:hAnsi="宋体" w:cs="宋体"/>
                <w:kern w:val="0"/>
                <w:sz w:val="21"/>
                <w:szCs w:val="21"/>
              </w:rPr>
            </w:pPr>
            <w:r>
              <w:rPr>
                <w:rFonts w:hint="eastAsia" w:ascii="宋体" w:hAnsi="宋体" w:eastAsia="宋体" w:cs="宋体"/>
                <w:i w:val="0"/>
                <w:color w:val="000000"/>
                <w:kern w:val="0"/>
                <w:sz w:val="21"/>
                <w:szCs w:val="21"/>
                <w:u w:val="none"/>
                <w:lang w:val="en-US" w:eastAsia="zh-CN" w:bidi="ar"/>
              </w:rPr>
              <w:t>完成入驻企业30家（6分）</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6</w:t>
            </w:r>
          </w:p>
        </w:tc>
      </w:tr>
      <w:tr>
        <w:tblPrEx>
          <w:tblCellMar>
            <w:top w:w="0" w:type="dxa"/>
            <w:left w:w="108" w:type="dxa"/>
            <w:bottom w:w="0" w:type="dxa"/>
            <w:right w:w="108" w:type="dxa"/>
          </w:tblCellMar>
        </w:tblPrEx>
        <w:trPr>
          <w:trHeight w:val="265"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ascii="宋体" w:hAnsi="宋体" w:cs="宋体"/>
                <w:kern w:val="0"/>
                <w:sz w:val="21"/>
                <w:szCs w:val="21"/>
              </w:rPr>
            </w:pPr>
            <w:r>
              <w:rPr>
                <w:rFonts w:hint="eastAsia" w:ascii="宋体" w:hAnsi="宋体" w:eastAsia="宋体" w:cs="宋体"/>
                <w:i w:val="0"/>
                <w:color w:val="000000"/>
                <w:kern w:val="0"/>
                <w:sz w:val="21"/>
                <w:szCs w:val="21"/>
                <w:u w:val="none"/>
                <w:lang w:val="en-US" w:eastAsia="zh-CN" w:bidi="ar"/>
              </w:rPr>
              <w:t>拍摄影视作品2部（3分）</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w:t>
            </w:r>
          </w:p>
        </w:tc>
      </w:tr>
      <w:tr>
        <w:tblPrEx>
          <w:tblCellMar>
            <w:top w:w="0" w:type="dxa"/>
            <w:left w:w="108" w:type="dxa"/>
            <w:bottom w:w="0" w:type="dxa"/>
            <w:right w:w="108" w:type="dxa"/>
          </w:tblCellMar>
        </w:tblPrEx>
        <w:trPr>
          <w:trHeight w:val="271"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产出质量</w:t>
            </w:r>
            <w:r>
              <w:rPr>
                <w:rFonts w:hint="eastAsia" w:ascii="宋体" w:hAnsi="宋体" w:cs="宋体"/>
                <w:kern w:val="0"/>
                <w:sz w:val="21"/>
                <w:szCs w:val="21"/>
              </w:rPr>
              <w:br w:type="textWrapping"/>
            </w:r>
            <w:r>
              <w:rPr>
                <w:rFonts w:hint="eastAsia" w:ascii="宋体" w:hAnsi="宋体" w:cs="宋体"/>
                <w:kern w:val="0"/>
                <w:sz w:val="21"/>
                <w:szCs w:val="21"/>
              </w:rPr>
              <w:t>（</w:t>
            </w:r>
            <w:r>
              <w:rPr>
                <w:rFonts w:hint="eastAsia" w:ascii="宋体" w:hAnsi="宋体" w:cs="宋体"/>
                <w:kern w:val="0"/>
                <w:sz w:val="21"/>
                <w:szCs w:val="21"/>
                <w:lang w:val="en-US" w:eastAsia="zh-CN"/>
              </w:rPr>
              <w:t>9</w:t>
            </w:r>
            <w:r>
              <w:rPr>
                <w:rFonts w:hint="eastAsia" w:ascii="宋体" w:hAnsi="宋体" w:cs="宋体"/>
                <w:kern w:val="0"/>
                <w:sz w:val="21"/>
                <w:szCs w:val="21"/>
              </w:rPr>
              <w:t>分）</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产出质量</w:t>
            </w:r>
            <w:r>
              <w:rPr>
                <w:rFonts w:hint="eastAsia" w:ascii="宋体" w:hAnsi="宋体" w:cs="宋体"/>
                <w:kern w:val="0"/>
                <w:sz w:val="21"/>
                <w:szCs w:val="21"/>
              </w:rPr>
              <w:br w:type="textWrapping"/>
            </w:r>
            <w:r>
              <w:rPr>
                <w:rFonts w:hint="eastAsia" w:ascii="宋体" w:hAnsi="宋体" w:cs="宋体"/>
                <w:kern w:val="0"/>
                <w:sz w:val="21"/>
                <w:szCs w:val="21"/>
              </w:rPr>
              <w:t>（</w:t>
            </w:r>
            <w:r>
              <w:rPr>
                <w:rFonts w:hint="eastAsia" w:ascii="宋体" w:hAnsi="宋体" w:cs="宋体"/>
                <w:kern w:val="0"/>
                <w:sz w:val="21"/>
                <w:szCs w:val="21"/>
                <w:lang w:val="en-US" w:eastAsia="zh-CN"/>
              </w:rPr>
              <w:t>9</w:t>
            </w:r>
            <w:r>
              <w:rPr>
                <w:rFonts w:hint="eastAsia" w:ascii="宋体" w:hAnsi="宋体" w:cs="宋体"/>
                <w:kern w:val="0"/>
                <w:sz w:val="21"/>
                <w:szCs w:val="21"/>
              </w:rPr>
              <w:t>分）</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ascii="宋体" w:hAnsi="宋体" w:cs="宋体"/>
                <w:kern w:val="0"/>
                <w:sz w:val="21"/>
                <w:szCs w:val="21"/>
              </w:rPr>
            </w:pPr>
            <w:r>
              <w:rPr>
                <w:rFonts w:hint="eastAsia" w:ascii="宋体" w:hAnsi="宋体" w:eastAsia="宋体" w:cs="宋体"/>
                <w:i w:val="0"/>
                <w:color w:val="000000"/>
                <w:kern w:val="0"/>
                <w:sz w:val="21"/>
                <w:szCs w:val="21"/>
                <w:u w:val="none"/>
                <w:lang w:val="en-US" w:eastAsia="zh-CN" w:bidi="ar"/>
              </w:rPr>
              <w:t>入驻企业的质量及拍摄影视作品的质量（4分）</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4</w:t>
            </w:r>
          </w:p>
        </w:tc>
      </w:tr>
      <w:tr>
        <w:tblPrEx>
          <w:tblCellMar>
            <w:top w:w="0" w:type="dxa"/>
            <w:left w:w="108" w:type="dxa"/>
            <w:bottom w:w="0" w:type="dxa"/>
            <w:right w:w="108" w:type="dxa"/>
          </w:tblCellMar>
        </w:tblPrEx>
        <w:trPr>
          <w:trHeight w:val="277"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ascii="宋体" w:hAnsi="宋体" w:cs="宋体"/>
                <w:kern w:val="0"/>
                <w:sz w:val="21"/>
                <w:szCs w:val="21"/>
              </w:rPr>
            </w:pPr>
            <w:r>
              <w:rPr>
                <w:rFonts w:hint="eastAsia" w:ascii="宋体" w:hAnsi="宋体" w:eastAsia="宋体" w:cs="宋体"/>
                <w:i w:val="0"/>
                <w:color w:val="000000"/>
                <w:kern w:val="0"/>
                <w:sz w:val="21"/>
                <w:szCs w:val="21"/>
                <w:u w:val="none"/>
                <w:lang w:val="en-US" w:eastAsia="zh-CN" w:bidi="ar"/>
              </w:rPr>
              <w:t>入驻企业正常运营率（5分）</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4</w:t>
            </w:r>
          </w:p>
        </w:tc>
      </w:tr>
      <w:tr>
        <w:tblPrEx>
          <w:tblCellMar>
            <w:top w:w="0" w:type="dxa"/>
            <w:left w:w="108" w:type="dxa"/>
            <w:bottom w:w="0" w:type="dxa"/>
            <w:right w:w="108" w:type="dxa"/>
          </w:tblCellMar>
        </w:tblPrEx>
        <w:trPr>
          <w:trHeight w:val="269"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992"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产出时效（6分）</w:t>
            </w:r>
          </w:p>
        </w:tc>
        <w:tc>
          <w:tcPr>
            <w:tcW w:w="1417"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完成及时性（6分）</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资金拨付及时性（3分）</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w:t>
            </w:r>
          </w:p>
        </w:tc>
      </w:tr>
      <w:tr>
        <w:tblPrEx>
          <w:tblCellMar>
            <w:top w:w="0" w:type="dxa"/>
            <w:left w:w="108" w:type="dxa"/>
            <w:bottom w:w="0" w:type="dxa"/>
            <w:right w:w="108" w:type="dxa"/>
          </w:tblCellMar>
        </w:tblPrEx>
        <w:trPr>
          <w:trHeight w:val="245"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417" w:type="dxa"/>
            <w:vMerge w:val="continue"/>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完成30家企业入驻及2部作品拍摄的及时性（3分）</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w:t>
            </w:r>
          </w:p>
        </w:tc>
      </w:tr>
      <w:tr>
        <w:tblPrEx>
          <w:tblCellMar>
            <w:top w:w="0" w:type="dxa"/>
            <w:left w:w="108" w:type="dxa"/>
            <w:bottom w:w="0" w:type="dxa"/>
            <w:right w:w="108" w:type="dxa"/>
          </w:tblCellMar>
        </w:tblPrEx>
        <w:trPr>
          <w:trHeight w:val="335"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产出成本</w:t>
            </w:r>
            <w:r>
              <w:rPr>
                <w:rFonts w:hint="eastAsia" w:ascii="宋体" w:hAnsi="宋体" w:cs="宋体"/>
                <w:kern w:val="0"/>
                <w:sz w:val="21"/>
                <w:szCs w:val="21"/>
              </w:rPr>
              <w:br w:type="textWrapping"/>
            </w:r>
            <w:r>
              <w:rPr>
                <w:rFonts w:hint="eastAsia" w:ascii="宋体" w:hAnsi="宋体" w:cs="宋体"/>
                <w:kern w:val="0"/>
                <w:sz w:val="21"/>
                <w:szCs w:val="21"/>
              </w:rPr>
              <w:t>（6分）</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产出成本节余</w:t>
            </w:r>
            <w:r>
              <w:rPr>
                <w:rFonts w:hint="eastAsia" w:ascii="宋体" w:hAnsi="宋体" w:cs="宋体"/>
                <w:kern w:val="0"/>
                <w:sz w:val="21"/>
                <w:szCs w:val="21"/>
              </w:rPr>
              <w:br w:type="textWrapping"/>
            </w:r>
            <w:r>
              <w:rPr>
                <w:rFonts w:hint="eastAsia" w:ascii="宋体" w:hAnsi="宋体" w:cs="宋体"/>
                <w:kern w:val="0"/>
                <w:sz w:val="21"/>
                <w:szCs w:val="21"/>
              </w:rPr>
              <w:t>（6分）</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ascii="宋体" w:hAnsi="宋体" w:cs="宋体"/>
                <w:kern w:val="0"/>
                <w:sz w:val="21"/>
                <w:szCs w:val="21"/>
              </w:rPr>
            </w:pPr>
            <w:r>
              <w:rPr>
                <w:rFonts w:hint="eastAsia" w:ascii="宋体" w:hAnsi="宋体" w:eastAsia="宋体" w:cs="宋体"/>
                <w:i w:val="0"/>
                <w:color w:val="000000"/>
                <w:kern w:val="0"/>
                <w:sz w:val="21"/>
                <w:szCs w:val="21"/>
                <w:u w:val="none"/>
                <w:lang w:val="en-US" w:eastAsia="zh-CN" w:bidi="ar"/>
              </w:rPr>
              <w:t>实际支出控制在预算范围内（6分）</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335" w:hRule="atLeast"/>
        </w:trPr>
        <w:tc>
          <w:tcPr>
            <w:tcW w:w="694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总分</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27</w:t>
            </w:r>
          </w:p>
        </w:tc>
      </w:tr>
    </w:tbl>
    <w:p>
      <w:pPr>
        <w:pStyle w:val="4"/>
        <w:ind w:firstLine="562"/>
      </w:pPr>
      <w:r>
        <w:rPr>
          <w:rFonts w:hint="eastAsia"/>
        </w:rPr>
        <w:t>1</w:t>
      </w:r>
      <w:r>
        <w:t>.</w:t>
      </w:r>
      <w:r>
        <w:rPr>
          <w:rFonts w:hint="eastAsia"/>
        </w:rPr>
        <w:t>产出数量</w:t>
      </w:r>
    </w:p>
    <w:p>
      <w:pPr>
        <w:ind w:firstLine="540"/>
      </w:pPr>
      <w:r>
        <w:rPr>
          <w:rFonts w:hint="eastAsia"/>
        </w:rPr>
        <w:t>（1）</w:t>
      </w:r>
      <w:r>
        <w:rPr>
          <w:rFonts w:hint="eastAsia" w:ascii="宋体" w:hAnsi="宋体" w:eastAsia="宋体" w:cs="宋体"/>
          <w:i w:val="0"/>
          <w:color w:val="000000"/>
          <w:kern w:val="0"/>
          <w:sz w:val="27"/>
          <w:szCs w:val="27"/>
          <w:u w:val="none"/>
          <w:lang w:val="en-US" w:eastAsia="zh-CN" w:bidi="ar"/>
        </w:rPr>
        <w:t>完成入驻企业30家</w:t>
      </w:r>
    </w:p>
    <w:p>
      <w:pPr>
        <w:ind w:firstLine="540"/>
      </w:pPr>
      <w:r>
        <w:rPr>
          <w:rFonts w:hint="eastAsia"/>
        </w:rPr>
        <w:t>该项权重分值</w:t>
      </w:r>
      <w:r>
        <w:t>6</w:t>
      </w:r>
      <w:r>
        <w:rPr>
          <w:rFonts w:hint="eastAsia"/>
        </w:rPr>
        <w:t>分，实际得分</w:t>
      </w:r>
      <w:r>
        <w:t>6</w:t>
      </w:r>
      <w:r>
        <w:rPr>
          <w:rFonts w:hint="eastAsia"/>
        </w:rPr>
        <w:t>分。</w:t>
      </w:r>
    </w:p>
    <w:p>
      <w:pPr>
        <w:ind w:firstLine="540"/>
      </w:pPr>
      <w:r>
        <w:rPr>
          <w:rFonts w:hint="eastAsia"/>
        </w:rPr>
        <w:t>经查询临淄区</w:t>
      </w:r>
      <w:r>
        <w:rPr>
          <w:rFonts w:hint="eastAsia"/>
          <w:lang w:eastAsia="zh-CN"/>
        </w:rPr>
        <w:t>文旅局</w:t>
      </w:r>
      <w:r>
        <w:rPr>
          <w:rFonts w:hint="eastAsia"/>
        </w:rPr>
        <w:t>统计数据，</w:t>
      </w:r>
      <w:r>
        <w:rPr>
          <w:rFonts w:hint="eastAsia"/>
          <w:lang w:eastAsia="zh-CN"/>
        </w:rPr>
        <w:t>截止</w:t>
      </w:r>
      <w:r>
        <w:rPr>
          <w:rFonts w:hint="eastAsia"/>
          <w:lang w:val="en-US" w:eastAsia="zh-CN"/>
        </w:rPr>
        <w:t>2020年6月，影视产业园先后引进影视企业250家，产业园常驻办公企业46家。</w:t>
      </w:r>
    </w:p>
    <w:p>
      <w:pPr>
        <w:ind w:firstLine="540"/>
      </w:pPr>
      <w:r>
        <w:rPr>
          <w:rFonts w:hint="eastAsia"/>
        </w:rPr>
        <w:t>（2）拍摄影视作品2部</w:t>
      </w:r>
    </w:p>
    <w:p>
      <w:pPr>
        <w:ind w:firstLine="540"/>
      </w:pPr>
      <w:r>
        <w:rPr>
          <w:rFonts w:hint="eastAsia"/>
        </w:rPr>
        <w:t>该项权重分值</w:t>
      </w:r>
      <w:r>
        <w:rPr>
          <w:rFonts w:hint="eastAsia"/>
          <w:lang w:val="en-US" w:eastAsia="zh-CN"/>
        </w:rPr>
        <w:t>3</w:t>
      </w:r>
      <w:r>
        <w:rPr>
          <w:rFonts w:hint="eastAsia"/>
        </w:rPr>
        <w:t>分，实际得分</w:t>
      </w:r>
      <w:r>
        <w:rPr>
          <w:rFonts w:hint="eastAsia"/>
          <w:lang w:val="en-US" w:eastAsia="zh-CN"/>
        </w:rPr>
        <w:t>3</w:t>
      </w:r>
      <w:r>
        <w:rPr>
          <w:rFonts w:hint="eastAsia"/>
        </w:rPr>
        <w:t>分。</w:t>
      </w:r>
    </w:p>
    <w:p>
      <w:pPr>
        <w:ind w:firstLine="540"/>
        <w:rPr>
          <w:rFonts w:hint="default"/>
          <w:lang w:val="en-US" w:eastAsia="zh-CN"/>
        </w:rPr>
      </w:pPr>
      <w:r>
        <w:rPr>
          <w:rFonts w:hint="eastAsia"/>
          <w:lang w:val="en-US" w:eastAsia="zh-CN"/>
        </w:rPr>
        <w:t>实际拍摄影视作品4部，分别为院线电影</w:t>
      </w:r>
      <w:r>
        <w:rPr>
          <w:rFonts w:hint="eastAsia" w:ascii="宋体" w:hAnsi="宋体" w:eastAsia="宋体" w:cs="宋体"/>
          <w:lang w:val="en-US" w:eastAsia="zh-CN"/>
        </w:rPr>
        <w:t>《</w:t>
      </w:r>
      <w:r>
        <w:rPr>
          <w:rFonts w:hint="eastAsia" w:ascii="宋体" w:hAnsi="宋体" w:cs="宋体"/>
          <w:lang w:val="en-US" w:eastAsia="zh-CN"/>
        </w:rPr>
        <w:t>豪门少爷俏佳人</w:t>
      </w:r>
      <w:r>
        <w:rPr>
          <w:rFonts w:hint="eastAsia" w:ascii="宋体" w:hAnsi="宋体" w:eastAsia="宋体" w:cs="宋体"/>
          <w:lang w:val="en-US" w:eastAsia="zh-CN"/>
        </w:rPr>
        <w:t>》</w:t>
      </w:r>
      <w:r>
        <w:rPr>
          <w:rFonts w:hint="eastAsia" w:ascii="宋体" w:hAnsi="宋体" w:cs="宋体"/>
          <w:lang w:val="en-US" w:eastAsia="zh-CN"/>
        </w:rPr>
        <w:t>、戏曲</w:t>
      </w:r>
      <w:r>
        <w:rPr>
          <w:rFonts w:hint="eastAsia"/>
          <w:lang w:val="en-US" w:eastAsia="zh-CN"/>
        </w:rPr>
        <w:t>电影</w:t>
      </w:r>
      <w:r>
        <w:rPr>
          <w:rFonts w:hint="eastAsia" w:ascii="宋体" w:hAnsi="宋体" w:eastAsia="宋体" w:cs="宋体"/>
          <w:lang w:val="en-US" w:eastAsia="zh-CN"/>
        </w:rPr>
        <w:t>《</w:t>
      </w:r>
      <w:r>
        <w:rPr>
          <w:rFonts w:hint="eastAsia" w:ascii="宋体" w:hAnsi="宋体" w:cs="宋体"/>
          <w:lang w:val="en-US" w:eastAsia="zh-CN"/>
        </w:rPr>
        <w:t>冰壶秋月</w:t>
      </w:r>
      <w:r>
        <w:rPr>
          <w:rFonts w:hint="eastAsia" w:ascii="宋体" w:hAnsi="宋体" w:eastAsia="宋体" w:cs="宋体"/>
          <w:lang w:val="en-US" w:eastAsia="zh-CN"/>
        </w:rPr>
        <w:t>》</w:t>
      </w:r>
      <w:r>
        <w:rPr>
          <w:rFonts w:hint="eastAsia" w:ascii="宋体" w:hAnsi="宋体" w:cs="宋体"/>
          <w:lang w:val="en-US" w:eastAsia="zh-CN"/>
        </w:rPr>
        <w:t>、吕剧电影</w:t>
      </w:r>
      <w:r>
        <w:rPr>
          <w:rFonts w:hint="eastAsia" w:ascii="宋体" w:hAnsi="宋体" w:eastAsia="宋体" w:cs="宋体"/>
          <w:lang w:val="en-US" w:eastAsia="zh-CN"/>
        </w:rPr>
        <w:t>《</w:t>
      </w:r>
      <w:r>
        <w:rPr>
          <w:rFonts w:hint="eastAsia" w:ascii="宋体" w:hAnsi="宋体" w:cs="宋体"/>
          <w:lang w:val="en-US" w:eastAsia="zh-CN"/>
        </w:rPr>
        <w:t>杜鹃改嫁</w:t>
      </w:r>
      <w:r>
        <w:rPr>
          <w:rFonts w:hint="eastAsia" w:ascii="宋体" w:hAnsi="宋体" w:eastAsia="宋体" w:cs="宋体"/>
          <w:lang w:val="en-US" w:eastAsia="zh-CN"/>
        </w:rPr>
        <w:t>》</w:t>
      </w:r>
      <w:r>
        <w:rPr>
          <w:rFonts w:hint="eastAsia" w:ascii="宋体" w:hAnsi="宋体" w:cs="宋体"/>
          <w:lang w:val="en-US" w:eastAsia="zh-CN"/>
        </w:rPr>
        <w:t>下集、</w:t>
      </w:r>
      <w:r>
        <w:rPr>
          <w:rFonts w:hint="eastAsia"/>
          <w:lang w:val="en-US" w:eastAsia="zh-CN"/>
        </w:rPr>
        <w:t>院线电影</w:t>
      </w:r>
      <w:r>
        <w:rPr>
          <w:rFonts w:hint="eastAsia" w:ascii="宋体" w:hAnsi="宋体" w:eastAsia="宋体" w:cs="宋体"/>
          <w:lang w:val="en-US" w:eastAsia="zh-CN"/>
        </w:rPr>
        <w:t>《</w:t>
      </w:r>
      <w:r>
        <w:rPr>
          <w:rFonts w:hint="eastAsia" w:ascii="宋体" w:hAnsi="宋体" w:cs="宋体"/>
          <w:lang w:val="en-US" w:eastAsia="zh-CN"/>
        </w:rPr>
        <w:t>新聊斋之换脸</w:t>
      </w:r>
      <w:r>
        <w:rPr>
          <w:rFonts w:hint="eastAsia" w:ascii="宋体" w:hAnsi="宋体" w:eastAsia="宋体" w:cs="宋体"/>
          <w:lang w:val="en-US" w:eastAsia="zh-CN"/>
        </w:rPr>
        <w:t>》</w:t>
      </w:r>
      <w:r>
        <w:rPr>
          <w:rFonts w:hint="eastAsia" w:ascii="宋体" w:hAnsi="宋体" w:cs="宋体"/>
          <w:lang w:val="en-US" w:eastAsia="zh-CN"/>
        </w:rPr>
        <w:t>。</w:t>
      </w:r>
    </w:p>
    <w:p>
      <w:pPr>
        <w:pStyle w:val="4"/>
        <w:ind w:firstLine="562"/>
      </w:pPr>
      <w:r>
        <w:t>2.</w:t>
      </w:r>
      <w:r>
        <w:rPr>
          <w:rFonts w:hint="eastAsia"/>
        </w:rPr>
        <w:t>产出质量：</w:t>
      </w:r>
    </w:p>
    <w:p>
      <w:pPr>
        <w:ind w:firstLine="540"/>
      </w:pPr>
      <w:r>
        <w:rPr>
          <w:rFonts w:hint="eastAsia"/>
        </w:rPr>
        <w:t>（1）入驻企业的质量及拍摄影视作品的质量（4分）</w:t>
      </w:r>
    </w:p>
    <w:p>
      <w:pPr>
        <w:ind w:firstLine="540"/>
      </w:pPr>
      <w:r>
        <w:rPr>
          <w:rFonts w:hint="eastAsia"/>
        </w:rPr>
        <w:t>该项权重分值</w:t>
      </w:r>
      <w:r>
        <w:rPr>
          <w:rFonts w:hint="eastAsia"/>
          <w:lang w:val="en-US" w:eastAsia="zh-CN"/>
        </w:rPr>
        <w:t>4</w:t>
      </w:r>
      <w:r>
        <w:rPr>
          <w:rFonts w:hint="eastAsia"/>
        </w:rPr>
        <w:t>分，实际得分</w:t>
      </w:r>
      <w:r>
        <w:rPr>
          <w:rFonts w:hint="eastAsia"/>
          <w:lang w:val="en-US" w:eastAsia="zh-CN"/>
        </w:rPr>
        <w:t>4</w:t>
      </w:r>
      <w:r>
        <w:rPr>
          <w:rFonts w:hint="eastAsia"/>
        </w:rPr>
        <w:t>分。</w:t>
      </w:r>
    </w:p>
    <w:p>
      <w:pPr>
        <w:ind w:firstLine="540"/>
      </w:pPr>
      <w:r>
        <w:rPr>
          <w:rFonts w:hint="eastAsia"/>
        </w:rPr>
        <w:t>根据临淄区</w:t>
      </w:r>
      <w:r>
        <w:rPr>
          <w:rFonts w:hint="eastAsia"/>
          <w:lang w:eastAsia="zh-CN"/>
        </w:rPr>
        <w:t>文旅局</w:t>
      </w:r>
      <w:r>
        <w:rPr>
          <w:rFonts w:hint="eastAsia"/>
        </w:rPr>
        <w:t>对</w:t>
      </w:r>
      <w:r>
        <w:rPr>
          <w:rFonts w:hint="eastAsia"/>
          <w:lang w:val="en-US" w:eastAsia="zh-CN"/>
        </w:rPr>
        <w:t>影视产业园入园企业</w:t>
      </w:r>
      <w:r>
        <w:rPr>
          <w:rFonts w:hint="eastAsia"/>
        </w:rPr>
        <w:t>的考核记录及考核成绩统计，并经现场抽查</w:t>
      </w:r>
      <w:r>
        <w:rPr>
          <w:rFonts w:hint="eastAsia"/>
          <w:lang w:eastAsia="zh-CN"/>
        </w:rPr>
        <w:t>，</w:t>
      </w:r>
      <w:r>
        <w:rPr>
          <w:rFonts w:hint="eastAsia"/>
          <w:lang w:val="en-US" w:eastAsia="zh-CN"/>
        </w:rPr>
        <w:t>影视产业园企业入园时均经过严格的准入检查，并且每年度都进行考核，无业绩无营业收入的企业将会被淘汰。</w:t>
      </w:r>
    </w:p>
    <w:p>
      <w:pPr>
        <w:ind w:firstLine="540"/>
      </w:pPr>
      <w:r>
        <w:rPr>
          <w:rFonts w:hint="eastAsia"/>
        </w:rPr>
        <w:t>根据评分标准，该指标得分</w:t>
      </w:r>
      <w:r>
        <w:rPr>
          <w:rFonts w:hint="eastAsia"/>
          <w:lang w:val="en-US" w:eastAsia="zh-CN"/>
        </w:rPr>
        <w:t>4</w:t>
      </w:r>
      <w:r>
        <w:rPr>
          <w:rFonts w:hint="eastAsia"/>
        </w:rPr>
        <w:t>分。</w:t>
      </w:r>
    </w:p>
    <w:p>
      <w:pPr>
        <w:ind w:firstLine="540"/>
      </w:pPr>
      <w:r>
        <w:rPr>
          <w:rFonts w:hint="eastAsia"/>
        </w:rPr>
        <w:t>（2）入驻企业正常运营率</w:t>
      </w:r>
    </w:p>
    <w:p>
      <w:pPr>
        <w:ind w:firstLine="540"/>
      </w:pPr>
      <w:r>
        <w:rPr>
          <w:rFonts w:hint="eastAsia"/>
        </w:rPr>
        <w:t>该项权重分值</w:t>
      </w:r>
      <w:r>
        <w:rPr>
          <w:rFonts w:hint="eastAsia"/>
          <w:lang w:val="en-US" w:eastAsia="zh-CN"/>
        </w:rPr>
        <w:t>5</w:t>
      </w:r>
      <w:r>
        <w:rPr>
          <w:rFonts w:hint="eastAsia"/>
        </w:rPr>
        <w:t>分，实际得分</w:t>
      </w:r>
      <w:r>
        <w:rPr>
          <w:rFonts w:hint="eastAsia"/>
          <w:lang w:val="en-US" w:eastAsia="zh-CN"/>
        </w:rPr>
        <w:t>4</w:t>
      </w:r>
      <w:r>
        <w:rPr>
          <w:rFonts w:hint="eastAsia"/>
        </w:rPr>
        <w:t>分。</w:t>
      </w:r>
    </w:p>
    <w:p>
      <w:pPr>
        <w:ind w:firstLine="540"/>
        <w:rPr>
          <w:rFonts w:hint="default" w:eastAsia="宋体"/>
          <w:lang w:val="en-US" w:eastAsia="zh-CN"/>
        </w:rPr>
      </w:pPr>
      <w:r>
        <w:rPr>
          <w:rFonts w:hint="eastAsia"/>
        </w:rPr>
        <w:t>根据临淄区</w:t>
      </w:r>
      <w:r>
        <w:rPr>
          <w:rFonts w:hint="eastAsia"/>
          <w:lang w:eastAsia="zh-CN"/>
        </w:rPr>
        <w:t>文旅局</w:t>
      </w:r>
      <w:r>
        <w:rPr>
          <w:rFonts w:hint="eastAsia"/>
        </w:rPr>
        <w:t>管理及考核奖惩制度，</w:t>
      </w:r>
      <w:r>
        <w:rPr>
          <w:rFonts w:hint="eastAsia"/>
          <w:lang w:eastAsia="zh-CN"/>
        </w:rPr>
        <w:t>文旅局</w:t>
      </w:r>
      <w:r>
        <w:rPr>
          <w:rFonts w:hint="eastAsia"/>
          <w:lang w:val="en-US" w:eastAsia="zh-CN"/>
        </w:rPr>
        <w:t>和影视文化产业园对企业进行季度、年度考核</w:t>
      </w:r>
      <w:r>
        <w:rPr>
          <w:rFonts w:hint="eastAsia"/>
        </w:rPr>
        <w:t>，</w:t>
      </w:r>
      <w:r>
        <w:rPr>
          <w:rFonts w:hint="eastAsia"/>
          <w:lang w:val="en-US" w:eastAsia="zh-CN"/>
        </w:rPr>
        <w:t>对不达标的企业进行相应惩罚或清退出园区</w:t>
      </w:r>
      <w:r>
        <w:rPr>
          <w:rFonts w:hint="eastAsia"/>
        </w:rPr>
        <w:t>。</w:t>
      </w:r>
      <w:r>
        <w:rPr>
          <w:rFonts w:hint="eastAsia"/>
          <w:lang w:val="en-US" w:eastAsia="zh-CN"/>
        </w:rPr>
        <w:t>不过2020年上半年受疫情影响，个别企业经营困难，现已逐渐恢复中。</w:t>
      </w:r>
    </w:p>
    <w:p>
      <w:pPr>
        <w:pStyle w:val="4"/>
        <w:ind w:firstLine="562"/>
      </w:pPr>
      <w:r>
        <w:rPr>
          <w:rFonts w:hint="eastAsia"/>
        </w:rPr>
        <w:t>3</w:t>
      </w:r>
      <w:r>
        <w:t>.</w:t>
      </w:r>
      <w:r>
        <w:rPr>
          <w:rFonts w:hint="eastAsia"/>
        </w:rPr>
        <w:t>完成及时性</w:t>
      </w:r>
    </w:p>
    <w:p>
      <w:pPr>
        <w:ind w:firstLine="540"/>
      </w:pPr>
      <w:r>
        <w:rPr>
          <w:rFonts w:hint="eastAsia"/>
        </w:rPr>
        <w:t>（1）资金拨付的及时性</w:t>
      </w:r>
    </w:p>
    <w:p>
      <w:pPr>
        <w:ind w:firstLine="540"/>
      </w:pPr>
      <w:r>
        <w:rPr>
          <w:rFonts w:hint="eastAsia"/>
        </w:rPr>
        <w:t>该项权重分值</w:t>
      </w:r>
      <w:r>
        <w:t>3</w:t>
      </w:r>
      <w:r>
        <w:rPr>
          <w:rFonts w:hint="eastAsia"/>
        </w:rPr>
        <w:t>分，实际得分</w:t>
      </w:r>
      <w:r>
        <w:rPr>
          <w:rFonts w:hint="eastAsia"/>
          <w:lang w:val="en-US" w:eastAsia="zh-CN"/>
        </w:rPr>
        <w:t>1</w:t>
      </w:r>
      <w:r>
        <w:rPr>
          <w:rFonts w:hint="eastAsia"/>
        </w:rPr>
        <w:t>分。</w:t>
      </w:r>
    </w:p>
    <w:p>
      <w:pPr>
        <w:ind w:firstLine="540"/>
      </w:pPr>
      <w:r>
        <w:rPr>
          <w:rFonts w:hint="eastAsia"/>
        </w:rPr>
        <w:t>经查看临淄区</w:t>
      </w:r>
      <w:r>
        <w:rPr>
          <w:rFonts w:hint="eastAsia"/>
          <w:lang w:eastAsia="zh-CN"/>
        </w:rPr>
        <w:t>文旅局</w:t>
      </w:r>
      <w:r>
        <w:rPr>
          <w:rFonts w:hint="eastAsia"/>
        </w:rPr>
        <w:t>的财务资料，</w:t>
      </w:r>
      <w:r>
        <w:rPr>
          <w:rFonts w:hint="eastAsia"/>
          <w:lang w:eastAsia="zh-CN"/>
        </w:rPr>
        <w:t>影视文化产业发展扶持资金</w:t>
      </w:r>
      <w:r>
        <w:rPr>
          <w:rFonts w:hint="eastAsia"/>
          <w:lang w:val="en-US" w:eastAsia="zh-CN"/>
        </w:rPr>
        <w:t>拨付不及时</w:t>
      </w:r>
      <w:r>
        <w:rPr>
          <w:rFonts w:hint="eastAsia"/>
        </w:rPr>
        <w:t>。</w:t>
      </w:r>
    </w:p>
    <w:p>
      <w:pPr>
        <w:ind w:firstLine="540"/>
      </w:pPr>
      <w:r>
        <w:rPr>
          <w:rFonts w:hint="eastAsia"/>
        </w:rPr>
        <w:t>（2）完成30家企业入驻及2部作品拍摄的及时性</w:t>
      </w:r>
    </w:p>
    <w:p>
      <w:pPr>
        <w:ind w:firstLine="540"/>
      </w:pPr>
      <w:r>
        <w:rPr>
          <w:rFonts w:hint="eastAsia"/>
        </w:rPr>
        <w:t>该项权重分值</w:t>
      </w:r>
      <w:r>
        <w:t>3</w:t>
      </w:r>
      <w:r>
        <w:rPr>
          <w:rFonts w:hint="eastAsia"/>
        </w:rPr>
        <w:t>分，实际得分</w:t>
      </w:r>
      <w:r>
        <w:t>3</w:t>
      </w:r>
      <w:r>
        <w:rPr>
          <w:rFonts w:hint="eastAsia"/>
        </w:rPr>
        <w:t>分。</w:t>
      </w:r>
    </w:p>
    <w:p>
      <w:pPr>
        <w:ind w:firstLine="540"/>
      </w:pPr>
      <w:r>
        <w:rPr>
          <w:rFonts w:hint="eastAsia"/>
          <w:lang w:val="en-US" w:eastAsia="zh-CN"/>
        </w:rPr>
        <w:t>影视文化产业园招商情况良好，进展较快。影视作品的拍摄周期均在1-4周时间内，及时性较好。</w:t>
      </w:r>
    </w:p>
    <w:p>
      <w:pPr>
        <w:pStyle w:val="4"/>
        <w:ind w:firstLine="562"/>
      </w:pPr>
      <w:r>
        <w:rPr>
          <w:rFonts w:hint="eastAsia"/>
        </w:rPr>
        <w:t>4</w:t>
      </w:r>
      <w:r>
        <w:t>.</w:t>
      </w:r>
      <w:r>
        <w:rPr>
          <w:rFonts w:hint="eastAsia"/>
        </w:rPr>
        <w:t>实际支出控制在预算范围内</w:t>
      </w:r>
    </w:p>
    <w:p>
      <w:pPr>
        <w:ind w:firstLine="540"/>
      </w:pPr>
      <w:r>
        <w:rPr>
          <w:rFonts w:hint="eastAsia"/>
        </w:rPr>
        <w:t>该项权重分值6分，实际得分6分。</w:t>
      </w:r>
    </w:p>
    <w:p>
      <w:pPr>
        <w:ind w:firstLine="540"/>
      </w:pPr>
      <w:r>
        <w:rPr>
          <w:rFonts w:hint="eastAsia"/>
        </w:rPr>
        <w:t>经查询财务资料，本项目实际支出为</w:t>
      </w:r>
      <w:r>
        <w:rPr>
          <w:rFonts w:hint="eastAsia"/>
          <w:lang w:val="en-US" w:eastAsia="zh-CN"/>
        </w:rPr>
        <w:t>876.59</w:t>
      </w:r>
      <w:r>
        <w:rPr>
          <w:rFonts w:hint="eastAsia"/>
        </w:rPr>
        <w:t>万元，预算</w:t>
      </w:r>
      <w:r>
        <w:rPr>
          <w:rFonts w:hint="eastAsia"/>
          <w:lang w:val="en-US" w:eastAsia="zh-CN"/>
        </w:rPr>
        <w:t>1000</w:t>
      </w:r>
      <w:r>
        <w:rPr>
          <w:rFonts w:hint="eastAsia"/>
        </w:rPr>
        <w:t>万元，实际支出不超预算。</w:t>
      </w:r>
    </w:p>
    <w:p>
      <w:pPr>
        <w:pStyle w:val="3"/>
        <w:ind w:firstLine="562"/>
      </w:pPr>
      <w:bookmarkStart w:id="32" w:name="_Toc48120210"/>
      <w:r>
        <w:rPr>
          <w:rFonts w:hint="eastAsia"/>
        </w:rPr>
        <w:t>（四）项目效益情况</w:t>
      </w:r>
      <w:bookmarkEnd w:id="32"/>
    </w:p>
    <w:p>
      <w:pPr>
        <w:ind w:firstLine="540"/>
      </w:pPr>
      <w:r>
        <w:rPr>
          <w:rFonts w:hint="eastAsia"/>
        </w:rPr>
        <w:t>项目效益情况共设置1个一级指标，</w:t>
      </w:r>
      <w:r>
        <w:t>1</w:t>
      </w:r>
      <w:r>
        <w:rPr>
          <w:rFonts w:hint="eastAsia"/>
        </w:rPr>
        <w:t>个二级指标，</w:t>
      </w:r>
      <w:r>
        <w:t>2</w:t>
      </w:r>
      <w:r>
        <w:rPr>
          <w:rFonts w:hint="eastAsia"/>
        </w:rPr>
        <w:t>个三级指标，</w:t>
      </w:r>
      <w:r>
        <w:t>2</w:t>
      </w:r>
      <w:r>
        <w:rPr>
          <w:rFonts w:hint="eastAsia"/>
        </w:rPr>
        <w:t>个四级指标，旨在评价项目实施所产生的效益情况及服务对象对实施效果的满意程度（具体得分详见下表）。</w:t>
      </w:r>
    </w:p>
    <w:p>
      <w:pPr>
        <w:ind w:firstLine="0" w:firstLineChars="0"/>
        <w:jc w:val="center"/>
        <w:rPr>
          <w:rFonts w:ascii="宋体" w:hAnsi="宋体"/>
          <w:sz w:val="24"/>
          <w:szCs w:val="24"/>
        </w:rPr>
      </w:pPr>
      <w:r>
        <w:rPr>
          <w:rFonts w:hint="eastAsia" w:ascii="宋体" w:hAnsi="宋体"/>
          <w:sz w:val="24"/>
          <w:szCs w:val="24"/>
        </w:rPr>
        <w:t>表6：项目效益情况得分表</w:t>
      </w:r>
    </w:p>
    <w:tbl>
      <w:tblPr>
        <w:tblStyle w:val="12"/>
        <w:tblW w:w="8217" w:type="dxa"/>
        <w:tblInd w:w="113" w:type="dxa"/>
        <w:tblLayout w:type="autofit"/>
        <w:tblCellMar>
          <w:top w:w="0" w:type="dxa"/>
          <w:left w:w="108" w:type="dxa"/>
          <w:bottom w:w="0" w:type="dxa"/>
          <w:right w:w="108" w:type="dxa"/>
        </w:tblCellMar>
      </w:tblPr>
      <w:tblGrid>
        <w:gridCol w:w="1020"/>
        <w:gridCol w:w="1320"/>
        <w:gridCol w:w="1456"/>
        <w:gridCol w:w="3287"/>
        <w:gridCol w:w="1134"/>
      </w:tblGrid>
      <w:tr>
        <w:tblPrEx>
          <w:tblCellMar>
            <w:top w:w="0" w:type="dxa"/>
            <w:left w:w="108" w:type="dxa"/>
            <w:bottom w:w="0" w:type="dxa"/>
            <w:right w:w="108" w:type="dxa"/>
          </w:tblCellMar>
        </w:tblPrEx>
        <w:trPr>
          <w:trHeight w:val="592" w:hRule="atLeast"/>
        </w:trPr>
        <w:tc>
          <w:tcPr>
            <w:tcW w:w="1020" w:type="dxa"/>
            <w:tcBorders>
              <w:top w:val="single" w:color="auto" w:sz="4" w:space="0"/>
              <w:left w:val="single" w:color="auto" w:sz="4" w:space="0"/>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一级指标及分值</w:t>
            </w:r>
          </w:p>
        </w:tc>
        <w:tc>
          <w:tcPr>
            <w:tcW w:w="1320"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二级指标及分值</w:t>
            </w:r>
          </w:p>
        </w:tc>
        <w:tc>
          <w:tcPr>
            <w:tcW w:w="1456"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三级指标及分值</w:t>
            </w:r>
          </w:p>
        </w:tc>
        <w:tc>
          <w:tcPr>
            <w:tcW w:w="3287"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四级指标及分值</w:t>
            </w:r>
          </w:p>
        </w:tc>
        <w:tc>
          <w:tcPr>
            <w:tcW w:w="1134" w:type="dxa"/>
            <w:tcBorders>
              <w:top w:val="single" w:color="auto" w:sz="4" w:space="0"/>
              <w:left w:val="nil"/>
              <w:bottom w:val="single" w:color="auto" w:sz="4" w:space="0"/>
              <w:right w:val="single" w:color="auto" w:sz="4" w:space="0"/>
            </w:tcBorders>
            <w:shd w:val="clear" w:color="000000" w:fill="92D050"/>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得分</w:t>
            </w:r>
          </w:p>
        </w:tc>
      </w:tr>
      <w:tr>
        <w:tblPrEx>
          <w:tblCellMar>
            <w:top w:w="0" w:type="dxa"/>
            <w:left w:w="108" w:type="dxa"/>
            <w:bottom w:w="0" w:type="dxa"/>
            <w:right w:w="108" w:type="dxa"/>
          </w:tblCellMar>
        </w:tblPrEx>
        <w:trPr>
          <w:trHeight w:val="610" w:hRule="atLeast"/>
        </w:trPr>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效益</w:t>
            </w:r>
            <w:r>
              <w:rPr>
                <w:rFonts w:hint="eastAsia" w:ascii="宋体" w:hAnsi="宋体" w:cs="宋体"/>
                <w:kern w:val="0"/>
                <w:sz w:val="21"/>
                <w:szCs w:val="21"/>
              </w:rPr>
              <w:br w:type="textWrapping"/>
            </w:r>
            <w:r>
              <w:rPr>
                <w:rFonts w:hint="eastAsia" w:ascii="宋体" w:hAnsi="宋体" w:cs="宋体"/>
                <w:kern w:val="0"/>
                <w:sz w:val="21"/>
                <w:szCs w:val="21"/>
              </w:rPr>
              <w:t>（30分）</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项目效益（30分）</w:t>
            </w:r>
          </w:p>
        </w:tc>
        <w:tc>
          <w:tcPr>
            <w:tcW w:w="14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both"/>
              <w:textAlignment w:val="center"/>
              <w:rPr>
                <w:rFonts w:ascii="宋体" w:hAnsi="宋体" w:cs="宋体"/>
                <w:kern w:val="0"/>
                <w:sz w:val="21"/>
                <w:szCs w:val="21"/>
              </w:rPr>
            </w:pPr>
            <w:r>
              <w:rPr>
                <w:rFonts w:hint="eastAsia" w:ascii="宋体" w:hAnsi="宋体" w:eastAsia="宋体" w:cs="宋体"/>
                <w:i w:val="0"/>
                <w:color w:val="000000"/>
                <w:kern w:val="0"/>
                <w:sz w:val="21"/>
                <w:szCs w:val="21"/>
                <w:u w:val="none"/>
                <w:lang w:val="en-US" w:eastAsia="zh-CN" w:bidi="ar"/>
              </w:rPr>
              <w:t>经济效益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（6分）</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both"/>
              <w:textAlignment w:val="center"/>
              <w:rPr>
                <w:rFonts w:ascii="宋体" w:hAnsi="宋体" w:cs="宋体"/>
                <w:kern w:val="0"/>
                <w:sz w:val="21"/>
                <w:szCs w:val="21"/>
              </w:rPr>
            </w:pPr>
            <w:r>
              <w:rPr>
                <w:rFonts w:hint="eastAsia" w:ascii="宋体" w:hAnsi="宋体" w:eastAsia="宋体" w:cs="宋体"/>
                <w:i w:val="0"/>
                <w:color w:val="000000"/>
                <w:kern w:val="0"/>
                <w:sz w:val="21"/>
                <w:szCs w:val="21"/>
                <w:u w:val="none"/>
                <w:lang w:val="en-US" w:eastAsia="zh-CN" w:bidi="ar"/>
              </w:rPr>
              <w:t>带动地方经济发展，拉动内需产业。促进影视文化产业发展，拉动文化产业GDP增长（6分）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5</w:t>
            </w:r>
          </w:p>
        </w:tc>
      </w:tr>
      <w:tr>
        <w:tblPrEx>
          <w:tblCellMar>
            <w:top w:w="0" w:type="dxa"/>
            <w:left w:w="108" w:type="dxa"/>
            <w:bottom w:w="0" w:type="dxa"/>
            <w:right w:w="108" w:type="dxa"/>
          </w:tblCellMar>
        </w:tblPrEx>
        <w:trPr>
          <w:trHeight w:val="600"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4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kern w:val="0"/>
                <w:sz w:val="21"/>
                <w:szCs w:val="21"/>
              </w:rPr>
            </w:pPr>
            <w:r>
              <w:rPr>
                <w:rFonts w:hint="eastAsia" w:ascii="宋体" w:hAnsi="宋体" w:eastAsia="宋体" w:cs="宋体"/>
                <w:i w:val="0"/>
                <w:color w:val="000000"/>
                <w:kern w:val="0"/>
                <w:sz w:val="21"/>
                <w:szCs w:val="21"/>
                <w:u w:val="none"/>
                <w:lang w:val="en-US" w:eastAsia="zh-CN" w:bidi="ar"/>
              </w:rPr>
              <w:t>社会效益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（6分）</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kern w:val="0"/>
                <w:sz w:val="21"/>
                <w:szCs w:val="21"/>
              </w:rPr>
            </w:pPr>
            <w:r>
              <w:rPr>
                <w:rFonts w:hint="eastAsia" w:ascii="宋体" w:hAnsi="宋体" w:eastAsia="宋体" w:cs="宋体"/>
                <w:i w:val="0"/>
                <w:color w:val="000000"/>
                <w:kern w:val="0"/>
                <w:sz w:val="21"/>
                <w:szCs w:val="21"/>
                <w:u w:val="none"/>
                <w:lang w:val="en-US" w:eastAsia="zh-CN" w:bidi="ar"/>
              </w:rPr>
              <w:t>带动周边的旅游景区、餐饮、宾馆酒店等经济发展（6分）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5</w:t>
            </w:r>
          </w:p>
        </w:tc>
      </w:tr>
      <w:tr>
        <w:tblPrEx>
          <w:tblCellMar>
            <w:top w:w="0" w:type="dxa"/>
            <w:left w:w="108" w:type="dxa"/>
            <w:bottom w:w="0" w:type="dxa"/>
            <w:right w:w="108" w:type="dxa"/>
          </w:tblCellMar>
        </w:tblPrEx>
        <w:trPr>
          <w:trHeight w:val="600"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4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kern w:val="0"/>
                <w:sz w:val="21"/>
                <w:szCs w:val="21"/>
              </w:rPr>
            </w:pPr>
            <w:r>
              <w:rPr>
                <w:rFonts w:hint="eastAsia" w:ascii="宋体" w:hAnsi="宋体" w:eastAsia="宋体" w:cs="宋体"/>
                <w:i w:val="0"/>
                <w:color w:val="000000"/>
                <w:kern w:val="0"/>
                <w:sz w:val="21"/>
                <w:szCs w:val="21"/>
                <w:u w:val="none"/>
                <w:lang w:val="en-US" w:eastAsia="zh-CN" w:bidi="ar"/>
              </w:rPr>
              <w:t>可持续影响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（8分）</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kern w:val="0"/>
                <w:sz w:val="21"/>
                <w:szCs w:val="21"/>
              </w:rPr>
            </w:pPr>
            <w:r>
              <w:rPr>
                <w:rFonts w:hint="eastAsia" w:ascii="宋体" w:hAnsi="宋体" w:eastAsia="宋体" w:cs="宋体"/>
                <w:i w:val="0"/>
                <w:color w:val="000000"/>
                <w:kern w:val="0"/>
                <w:sz w:val="21"/>
                <w:szCs w:val="21"/>
                <w:u w:val="none"/>
                <w:lang w:val="en-US" w:eastAsia="zh-CN" w:bidi="ar"/>
              </w:rPr>
              <w:t>提升临淄区对外形象，大力促进文化产业和社会服务业发展（8分）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7</w:t>
            </w:r>
          </w:p>
        </w:tc>
      </w:tr>
      <w:tr>
        <w:tblPrEx>
          <w:tblCellMar>
            <w:top w:w="0" w:type="dxa"/>
            <w:left w:w="108" w:type="dxa"/>
            <w:bottom w:w="0" w:type="dxa"/>
            <w:right w:w="108" w:type="dxa"/>
          </w:tblCellMar>
        </w:tblPrEx>
        <w:trPr>
          <w:trHeight w:val="600"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1"/>
                <w:szCs w:val="21"/>
              </w:rPr>
            </w:pPr>
          </w:p>
        </w:tc>
        <w:tc>
          <w:tcPr>
            <w:tcW w:w="14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both"/>
              <w:textAlignment w:val="center"/>
              <w:rPr>
                <w:rFonts w:ascii="宋体" w:hAnsi="宋体" w:cs="宋体"/>
                <w:kern w:val="0"/>
                <w:sz w:val="21"/>
                <w:szCs w:val="21"/>
              </w:rPr>
            </w:pPr>
            <w:r>
              <w:rPr>
                <w:rFonts w:hint="eastAsia" w:ascii="宋体" w:hAnsi="宋体" w:eastAsia="宋体" w:cs="宋体"/>
                <w:i w:val="0"/>
                <w:color w:val="000000"/>
                <w:kern w:val="0"/>
                <w:sz w:val="21"/>
                <w:szCs w:val="21"/>
                <w:u w:val="none"/>
                <w:lang w:val="en-US" w:eastAsia="zh-CN" w:bidi="ar"/>
              </w:rPr>
              <w:t>服务对象满意度（10分）</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both"/>
              <w:textAlignment w:val="center"/>
              <w:rPr>
                <w:rFonts w:ascii="宋体" w:hAnsi="宋体" w:cs="宋体"/>
                <w:kern w:val="0"/>
                <w:sz w:val="21"/>
                <w:szCs w:val="21"/>
              </w:rPr>
            </w:pPr>
            <w:r>
              <w:rPr>
                <w:rFonts w:hint="eastAsia" w:ascii="宋体" w:hAnsi="宋体" w:eastAsia="宋体" w:cs="宋体"/>
                <w:i w:val="0"/>
                <w:color w:val="000000"/>
                <w:kern w:val="0"/>
                <w:sz w:val="21"/>
                <w:szCs w:val="21"/>
                <w:u w:val="none"/>
                <w:lang w:val="en-US" w:eastAsia="zh-CN" w:bidi="ar"/>
              </w:rPr>
              <w:t>招商入驻企业满意度（10分）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9.67</w:t>
            </w:r>
          </w:p>
        </w:tc>
      </w:tr>
      <w:tr>
        <w:tblPrEx>
          <w:tblCellMar>
            <w:top w:w="0" w:type="dxa"/>
            <w:left w:w="108" w:type="dxa"/>
            <w:bottom w:w="0" w:type="dxa"/>
            <w:right w:w="108" w:type="dxa"/>
          </w:tblCellMar>
        </w:tblPrEx>
        <w:trPr>
          <w:trHeight w:val="460" w:hRule="atLeast"/>
        </w:trPr>
        <w:tc>
          <w:tcPr>
            <w:tcW w:w="708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总分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26.67</w:t>
            </w:r>
          </w:p>
        </w:tc>
      </w:tr>
    </w:tbl>
    <w:p>
      <w:pPr>
        <w:pStyle w:val="4"/>
        <w:ind w:firstLine="562"/>
        <w:rPr>
          <w:rFonts w:hint="eastAsia"/>
          <w:lang w:val="en-US" w:eastAsia="zh-CN"/>
        </w:rPr>
      </w:pPr>
      <w:r>
        <w:rPr>
          <w:rFonts w:hint="eastAsia"/>
        </w:rPr>
        <w:t>1</w:t>
      </w:r>
      <w:r>
        <w:t>.</w:t>
      </w:r>
      <w:r>
        <w:rPr>
          <w:rFonts w:hint="eastAsia"/>
          <w:lang w:val="en-US" w:eastAsia="zh-CN"/>
        </w:rPr>
        <w:t>经济效益</w:t>
      </w:r>
    </w:p>
    <w:p>
      <w:pPr>
        <w:ind w:firstLine="540" w:firstLineChars="200"/>
        <w:rPr>
          <w:rFonts w:hint="eastAsia" w:ascii="宋体" w:hAnsi="宋体" w:eastAsia="宋体" w:cs="宋体"/>
          <w:sz w:val="27"/>
          <w:szCs w:val="27"/>
          <w:lang w:val="en-US" w:eastAsia="zh-CN"/>
        </w:rPr>
      </w:pPr>
      <w:r>
        <w:rPr>
          <w:rFonts w:hint="eastAsia" w:ascii="宋体" w:hAnsi="宋体" w:eastAsia="宋体" w:cs="宋体"/>
          <w:sz w:val="27"/>
          <w:szCs w:val="27"/>
          <w:lang w:eastAsia="zh-CN"/>
        </w:rPr>
        <w:t>截止</w:t>
      </w:r>
      <w:r>
        <w:rPr>
          <w:rFonts w:hint="eastAsia" w:ascii="宋体" w:hAnsi="宋体" w:eastAsia="宋体" w:cs="宋体"/>
          <w:sz w:val="27"/>
          <w:szCs w:val="27"/>
          <w:lang w:val="en-US" w:eastAsia="zh-CN"/>
        </w:rPr>
        <w:t>2020年6月，影视产业园先后引进影视企业250家，产业园常驻办公企业46家。2018年产业园营业额超过了1.5亿，2019年营业额超过2亿。2020年突如其来的疫情对影视文化产业造成较大冲击，</w:t>
      </w:r>
      <w:r>
        <w:rPr>
          <w:rFonts w:hint="eastAsia" w:ascii="宋体" w:hAnsi="宋体" w:cs="宋体"/>
          <w:sz w:val="27"/>
          <w:szCs w:val="27"/>
          <w:lang w:val="en-US" w:eastAsia="zh-CN"/>
        </w:rPr>
        <w:t>正逐渐恢复中</w:t>
      </w:r>
      <w:r>
        <w:rPr>
          <w:rFonts w:hint="eastAsia" w:ascii="宋体" w:hAnsi="宋体" w:eastAsia="宋体" w:cs="宋体"/>
          <w:sz w:val="27"/>
          <w:szCs w:val="27"/>
          <w:lang w:val="en-US" w:eastAsia="zh-CN"/>
        </w:rPr>
        <w:t>。</w:t>
      </w:r>
    </w:p>
    <w:p>
      <w:pPr>
        <w:ind w:firstLine="540"/>
      </w:pPr>
      <w:r>
        <w:rPr>
          <w:rFonts w:hint="eastAsia"/>
        </w:rPr>
        <w:t>该项权重分值</w:t>
      </w:r>
      <w:r>
        <w:rPr>
          <w:rFonts w:hint="eastAsia"/>
          <w:lang w:val="en-US" w:eastAsia="zh-CN"/>
        </w:rPr>
        <w:t>6</w:t>
      </w:r>
      <w:r>
        <w:rPr>
          <w:rFonts w:hint="eastAsia"/>
        </w:rPr>
        <w:t>分，实际得分</w:t>
      </w:r>
      <w:r>
        <w:t>5</w:t>
      </w:r>
      <w:r>
        <w:rPr>
          <w:rFonts w:hint="eastAsia"/>
        </w:rPr>
        <w:t>分。</w:t>
      </w:r>
    </w:p>
    <w:p>
      <w:pPr>
        <w:ind w:firstLine="540" w:firstLineChars="200"/>
        <w:rPr>
          <w:rFonts w:hint="default" w:ascii="宋体" w:hAnsi="宋体" w:eastAsia="宋体" w:cs="宋体"/>
          <w:sz w:val="27"/>
          <w:szCs w:val="27"/>
          <w:lang w:val="en-US" w:eastAsia="zh-CN"/>
        </w:rPr>
      </w:pPr>
    </w:p>
    <w:p>
      <w:pPr>
        <w:pStyle w:val="4"/>
        <w:ind w:firstLine="562"/>
      </w:pPr>
      <w:r>
        <w:rPr>
          <w:rFonts w:hint="eastAsia"/>
          <w:lang w:val="en-US" w:eastAsia="zh-CN"/>
        </w:rPr>
        <w:t>2.</w:t>
      </w:r>
      <w:r>
        <w:rPr>
          <w:rFonts w:hint="eastAsia"/>
        </w:rPr>
        <w:t>社会效益</w:t>
      </w:r>
    </w:p>
    <w:p>
      <w:pPr>
        <w:ind w:firstLine="540"/>
      </w:pPr>
      <w:r>
        <w:rPr>
          <w:rFonts w:hint="eastAsia"/>
        </w:rPr>
        <w:t>该项权重分值</w:t>
      </w:r>
      <w:r>
        <w:rPr>
          <w:rFonts w:hint="eastAsia"/>
          <w:lang w:val="en-US" w:eastAsia="zh-CN"/>
        </w:rPr>
        <w:t>6</w:t>
      </w:r>
      <w:r>
        <w:rPr>
          <w:rFonts w:hint="eastAsia"/>
        </w:rPr>
        <w:t>分，实际得分</w:t>
      </w:r>
      <w:r>
        <w:t>5</w:t>
      </w:r>
      <w:r>
        <w:rPr>
          <w:rFonts w:hint="eastAsia"/>
        </w:rPr>
        <w:t>分。</w:t>
      </w:r>
    </w:p>
    <w:p>
      <w:pPr>
        <w:ind w:firstLine="540" w:firstLineChars="200"/>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影视活动刺激和带动了临淄第三产业的发展，全国各地的知名演员到临淄拍摄（协议要求影片中必须有临淄的地标建筑）多部影视剧的上映，让社会更加全面的了解临淄，宣传了临淄并提升了知名度和美誉度，带动了文化和旅游产业的发展。</w:t>
      </w:r>
      <w:r>
        <w:rPr>
          <w:rFonts w:hint="eastAsia" w:ascii="宋体" w:hAnsi="宋体" w:cs="宋体"/>
          <w:sz w:val="27"/>
          <w:szCs w:val="27"/>
          <w:lang w:val="en-US" w:eastAsia="zh-CN"/>
        </w:rPr>
        <w:t>通过</w:t>
      </w:r>
      <w:r>
        <w:rPr>
          <w:rFonts w:hint="eastAsia" w:ascii="宋体" w:hAnsi="宋体" w:eastAsia="宋体" w:cs="宋体"/>
          <w:sz w:val="27"/>
          <w:szCs w:val="27"/>
        </w:rPr>
        <w:t>影视产业园</w:t>
      </w:r>
      <w:r>
        <w:rPr>
          <w:rFonts w:hint="eastAsia" w:ascii="宋体" w:hAnsi="宋体" w:cs="宋体"/>
          <w:sz w:val="27"/>
          <w:szCs w:val="27"/>
          <w:lang w:val="en-US" w:eastAsia="zh-CN"/>
        </w:rPr>
        <w:t>的发展及吸引更多的剧组前来临淄区拍摄影视作品</w:t>
      </w:r>
      <w:r>
        <w:rPr>
          <w:rFonts w:hint="eastAsia" w:ascii="宋体" w:hAnsi="宋体" w:eastAsia="宋体" w:cs="宋体"/>
          <w:sz w:val="27"/>
          <w:szCs w:val="27"/>
          <w:lang w:val="en-US" w:eastAsia="zh-CN"/>
        </w:rPr>
        <w:t>，带动周边的旅游景区、餐饮、宾馆酒店等经济发展</w:t>
      </w:r>
      <w:r>
        <w:rPr>
          <w:rFonts w:hint="eastAsia" w:ascii="宋体" w:hAnsi="宋体" w:cs="宋体"/>
          <w:sz w:val="27"/>
          <w:szCs w:val="27"/>
          <w:lang w:val="en-US" w:eastAsia="zh-CN"/>
        </w:rPr>
        <w:t>。</w:t>
      </w:r>
    </w:p>
    <w:p>
      <w:pPr>
        <w:pStyle w:val="4"/>
        <w:ind w:firstLine="562"/>
        <w:rPr>
          <w:rFonts w:hint="eastAsia"/>
          <w:lang w:val="en-US" w:eastAsia="zh-CN"/>
        </w:rPr>
      </w:pPr>
      <w:r>
        <w:t>3.</w:t>
      </w:r>
      <w:r>
        <w:rPr>
          <w:rFonts w:hint="eastAsia"/>
          <w:lang w:val="en-US" w:eastAsia="zh-CN"/>
        </w:rPr>
        <w:t>可持续影响</w:t>
      </w:r>
    </w:p>
    <w:p>
      <w:pPr>
        <w:ind w:firstLine="540" w:firstLineChars="200"/>
        <w:rPr>
          <w:rFonts w:hint="eastAsia" w:ascii="宋体" w:hAnsi="宋体" w:eastAsia="宋体" w:cs="宋体"/>
          <w:sz w:val="27"/>
          <w:szCs w:val="27"/>
          <w:lang w:val="en-US" w:eastAsia="zh-CN"/>
        </w:rPr>
      </w:pPr>
      <w:r>
        <w:rPr>
          <w:rFonts w:hint="eastAsia" w:ascii="宋体" w:hAnsi="宋体" w:eastAsia="宋体" w:cs="宋体"/>
          <w:sz w:val="27"/>
          <w:szCs w:val="27"/>
        </w:rPr>
        <w:t>近年来对文化产业的大力支持得到了丰厚的回报，并且促进了临淄区的影视文化产业的发展，拍摄了近20部院线、央视频道的电影和电视剧</w:t>
      </w:r>
      <w:r>
        <w:rPr>
          <w:rFonts w:hint="eastAsia" w:ascii="宋体" w:hAnsi="宋体" w:eastAsia="宋体" w:cs="宋体"/>
          <w:sz w:val="27"/>
          <w:szCs w:val="27"/>
          <w:lang w:eastAsia="zh-CN"/>
        </w:rPr>
        <w:t>，</w:t>
      </w:r>
      <w:r>
        <w:rPr>
          <w:rFonts w:hint="eastAsia" w:ascii="宋体" w:hAnsi="宋体" w:eastAsia="宋体" w:cs="宋体"/>
          <w:sz w:val="27"/>
          <w:szCs w:val="27"/>
          <w:lang w:val="en-US" w:eastAsia="zh-CN"/>
        </w:rPr>
        <w:t>扩大了临淄区的影响力。</w:t>
      </w:r>
      <w:r>
        <w:rPr>
          <w:rFonts w:hint="eastAsia" w:ascii="宋体" w:hAnsi="宋体" w:eastAsia="宋体" w:cs="宋体"/>
          <w:sz w:val="27"/>
          <w:szCs w:val="27"/>
          <w:lang w:eastAsia="zh-CN"/>
        </w:rPr>
        <w:t>目前</w:t>
      </w:r>
      <w:r>
        <w:rPr>
          <w:rFonts w:hint="eastAsia" w:ascii="宋体" w:hAnsi="宋体" w:eastAsia="宋体" w:cs="宋体"/>
          <w:sz w:val="27"/>
          <w:szCs w:val="27"/>
        </w:rPr>
        <w:t>影视产业园已初步形成规模，2017年5月被评为省级产业园区，2017年被评为山东省新闻出版广播影视产业重点基地（园区），</w:t>
      </w:r>
      <w:r>
        <w:rPr>
          <w:rFonts w:hint="eastAsia" w:ascii="宋体" w:hAnsi="宋体" w:eastAsia="宋体" w:cs="宋体"/>
          <w:sz w:val="27"/>
          <w:szCs w:val="27"/>
          <w:lang w:val="en-US" w:eastAsia="zh-CN"/>
        </w:rPr>
        <w:t>2018年被评为山东省重点知识产权保护示范基地。2020年产业园同时申报了第六批山东省重点文化产业园。</w:t>
      </w:r>
    </w:p>
    <w:p>
      <w:pPr>
        <w:ind w:firstLine="540"/>
        <w:rPr>
          <w:rFonts w:hint="default" w:ascii="宋体" w:hAnsi="宋体" w:eastAsia="宋体" w:cs="宋体"/>
          <w:sz w:val="27"/>
          <w:szCs w:val="27"/>
          <w:lang w:val="en-US" w:eastAsia="zh-CN"/>
        </w:rPr>
      </w:pPr>
      <w:r>
        <w:rPr>
          <w:rFonts w:hint="eastAsia"/>
        </w:rPr>
        <w:t>该项权重分值</w:t>
      </w:r>
      <w:r>
        <w:rPr>
          <w:rFonts w:hint="eastAsia"/>
          <w:lang w:val="en-US" w:eastAsia="zh-CN"/>
        </w:rPr>
        <w:t>8</w:t>
      </w:r>
      <w:r>
        <w:rPr>
          <w:rFonts w:hint="eastAsia"/>
        </w:rPr>
        <w:t>分，实际得分</w:t>
      </w:r>
      <w:r>
        <w:rPr>
          <w:rFonts w:hint="eastAsia"/>
          <w:lang w:val="en-US" w:eastAsia="zh-CN"/>
        </w:rPr>
        <w:t>7</w:t>
      </w:r>
      <w:r>
        <w:rPr>
          <w:rFonts w:hint="eastAsia"/>
        </w:rPr>
        <w:t>分。</w:t>
      </w:r>
    </w:p>
    <w:p>
      <w:pPr>
        <w:pStyle w:val="4"/>
        <w:ind w:firstLine="562"/>
      </w:pPr>
      <w:r>
        <w:rPr>
          <w:rFonts w:hint="eastAsia"/>
          <w:lang w:val="en-US" w:eastAsia="zh-CN"/>
        </w:rPr>
        <w:t>4.</w:t>
      </w:r>
      <w:r>
        <w:rPr>
          <w:rFonts w:hint="eastAsia"/>
        </w:rPr>
        <w:t>服务对象满意度</w:t>
      </w:r>
    </w:p>
    <w:p>
      <w:pPr>
        <w:ind w:firstLine="540"/>
      </w:pPr>
      <w:r>
        <w:rPr>
          <w:rFonts w:hint="eastAsia"/>
        </w:rPr>
        <w:t>该项权重分值</w:t>
      </w:r>
      <w:r>
        <w:t>1</w:t>
      </w:r>
      <w:r>
        <w:rPr>
          <w:rFonts w:hint="eastAsia"/>
          <w:lang w:val="en-US" w:eastAsia="zh-CN"/>
        </w:rPr>
        <w:t>0</w:t>
      </w:r>
      <w:r>
        <w:rPr>
          <w:rFonts w:hint="eastAsia"/>
        </w:rPr>
        <w:t>分，实际得分</w:t>
      </w:r>
      <w:r>
        <w:rPr>
          <w:rFonts w:hint="eastAsia"/>
          <w:lang w:val="en-US" w:eastAsia="zh-CN"/>
        </w:rPr>
        <w:t>9.67</w:t>
      </w:r>
      <w:r>
        <w:rPr>
          <w:rFonts w:hint="eastAsia"/>
        </w:rPr>
        <w:t>分。</w:t>
      </w:r>
    </w:p>
    <w:p>
      <w:pPr>
        <w:ind w:firstLine="540"/>
        <w:rPr>
          <w:rFonts w:hint="eastAsia"/>
        </w:rPr>
      </w:pPr>
      <w:r>
        <w:rPr>
          <w:rFonts w:hint="eastAsia"/>
        </w:rPr>
        <w:t>本项目满意度调查通过发放调查问卷方式进行，主要调查对象为</w:t>
      </w:r>
      <w:r>
        <w:rPr>
          <w:rFonts w:hint="eastAsia"/>
          <w:lang w:val="en-US" w:eastAsia="zh-CN"/>
        </w:rPr>
        <w:t>驻园区企业</w:t>
      </w:r>
      <w:r>
        <w:rPr>
          <w:rFonts w:hint="eastAsia"/>
        </w:rPr>
        <w:t>，共发放满意度调查表</w:t>
      </w:r>
      <w:r>
        <w:t>30</w:t>
      </w:r>
      <w:r>
        <w:rPr>
          <w:rFonts w:hint="eastAsia"/>
        </w:rPr>
        <w:t>份，收回</w:t>
      </w:r>
      <w:r>
        <w:t>30</w:t>
      </w:r>
      <w:r>
        <w:rPr>
          <w:rFonts w:hint="eastAsia"/>
        </w:rPr>
        <w:t>份，收回率1</w:t>
      </w:r>
      <w:r>
        <w:t>00</w:t>
      </w:r>
      <w:r>
        <w:rPr>
          <w:rFonts w:hint="eastAsia"/>
        </w:rPr>
        <w:t>%。根据回收的满意度调查问卷分析，满意度平均得分为9</w:t>
      </w:r>
      <w:r>
        <w:rPr>
          <w:rFonts w:hint="eastAsia"/>
          <w:lang w:val="en-US" w:eastAsia="zh-CN"/>
        </w:rPr>
        <w:t>6.73</w:t>
      </w:r>
      <w:r>
        <w:rPr>
          <w:rFonts w:hint="eastAsia"/>
        </w:rPr>
        <w:t>分，受益群体对本项目实施效果的满意程度高。</w:t>
      </w:r>
    </w:p>
    <w:p>
      <w:pPr>
        <w:pStyle w:val="2"/>
        <w:ind w:firstLine="600"/>
      </w:pPr>
      <w:bookmarkStart w:id="33" w:name="_Toc48120211"/>
      <w:r>
        <w:rPr>
          <w:rFonts w:hint="eastAsia"/>
        </w:rPr>
        <w:t>五、主要经验及做法、存在的问题及原因分析</w:t>
      </w:r>
      <w:bookmarkEnd w:id="33"/>
    </w:p>
    <w:p>
      <w:pPr>
        <w:pStyle w:val="3"/>
        <w:ind w:firstLine="562"/>
      </w:pPr>
      <w:bookmarkStart w:id="34" w:name="_Toc48120212"/>
      <w:r>
        <w:rPr>
          <w:rFonts w:hint="eastAsia"/>
        </w:rPr>
        <w:t>（一）主要经验及做法</w:t>
      </w:r>
      <w:bookmarkEnd w:id="34"/>
    </w:p>
    <w:p>
      <w:pPr>
        <w:pStyle w:val="4"/>
        <w:ind w:firstLine="562"/>
      </w:pPr>
      <w:r>
        <w:rPr>
          <w:rFonts w:hint="eastAsia"/>
        </w:rPr>
        <w:t>1</w:t>
      </w:r>
      <w:r>
        <w:t>.</w:t>
      </w:r>
      <w:r>
        <w:rPr>
          <w:rFonts w:hint="eastAsia"/>
        </w:rPr>
        <w:t>设置绩效目标</w:t>
      </w:r>
    </w:p>
    <w:p>
      <w:pPr>
        <w:ind w:firstLine="540"/>
      </w:pPr>
      <w:r>
        <w:rPr>
          <w:rFonts w:hint="eastAsia"/>
        </w:rPr>
        <w:t>项目预算申请时，申报了明确的绩效目标，对长期目标、年度目标、具体绩效指标均做了详细的设置，并按照项目具体情况，设置了符合本项目的指标值，指标值明确且可衡量，在本次绩效评价中为评价体系的设立提供了有力的依据。</w:t>
      </w:r>
    </w:p>
    <w:p>
      <w:pPr>
        <w:pStyle w:val="3"/>
        <w:ind w:firstLine="562"/>
      </w:pPr>
      <w:bookmarkStart w:id="35" w:name="_Toc48120213"/>
      <w:r>
        <w:rPr>
          <w:rFonts w:hint="eastAsia"/>
        </w:rPr>
        <w:t>（二）存在的问题及原因分析</w:t>
      </w:r>
      <w:bookmarkEnd w:id="35"/>
    </w:p>
    <w:p>
      <w:pPr>
        <w:pStyle w:val="4"/>
        <w:ind w:firstLine="562"/>
      </w:pPr>
      <w:r>
        <w:t>1.</w:t>
      </w:r>
      <w:r>
        <w:rPr>
          <w:rFonts w:hint="eastAsia"/>
        </w:rPr>
        <w:t>部分绩效目标设置不合理</w:t>
      </w:r>
    </w:p>
    <w:p>
      <w:pPr>
        <w:ind w:firstLine="540"/>
        <w:rPr>
          <w:rFonts w:hint="eastAsia"/>
        </w:rPr>
      </w:pPr>
      <w:r>
        <w:rPr>
          <w:rFonts w:hint="eastAsia"/>
        </w:rPr>
        <w:t>该项目虽然在预算申请时设置了详细的绩效目标，但部分指标设置对项目评价意义不大，比如</w:t>
      </w:r>
      <w:r>
        <w:rPr>
          <w:rFonts w:hint="eastAsia"/>
          <w:lang w:val="en-US" w:eastAsia="zh-CN"/>
        </w:rPr>
        <w:t>生态效益中的周边环境改善</w:t>
      </w:r>
      <w:r>
        <w:rPr>
          <w:rFonts w:hint="eastAsia"/>
        </w:rPr>
        <w:t>等。</w:t>
      </w:r>
    </w:p>
    <w:p>
      <w:pPr>
        <w:pStyle w:val="4"/>
        <w:ind w:firstLine="562"/>
        <w:rPr>
          <w:rFonts w:hint="eastAsia"/>
          <w:lang w:val="en-US" w:eastAsia="zh-CN"/>
        </w:rPr>
      </w:pPr>
      <w:bookmarkStart w:id="36" w:name="_Toc48120214"/>
      <w:r>
        <w:rPr>
          <w:rFonts w:hint="eastAsia"/>
          <w:lang w:val="en-US" w:eastAsia="zh-CN"/>
        </w:rPr>
        <w:t>2</w:t>
      </w:r>
      <w:r>
        <w:t>.</w:t>
      </w:r>
      <w:r>
        <w:rPr>
          <w:rFonts w:hint="eastAsia"/>
          <w:lang w:val="en-US" w:eastAsia="zh-CN"/>
        </w:rPr>
        <w:t>资金拨付不及时</w:t>
      </w:r>
    </w:p>
    <w:p>
      <w:pPr>
        <w:ind w:firstLine="540"/>
        <w:rPr>
          <w:rFonts w:hint="eastAsia"/>
          <w:lang w:val="en-US" w:eastAsia="zh-CN"/>
        </w:rPr>
      </w:pPr>
      <w:r>
        <w:rPr>
          <w:rFonts w:hint="eastAsia"/>
          <w:lang w:val="en-US" w:eastAsia="zh-CN"/>
        </w:rPr>
        <w:t>因扶持资金拨付不及时，导致企业开票的积极性降低。</w:t>
      </w:r>
    </w:p>
    <w:p>
      <w:pPr>
        <w:pStyle w:val="4"/>
        <w:ind w:firstLine="562"/>
        <w:rPr>
          <w:rFonts w:hint="eastAsia"/>
          <w:lang w:val="en-US" w:eastAsia="zh-CN"/>
        </w:rPr>
      </w:pPr>
      <w:r>
        <w:rPr>
          <w:rFonts w:hint="eastAsia"/>
          <w:lang w:val="en-US" w:eastAsia="zh-CN"/>
        </w:rPr>
        <w:t>3</w:t>
      </w:r>
      <w:r>
        <w:t>.</w:t>
      </w:r>
      <w:r>
        <w:rPr>
          <w:rFonts w:hint="eastAsia"/>
          <w:lang w:val="en-US" w:eastAsia="zh-CN"/>
        </w:rPr>
        <w:t>个别招商入驻的部分企业存在无业绩现象</w:t>
      </w:r>
    </w:p>
    <w:p>
      <w:pPr>
        <w:rPr>
          <w:rFonts w:hint="default"/>
          <w:lang w:val="en-US" w:eastAsia="zh-CN"/>
        </w:rPr>
      </w:pPr>
      <w:r>
        <w:rPr>
          <w:rFonts w:hint="eastAsia"/>
          <w:lang w:val="en-US" w:eastAsia="zh-CN"/>
        </w:rPr>
        <w:t>个别入驻影视产业园的企业存在无业绩或业绩较差的情况，前期的扶持资金将追回。</w:t>
      </w:r>
    </w:p>
    <w:p>
      <w:pPr>
        <w:ind w:firstLine="540"/>
        <w:rPr>
          <w:rFonts w:hint="default"/>
          <w:lang w:val="en-US" w:eastAsia="zh-CN"/>
        </w:rPr>
      </w:pPr>
    </w:p>
    <w:p>
      <w:pPr>
        <w:pStyle w:val="2"/>
        <w:ind w:firstLine="600"/>
      </w:pPr>
      <w:r>
        <w:rPr>
          <w:rFonts w:hint="eastAsia"/>
        </w:rPr>
        <w:t>六、有关建议</w:t>
      </w:r>
      <w:bookmarkEnd w:id="36"/>
    </w:p>
    <w:p>
      <w:pPr>
        <w:pStyle w:val="4"/>
        <w:ind w:firstLine="562"/>
      </w:pPr>
      <w:r>
        <w:rPr>
          <w:rFonts w:hint="eastAsia"/>
        </w:rPr>
        <w:t>1</w:t>
      </w:r>
      <w:r>
        <w:t>.</w:t>
      </w:r>
      <w:r>
        <w:rPr>
          <w:rFonts w:hint="eastAsia"/>
        </w:rPr>
        <w:t>提高绩效目标的合理性</w:t>
      </w:r>
    </w:p>
    <w:p>
      <w:pPr>
        <w:ind w:firstLine="540"/>
        <w:rPr>
          <w:rFonts w:hint="eastAsia"/>
        </w:rPr>
      </w:pPr>
      <w:r>
        <w:rPr>
          <w:rFonts w:hint="eastAsia"/>
        </w:rPr>
        <w:t>项目绩效目标的设置为项目运行提供了重要的评价依据，目标设置应科学、合理，符合项目实际。避免出现与项目无关的绩效目标或设置的目标难以评价。</w:t>
      </w:r>
    </w:p>
    <w:p>
      <w:pPr>
        <w:pStyle w:val="4"/>
        <w:ind w:firstLine="562"/>
        <w:rPr>
          <w:rFonts w:hint="eastAsia"/>
          <w:lang w:val="en-US" w:eastAsia="zh-CN"/>
        </w:rPr>
      </w:pPr>
      <w:r>
        <w:rPr>
          <w:rFonts w:hint="eastAsia"/>
          <w:lang w:val="en-US" w:eastAsia="zh-CN"/>
        </w:rPr>
        <w:t>2</w:t>
      </w:r>
      <w:r>
        <w:t>.</w:t>
      </w:r>
      <w:r>
        <w:rPr>
          <w:rFonts w:hint="eastAsia"/>
        </w:rPr>
        <w:t>提高</w:t>
      </w:r>
      <w:r>
        <w:rPr>
          <w:rFonts w:hint="eastAsia"/>
          <w:lang w:val="en-US" w:eastAsia="zh-CN"/>
        </w:rPr>
        <w:t>资金拨付的及时性</w:t>
      </w:r>
    </w:p>
    <w:p>
      <w:pPr>
        <w:ind w:firstLine="540"/>
        <w:rPr>
          <w:rFonts w:hint="default"/>
          <w:lang w:val="en-US" w:eastAsia="zh-CN"/>
        </w:rPr>
      </w:pPr>
      <w:r>
        <w:rPr>
          <w:rFonts w:hint="eastAsia"/>
          <w:lang w:val="en-US" w:eastAsia="zh-CN"/>
        </w:rPr>
        <w:t>建议</w:t>
      </w:r>
      <w:r>
        <w:rPr>
          <w:rFonts w:hint="eastAsia"/>
        </w:rPr>
        <w:t>预算资金在合法合规的前提下尽快拨付。</w:t>
      </w:r>
    </w:p>
    <w:p>
      <w:pPr>
        <w:pStyle w:val="4"/>
        <w:ind w:firstLine="562"/>
        <w:rPr>
          <w:rFonts w:hint="default" w:eastAsia="楷体"/>
          <w:lang w:val="en-US" w:eastAsia="zh-CN"/>
        </w:rPr>
      </w:pPr>
      <w:r>
        <w:rPr>
          <w:rFonts w:hint="eastAsia"/>
          <w:lang w:val="en-US" w:eastAsia="zh-CN"/>
        </w:rPr>
        <w:t>3</w:t>
      </w:r>
      <w:r>
        <w:t>.</w:t>
      </w:r>
      <w:r>
        <w:rPr>
          <w:rFonts w:hint="eastAsia"/>
          <w:lang w:val="en-US" w:eastAsia="zh-CN"/>
        </w:rPr>
        <w:t>严格招商把关</w:t>
      </w:r>
    </w:p>
    <w:p>
      <w:pPr>
        <w:ind w:firstLine="540"/>
        <w:rPr>
          <w:rFonts w:hint="eastAsia"/>
        </w:rPr>
      </w:pPr>
      <w:r>
        <w:rPr>
          <w:rFonts w:hint="eastAsia"/>
        </w:rPr>
        <w:t>严格按照招商入驻管理条例进行招商和管理，对入驻的企业进行严格的考核，将无业绩等企业清退，留下优质企业，加速推动临淄区影视文化产业的发展。</w:t>
      </w:r>
      <w:bookmarkStart w:id="37" w:name="_Toc48120215"/>
    </w:p>
    <w:p>
      <w:pPr>
        <w:pStyle w:val="2"/>
        <w:ind w:firstLine="600"/>
        <w:rPr>
          <w:rFonts w:hint="eastAsia"/>
        </w:rPr>
      </w:pPr>
      <w:r>
        <w:rPr>
          <w:rFonts w:hint="eastAsia"/>
        </w:rPr>
        <w:t>七、其他需要说明的问题</w:t>
      </w:r>
      <w:bookmarkEnd w:id="37"/>
    </w:p>
    <w:p>
      <w:pPr>
        <w:ind w:firstLine="540"/>
      </w:pPr>
      <w:r>
        <w:rPr>
          <w:rFonts w:hint="eastAsia"/>
        </w:rPr>
        <w:t>无</w:t>
      </w:r>
      <w:bookmarkStart w:id="38" w:name="_GoBack"/>
      <w:bookmarkEnd w:id="38"/>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7272428"/>
      <w:docPartObj>
        <w:docPartGallery w:val="autotext"/>
      </w:docPartObj>
    </w:sdtPr>
    <w:sdtContent>
      <w:p>
        <w:pPr>
          <w:pStyle w:val="7"/>
          <w:ind w:firstLine="360"/>
          <w:jc w:val="center"/>
        </w:pPr>
        <w:r>
          <w:fldChar w:fldCharType="begin"/>
        </w:r>
        <w:r>
          <w:instrText xml:space="preserve">PAGE   \* MERGEFORMAT</w:instrText>
        </w:r>
        <w:r>
          <w:fldChar w:fldCharType="separate"/>
        </w:r>
        <w:r>
          <w:rPr>
            <w:lang w:val="zh-CN"/>
          </w:rPr>
          <w:t>2</w:t>
        </w:r>
        <w:r>
          <w:fldChar w:fldCharType="end"/>
        </w:r>
      </w:p>
    </w:sdtContent>
  </w:sdt>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D136A"/>
    <w:rsid w:val="000114BB"/>
    <w:rsid w:val="000241CC"/>
    <w:rsid w:val="00030D1B"/>
    <w:rsid w:val="000831EF"/>
    <w:rsid w:val="000A01A3"/>
    <w:rsid w:val="000A4CEA"/>
    <w:rsid w:val="000B2895"/>
    <w:rsid w:val="000C2C91"/>
    <w:rsid w:val="000D0E08"/>
    <w:rsid w:val="00104298"/>
    <w:rsid w:val="00110808"/>
    <w:rsid w:val="00125B80"/>
    <w:rsid w:val="00172ED3"/>
    <w:rsid w:val="00194E73"/>
    <w:rsid w:val="001A334E"/>
    <w:rsid w:val="001F20D9"/>
    <w:rsid w:val="00203986"/>
    <w:rsid w:val="002043BF"/>
    <w:rsid w:val="00212637"/>
    <w:rsid w:val="00234877"/>
    <w:rsid w:val="0025680F"/>
    <w:rsid w:val="00275421"/>
    <w:rsid w:val="00276CFF"/>
    <w:rsid w:val="00283FD2"/>
    <w:rsid w:val="00297E0A"/>
    <w:rsid w:val="002A71D9"/>
    <w:rsid w:val="002B3181"/>
    <w:rsid w:val="002E2C3A"/>
    <w:rsid w:val="002F2DCE"/>
    <w:rsid w:val="00311C93"/>
    <w:rsid w:val="003128FD"/>
    <w:rsid w:val="00321878"/>
    <w:rsid w:val="003413D7"/>
    <w:rsid w:val="003536FB"/>
    <w:rsid w:val="003724A8"/>
    <w:rsid w:val="00391D0C"/>
    <w:rsid w:val="003942C5"/>
    <w:rsid w:val="003B7E36"/>
    <w:rsid w:val="003D4281"/>
    <w:rsid w:val="003E649C"/>
    <w:rsid w:val="003F1CC0"/>
    <w:rsid w:val="00401819"/>
    <w:rsid w:val="00436A9F"/>
    <w:rsid w:val="004375B5"/>
    <w:rsid w:val="0044636A"/>
    <w:rsid w:val="00462E52"/>
    <w:rsid w:val="00465C31"/>
    <w:rsid w:val="00484CAC"/>
    <w:rsid w:val="004D4157"/>
    <w:rsid w:val="004F30CF"/>
    <w:rsid w:val="00525632"/>
    <w:rsid w:val="005B3CB1"/>
    <w:rsid w:val="005E2284"/>
    <w:rsid w:val="005F2958"/>
    <w:rsid w:val="005F72AA"/>
    <w:rsid w:val="006164E5"/>
    <w:rsid w:val="0065106F"/>
    <w:rsid w:val="00654EDE"/>
    <w:rsid w:val="006647AA"/>
    <w:rsid w:val="0067143A"/>
    <w:rsid w:val="00672243"/>
    <w:rsid w:val="006A40F7"/>
    <w:rsid w:val="006A5440"/>
    <w:rsid w:val="006B0106"/>
    <w:rsid w:val="006D659E"/>
    <w:rsid w:val="007067C1"/>
    <w:rsid w:val="0071122A"/>
    <w:rsid w:val="00717CD1"/>
    <w:rsid w:val="00734CE1"/>
    <w:rsid w:val="0075175C"/>
    <w:rsid w:val="00767C81"/>
    <w:rsid w:val="00775EED"/>
    <w:rsid w:val="00776F8E"/>
    <w:rsid w:val="007D0396"/>
    <w:rsid w:val="007D136A"/>
    <w:rsid w:val="007E4BA2"/>
    <w:rsid w:val="007F2E8D"/>
    <w:rsid w:val="00803B66"/>
    <w:rsid w:val="008366C0"/>
    <w:rsid w:val="0084150C"/>
    <w:rsid w:val="00860812"/>
    <w:rsid w:val="00861CFD"/>
    <w:rsid w:val="00867B6F"/>
    <w:rsid w:val="00875A63"/>
    <w:rsid w:val="00882A99"/>
    <w:rsid w:val="008A051B"/>
    <w:rsid w:val="008C0821"/>
    <w:rsid w:val="008C7DD0"/>
    <w:rsid w:val="008E5398"/>
    <w:rsid w:val="008F12BA"/>
    <w:rsid w:val="00905C71"/>
    <w:rsid w:val="009132B3"/>
    <w:rsid w:val="00925E98"/>
    <w:rsid w:val="00970DAB"/>
    <w:rsid w:val="00971DBB"/>
    <w:rsid w:val="00980DDB"/>
    <w:rsid w:val="009D2468"/>
    <w:rsid w:val="009D36FC"/>
    <w:rsid w:val="009D5F6E"/>
    <w:rsid w:val="009E608A"/>
    <w:rsid w:val="00A0370E"/>
    <w:rsid w:val="00A11964"/>
    <w:rsid w:val="00A61F26"/>
    <w:rsid w:val="00A64ECE"/>
    <w:rsid w:val="00A74472"/>
    <w:rsid w:val="00A918C9"/>
    <w:rsid w:val="00A97C60"/>
    <w:rsid w:val="00AA307F"/>
    <w:rsid w:val="00AD291E"/>
    <w:rsid w:val="00AE61BA"/>
    <w:rsid w:val="00B40BC9"/>
    <w:rsid w:val="00B52E94"/>
    <w:rsid w:val="00B54B77"/>
    <w:rsid w:val="00B57E48"/>
    <w:rsid w:val="00B64A16"/>
    <w:rsid w:val="00B65D61"/>
    <w:rsid w:val="00BB1ED0"/>
    <w:rsid w:val="00BF5B94"/>
    <w:rsid w:val="00C10F7C"/>
    <w:rsid w:val="00C10F7D"/>
    <w:rsid w:val="00C13042"/>
    <w:rsid w:val="00C2277F"/>
    <w:rsid w:val="00C34FD4"/>
    <w:rsid w:val="00C50783"/>
    <w:rsid w:val="00C80635"/>
    <w:rsid w:val="00CA01EE"/>
    <w:rsid w:val="00CC0365"/>
    <w:rsid w:val="00CD20F5"/>
    <w:rsid w:val="00CD41B5"/>
    <w:rsid w:val="00CE31CD"/>
    <w:rsid w:val="00CE689E"/>
    <w:rsid w:val="00D03CCE"/>
    <w:rsid w:val="00D07B0E"/>
    <w:rsid w:val="00D11CA0"/>
    <w:rsid w:val="00D310E6"/>
    <w:rsid w:val="00D44CD1"/>
    <w:rsid w:val="00D452B0"/>
    <w:rsid w:val="00D72903"/>
    <w:rsid w:val="00D91CCD"/>
    <w:rsid w:val="00DA470E"/>
    <w:rsid w:val="00DB11E7"/>
    <w:rsid w:val="00DC2048"/>
    <w:rsid w:val="00DF19D4"/>
    <w:rsid w:val="00DF58DF"/>
    <w:rsid w:val="00E00887"/>
    <w:rsid w:val="00E05A34"/>
    <w:rsid w:val="00E10220"/>
    <w:rsid w:val="00E207EB"/>
    <w:rsid w:val="00E579D1"/>
    <w:rsid w:val="00E625BE"/>
    <w:rsid w:val="00E654B6"/>
    <w:rsid w:val="00E73649"/>
    <w:rsid w:val="00EB26E1"/>
    <w:rsid w:val="00EC32C0"/>
    <w:rsid w:val="00ED1151"/>
    <w:rsid w:val="00EF3B5B"/>
    <w:rsid w:val="00F46227"/>
    <w:rsid w:val="00F5139A"/>
    <w:rsid w:val="00F57B3B"/>
    <w:rsid w:val="00F72E06"/>
    <w:rsid w:val="00FB0B2A"/>
    <w:rsid w:val="00FB0DCA"/>
    <w:rsid w:val="00FC5A4E"/>
    <w:rsid w:val="00FE1FB0"/>
    <w:rsid w:val="014E6C1E"/>
    <w:rsid w:val="07312A71"/>
    <w:rsid w:val="09AC29F7"/>
    <w:rsid w:val="0EF7650C"/>
    <w:rsid w:val="0FE67725"/>
    <w:rsid w:val="16A869DC"/>
    <w:rsid w:val="1ADD2997"/>
    <w:rsid w:val="1AE13AD2"/>
    <w:rsid w:val="1C08163B"/>
    <w:rsid w:val="205944EE"/>
    <w:rsid w:val="2BAD7A70"/>
    <w:rsid w:val="384273AD"/>
    <w:rsid w:val="38A3306E"/>
    <w:rsid w:val="3CA02343"/>
    <w:rsid w:val="40EC2089"/>
    <w:rsid w:val="43182675"/>
    <w:rsid w:val="44D01D36"/>
    <w:rsid w:val="4AC00A63"/>
    <w:rsid w:val="50667E95"/>
    <w:rsid w:val="54F20603"/>
    <w:rsid w:val="552A42AF"/>
    <w:rsid w:val="56865513"/>
    <w:rsid w:val="5DBD1406"/>
    <w:rsid w:val="5E381622"/>
    <w:rsid w:val="5F615E69"/>
    <w:rsid w:val="6001716D"/>
    <w:rsid w:val="624E5264"/>
    <w:rsid w:val="64D435C4"/>
    <w:rsid w:val="652D61CC"/>
    <w:rsid w:val="67C16B40"/>
    <w:rsid w:val="69E76D0B"/>
    <w:rsid w:val="6DD17BCF"/>
    <w:rsid w:val="71024F8D"/>
    <w:rsid w:val="724B5652"/>
    <w:rsid w:val="73863AC9"/>
    <w:rsid w:val="787F030F"/>
    <w:rsid w:val="7A544DE6"/>
    <w:rsid w:val="7ABF7421"/>
    <w:rsid w:val="7B39613F"/>
    <w:rsid w:val="7BC3740E"/>
    <w:rsid w:val="7E225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仿宋" w:eastAsia="宋体" w:hAnsiTheme="minorHAnsi" w:cstheme="minorBidi"/>
      <w:kern w:val="2"/>
      <w:sz w:val="27"/>
      <w:szCs w:val="22"/>
      <w:lang w:val="en-US" w:eastAsia="zh-CN" w:bidi="ar-SA"/>
    </w:rPr>
  </w:style>
  <w:style w:type="paragraph" w:styleId="2">
    <w:name w:val="heading 1"/>
    <w:basedOn w:val="1"/>
    <w:next w:val="1"/>
    <w:link w:val="17"/>
    <w:qFormat/>
    <w:uiPriority w:val="9"/>
    <w:pPr>
      <w:keepNext/>
      <w:keepLines/>
      <w:pageBreakBefore/>
      <w:outlineLvl w:val="0"/>
    </w:pPr>
    <w:rPr>
      <w:rFonts w:eastAsia="黑体"/>
      <w:bCs/>
      <w:kern w:val="44"/>
      <w:sz w:val="30"/>
      <w:szCs w:val="44"/>
    </w:rPr>
  </w:style>
  <w:style w:type="paragraph" w:styleId="3">
    <w:name w:val="heading 2"/>
    <w:basedOn w:val="1"/>
    <w:next w:val="1"/>
    <w:link w:val="19"/>
    <w:unhideWhenUsed/>
    <w:qFormat/>
    <w:uiPriority w:val="9"/>
    <w:pPr>
      <w:keepNext/>
      <w:keepLines/>
      <w:outlineLvl w:val="1"/>
    </w:pPr>
    <w:rPr>
      <w:rFonts w:asciiTheme="majorHAnsi" w:hAnsiTheme="majorHAnsi" w:cstheme="majorBidi"/>
      <w:b/>
      <w:bCs/>
      <w:sz w:val="28"/>
      <w:szCs w:val="32"/>
    </w:rPr>
  </w:style>
  <w:style w:type="paragraph" w:styleId="4">
    <w:name w:val="heading 3"/>
    <w:basedOn w:val="1"/>
    <w:next w:val="1"/>
    <w:link w:val="21"/>
    <w:unhideWhenUsed/>
    <w:qFormat/>
    <w:uiPriority w:val="9"/>
    <w:pPr>
      <w:keepNext/>
      <w:keepLines/>
      <w:outlineLvl w:val="2"/>
    </w:pPr>
    <w:rPr>
      <w:rFonts w:eastAsia="楷体"/>
      <w:b/>
      <w:bCs/>
      <w:sz w:val="28"/>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toc 3"/>
    <w:basedOn w:val="4"/>
    <w:next w:val="4"/>
    <w:unhideWhenUsed/>
    <w:uiPriority w:val="39"/>
    <w:pPr>
      <w:widowControl/>
      <w:spacing w:after="100" w:line="259" w:lineRule="auto"/>
      <w:ind w:left="440"/>
      <w:jc w:val="left"/>
    </w:pPr>
    <w:rPr>
      <w:rFonts w:cs="Times New Roman"/>
      <w:kern w:val="0"/>
      <w:sz w:val="22"/>
    </w:rPr>
  </w:style>
  <w:style w:type="paragraph" w:styleId="7">
    <w:name w:val="footer"/>
    <w:basedOn w:val="1"/>
    <w:link w:val="25"/>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24"/>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toc 1"/>
    <w:basedOn w:val="2"/>
    <w:next w:val="1"/>
    <w:unhideWhenUsed/>
    <w:uiPriority w:val="39"/>
    <w:pPr>
      <w:pageBreakBefore w:val="0"/>
      <w:widowControl/>
      <w:tabs>
        <w:tab w:val="right" w:leader="dot" w:pos="8296"/>
      </w:tabs>
      <w:spacing w:after="100"/>
      <w:ind w:firstLine="0" w:firstLineChars="0"/>
    </w:pPr>
    <w:rPr>
      <w:rFonts w:ascii="宋体" w:hAnsi="宋体" w:eastAsia="宋体" w:cs="Times New Roman"/>
      <w:b/>
      <w:bCs w:val="0"/>
      <w:kern w:val="0"/>
      <w:sz w:val="27"/>
      <w:szCs w:val="27"/>
    </w:rPr>
  </w:style>
  <w:style w:type="paragraph" w:styleId="10">
    <w:name w:val="toc 2"/>
    <w:basedOn w:val="3"/>
    <w:next w:val="3"/>
    <w:unhideWhenUsed/>
    <w:uiPriority w:val="39"/>
    <w:pPr>
      <w:widowControl/>
      <w:tabs>
        <w:tab w:val="right" w:leader="dot" w:pos="8296"/>
      </w:tabs>
      <w:spacing w:after="100"/>
      <w:ind w:left="221" w:firstLine="542"/>
    </w:pPr>
    <w:rPr>
      <w:rFonts w:cs="Times New Roman"/>
      <w:kern w:val="0"/>
      <w:sz w:val="22"/>
    </w:rPr>
  </w:style>
  <w:style w:type="paragraph" w:styleId="11">
    <w:name w:val="Title"/>
    <w:basedOn w:val="1"/>
    <w:next w:val="1"/>
    <w:link w:val="20"/>
    <w:qFormat/>
    <w:uiPriority w:val="10"/>
    <w:pPr>
      <w:spacing w:before="100" w:beforeAutospacing="1" w:after="100" w:afterAutospacing="1"/>
      <w:contextualSpacing/>
      <w:jc w:val="left"/>
      <w:outlineLvl w:val="0"/>
    </w:pPr>
    <w:rPr>
      <w:rFonts w:asciiTheme="majorHAnsi" w:hAnsiTheme="majorHAnsi" w:cstheme="majorBidi"/>
      <w:b/>
      <w:bCs/>
      <w:szCs w:val="32"/>
    </w:rPr>
  </w:style>
  <w:style w:type="table" w:styleId="13">
    <w:name w:val="Table Grid"/>
    <w:basedOn w:val="12"/>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unhideWhenUsed/>
    <w:uiPriority w:val="99"/>
    <w:rPr>
      <w:color w:val="0000FF"/>
      <w:u w:val="single"/>
    </w:rPr>
  </w:style>
  <w:style w:type="character" w:customStyle="1" w:styleId="17">
    <w:name w:val="标题 1 字符"/>
    <w:basedOn w:val="14"/>
    <w:link w:val="2"/>
    <w:uiPriority w:val="9"/>
    <w:rPr>
      <w:rFonts w:ascii="仿宋" w:eastAsia="黑体"/>
      <w:bCs/>
      <w:kern w:val="44"/>
      <w:sz w:val="30"/>
      <w:szCs w:val="44"/>
    </w:rPr>
  </w:style>
  <w:style w:type="paragraph" w:customStyle="1" w:styleId="18">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bCs w:val="0"/>
      <w:color w:val="7B230B" w:themeColor="accent1" w:themeShade="BF"/>
      <w:kern w:val="0"/>
      <w:szCs w:val="32"/>
    </w:rPr>
  </w:style>
  <w:style w:type="character" w:customStyle="1" w:styleId="19">
    <w:name w:val="标题 2 字符"/>
    <w:basedOn w:val="14"/>
    <w:link w:val="3"/>
    <w:qFormat/>
    <w:uiPriority w:val="9"/>
    <w:rPr>
      <w:rFonts w:eastAsia="宋体" w:asciiTheme="majorHAnsi" w:hAnsiTheme="majorHAnsi" w:cstheme="majorBidi"/>
      <w:b/>
      <w:bCs/>
      <w:sz w:val="28"/>
      <w:szCs w:val="32"/>
    </w:rPr>
  </w:style>
  <w:style w:type="character" w:customStyle="1" w:styleId="20">
    <w:name w:val="标题 字符"/>
    <w:basedOn w:val="14"/>
    <w:link w:val="11"/>
    <w:uiPriority w:val="10"/>
    <w:rPr>
      <w:rFonts w:eastAsia="仿宋" w:asciiTheme="majorHAnsi" w:hAnsiTheme="majorHAnsi" w:cstheme="majorBidi"/>
      <w:b/>
      <w:bCs/>
      <w:sz w:val="32"/>
      <w:szCs w:val="32"/>
    </w:rPr>
  </w:style>
  <w:style w:type="character" w:customStyle="1" w:styleId="21">
    <w:name w:val="标题 3 字符"/>
    <w:basedOn w:val="14"/>
    <w:link w:val="4"/>
    <w:qFormat/>
    <w:uiPriority w:val="9"/>
    <w:rPr>
      <w:rFonts w:ascii="仿宋" w:eastAsia="楷体"/>
      <w:b/>
      <w:bCs/>
      <w:sz w:val="28"/>
      <w:szCs w:val="32"/>
    </w:rPr>
  </w:style>
  <w:style w:type="character" w:customStyle="1" w:styleId="22">
    <w:name w:val="标题 4 字符"/>
    <w:basedOn w:val="14"/>
    <w:link w:val="5"/>
    <w:qFormat/>
    <w:uiPriority w:val="9"/>
    <w:rPr>
      <w:rFonts w:asciiTheme="majorHAnsi" w:hAnsiTheme="majorHAnsi" w:eastAsiaTheme="majorEastAsia" w:cstheme="majorBidi"/>
      <w:b/>
      <w:bCs/>
      <w:sz w:val="28"/>
      <w:szCs w:val="28"/>
    </w:rPr>
  </w:style>
  <w:style w:type="paragraph" w:styleId="23">
    <w:name w:val="No Spacing"/>
    <w:qFormat/>
    <w:uiPriority w:val="1"/>
    <w:pPr>
      <w:widowControl w:val="0"/>
      <w:ind w:firstLine="200" w:firstLineChars="200"/>
      <w:jc w:val="both"/>
    </w:pPr>
    <w:rPr>
      <w:rFonts w:ascii="仿宋" w:eastAsia="仿宋" w:hAnsiTheme="minorHAnsi" w:cstheme="minorBidi"/>
      <w:kern w:val="2"/>
      <w:sz w:val="32"/>
      <w:szCs w:val="22"/>
      <w:lang w:val="en-US" w:eastAsia="zh-CN" w:bidi="ar-SA"/>
    </w:rPr>
  </w:style>
  <w:style w:type="character" w:customStyle="1" w:styleId="24">
    <w:name w:val="页眉 字符"/>
    <w:basedOn w:val="14"/>
    <w:link w:val="8"/>
    <w:qFormat/>
    <w:uiPriority w:val="99"/>
    <w:rPr>
      <w:rFonts w:ascii="仿宋" w:eastAsia="仿宋"/>
      <w:sz w:val="18"/>
      <w:szCs w:val="18"/>
    </w:rPr>
  </w:style>
  <w:style w:type="character" w:customStyle="1" w:styleId="25">
    <w:name w:val="页脚 字符"/>
    <w:basedOn w:val="14"/>
    <w:link w:val="7"/>
    <w:qFormat/>
    <w:uiPriority w:val="99"/>
    <w:rPr>
      <w:rFonts w:ascii="仿宋" w:eastAsia="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t>绩效评价得分</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权重（%）</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决策</c:v>
                </c:pt>
                <c:pt idx="1">
                  <c:v>过程</c:v>
                </c:pt>
                <c:pt idx="2">
                  <c:v>产出</c:v>
                </c:pt>
                <c:pt idx="3">
                  <c:v>效益</c:v>
                </c:pt>
              </c:strCache>
            </c:strRef>
          </c:cat>
          <c:val>
            <c:numRef>
              <c:f>Sheet1!$B$2:$B$5</c:f>
              <c:numCache>
                <c:formatCode>General</c:formatCode>
                <c:ptCount val="4"/>
                <c:pt idx="0">
                  <c:v>20</c:v>
                </c:pt>
                <c:pt idx="1">
                  <c:v>20</c:v>
                </c:pt>
                <c:pt idx="2">
                  <c:v>30</c:v>
                </c:pt>
                <c:pt idx="3">
                  <c:v>30</c:v>
                </c:pt>
              </c:numCache>
            </c:numRef>
          </c:val>
        </c:ser>
        <c:ser>
          <c:idx val="1"/>
          <c:order val="1"/>
          <c:tx>
            <c:strRef>
              <c:f>Sheet1!$C$1</c:f>
              <c:strCache>
                <c:ptCount val="1"/>
                <c:pt idx="0">
                  <c:v>得分</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决策</c:v>
                </c:pt>
                <c:pt idx="1">
                  <c:v>过程</c:v>
                </c:pt>
                <c:pt idx="2">
                  <c:v>产出</c:v>
                </c:pt>
                <c:pt idx="3">
                  <c:v>效益</c:v>
                </c:pt>
              </c:strCache>
            </c:strRef>
          </c:cat>
          <c:val>
            <c:numRef>
              <c:f>Sheet1!$C$2:$C$5</c:f>
              <c:numCache>
                <c:formatCode>General</c:formatCode>
                <c:ptCount val="4"/>
                <c:pt idx="0">
                  <c:v>18</c:v>
                </c:pt>
                <c:pt idx="1">
                  <c:v>15.85</c:v>
                </c:pt>
                <c:pt idx="2">
                  <c:v>30</c:v>
                </c:pt>
                <c:pt idx="3">
                  <c:v>29.7</c:v>
                </c:pt>
              </c:numCache>
            </c:numRef>
          </c:val>
        </c:ser>
        <c:dLbls>
          <c:showLegendKey val="0"/>
          <c:showVal val="1"/>
          <c:showCatName val="0"/>
          <c:showSerName val="0"/>
          <c:showPercent val="0"/>
          <c:showBubbleSize val="0"/>
        </c:dLbls>
        <c:gapWidth val="219"/>
        <c:overlap val="-27"/>
        <c:axId val="678721928"/>
        <c:axId val="678722256"/>
      </c:barChart>
      <c:catAx>
        <c:axId val="678721928"/>
        <c:scaling>
          <c:orientation val="minMax"/>
        </c:scaling>
        <c:delete val="0"/>
        <c:axPos val="b"/>
        <c:title>
          <c:tx>
            <c:rich>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t>一级指标</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722256"/>
        <c:crosses val="autoZero"/>
        <c:auto val="1"/>
        <c:lblAlgn val="ctr"/>
        <c:lblOffset val="100"/>
        <c:noMultiLvlLbl val="0"/>
      </c:catAx>
      <c:valAx>
        <c:axId val="678722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t>百分比（分数）</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7219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丝状">
  <a:themeElements>
    <a:clrScheme name="丝状">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丝状">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丝状">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3E4DD-F892-4A88-8A91-435EABA84A60}">
  <ds:schemaRefs/>
</ds:datastoreItem>
</file>

<file path=docProps/app.xml><?xml version="1.0" encoding="utf-8"?>
<Properties xmlns="http://schemas.openxmlformats.org/officeDocument/2006/extended-properties" xmlns:vt="http://schemas.openxmlformats.org/officeDocument/2006/docPropsVTypes">
  <Template>Normal</Template>
  <Pages>28</Pages>
  <Words>1978</Words>
  <Characters>11278</Characters>
  <Lines>93</Lines>
  <Paragraphs>26</Paragraphs>
  <TotalTime>3</TotalTime>
  <ScaleCrop>false</ScaleCrop>
  <LinksUpToDate>false</LinksUpToDate>
  <CharactersWithSpaces>13230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2020-07-24T01:43:00Z</dcterms:created>
  <dc:creator>李 洋</dc:creator>
  <cp:lastModifiedBy>天堂的惩罚</cp:lastModifiedBy>
  <dcterms:modified xsi:type="dcterms:W3CDTF">2020-09-01T06:24:12Z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