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临淄区文化和旅游局领导班子成员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联系安全生产和分组督查制度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对安全生产工作的领导，落实安全生产监管责任，根据《中华人民共和国安全生产法》等有关法律法规及区委办公室、区政府办公室《关于进一步强化安全生产责任落实的通知》，结合我局实际，经党组研究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面贯彻落实习近平总书记关于安全生产工作“党政同责、一岗双责、齐抓共管、失职追责”的重要指示精神和“三个必须”工作要求，进一步加强本局党组、领导班子成员对文化旅游安全工作的监管和行业指导，落实安全生产责任制，共同抓好文化旅游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局党组成立5个督查组，由班子成员带队，按照督查任务分工表（附件1），对全区图书馆、博物馆、景区、网吧、影院、KTV、书店、游戏厅等文化场馆、文旅经营场所等人员密集场所安全生产情况以“四不两直”方式开展全面督导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督查组每2个月至少督导检查1次安全生产工作，每次检查不少于6家，实现行业领域全覆盖。重要的时间节点、专项行动期间各督查组按要求进行督查，年内实现责任分工单位全覆盖。督查时填写督查登记表（附件2），留存相关音像资料，及时报局安全生产工作领导小组办公室。局安办负责做好登记存档、问题汇总，对检查发现的安全生产违法行为依法处置，检查情况每半年通报一次。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leftChars="0" w:right="0" w:firstLine="60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联系人：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杨东梅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，电话：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18560818038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60" w:line="582" w:lineRule="exact"/>
        <w:ind w:left="0" w:right="0" w:firstLine="62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  <w:t>箱：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lzqwhlyzhzfdd@zb.shandong.cn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附件1：临淄区文化和旅游局督查责任分工表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附件2：督查登记表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2022年5月25日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1507"/>
        </w:tabs>
        <w:bidi w:val="0"/>
        <w:spacing w:before="0" w:after="0" w:line="583" w:lineRule="exact"/>
        <w:ind w:left="0" w:leftChars="0" w:right="0"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82" w:lineRule="exact"/>
        <w:ind w:left="1520" w:leftChars="0"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bookmarkStart w:id="0" w:name="_GoBack"/>
      <w:bookmarkEnd w:id="0"/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82" w:lineRule="exact"/>
        <w:ind w:left="1520" w:leftChars="0"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82" w:lineRule="exact"/>
        <w:ind w:left="1520" w:leftChars="0"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  <w:t xml:space="preserve">                         </w:t>
      </w:r>
    </w:p>
    <w:p>
      <w:pPr>
        <w:pStyle w:val="19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82" w:lineRule="exact"/>
        <w:ind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</w:p>
    <w:p>
      <w:pPr>
        <w:tabs>
          <w:tab w:val="left" w:pos="280"/>
        </w:tabs>
        <w:bidi w:val="0"/>
        <w:jc w:val="left"/>
        <w:rPr>
          <w:rFonts w:hint="eastAsia"/>
          <w:lang w:val="en-US" w:eastAsia="zh-CN"/>
        </w:rPr>
        <w:sectPr>
          <w:footerReference r:id="rId6" w:type="default"/>
          <w:headerReference r:id="rId5" w:type="even"/>
          <w:footerReference r:id="rId7" w:type="even"/>
          <w:footnotePr>
            <w:numFmt w:val="decimal"/>
          </w:footnotePr>
          <w:type w:val="continuous"/>
          <w:pgSz w:w="11900" w:h="16840"/>
          <w:pgMar w:top="1440" w:right="1800" w:bottom="1440" w:left="1800" w:header="174" w:footer="3" w:gutter="0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临淄区文化和旅游局安全生产和疫情防控督查组任务分工表</w:t>
      </w:r>
    </w:p>
    <w:tbl>
      <w:tblPr>
        <w:tblStyle w:val="10"/>
        <w:tblW w:w="13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820"/>
        <w:gridCol w:w="158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eastAsia="zh-CN"/>
              </w:rPr>
              <w:t>带队领导</w:t>
            </w: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督查单位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督查人员</w:t>
            </w:r>
          </w:p>
        </w:tc>
        <w:tc>
          <w:tcPr>
            <w:tcW w:w="20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督查内容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6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赵启敏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1.景区：齐文化博物馆、足球博物馆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2.网吧：磐石网吧、新兵网吧、众连网吧、易名网吧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3.书店：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临淄区新华书店、临淄区稷下万卷书店、临淄区闻韶东旺文具店、山东嘉汇文化用品有限公司临淄分公司方正2009店、淄博稷下图书音像有限公司、临淄区北斗阅智书店；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4.娱乐场所：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晟玥星辰电玩城、齐呐KTV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影院：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齐纳影院、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6.旅行社：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淄博旭冉国际旅游有限公司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、淄博美嘉国际旅游有限公司、山东中利鸿程国际旅行社有限公司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办公室</w:t>
            </w:r>
          </w:p>
        </w:tc>
        <w:tc>
          <w:tcPr>
            <w:tcW w:w="2068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安全督查：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、是否制定安全生产制度，安全生产责任制是否健全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消防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设施设备（消防栓、灭火器、应急照明）使用情况，是否设置、能否正常使用、是否遮挡；消防设施器材维护保养、检测情况，是否定期检测，记录是否完整；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</w:rPr>
              <w:t>相关人员熟练操作使用情况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lang w:val="en-US" w:eastAsia="zh-CN"/>
              </w:rPr>
              <w:t>、火灾危险源情况，场所用火用电是否规范，电器设备和线路是否存在隐患，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是否存在违章用火、用电、用气。使用明火、蜡烛照明，存放易燃易爆化学危险物品等现象。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消防通道是否占用堵塞、安全出口是否封闭、疏散通道标志设置情况等。5、应急预案及演练情况。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落实好疫情常态化防控措施：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、把好入口关，测温验码、口罩2、消毒通风，查验消毒记录表，不同对象不同浓度，科学消毒，精准消毒；3、员工管理，健康检测、测温；4、应急预案（疫情防控工作方案、应急工作预案）。5、疫情防控物资储备，按照“不少于2个月储备量”实行防疫物资动态储备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7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胡学国</w:t>
            </w: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1.景区：齐故城排水道口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2.网吧：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明顺网吧、美文网吧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3.书店：临淄区阅时光图书房、稷下麒麟轩书屋、稷下文海书店、山东嘉汇文化用品有限公司太公市场、临淄理想书社、临淄利源书店、临淄区闻韶新世纪书店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4.娱乐场所：钻石钱柜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5.影院：创美影院、沃美影城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6.旅游社：淄博民丰国际旅行社有限公司、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淄博新天地旅行社有限公司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、淄博名都旅行社有限公司、中国国旅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公共服务科文化事业发展中心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刘志平</w:t>
            </w: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1.景区：姜太公祠、巧媳妇酱博物馆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2.网吧：如家网吧、星之云网吧、蓝心网吧、金驰网吧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3.书店：闻韶育英书店、稷下书城、临淄文源书店、淄博方圆建筑装饰工程有限公司、淄博淇皓广告有限公司、临淄精英百货经营店、临淄区遄台路三味书屋；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4.娱乐场所：声皇KTV；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5.影院：齐文化博物院影院；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6.旅行社：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山东华信国际旅游有限公司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、淄博鲁临旅行社有限公司、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产业科教科资源市场科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4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解衍平</w:t>
            </w: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1.景区：管仲纪念馆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2.网吧：赛齐网吧、蓝思网吧、蓝蜻蜓网吧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3.书店：淄博图书文化传播有限公司（西高店）、淄博龙之文图书有限公司、临淄区雪宫文武书店、临淄区雪宫飞霄龙书社、临淄区稷下赛三星综合商店、临淄墨香文具店、临淄区淄江书店；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4.娱乐场所：唏哩哚啦儿童体验馆、维也纳歌舞厅、海乐迪KTV；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5.影院：万达影院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6.旅行社：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淄博宜达旅行社有限公司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、淄博立天旅行社有限公司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政工科</w:t>
            </w: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王金智</w:t>
            </w:r>
          </w:p>
        </w:tc>
        <w:tc>
          <w:tcPr>
            <w:tcW w:w="882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1.景区：古车馆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 xml:space="preserve">2.网吧：创同网吧、青枫网吧、嫣泽网吧、悦享网吧、蓝焰网吧 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3.书店：临淄楼尚书屋、临淄北斗书店、临淄区闻韶悦利商店、临淄馨达文具店、临淄区朱台镇七彩星书店、临淄区齐都镇红阳书屋、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临淄区朱台镇红星文具经营部、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雪宫津博文具店、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4.娱乐场所：好声音KTV、湛蓝KTV、纳撒酒吧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5.影院：齐都电影城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6.旅行社：山东齐韵国际旅游有限公司、淄博爱乐游国际旅行社有限公司</w:t>
            </w:r>
          </w:p>
        </w:tc>
        <w:tc>
          <w:tcPr>
            <w:tcW w:w="1589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行业管理科执法大队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注：1、各督查组督查用车由办公室统一安排，请提前联系张长春主任。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根据上级部门要求，请各督查组将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督查登记表（附件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所采集信息填写齐全及时报局安全生产工作领导小组办公室，扫描件或纸质版均可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联系人：杨东梅（218室）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24"/>
          <w:szCs w:val="24"/>
        </w:rPr>
        <w:t>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18560818038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邮箱：lzqwhlyzhzfdd@zb.shandong.cn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请各督查组对文旅系统各单位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安全生产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重点任务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落实情况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开展全面督导检查，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网吧、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影院、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KTV、A级旅游景区要做到督导检查全覆盖。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leftChars="0" w:firstLine="480" w:firstLineChars="200"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建立长效督查机制：重要的时间节点、专项行动期间各督查组按要求进行督查，日常检查以大队为主。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8" w:type="default"/>
          <w:footerReference r:id="rId9" w:type="default"/>
          <w:pgSz w:w="16838" w:h="11906" w:orient="landscape"/>
          <w:pgMar w:top="1236" w:right="1440" w:bottom="1236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督查登记表</w:t>
      </w:r>
    </w:p>
    <w:tbl>
      <w:tblPr>
        <w:tblStyle w:val="10"/>
        <w:tblpPr w:leftFromText="180" w:rightFromText="180" w:vertAnchor="text" w:horzAnchor="page" w:tblpX="1402" w:tblpY="62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right="0" w:rightChars="0" w:firstLine="2530" w:firstLineChars="900"/>
              <w:jc w:val="left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年     月   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单位负责人及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存在问题和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安全隐患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整改措施及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整改期限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 w:firstLine="3134" w:firstLineChars="13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 w:firstLine="3134" w:firstLineChars="13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 w:firstLine="3134" w:firstLineChars="13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right="0" w:rightChars="0" w:firstLine="1688" w:firstLineChars="7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right="0" w:rightChars="0" w:firstLine="2170" w:firstLineChars="9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被检查单位负责人签字</w:t>
            </w: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>追踪整改情况</w:t>
            </w:r>
          </w:p>
        </w:tc>
        <w:tc>
          <w:tcPr>
            <w:tcW w:w="757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00" w:lineRule="exact"/>
              <w:ind w:left="0" w:leftChars="0" w:right="0" w:rightChars="0" w:firstLine="3134" w:firstLineChars="1300"/>
              <w:jc w:val="left"/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督查人员签字：</w:t>
            </w:r>
            <w:r>
              <w:rPr>
                <w:rFonts w:hint="eastAsia" w:ascii="仿宋_GB2312" w:hAnsi="Calibri" w:eastAsia="仿宋_GB2312" w:cs="仿宋_GB2312"/>
                <w:b/>
                <w:bCs/>
                <w:snapToGrid w:val="0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                        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被检查单位所属镇（街道）</w:t>
      </w:r>
    </w:p>
    <w:p>
      <w:pPr>
        <w:widowControl w:val="0"/>
        <w:jc w:val="center"/>
        <w:rPr>
          <w:rFonts w:hint="eastAsia" w:ascii="仿宋" w:hAnsi="仿宋" w:eastAsia="仿宋" w:cs="仿宋"/>
          <w:sz w:val="2"/>
          <w:szCs w:val="2"/>
        </w:rPr>
      </w:pPr>
    </w:p>
    <w:sectPr>
      <w:footerReference r:id="rId10" w:type="default"/>
      <w:footnotePr>
        <w:numFmt w:val="decimal"/>
      </w:footnotePr>
      <w:type w:val="continuous"/>
      <w:pgSz w:w="11900" w:h="16840"/>
      <w:pgMar w:top="1418" w:right="1341" w:bottom="1240" w:left="1660" w:header="990" w:footer="81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A9CA23-82C0-4B6F-9886-DD24051F53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C0F47C-4932-442E-8870-B4824E1A2E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A949FDE-43AC-4257-9662-A59648BC60C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90CAFC1-8C45-4EF6-B8FD-7198F1C2A05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71B2C21-3E71-44F8-8179-438B8E5E7D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9975850</wp:posOffset>
              </wp:positionV>
              <wp:extent cx="50165" cy="7302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91.35pt;margin-top:785.5pt;height:5.75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wjGS2AAA&#10;AA0BAAAPAAAAAAAAAAEAIAAAACIAAABkcnMvZG93bnJldi54bWxQSwECFAAUAAAACACHTuJAV+Wc&#10;8a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2B236"/>
    <w:multiLevelType w:val="singleLevel"/>
    <w:tmpl w:val="AD52B23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D91B06"/>
    <w:rsid w:val="053D517F"/>
    <w:rsid w:val="07D301D8"/>
    <w:rsid w:val="0C837D85"/>
    <w:rsid w:val="0F656B06"/>
    <w:rsid w:val="14806F79"/>
    <w:rsid w:val="192559A1"/>
    <w:rsid w:val="1E736432"/>
    <w:rsid w:val="23731108"/>
    <w:rsid w:val="25061E92"/>
    <w:rsid w:val="26847D8F"/>
    <w:rsid w:val="28B401D5"/>
    <w:rsid w:val="2E2B1BA3"/>
    <w:rsid w:val="3298573F"/>
    <w:rsid w:val="32E22994"/>
    <w:rsid w:val="33050ADF"/>
    <w:rsid w:val="35F63128"/>
    <w:rsid w:val="37115E3A"/>
    <w:rsid w:val="373604F0"/>
    <w:rsid w:val="397D79D9"/>
    <w:rsid w:val="3B372A9F"/>
    <w:rsid w:val="3BD62F5B"/>
    <w:rsid w:val="41DC45DC"/>
    <w:rsid w:val="440D56FA"/>
    <w:rsid w:val="45B50BBD"/>
    <w:rsid w:val="47D05461"/>
    <w:rsid w:val="4ADA6871"/>
    <w:rsid w:val="521744D7"/>
    <w:rsid w:val="54552C30"/>
    <w:rsid w:val="54BB6C4F"/>
    <w:rsid w:val="5A1C230E"/>
    <w:rsid w:val="5CE24CDD"/>
    <w:rsid w:val="5D4A6113"/>
    <w:rsid w:val="5FFA2757"/>
    <w:rsid w:val="65A50B4C"/>
    <w:rsid w:val="65A6692E"/>
    <w:rsid w:val="67CD12B2"/>
    <w:rsid w:val="6ED11188"/>
    <w:rsid w:val="6F506495"/>
    <w:rsid w:val="7471058F"/>
    <w:rsid w:val="77762E7F"/>
    <w:rsid w:val="7B123C10"/>
    <w:rsid w:val="7E711B13"/>
    <w:rsid w:val="7EA35AE9"/>
    <w:rsid w:val="7F014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1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200" w:firstLineChars="200"/>
    </w:pPr>
    <w:rPr>
      <w:rFonts w:ascii="宋体" w:hAnsi="宋体"/>
      <w:sz w:val="28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#1|1_"/>
    <w:basedOn w:val="11"/>
    <w:link w:val="13"/>
    <w:qFormat/>
    <w:uiPriority w:val="0"/>
    <w:rPr>
      <w:rFonts w:ascii="宋体" w:hAnsi="宋体" w:eastAsia="宋体" w:cs="宋体"/>
      <w:color w:val="D65256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before="220" w:after="760"/>
      <w:jc w:val="center"/>
      <w:outlineLvl w:val="0"/>
    </w:pPr>
    <w:rPr>
      <w:rFonts w:ascii="宋体" w:hAnsi="宋体" w:eastAsia="宋体" w:cs="宋体"/>
      <w:color w:val="D65256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11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ing #2|1_"/>
    <w:basedOn w:val="11"/>
    <w:link w:val="1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Heading #2|1"/>
    <w:basedOn w:val="1"/>
    <w:link w:val="16"/>
    <w:qFormat/>
    <w:uiPriority w:val="0"/>
    <w:pPr>
      <w:widowControl w:val="0"/>
      <w:shd w:val="clear" w:color="auto" w:fill="auto"/>
      <w:spacing w:after="540" w:line="57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Body text|1_"/>
    <w:basedOn w:val="11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qFormat/>
    <w:uiPriority w:val="0"/>
    <w:pPr>
      <w:widowControl w:val="0"/>
      <w:shd w:val="clear" w:color="auto" w:fill="auto"/>
      <w:spacing w:after="50" w:line="403" w:lineRule="exact"/>
      <w:ind w:left="47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qFormat/>
    <w:uiPriority w:val="0"/>
    <w:pPr>
      <w:widowControl w:val="0"/>
      <w:shd w:val="clear" w:color="auto" w:fill="auto"/>
      <w:spacing w:after="140" w:line="446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Body text|4"/>
    <w:basedOn w:val="1"/>
    <w:qFormat/>
    <w:uiPriority w:val="0"/>
    <w:pPr>
      <w:widowControl w:val="0"/>
      <w:shd w:val="clear" w:color="auto" w:fill="auto"/>
      <w:spacing w:after="320"/>
      <w:ind w:firstLine="3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4">
    <w:name w:val="Header or footer|1"/>
    <w:basedOn w:val="1"/>
    <w:qFormat/>
    <w:uiPriority w:val="0"/>
    <w:pPr>
      <w:widowControl w:val="0"/>
      <w:shd w:val="clear" w:color="auto" w:fill="auto"/>
    </w:pPr>
    <w:rPr>
      <w:b/>
      <w:bCs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Office_11.1.0.11405_F1E327BC-269C-435d-A152-05C5408002CA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2021-03-21T23:31:00Z</dcterms:created>
  <dc:creator>Administrator</dc:creator>
  <cp:lastModifiedBy>敷衍的暧昧</cp:lastModifiedBy>
  <cp:lastPrinted>2021-05-14T10:15:00Z</cp:lastPrinted>
  <dcterms:modified xsi:type="dcterms:W3CDTF">2022-05-25T08:17:09Z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2C0977AEDB1341E1A498A415B3EA4F2C</vt:lpwstr>
  </property>
</Properties>
</file>