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14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公共场所卫生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工作总结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及2026年工作计划</w:t>
      </w:r>
    </w:p>
    <w:p w14:paraId="51C96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617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2025年，区卫生健康局深入贯彻落实《中华人民共和国基本医疗卫生与健康促进法》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《公共场所卫生管理条例》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《生活饮用水卫生监督管理办法》等法律法规，紧紧围绕“保障公众健康、服务民生安全”核心任务，聚焦重点领域、关键环节和群众关切，扎实推进公共场所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监督工作，全面提升公共卫生监管的规范化、精准化和智能化水平。现将全年主要工作情况总结如下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876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加强宣传培训，压实主体责任</w:t>
      </w:r>
    </w:p>
    <w:p w14:paraId="5E3F9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坚持“教育先行、预防为主”，通过分类别、分行业开展专题培训，切实提升经营单位依法经营意识和卫生管理能力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57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集中空调通风系统专项培训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召开全区集中空调使用单位卫生工作会议，对20家重点单位负责人开展系统培训，重点讲解《公共场所集中空调通风系统卫生规范》要求，明确清洗消毒频次、日常维护要点及突发污染应急处置流程。同步开展全覆盖监督检查，现场下达《卫生监督意见书》20份，实现“培训+检查+整改”闭环管理。</w:t>
      </w:r>
    </w:p>
    <w:p w14:paraId="7DFE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）游泳场所卫生能力提升行动。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游泳场所负责人专题培训会，围绕水质自检、余氯控制、池水循环、从业人员健康管理等内容进行标准解读，并就如何提升卫生管理水平、防范群体性健康风险开展现场交流。会后对全区15家游泳场所开展检查，下达监督意见书15份，为暑期游泳高峰提供安全保障。</w:t>
      </w:r>
    </w:p>
    <w:p w14:paraId="76317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）重点场所卫生与艾滋病防治融合宣教。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住宿、美容、理发、歌舞厅等人员密集、流动性强的公共场所，联合疾控防艾部门开展“卫生标准+艾滋病防治”双主题培训，覆盖60余家单位。通过典型案例剖析、法规条文解读等方式，强化经营者主体责任，现场下达监督意见书60份。</w:t>
      </w:r>
    </w:p>
    <w:p w14:paraId="5211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聚焦突出问题，开展多轮专项整治</w:t>
      </w:r>
    </w:p>
    <w:p w14:paraId="42EF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结合季节特点和行业风险，精准部署五大专项行动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222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）大型住宿场所专项检查。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重点核查经营100间客房以上宾馆的卫生许可证亮证经营、从业人员持有效健康证明上岗、公共用品用具“一客一换一消毒”落实等情况，检查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家单位，下达监督意见书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6E3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）游泳场所全覆盖检查。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家游泳场所实现监督覆盖率100%、水质检测率100%，确保水质安全达标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EC5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）大型商场卫生监督行动。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对4家商业综合体的公共区域通风、卫生间保洁、集中空调使用等开展督导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8B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）美容美发行业大排查。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集中力量检查理发店185家、美容店198家，重点整治工具消毒不规范、卫生制度缺失等问题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0C3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）沐浴及娱乐场所专项治理。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检查沐浴场所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家、歌舞厅（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KTV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家，督促落实公共区域清洁消毒和通风换气措施。</w:t>
      </w:r>
    </w:p>
    <w:p w14:paraId="0211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全年累计监督检查各类公共场所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612</w:t>
      </w:r>
      <w:r>
        <w:rPr>
          <w:rFonts w:hint="eastAsia" w:ascii="仿宋_GB2312" w:hAnsi="仿宋_GB2312" w:eastAsia="仿宋_GB2312" w:cs="仿宋_GB2312"/>
          <w:sz w:val="32"/>
          <w:szCs w:val="32"/>
        </w:rPr>
        <w:t>家次，下达《卫生监督意见书》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340余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份，有效防范了公共场所卫生风险。</w:t>
      </w:r>
    </w:p>
    <w:p w14:paraId="27CBF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落实“双随机、一公开”，提升监管公信力</w:t>
      </w:r>
    </w:p>
    <w:p w14:paraId="4476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）严格按照国家及省级任务要求，高质量完成“国家双随机”监督抽检工作。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完成游泳场所国家“双随机”任务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完成美容美发、住宿沐浴类场所“双随机”任务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2E9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）强化跨部门协同联动，通力协作完成“双随机一公开”工作。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联合教体局、市场监管局检查游泳场所2家；联合宣传部、文旅局、消防大队、市场监管局检测文化娱乐场所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家；联合公安局、消防大队、住建局检查住宿场所4家，形成齐抓共管新格局。联合宣传部、文旅局、消防大队、市场监管局，开展元旦节前安全生产专项行动，对全区2家电影院、2家发行企业，在职责范围内开展联合检查。</w:t>
      </w:r>
    </w:p>
    <w:p w14:paraId="13627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强化技术支撑，推进监督抽检科学化</w:t>
      </w:r>
    </w:p>
    <w:p w14:paraId="2F53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依托实验室检测手段，提升执法精准度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监督抽检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家游泳场所开展水质，检测余氯、菌落总数等关键指标；监督抽检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家住宿场所公共棉织品、杯具等用品微生物指标；监督抽检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家美容美发场所的毛巾、理发工具等微生物指标，为执法提供科学依据。</w:t>
      </w:r>
    </w:p>
    <w:p w14:paraId="2F67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五、2026年工作思路打算</w:t>
      </w:r>
    </w:p>
    <w:p w14:paraId="3FB3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我局将持续加大对公共场所卫生安全问题的现场监督检查力度，进一步规范公共场所单位的卫生管理，以更严格的标准监督好公共场所监管的每个环节。</w:t>
      </w:r>
    </w:p>
    <w:p w14:paraId="49968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F22AEB-DC9A-453D-A981-63EBE95C8E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体-簡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0FB14F-6C71-4BF9-BC62-2BDD23426C1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E0EBC04-007A-4073-8785-2BC5C8D8E6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6911B9B-7B35-45E3-A455-B1012038BB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25B1C"/>
    <w:rsid w:val="08825B1C"/>
    <w:rsid w:val="09E609F2"/>
    <w:rsid w:val="1F9D4511"/>
    <w:rsid w:val="374964DA"/>
    <w:rsid w:val="495A03FD"/>
    <w:rsid w:val="5D972033"/>
    <w:rsid w:val="675A26B5"/>
    <w:rsid w:val="70A1319B"/>
    <w:rsid w:val="72F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?体-簡" w:hAnsi="Calibri Light" w:eastAsia="?体-簡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1526</Words>
  <Characters>1566</Characters>
  <Lines>0</Lines>
  <Paragraphs>0</Paragraphs>
  <TotalTime>4</TotalTime>
  <ScaleCrop>false</ScaleCrop>
  <LinksUpToDate>false</LinksUpToDate>
  <CharactersWithSpaces>1566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2026-04-24T05:47:00Z</dcterms:created>
  <dc:creator>Administrator</dc:creator>
  <cp:lastModifiedBy>一个宝汁</cp:lastModifiedBy>
  <dcterms:modified xsi:type="dcterms:W3CDTF">2026-04-27T07:32:54Z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3E2791F53F6A457B996D0DC1EB7970AC_13</vt:lpwstr>
  </property>
  <property fmtid="{D5CDD505-2E9C-101B-9397-08002B2CF9AE}" pid="4" name="KSOTemplateDocerSaveRecord">
    <vt:lpwstr>eyJoZGlkIjoiN2Y1NjI0ZmJlYzcyZDgwMmI2MGJjOWU5NzI1OWJmZjIiLCJ1c2VySWQiOiIxODIzNzYxNTcxIn0=</vt:lpwstr>
  </property>
</Properties>
</file>