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80" w:rsidRDefault="00945B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朱台中心卫生院信息公开情况</w:t>
      </w:r>
    </w:p>
    <w:p w:rsidR="00945B80" w:rsidRDefault="00945B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45B80" w:rsidRDefault="00945B80" w:rsidP="00100037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我单位根据本机构特点和自身实际服务情况，有以下信息应主动公开：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一、机构基本概况、公共服务职能</w:t>
      </w:r>
    </w:p>
    <w:p w:rsidR="00945B80" w:rsidRDefault="00945B80" w:rsidP="00100037">
      <w:pPr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（一）机构基本概况：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朱台中心卫生院始建于</w:t>
      </w:r>
      <w:r>
        <w:rPr>
          <w:rFonts w:ascii="仿宋" w:eastAsia="仿宋" w:hAnsi="仿宋"/>
          <w:sz w:val="30"/>
          <w:szCs w:val="30"/>
        </w:rPr>
        <w:t>1958</w:t>
      </w:r>
      <w:r>
        <w:rPr>
          <w:rFonts w:ascii="仿宋" w:eastAsia="仿宋" w:hAnsi="仿宋" w:hint="eastAsia"/>
          <w:sz w:val="30"/>
          <w:szCs w:val="30"/>
        </w:rPr>
        <w:t>年，地处朱台镇政府驻地，与博兴、桓台、广饶三县相邻，占地面积</w:t>
      </w:r>
      <w:r>
        <w:rPr>
          <w:rFonts w:ascii="仿宋" w:eastAsia="仿宋" w:hAnsi="仿宋"/>
          <w:sz w:val="30"/>
          <w:szCs w:val="30"/>
        </w:rPr>
        <w:t>8000</w:t>
      </w:r>
      <w:r>
        <w:rPr>
          <w:rFonts w:ascii="仿宋" w:eastAsia="仿宋" w:hAnsi="仿宋" w:hint="eastAsia"/>
          <w:sz w:val="30"/>
          <w:szCs w:val="30"/>
        </w:rPr>
        <w:t>㎡，门诊楼占地</w:t>
      </w:r>
      <w:r>
        <w:rPr>
          <w:rFonts w:ascii="仿宋" w:eastAsia="仿宋" w:hAnsi="仿宋"/>
          <w:sz w:val="30"/>
          <w:szCs w:val="30"/>
        </w:rPr>
        <w:t>2200</w:t>
      </w:r>
      <w:r>
        <w:rPr>
          <w:rFonts w:ascii="仿宋" w:eastAsia="仿宋" w:hAnsi="仿宋" w:hint="eastAsia"/>
          <w:sz w:val="30"/>
          <w:szCs w:val="30"/>
        </w:rPr>
        <w:t>㎡，病房楼占地</w:t>
      </w:r>
      <w:r>
        <w:rPr>
          <w:rFonts w:ascii="仿宋" w:eastAsia="仿宋" w:hAnsi="仿宋"/>
          <w:sz w:val="30"/>
          <w:szCs w:val="30"/>
        </w:rPr>
        <w:t>2500</w:t>
      </w:r>
      <w:r>
        <w:rPr>
          <w:rFonts w:ascii="仿宋" w:eastAsia="仿宋" w:hAnsi="仿宋" w:hint="eastAsia"/>
          <w:sz w:val="30"/>
          <w:szCs w:val="30"/>
        </w:rPr>
        <w:t>㎡。服务半径二十公里，担负着全镇</w:t>
      </w:r>
      <w:r>
        <w:rPr>
          <w:rFonts w:ascii="仿宋" w:eastAsia="仿宋" w:hAnsi="仿宋"/>
          <w:sz w:val="30"/>
          <w:szCs w:val="30"/>
        </w:rPr>
        <w:t>3.2</w:t>
      </w:r>
      <w:r>
        <w:rPr>
          <w:rFonts w:ascii="仿宋" w:eastAsia="仿宋" w:hAnsi="仿宋" w:hint="eastAsia"/>
          <w:sz w:val="30"/>
          <w:szCs w:val="30"/>
        </w:rPr>
        <w:t>万人口医疗、保健、公共卫生服务、疾病控制、卫生监督工作。</w:t>
      </w:r>
      <w:r>
        <w:rPr>
          <w:rFonts w:ascii="仿宋" w:eastAsia="仿宋" w:hAnsi="仿宋"/>
          <w:sz w:val="30"/>
          <w:szCs w:val="30"/>
        </w:rPr>
        <w:t>1994</w:t>
      </w:r>
      <w:r>
        <w:rPr>
          <w:rFonts w:ascii="仿宋" w:eastAsia="仿宋" w:hAnsi="仿宋" w:hint="eastAsia"/>
          <w:sz w:val="30"/>
          <w:szCs w:val="30"/>
        </w:rPr>
        <w:t>被山东省卫生厅评审为“一级甲等”医院。</w:t>
      </w:r>
      <w:r>
        <w:rPr>
          <w:rFonts w:ascii="仿宋" w:eastAsia="仿宋" w:hAnsi="仿宋"/>
          <w:sz w:val="30"/>
          <w:szCs w:val="30"/>
        </w:rPr>
        <w:t>2015</w:t>
      </w:r>
      <w:r>
        <w:rPr>
          <w:rFonts w:ascii="仿宋" w:eastAsia="仿宋" w:hAnsi="仿宋" w:hint="eastAsia"/>
          <w:sz w:val="30"/>
          <w:szCs w:val="30"/>
        </w:rPr>
        <w:t>刚刚通过全市第一批“一级甲等”医院的复审，先后被市、区评为文明单位，市级示范乡镇卫生院。共有正式在编人员</w:t>
      </w:r>
      <w:r>
        <w:rPr>
          <w:rFonts w:ascii="仿宋" w:eastAsia="仿宋" w:hAnsi="仿宋"/>
          <w:sz w:val="30"/>
          <w:szCs w:val="30"/>
        </w:rPr>
        <w:t>66</w:t>
      </w:r>
      <w:r>
        <w:rPr>
          <w:rFonts w:ascii="仿宋" w:eastAsia="仿宋" w:hAnsi="仿宋" w:hint="eastAsia"/>
          <w:sz w:val="30"/>
          <w:szCs w:val="30"/>
        </w:rPr>
        <w:t>人，其中正高级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人，副高级</w:t>
      </w:r>
      <w:r>
        <w:rPr>
          <w:rFonts w:ascii="仿宋" w:eastAsia="仿宋" w:hAnsi="仿宋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人，中级</w:t>
      </w:r>
      <w:r>
        <w:rPr>
          <w:rFonts w:ascii="仿宋" w:eastAsia="仿宋" w:hAnsi="仿宋"/>
          <w:sz w:val="30"/>
          <w:szCs w:val="30"/>
        </w:rPr>
        <w:t>29</w:t>
      </w:r>
      <w:r>
        <w:rPr>
          <w:rFonts w:ascii="仿宋" w:eastAsia="仿宋" w:hAnsi="仿宋" w:hint="eastAsia"/>
          <w:sz w:val="30"/>
          <w:szCs w:val="30"/>
        </w:rPr>
        <w:t>人。</w:t>
      </w:r>
      <w:r>
        <w:rPr>
          <w:rFonts w:ascii="仿宋" w:eastAsia="仿宋" w:hAnsi="仿宋"/>
          <w:sz w:val="30"/>
          <w:szCs w:val="30"/>
        </w:rPr>
        <w:t>2012</w:t>
      </w:r>
      <w:r>
        <w:rPr>
          <w:rFonts w:ascii="仿宋" w:eastAsia="仿宋" w:hAnsi="仿宋" w:hint="eastAsia"/>
          <w:sz w:val="30"/>
          <w:szCs w:val="30"/>
        </w:rPr>
        <w:t>年经过积极争取我院被市、区发改委列为中央投资建设项目，镇党委政府决定借此机会加大卫生院基础设施建设投入，由中央省市配套</w:t>
      </w:r>
      <w:r>
        <w:rPr>
          <w:rFonts w:ascii="仿宋" w:eastAsia="仿宋" w:hAnsi="仿宋"/>
          <w:sz w:val="30"/>
          <w:szCs w:val="30"/>
        </w:rPr>
        <w:t>65</w:t>
      </w:r>
      <w:r>
        <w:rPr>
          <w:rFonts w:ascii="仿宋" w:eastAsia="仿宋" w:hAnsi="仿宋" w:hint="eastAsia"/>
          <w:sz w:val="30"/>
          <w:szCs w:val="30"/>
        </w:rPr>
        <w:t>万元，镇政府出资</w:t>
      </w:r>
      <w:r>
        <w:rPr>
          <w:rFonts w:ascii="仿宋" w:eastAsia="仿宋" w:hAnsi="仿宋"/>
          <w:sz w:val="30"/>
          <w:szCs w:val="30"/>
        </w:rPr>
        <w:t>600</w:t>
      </w:r>
      <w:r>
        <w:rPr>
          <w:rFonts w:ascii="仿宋" w:eastAsia="仿宋" w:hAnsi="仿宋" w:hint="eastAsia"/>
          <w:sz w:val="30"/>
          <w:szCs w:val="30"/>
        </w:rPr>
        <w:t>余万元，区财政投入近</w:t>
      </w:r>
      <w:r>
        <w:rPr>
          <w:rFonts w:ascii="仿宋" w:eastAsia="仿宋" w:hAnsi="仿宋"/>
          <w:sz w:val="30"/>
          <w:szCs w:val="30"/>
        </w:rPr>
        <w:t>100</w:t>
      </w:r>
      <w:r>
        <w:rPr>
          <w:rFonts w:ascii="仿宋" w:eastAsia="仿宋" w:hAnsi="仿宋" w:hint="eastAsia"/>
          <w:sz w:val="30"/>
          <w:szCs w:val="30"/>
        </w:rPr>
        <w:t>万元配备了病床等一些医疗设备，新建建筑面积</w:t>
      </w:r>
      <w:r>
        <w:rPr>
          <w:rFonts w:ascii="仿宋" w:eastAsia="仿宋" w:hAnsi="仿宋"/>
          <w:sz w:val="30"/>
          <w:szCs w:val="30"/>
        </w:rPr>
        <w:t>2456</w:t>
      </w:r>
      <w:r>
        <w:rPr>
          <w:rFonts w:ascii="仿宋" w:eastAsia="仿宋" w:hAnsi="仿宋" w:hint="eastAsia"/>
          <w:sz w:val="30"/>
          <w:szCs w:val="30"/>
        </w:rPr>
        <w:t>平方米的新病房楼一处，开设病床</w:t>
      </w:r>
      <w:r>
        <w:rPr>
          <w:rFonts w:ascii="仿宋" w:eastAsia="仿宋" w:hAnsi="仿宋"/>
          <w:sz w:val="30"/>
          <w:szCs w:val="30"/>
        </w:rPr>
        <w:t>70</w:t>
      </w:r>
      <w:r>
        <w:rPr>
          <w:rFonts w:ascii="仿宋" w:eastAsia="仿宋" w:hAnsi="仿宋" w:hint="eastAsia"/>
          <w:sz w:val="30"/>
          <w:szCs w:val="30"/>
        </w:rPr>
        <w:t>张，政府又按照二级医院的标准设施为病房内配备了电梯，中央空调、中心供氧、中心呼叫等系统，设置</w:t>
      </w:r>
      <w:r>
        <w:rPr>
          <w:rFonts w:ascii="仿宋" w:eastAsia="仿宋" w:hAnsi="仿宋"/>
          <w:sz w:val="30"/>
          <w:szCs w:val="30"/>
        </w:rPr>
        <w:t>VIP</w:t>
      </w:r>
      <w:r>
        <w:rPr>
          <w:rFonts w:ascii="仿宋" w:eastAsia="仿宋" w:hAnsi="仿宋" w:hint="eastAsia"/>
          <w:sz w:val="30"/>
          <w:szCs w:val="30"/>
        </w:rPr>
        <w:t>病房，为病人提供了良好的就医条件。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（二）公共服务职能：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、认真贯彻执行党和国家的卫生政策，坚持“以病人为中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心，以质量为核心”的服务宗旨，为街道社区群众提供全面、科学、连续的基本医疗、预防保健及公共卫生服务。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、承担卫生应急及政府指令性任务。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二、机构科室分布、人员标识、标识导引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（一）机构科室分布：详见卫生院一楼大厅科室分布图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（二）人员标识：详见各科室悬挂人员标识信息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（三）标识导引：详见各楼层地面标识导引图标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三、机构的服务内容、重点学科及医疗技术准入、服务流程及须知等</w:t>
      </w:r>
    </w:p>
    <w:p w:rsidR="00945B80" w:rsidRDefault="00945B80" w:rsidP="00100037">
      <w:pPr>
        <w:widowControl/>
        <w:spacing w:before="100" w:beforeAutospacing="1" w:after="150" w:line="400" w:lineRule="atLeas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年得镇党委政府资金支持，医院对现门诊楼进行了改扩建，投资</w:t>
      </w:r>
      <w:r>
        <w:rPr>
          <w:rFonts w:ascii="仿宋" w:eastAsia="仿宋" w:hAnsi="仿宋"/>
          <w:sz w:val="30"/>
          <w:szCs w:val="30"/>
        </w:rPr>
        <w:t>200</w:t>
      </w:r>
      <w:r>
        <w:rPr>
          <w:rFonts w:ascii="仿宋" w:eastAsia="仿宋" w:hAnsi="仿宋" w:hint="eastAsia"/>
          <w:sz w:val="30"/>
          <w:szCs w:val="30"/>
        </w:rPr>
        <w:t>余万元，扩建面积</w:t>
      </w:r>
      <w:r>
        <w:rPr>
          <w:rFonts w:ascii="仿宋" w:eastAsia="仿宋" w:hAnsi="仿宋"/>
          <w:sz w:val="30"/>
          <w:szCs w:val="30"/>
        </w:rPr>
        <w:t>800</w:t>
      </w:r>
      <w:r>
        <w:rPr>
          <w:rFonts w:ascii="仿宋" w:eastAsia="仿宋" w:hAnsi="仿宋" w:hint="eastAsia"/>
          <w:sz w:val="30"/>
          <w:szCs w:val="30"/>
        </w:rPr>
        <w:t>平，建设高标准的影像科和数字化接种门诊，对国医堂也进行提升改造，增设两个康复大厅，设立了独立煎药室。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医院的发展规划，医院近几年有针对性的补充了医院的紧缺岗位人才，强化现有专业人员培训，鼓励参加住院医师、全科医生规范化培训。借助人才的优势，先后开设了糖尿病及中医理疗科等特色专科，建设了国医堂，充分发挥中医药的“简、便、验、廉”在基层卫生工作的优势和作用，加强中医药特色诊疗服务。开展了刮痧、拔罐、针灸、督灸、小儿推拿等特色中医药服务，对颈肩腰腿疼、腰肌劳损等疾病疗效显著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四、涉及公共卫生、疾病应急处置相关服务流程信息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见医院应急预案处置汇编手册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五、医保、价格、收费等服务信息</w:t>
      </w:r>
    </w:p>
    <w:p w:rsidR="00945B80" w:rsidRDefault="00945B80" w:rsidP="00100037">
      <w:pPr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（一）对医保报销制度张贴公示，对药品采购、使用、计费、收费全流程闭环管理。职能科室对各临床科室开展不定期检查，防止在有关过程中出现各类的问题。</w:t>
      </w:r>
    </w:p>
    <w:p w:rsidR="00945B80" w:rsidRDefault="00945B80" w:rsidP="00100037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（二）价格、收费等详见公示栏。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六、健康科普宣传教育相关信息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（一）每天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个小时健康教育视频影音播放。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（二）每月发放健康教育资料。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个月更换一次健康教育宣传栏。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（四）每季度发布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次健康科普宣传公众号。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（五）每年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次健康教育知识讲座。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（六）每年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次健康教育知识公众咨询。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七、招标采购信息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健全各项制度，严格执行招标采购流程，规范药品采购手续，办公设备物资购置执行政府招标采购，医用耗材、非基药首先提出采购申请，经审批后进行采购。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八、行风廉政建设情况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贯彻执行党风廉政建设，实行“一岗双责”责任制，严格执行“三重一大”工作制度，恪守职业道德，廉洁行医，杜绝商业贿赂，认真开展“不忘初心、牢记使命”主题教育，深入开展“拒回扣、无红包、树形象”活动，加强个人素养和业务能力提升，秉承“以人为本、服务于民”原则，为社区百姓健康服好务，门诊大厅公布投诉电话，接受群众监督。</w:t>
      </w:r>
    </w:p>
    <w:p w:rsidR="00945B80" w:rsidRDefault="00945B80" w:rsidP="00100037">
      <w:pPr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九、咨询及投诉方式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咨询、投诉电话：</w:t>
      </w:r>
      <w:r>
        <w:rPr>
          <w:rFonts w:ascii="仿宋" w:eastAsia="仿宋" w:hAnsi="仿宋" w:cs="仿宋"/>
          <w:sz w:val="32"/>
          <w:szCs w:val="32"/>
        </w:rPr>
        <w:t>0533-7859928</w:t>
      </w:r>
    </w:p>
    <w:p w:rsidR="00945B80" w:rsidRDefault="00945B80" w:rsidP="00100037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945B80" w:rsidRDefault="00945B80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45B80" w:rsidRPr="00100037" w:rsidRDefault="00945B80" w:rsidP="00FE1C5F">
      <w:pPr>
        <w:spacing w:line="560" w:lineRule="exact"/>
        <w:ind w:firstLineChars="1600" w:firstLine="3168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945B80" w:rsidRPr="00100037" w:rsidSect="003F02C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U4YjA4NzI1MzgyZWJiNjE1MTMwMTY4MjRmNDU5ZTQifQ=="/>
  </w:docVars>
  <w:rsids>
    <w:rsidRoot w:val="03B312EA"/>
    <w:rsid w:val="00047B95"/>
    <w:rsid w:val="00100037"/>
    <w:rsid w:val="00135AD3"/>
    <w:rsid w:val="001535A6"/>
    <w:rsid w:val="003F02C3"/>
    <w:rsid w:val="004F5995"/>
    <w:rsid w:val="006D2126"/>
    <w:rsid w:val="007F66B9"/>
    <w:rsid w:val="008A6D76"/>
    <w:rsid w:val="00945B80"/>
    <w:rsid w:val="00955E2B"/>
    <w:rsid w:val="009577BF"/>
    <w:rsid w:val="00A24D4F"/>
    <w:rsid w:val="00D339EF"/>
    <w:rsid w:val="00DA4863"/>
    <w:rsid w:val="00F46A3E"/>
    <w:rsid w:val="00FE1C5F"/>
    <w:rsid w:val="038024FE"/>
    <w:rsid w:val="03B312EA"/>
    <w:rsid w:val="068B27A9"/>
    <w:rsid w:val="32622B04"/>
    <w:rsid w:val="336442E9"/>
    <w:rsid w:val="5F81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2C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F02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02C3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3F02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232</Words>
  <Characters>1328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12</cp:revision>
  <cp:lastPrinted>2022-07-18T04:17:00Z</cp:lastPrinted>
  <dcterms:created xsi:type="dcterms:W3CDTF">2022-07-18T01:42:00Z</dcterms:created>
  <dcterms:modified xsi:type="dcterms:W3CDTF">2022-07-22T10:37:00Z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ED9578B6D69340B0A1B64C411E60FE88</vt:lpwstr>
  </property>
</Properties>
</file>