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</w:p>
    <w:p>
      <w:pPr>
        <w:spacing w:line="64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临淄区文物局</w:t>
      </w:r>
    </w:p>
    <w:p>
      <w:pPr>
        <w:spacing w:line="64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本年度报告中所列数据的统计期限自2023年1月1日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起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，至2023年12月31日止。如对报告内容有疑问，请与临淄区文物局联系（地址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淄博市临淄区临淄大道308号；邮编：255400；电话：0533-7210607；电子邮箱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color w:val="auto"/>
          <w:sz w:val="32"/>
          <w:szCs w:val="32"/>
        </w:rPr>
        <w:instrText xml:space="preserve"> HYPERLINK "mailto:lzqwwj@zb.shandong.cn）。" </w:instrText>
      </w:r>
      <w:r>
        <w:rPr>
          <w:rFonts w:hint="eastAsia" w:ascii="仿宋_GB2312" w:hAnsi="仿宋" w:eastAsia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color w:val="auto"/>
          <w:sz w:val="32"/>
          <w:szCs w:val="32"/>
        </w:rPr>
        <w:t>lzqwwj@zb.shandong.cn）。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2023年临淄区文物局坚持以习近平新时代中国特色社会主义思想为指导，全面贯彻党的二十大精神，按照党中央、国务院关于政务公开的决策部署和区委、区政府工作安排，持续深化政务公开，积极助力为民政府、法治政府、效能政府、数字政府、廉洁政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（一）主动公开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文物局结合区文物工作，主动公开政府信息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条，其中机构职能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条、政府会议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公共资源配置2条、公共文化体育6条、重要部署执行公开1条、财政信息4条、管理和服务公开12条、业务工作47条、政府信息公开指南1条、政府信息公开年度报告2条、政务公开保障机制1条、主动公开基本目录3条。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黑体" w:eastAsia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（二）依申请公开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工作方面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文物局受理信息公开申请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件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与2022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受理信息公开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的数量相同。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（三）政府信息管理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区文物局依照《中华人民共和国政府信息公开条例》（国务院令第492号公布，国务院令第711号修订）编制《临淄区文物局政府信息公开指南》作为区文物局信息管理制度的基本指南。临淄区文物局政务公开工作坚持动态更新政府信息主动公开目录，明确全年重点工作和责任分工;完善政府信息公开源头认定机制;对拟公开的政府信息依法依规做好保密审查，切实做到“涉密信息不上网、上网信息不涉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区文物局政府信息管理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由办公室牵头负责，落实专人做好政府信息公开各项工作，对所公开事项内容进行审核把关，确保公开内容合法性、准确性、严肃性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并建立政府信息管理动态调整机制，根据政策对所公开的信息进行动态调整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。在政务公开门户网站向社会公布本部门信息主动公开基本目录。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（四）平台建设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根据市政府办公室工作部署，区文物局按照“公正、公平、便民”原则，及时调整优化政府信息公开平台栏目设置，优化业务公开、部门会议等专题;充分发挥政府网站、微信公众号等政务新媒体，不断扩大我局新媒体官方账号影响力，“临淄文物”微信公众号关注人数1513人，全年发布微信推送147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（五）监督保障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严格按照省、市、区有关政府信息公开的文件精神和工作部署，落实规范门户网站信息发布审核要求。一是严格落实政府信息公开社会评议和责任追究制度，加强对政府信息公开工作的监督检查，进一步增强社会各界对政府信息公开工作的监督，确保公开信息符合规范标准，对造成严重后果的，按照有关规定严肃查处，严肃追究有关人员的责任，确保政务公开的严肃性。2023年未发生因不履行政务公开义务而发生的责任追究情况；二是健全工作机构，调整政务公开工作领导小组，明确主要负责同志对政务公开工作负总责，各科室确定一名政务公开工作联络员，定期会商，责任到人。制定 2023 年政务公开培训计划，全年参加、开展专题培训2次。     </w:t>
      </w:r>
    </w:p>
    <w:p>
      <w:pPr>
        <w:ind w:firstLine="648"/>
        <w:rPr>
          <w:rFonts w:ascii="宋体" w:hAnsi="宋体" w:eastAsia="宋体" w:cs="宋体"/>
          <w:color w:val="auto"/>
          <w:kern w:val="0"/>
          <w:szCs w:val="21"/>
        </w:rPr>
      </w:pPr>
      <w:bookmarkStart w:id="1" w:name="_GoBack"/>
      <w:r>
        <w:rPr>
          <w:rFonts w:hint="eastAsia" w:ascii="黑体" w:hAnsi="黑体" w:eastAsia="黑体"/>
          <w:color w:val="auto"/>
          <w:sz w:val="32"/>
          <w:szCs w:val="32"/>
        </w:rPr>
        <w:t>二、主动公开政府信息情况</w:t>
      </w:r>
    </w:p>
    <w:tbl>
      <w:tblPr>
        <w:tblStyle w:val="13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（一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（五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（六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lang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color w:val="auto"/>
              </w:rPr>
            </w:pPr>
            <w:bookmarkStart w:id="0" w:name="_Hlk93303340"/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7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</w:tbl>
    <w:p>
      <w:pPr>
        <w:rPr>
          <w:color w:val="auto"/>
        </w:rPr>
      </w:pP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信息公开工作在制度机制建设、提升规范化和信息化水平、增强公开实效等方面，取得了一定进展和成效，但是对照文件规定和上级要求，距离社会公众的愿望，还存在一定差距。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一是有些重点项目信息公开不够及时；二是政策文件解读工作有待进一步加强，解读形式和解读质量需要改进提高。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我局加强主动公开、规范依申请公开，以公开促规范，以公开促服务，不断提升政务公开工作质量和水平。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一是规范提升主动公开工作。紧扣上级工作部署，严格执行相关政策文件规定的主动公开范围和事项，继续抓好政务公开工作要点落实，不断加强政策解读工作。进一步拓展和深化政府信息公开的内容和范围，努力提高信息公开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二是提升政策解读质量。按照“政策制定与解读同步”的原则，及时做好政策性文件及解读的同步发布，严格按照政策解读要求，通过制定背景、起草过程、创新举措等环节深入解读政策文件，提高解读内容质量和可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三是深化重点领域信息公开。加大推进重点领域信息公开力度，分专题进行梳理、汇总，通过微信公众平台进行发布，切实提升公开质量和实效，更好地服务经济社会发展和民生改善。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(一)收取信息处理费情况。本年度无收取信息处理费情况。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(二)人大代表建议和政协提案办理情况。2023 年，通过网站公开人大代表建议办理情况0件，公开政协委员提案办理情况0件。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(三)年度工作要点落实情况。2023年度，临淄区文物局严格落实《2023年淄博市政务公开工作方案》工作要求，围绕政府工作报告重点任务及民生关注热点加大主动公开力度，关注社会关切加强舆情回应，着力提升政务服务工作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(四)政务公开工作创新情况。一是注重利用新媒体平台推进政务公开工作。通过微信公众号等渠道及时发布文物工作动态和政策法规等信息，扩大了信息公开的覆盖面和影响力。二是不断创新政务公开工作方法，加大政务信息公开范围、提升政务信息公开质量，持续做好政务公开各类信息发布等基础工作，确保政务公开工作常态化。</w:t>
      </w:r>
    </w:p>
    <w:bookmarkEnd w:id="1"/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hAnsi="Times New Roman"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WRhYjM5MWEzMTc3OGE0ZjJhZTBiYTk2MzM0Mjk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543E0"/>
    <w:rsid w:val="00155B5D"/>
    <w:rsid w:val="00161590"/>
    <w:rsid w:val="00170D63"/>
    <w:rsid w:val="00172B20"/>
    <w:rsid w:val="0017420B"/>
    <w:rsid w:val="0017427C"/>
    <w:rsid w:val="00176618"/>
    <w:rsid w:val="00176B17"/>
    <w:rsid w:val="00187315"/>
    <w:rsid w:val="0018737C"/>
    <w:rsid w:val="001900C0"/>
    <w:rsid w:val="00196FD6"/>
    <w:rsid w:val="001A21B5"/>
    <w:rsid w:val="001B26AB"/>
    <w:rsid w:val="001B4410"/>
    <w:rsid w:val="001C095B"/>
    <w:rsid w:val="001C1DC2"/>
    <w:rsid w:val="001C4706"/>
    <w:rsid w:val="001C6DFA"/>
    <w:rsid w:val="001C6F55"/>
    <w:rsid w:val="001D41A6"/>
    <w:rsid w:val="001E0CBD"/>
    <w:rsid w:val="001E5A28"/>
    <w:rsid w:val="001E72C7"/>
    <w:rsid w:val="001F4B2D"/>
    <w:rsid w:val="002019C6"/>
    <w:rsid w:val="002037E0"/>
    <w:rsid w:val="00203A58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EB5"/>
    <w:rsid w:val="002B6F68"/>
    <w:rsid w:val="002D115E"/>
    <w:rsid w:val="002D6A99"/>
    <w:rsid w:val="002D70DF"/>
    <w:rsid w:val="002E594D"/>
    <w:rsid w:val="002E6EDF"/>
    <w:rsid w:val="00303F7F"/>
    <w:rsid w:val="00312CA0"/>
    <w:rsid w:val="0031332E"/>
    <w:rsid w:val="003135A4"/>
    <w:rsid w:val="003164F6"/>
    <w:rsid w:val="00316CE4"/>
    <w:rsid w:val="003257C1"/>
    <w:rsid w:val="003318E7"/>
    <w:rsid w:val="00332905"/>
    <w:rsid w:val="00334C65"/>
    <w:rsid w:val="0033604E"/>
    <w:rsid w:val="0034504C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A7C8A"/>
    <w:rsid w:val="003B4A71"/>
    <w:rsid w:val="003C0527"/>
    <w:rsid w:val="003C44C8"/>
    <w:rsid w:val="003C5789"/>
    <w:rsid w:val="003D1B37"/>
    <w:rsid w:val="003D60E9"/>
    <w:rsid w:val="003D6959"/>
    <w:rsid w:val="003D7EB2"/>
    <w:rsid w:val="003E1F92"/>
    <w:rsid w:val="003E6845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7490E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350F9"/>
    <w:rsid w:val="00540904"/>
    <w:rsid w:val="00543FE0"/>
    <w:rsid w:val="00550808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97A0E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648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3636"/>
    <w:rsid w:val="007061A3"/>
    <w:rsid w:val="007129AD"/>
    <w:rsid w:val="00713D3B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4F2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D780B"/>
    <w:rsid w:val="007E07E3"/>
    <w:rsid w:val="007E2505"/>
    <w:rsid w:val="007E5331"/>
    <w:rsid w:val="007E55EA"/>
    <w:rsid w:val="007F22F8"/>
    <w:rsid w:val="007F43FC"/>
    <w:rsid w:val="00802361"/>
    <w:rsid w:val="00804E65"/>
    <w:rsid w:val="00805ABE"/>
    <w:rsid w:val="00813BC0"/>
    <w:rsid w:val="00820BB8"/>
    <w:rsid w:val="00826B19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25C3D"/>
    <w:rsid w:val="00926FB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A125A"/>
    <w:rsid w:val="009B0107"/>
    <w:rsid w:val="009B3D1A"/>
    <w:rsid w:val="009B7848"/>
    <w:rsid w:val="009C460B"/>
    <w:rsid w:val="009D452F"/>
    <w:rsid w:val="009E68DF"/>
    <w:rsid w:val="009F4FD2"/>
    <w:rsid w:val="009F7101"/>
    <w:rsid w:val="00A033B8"/>
    <w:rsid w:val="00A03AC4"/>
    <w:rsid w:val="00A03E53"/>
    <w:rsid w:val="00A06E87"/>
    <w:rsid w:val="00A1342F"/>
    <w:rsid w:val="00A143E6"/>
    <w:rsid w:val="00A22178"/>
    <w:rsid w:val="00A25860"/>
    <w:rsid w:val="00A25CDE"/>
    <w:rsid w:val="00A353B4"/>
    <w:rsid w:val="00A35AE0"/>
    <w:rsid w:val="00A36C3E"/>
    <w:rsid w:val="00A47C35"/>
    <w:rsid w:val="00A53B6B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82D"/>
    <w:rsid w:val="00AD1A81"/>
    <w:rsid w:val="00AD1C82"/>
    <w:rsid w:val="00AD1D6B"/>
    <w:rsid w:val="00AD49B5"/>
    <w:rsid w:val="00AD76B6"/>
    <w:rsid w:val="00AE6C57"/>
    <w:rsid w:val="00AE74FF"/>
    <w:rsid w:val="00AF2313"/>
    <w:rsid w:val="00AF4CE2"/>
    <w:rsid w:val="00AF50F4"/>
    <w:rsid w:val="00B0337D"/>
    <w:rsid w:val="00B13014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4E66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6AFE"/>
    <w:rsid w:val="00CB7A70"/>
    <w:rsid w:val="00CC09E5"/>
    <w:rsid w:val="00CC51DA"/>
    <w:rsid w:val="00CD620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0D0C"/>
    <w:rsid w:val="00D4484C"/>
    <w:rsid w:val="00D53AC2"/>
    <w:rsid w:val="00D54B78"/>
    <w:rsid w:val="00D55448"/>
    <w:rsid w:val="00D7211A"/>
    <w:rsid w:val="00D7609C"/>
    <w:rsid w:val="00D7673F"/>
    <w:rsid w:val="00D81D7A"/>
    <w:rsid w:val="00D96A77"/>
    <w:rsid w:val="00DA076B"/>
    <w:rsid w:val="00DA1BF9"/>
    <w:rsid w:val="00DA2B64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4873"/>
    <w:rsid w:val="00E07D70"/>
    <w:rsid w:val="00E377B4"/>
    <w:rsid w:val="00E42C13"/>
    <w:rsid w:val="00E42DE7"/>
    <w:rsid w:val="00E447EA"/>
    <w:rsid w:val="00E44BC5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03B7"/>
    <w:rsid w:val="00EE3275"/>
    <w:rsid w:val="00EF09AE"/>
    <w:rsid w:val="00EF7239"/>
    <w:rsid w:val="00F00F32"/>
    <w:rsid w:val="00F0322D"/>
    <w:rsid w:val="00F0408E"/>
    <w:rsid w:val="00F22E87"/>
    <w:rsid w:val="00F33EBA"/>
    <w:rsid w:val="00F40BD5"/>
    <w:rsid w:val="00F45E29"/>
    <w:rsid w:val="00F503E6"/>
    <w:rsid w:val="00F50DAA"/>
    <w:rsid w:val="00F60260"/>
    <w:rsid w:val="00F651BF"/>
    <w:rsid w:val="00F6601D"/>
    <w:rsid w:val="00F71A9E"/>
    <w:rsid w:val="00F739B0"/>
    <w:rsid w:val="00F7604B"/>
    <w:rsid w:val="00F86D3F"/>
    <w:rsid w:val="00F9603E"/>
    <w:rsid w:val="00FA2749"/>
    <w:rsid w:val="00FA3378"/>
    <w:rsid w:val="00FA4017"/>
    <w:rsid w:val="00FA58CE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D7CB4"/>
    <w:rsid w:val="00FE1203"/>
    <w:rsid w:val="00FE1DCB"/>
    <w:rsid w:val="00FE2E48"/>
    <w:rsid w:val="00FE3091"/>
    <w:rsid w:val="0BA909FC"/>
    <w:rsid w:val="0F9A7A50"/>
    <w:rsid w:val="1204067E"/>
    <w:rsid w:val="190F2B64"/>
    <w:rsid w:val="1B6F4D9F"/>
    <w:rsid w:val="25406922"/>
    <w:rsid w:val="284F0F63"/>
    <w:rsid w:val="28B25693"/>
    <w:rsid w:val="2B950BB7"/>
    <w:rsid w:val="2B960AD0"/>
    <w:rsid w:val="43977455"/>
    <w:rsid w:val="47B86A37"/>
    <w:rsid w:val="4A802276"/>
    <w:rsid w:val="4B954E01"/>
    <w:rsid w:val="4CBD46A4"/>
    <w:rsid w:val="4DE93206"/>
    <w:rsid w:val="4F122538"/>
    <w:rsid w:val="6012175D"/>
    <w:rsid w:val="681A5D7E"/>
    <w:rsid w:val="686226BF"/>
    <w:rsid w:val="688A6622"/>
    <w:rsid w:val="6AEF34BF"/>
    <w:rsid w:val="6C007039"/>
    <w:rsid w:val="6F73465F"/>
    <w:rsid w:val="73162384"/>
    <w:rsid w:val="7B5C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kern w:val="2"/>
      <w:sz w:val="18"/>
      <w:szCs w:val="18"/>
    </w:rPr>
  </w:style>
  <w:style w:type="paragraph" w:customStyle="1" w:styleId="12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3">
    <w:name w:val="Table Normal"/>
    <w:autoRedefine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2236</Words>
  <Characters>2270</Characters>
  <Lines>16</Lines>
  <Paragraphs>4</Paragraphs>
  <TotalTime>137</TotalTime>
  <ScaleCrop>false</ScaleCrop>
  <LinksUpToDate>false</LinksUpToDate>
  <CharactersWithSpaces>2291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胡萝卜糊了.</cp:lastModifiedBy>
  <cp:lastPrinted>2024-01-15T01:19:00Z</cp:lastPrinted>
  <dcterms:modified xsi:type="dcterms:W3CDTF">2024-01-30T01:46:23Z</dcterms:modified>
  <cp:revision>1894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C2AB5AE1FD5C4305A39319C5821980B3_13</vt:lpwstr>
  </property>
</Properties>
</file>