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临淄区行政审批服务局</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w:t>
      </w:r>
      <w:r>
        <w:rPr>
          <w:rFonts w:hint="eastAsia" w:ascii="方正小标宋简体" w:hAnsi="黑体" w:eastAsia="方正小标宋简体"/>
          <w:sz w:val="44"/>
          <w:szCs w:val="44"/>
          <w:lang w:val="en-US" w:eastAsia="zh-CN"/>
        </w:rPr>
        <w:t>2</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本报告按照《国务院办公厅政府信息与政务公开办公室关于印发&lt;中华人民共和国政府信息公开工作年度报告格式&gt;的通知》(国办公开办函〔</w:t>
      </w:r>
      <w:r>
        <w:rPr>
          <w:rFonts w:hint="eastAsia" w:ascii="仿宋" w:hAnsi="仿宋" w:eastAsia="仿宋"/>
          <w:color w:val="000000"/>
          <w:sz w:val="32"/>
          <w:szCs w:val="32"/>
          <w:lang w:eastAsia="zh-CN"/>
        </w:rPr>
        <w:t>2022</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w:t>
      </w:r>
      <w:r>
        <w:rPr>
          <w:rFonts w:hint="eastAsia" w:ascii="仿宋" w:hAnsi="仿宋" w:eastAsia="仿宋"/>
          <w:color w:val="000000"/>
          <w:sz w:val="32"/>
          <w:szCs w:val="32"/>
          <w:lang w:val="en-US" w:eastAsia="zh-CN"/>
        </w:rPr>
        <w:t>六大部分</w:t>
      </w:r>
      <w:r>
        <w:rPr>
          <w:rFonts w:hint="eastAsia" w:ascii="仿宋" w:hAnsi="仿宋" w:eastAsia="仿宋"/>
          <w:color w:val="000000"/>
          <w:sz w:val="32"/>
          <w:szCs w:val="32"/>
        </w:rPr>
        <w:t>。本年度报告中所列数据统计期限从20</w:t>
      </w:r>
      <w:r>
        <w:rPr>
          <w:rFonts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年1月1日到12月31日止。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s="仿宋"/>
          <w:color w:val="000000"/>
          <w:sz w:val="32"/>
          <w:szCs w:val="32"/>
          <w:shd w:val="clear" w:color="auto" w:fill="FFFFFF"/>
        </w:rPr>
        <w:t>如对报告有任何疑问，请与临淄区行政审批服务局政府信息公开办公室联系（地址：淄博市临淄区临淄大道971号；邮编：255400；联系电话：0533-717700</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；电子邮箱：lzqxzspfwj@zb.shandong.cn）。</w:t>
      </w:r>
    </w:p>
    <w:p>
      <w:pPr>
        <w:numPr>
          <w:ilvl w:val="0"/>
          <w:numId w:val="1"/>
        </w:numPr>
        <w:spacing w:line="560" w:lineRule="exact"/>
        <w:ind w:left="640" w:leftChars="0" w:firstLine="0" w:firstLineChars="0"/>
        <w:rPr>
          <w:rFonts w:hint="eastAsia" w:ascii="黑体" w:hAnsi="黑体" w:eastAsia="黑体"/>
          <w:sz w:val="32"/>
          <w:szCs w:val="32"/>
        </w:rPr>
      </w:pPr>
      <w:r>
        <w:rPr>
          <w:rFonts w:hint="eastAsia" w:ascii="黑体" w:hAnsi="黑体" w:eastAsia="黑体"/>
          <w:sz w:val="32"/>
          <w:szCs w:val="32"/>
        </w:rPr>
        <w:t>总体情况</w:t>
      </w:r>
    </w:p>
    <w:p>
      <w:pPr>
        <w:numPr>
          <w:ilvl w:val="0"/>
          <w:numId w:val="0"/>
        </w:numPr>
        <w:spacing w:line="560" w:lineRule="exact"/>
        <w:ind w:firstLine="640" w:firstLineChars="200"/>
        <w:rPr>
          <w:rFonts w:hint="eastAsia" w:ascii="仿宋_GB2312" w:hAnsi="宋体" w:eastAsia="仿宋_GB2312" w:cs="仿宋_GB2312"/>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2022年，在区委、区政府和市局的正确领导下，我局</w:t>
      </w:r>
      <w:r>
        <w:rPr>
          <w:rFonts w:hint="eastAsia" w:ascii="仿宋" w:hAnsi="仿宋" w:eastAsia="仿宋" w:cs="仿宋"/>
          <w:b w:val="0"/>
          <w:bCs w:val="0"/>
          <w:i w:val="0"/>
          <w:iCs w:val="0"/>
          <w:caps w:val="0"/>
          <w:color w:val="000000"/>
          <w:spacing w:val="0"/>
          <w:sz w:val="32"/>
          <w:szCs w:val="32"/>
          <w:shd w:val="clear" w:fill="FFFFFF"/>
          <w:lang w:val="en-US" w:eastAsia="zh-CN"/>
        </w:rPr>
        <w:t>认真</w:t>
      </w:r>
      <w:r>
        <w:rPr>
          <w:rFonts w:hint="eastAsia" w:ascii="仿宋" w:hAnsi="仿宋" w:eastAsia="仿宋" w:cs="仿宋"/>
          <w:b w:val="0"/>
          <w:bCs w:val="0"/>
          <w:i w:val="0"/>
          <w:iCs w:val="0"/>
          <w:caps w:val="0"/>
          <w:color w:val="000000"/>
          <w:spacing w:val="0"/>
          <w:sz w:val="32"/>
          <w:szCs w:val="32"/>
          <w:shd w:val="clear" w:fill="FFFFFF"/>
        </w:rPr>
        <w:t>贯彻落实《中华人民共和国政府信息公开条例》的有关规定，进一步</w:t>
      </w:r>
      <w:r>
        <w:rPr>
          <w:rFonts w:hint="eastAsia" w:ascii="仿宋" w:hAnsi="仿宋" w:eastAsia="仿宋" w:cs="仿宋"/>
          <w:b w:val="0"/>
          <w:bCs w:val="0"/>
          <w:i w:val="0"/>
          <w:iCs w:val="0"/>
          <w:caps w:val="0"/>
          <w:color w:val="000000"/>
          <w:spacing w:val="0"/>
          <w:sz w:val="32"/>
          <w:szCs w:val="32"/>
          <w:shd w:val="clear" w:fill="FFFFFF"/>
          <w:lang w:val="en-US" w:eastAsia="zh-CN"/>
        </w:rPr>
        <w:t>强化</w:t>
      </w:r>
      <w:r>
        <w:rPr>
          <w:rFonts w:hint="eastAsia" w:ascii="仿宋" w:hAnsi="仿宋" w:eastAsia="仿宋" w:cs="仿宋"/>
          <w:b w:val="0"/>
          <w:bCs w:val="0"/>
          <w:i w:val="0"/>
          <w:iCs w:val="0"/>
          <w:caps w:val="0"/>
          <w:color w:val="000000"/>
          <w:spacing w:val="0"/>
          <w:sz w:val="32"/>
          <w:szCs w:val="32"/>
          <w:shd w:val="clear" w:fill="FFFFFF"/>
        </w:rPr>
        <w:t>组织领导，</w:t>
      </w:r>
      <w:r>
        <w:rPr>
          <w:rFonts w:hint="eastAsia" w:ascii="仿宋" w:hAnsi="仿宋" w:eastAsia="仿宋" w:cs="仿宋"/>
          <w:b w:val="0"/>
          <w:bCs w:val="0"/>
          <w:i w:val="0"/>
          <w:iCs w:val="0"/>
          <w:caps w:val="0"/>
          <w:color w:val="000000"/>
          <w:spacing w:val="0"/>
          <w:sz w:val="32"/>
          <w:szCs w:val="32"/>
          <w:shd w:val="clear" w:fill="FFFFFF"/>
          <w:lang w:val="en-US" w:eastAsia="zh-CN"/>
        </w:rPr>
        <w:t>细化任务</w:t>
      </w:r>
      <w:r>
        <w:rPr>
          <w:rFonts w:hint="eastAsia" w:ascii="仿宋" w:hAnsi="仿宋" w:eastAsia="仿宋" w:cs="仿宋"/>
          <w:b w:val="0"/>
          <w:bCs w:val="0"/>
          <w:i w:val="0"/>
          <w:iCs w:val="0"/>
          <w:caps w:val="0"/>
          <w:color w:val="000000"/>
          <w:spacing w:val="0"/>
          <w:sz w:val="32"/>
          <w:szCs w:val="32"/>
          <w:shd w:val="clear" w:fill="FFFFFF"/>
        </w:rPr>
        <w:t>分工，</w:t>
      </w:r>
      <w:r>
        <w:rPr>
          <w:rFonts w:hint="eastAsia" w:ascii="仿宋" w:hAnsi="仿宋" w:eastAsia="仿宋" w:cs="仿宋"/>
          <w:sz w:val="32"/>
          <w:szCs w:val="32"/>
          <w:lang w:val="en-US" w:eastAsia="zh-CN"/>
        </w:rPr>
        <w:t>围绕业务建设、政策文件、监督保障等多个方面</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sz w:val="32"/>
          <w:szCs w:val="32"/>
          <w:lang w:val="en-US" w:eastAsia="zh-CN"/>
        </w:rPr>
        <w:t>主动进行公开，不断提升政务公开的质量，</w:t>
      </w:r>
      <w:r>
        <w:rPr>
          <w:rFonts w:hint="eastAsia" w:ascii="仿宋" w:hAnsi="仿宋" w:eastAsia="仿宋" w:cs="仿宋"/>
          <w:b w:val="0"/>
          <w:bCs w:val="0"/>
          <w:i w:val="0"/>
          <w:iCs w:val="0"/>
          <w:caps w:val="0"/>
          <w:color w:val="000000"/>
          <w:spacing w:val="0"/>
          <w:sz w:val="32"/>
          <w:szCs w:val="32"/>
          <w:shd w:val="clear" w:fill="FFFFFF"/>
        </w:rPr>
        <w:t>保障政府信息公开工作</w:t>
      </w:r>
      <w:r>
        <w:rPr>
          <w:rFonts w:hint="eastAsia" w:ascii="仿宋" w:hAnsi="仿宋" w:eastAsia="仿宋" w:cs="仿宋"/>
          <w:b w:val="0"/>
          <w:bCs w:val="0"/>
          <w:i w:val="0"/>
          <w:iCs w:val="0"/>
          <w:caps w:val="0"/>
          <w:color w:val="000000"/>
          <w:spacing w:val="0"/>
          <w:sz w:val="32"/>
          <w:szCs w:val="32"/>
          <w:shd w:val="clear" w:fill="FFFFFF"/>
          <w:lang w:val="en-US" w:eastAsia="zh-CN"/>
        </w:rPr>
        <w:t>能</w:t>
      </w:r>
      <w:r>
        <w:rPr>
          <w:rFonts w:hint="eastAsia" w:ascii="仿宋" w:hAnsi="仿宋" w:eastAsia="仿宋" w:cs="仿宋"/>
          <w:b w:val="0"/>
          <w:bCs w:val="0"/>
          <w:i w:val="0"/>
          <w:iCs w:val="0"/>
          <w:caps w:val="0"/>
          <w:color w:val="000000"/>
          <w:spacing w:val="0"/>
          <w:sz w:val="32"/>
          <w:szCs w:val="32"/>
          <w:shd w:val="clear" w:fill="FFFFFF"/>
        </w:rPr>
        <w:t>依法、及时、</w:t>
      </w:r>
      <w:r>
        <w:rPr>
          <w:rFonts w:hint="eastAsia" w:ascii="仿宋" w:hAnsi="仿宋" w:eastAsia="仿宋" w:cs="仿宋"/>
          <w:b w:val="0"/>
          <w:bCs w:val="0"/>
          <w:i w:val="0"/>
          <w:iCs w:val="0"/>
          <w:caps w:val="0"/>
          <w:color w:val="000000"/>
          <w:spacing w:val="0"/>
          <w:sz w:val="32"/>
          <w:szCs w:val="32"/>
          <w:shd w:val="clear" w:fill="FFFFFF"/>
          <w:lang w:val="en-US" w:eastAsia="zh-CN"/>
        </w:rPr>
        <w:t>高效</w:t>
      </w:r>
      <w:r>
        <w:rPr>
          <w:rFonts w:hint="eastAsia" w:ascii="仿宋" w:hAnsi="仿宋" w:eastAsia="仿宋" w:cs="仿宋"/>
          <w:b w:val="0"/>
          <w:bCs w:val="0"/>
          <w:i w:val="0"/>
          <w:iCs w:val="0"/>
          <w:caps w:val="0"/>
          <w:color w:val="000000"/>
          <w:spacing w:val="0"/>
          <w:sz w:val="32"/>
          <w:szCs w:val="32"/>
          <w:shd w:val="clear" w:fill="FFFFFF"/>
        </w:rPr>
        <w:t>地开展，</w:t>
      </w:r>
      <w:r>
        <w:rPr>
          <w:rFonts w:hint="eastAsia" w:ascii="仿宋" w:hAnsi="仿宋" w:eastAsia="仿宋" w:cs="仿宋"/>
          <w:b w:val="0"/>
          <w:bCs w:val="0"/>
          <w:i w:val="0"/>
          <w:iCs w:val="0"/>
          <w:caps w:val="0"/>
          <w:color w:val="000000"/>
          <w:spacing w:val="0"/>
          <w:sz w:val="32"/>
          <w:szCs w:val="32"/>
          <w:shd w:val="clear" w:fill="FFFFFF"/>
          <w:lang w:val="en-US" w:eastAsia="zh-CN"/>
        </w:rPr>
        <w:t>有力的</w:t>
      </w:r>
      <w:r>
        <w:rPr>
          <w:rFonts w:hint="eastAsia" w:ascii="仿宋" w:hAnsi="仿宋" w:eastAsia="仿宋" w:cs="仿宋"/>
          <w:b w:val="0"/>
          <w:bCs w:val="0"/>
          <w:i w:val="0"/>
          <w:iCs w:val="0"/>
          <w:caps w:val="0"/>
          <w:color w:val="000000"/>
          <w:spacing w:val="0"/>
          <w:sz w:val="32"/>
          <w:szCs w:val="32"/>
          <w:shd w:val="clear" w:fill="FFFFFF"/>
        </w:rPr>
        <w:t>保障</w:t>
      </w:r>
      <w:r>
        <w:rPr>
          <w:rFonts w:hint="eastAsia" w:ascii="仿宋" w:hAnsi="仿宋" w:eastAsia="仿宋" w:cs="仿宋"/>
          <w:b w:val="0"/>
          <w:bCs w:val="0"/>
          <w:i w:val="0"/>
          <w:iCs w:val="0"/>
          <w:caps w:val="0"/>
          <w:color w:val="000000"/>
          <w:spacing w:val="0"/>
          <w:sz w:val="32"/>
          <w:szCs w:val="32"/>
          <w:shd w:val="clear" w:fill="FFFFFF"/>
          <w:lang w:val="en-US" w:eastAsia="zh-CN"/>
        </w:rPr>
        <w:t>了</w:t>
      </w:r>
      <w:r>
        <w:rPr>
          <w:rFonts w:hint="eastAsia" w:ascii="仿宋" w:hAnsi="仿宋" w:eastAsia="仿宋" w:cs="仿宋"/>
          <w:b w:val="0"/>
          <w:bCs w:val="0"/>
          <w:i w:val="0"/>
          <w:iCs w:val="0"/>
          <w:caps w:val="0"/>
          <w:color w:val="000000"/>
          <w:spacing w:val="0"/>
          <w:sz w:val="32"/>
          <w:szCs w:val="32"/>
          <w:shd w:val="clear" w:fill="FFFFFF"/>
        </w:rPr>
        <w:t>人民群众的知情权，</w:t>
      </w:r>
      <w:r>
        <w:rPr>
          <w:rFonts w:hint="eastAsia" w:ascii="仿宋" w:hAnsi="仿宋" w:eastAsia="仿宋" w:cs="仿宋"/>
          <w:b w:val="0"/>
          <w:bCs w:val="0"/>
          <w:i w:val="0"/>
          <w:iCs w:val="0"/>
          <w:caps w:val="0"/>
          <w:color w:val="000000"/>
          <w:spacing w:val="0"/>
          <w:sz w:val="32"/>
          <w:szCs w:val="32"/>
          <w:shd w:val="clear" w:fill="FFFFFF"/>
          <w:lang w:val="en-US" w:eastAsia="zh-CN"/>
        </w:rPr>
        <w:t>打造服务型阳光政府</w:t>
      </w:r>
      <w:r>
        <w:rPr>
          <w:rFonts w:hint="eastAsia" w:ascii="仿宋" w:hAnsi="仿宋" w:eastAsia="仿宋" w:cs="仿宋"/>
          <w:b w:val="0"/>
          <w:bCs w:val="0"/>
          <w:i w:val="0"/>
          <w:iCs w:val="0"/>
          <w:caps w:val="0"/>
          <w:color w:val="000000"/>
          <w:spacing w:val="0"/>
          <w:sz w:val="32"/>
          <w:szCs w:val="32"/>
          <w:shd w:val="clear" w:fill="FFFFFF"/>
        </w:rPr>
        <w:t>。</w:t>
      </w:r>
    </w:p>
    <w:p>
      <w:pPr>
        <w:pStyle w:val="4"/>
        <w:spacing w:beforeAutospacing="0" w:afterAutospacing="0" w:line="560" w:lineRule="exact"/>
        <w:ind w:firstLine="640" w:firstLineChars="200"/>
        <w:jc w:val="both"/>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（一）202</w:t>
      </w:r>
      <w:r>
        <w:rPr>
          <w:rFonts w:hint="eastAsia" w:ascii="楷体" w:hAnsi="楷体" w:eastAsia="楷体" w:cs="楷体"/>
          <w:color w:val="000000"/>
          <w:sz w:val="32"/>
          <w:szCs w:val="32"/>
          <w:shd w:val="clear" w:color="auto" w:fill="FFFFFF"/>
          <w:lang w:val="en-US" w:eastAsia="zh-CN"/>
        </w:rPr>
        <w:t>2</w:t>
      </w:r>
      <w:r>
        <w:rPr>
          <w:rFonts w:ascii="楷体" w:hAnsi="楷体" w:eastAsia="楷体" w:cs="楷体"/>
          <w:color w:val="000000"/>
          <w:sz w:val="32"/>
          <w:szCs w:val="32"/>
          <w:shd w:val="clear" w:color="auto" w:fill="FFFFFF"/>
        </w:rPr>
        <w:t>年主动公开内容</w:t>
      </w:r>
    </w:p>
    <w:p>
      <w:pPr>
        <w:pStyle w:val="4"/>
        <w:shd w:val="clear" w:color="auto" w:fill="FFFFFF"/>
        <w:spacing w:beforeAutospacing="0" w:afterAutospacing="0" w:line="560" w:lineRule="exact"/>
        <w:ind w:firstLine="640" w:firstLineChars="200"/>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2</w:t>
      </w:r>
      <w:r>
        <w:rPr>
          <w:rFonts w:ascii="仿宋" w:hAnsi="仿宋" w:eastAsia="仿宋" w:cs="仿宋"/>
          <w:color w:val="auto"/>
          <w:sz w:val="32"/>
          <w:szCs w:val="32"/>
          <w:shd w:val="clear" w:color="auto" w:fill="FFFFFF"/>
        </w:rPr>
        <w:t>年主动公开信息共计</w:t>
      </w:r>
      <w:r>
        <w:rPr>
          <w:rFonts w:hint="eastAsia" w:ascii="仿宋" w:hAnsi="仿宋" w:eastAsia="仿宋" w:cs="仿宋"/>
          <w:color w:val="auto"/>
          <w:sz w:val="32"/>
          <w:szCs w:val="32"/>
          <w:shd w:val="clear" w:color="auto" w:fill="FFFFFF"/>
          <w:lang w:val="en-US" w:eastAsia="zh-CN"/>
        </w:rPr>
        <w:t>565</w:t>
      </w:r>
      <w:r>
        <w:rPr>
          <w:rFonts w:ascii="仿宋" w:hAnsi="仿宋" w:eastAsia="仿宋" w:cs="仿宋"/>
          <w:color w:val="auto"/>
          <w:sz w:val="32"/>
          <w:szCs w:val="32"/>
          <w:shd w:val="clear" w:color="auto" w:fill="FFFFFF"/>
        </w:rPr>
        <w:t>条，包含机构职能1条、政策文件</w:t>
      </w:r>
      <w:r>
        <w:rPr>
          <w:rFonts w:hint="eastAsia" w:ascii="仿宋" w:hAnsi="仿宋" w:eastAsia="仿宋" w:cs="仿宋"/>
          <w:color w:val="auto"/>
          <w:sz w:val="32"/>
          <w:szCs w:val="32"/>
          <w:shd w:val="clear" w:color="auto" w:fill="FFFFFF"/>
          <w:lang w:val="en-US" w:eastAsia="zh-CN"/>
        </w:rPr>
        <w:t>9</w:t>
      </w:r>
      <w:r>
        <w:rPr>
          <w:rFonts w:ascii="仿宋" w:hAnsi="仿宋" w:eastAsia="仿宋" w:cs="仿宋"/>
          <w:color w:val="auto"/>
          <w:sz w:val="32"/>
          <w:szCs w:val="32"/>
          <w:shd w:val="clear" w:color="auto" w:fill="FFFFFF"/>
        </w:rPr>
        <w:t>条、部门会议15条、规划计划</w:t>
      </w:r>
      <w:r>
        <w:rPr>
          <w:rFonts w:hint="eastAsia" w:ascii="仿宋" w:hAnsi="仿宋" w:eastAsia="仿宋" w:cs="仿宋"/>
          <w:color w:val="auto"/>
          <w:sz w:val="32"/>
          <w:szCs w:val="32"/>
          <w:shd w:val="clear" w:color="auto" w:fill="FFFFFF"/>
          <w:lang w:val="en-US" w:eastAsia="zh-CN"/>
        </w:rPr>
        <w:t>1</w:t>
      </w:r>
      <w:r>
        <w:rPr>
          <w:rFonts w:ascii="仿宋" w:hAnsi="仿宋" w:eastAsia="仿宋" w:cs="仿宋"/>
          <w:color w:val="auto"/>
          <w:sz w:val="32"/>
          <w:szCs w:val="32"/>
          <w:shd w:val="clear" w:color="auto" w:fill="FFFFFF"/>
        </w:rPr>
        <w:t>条、重大建设项目</w:t>
      </w:r>
      <w:r>
        <w:rPr>
          <w:rFonts w:hint="eastAsia" w:ascii="仿宋" w:hAnsi="仿宋" w:eastAsia="仿宋" w:cs="仿宋"/>
          <w:color w:val="auto"/>
          <w:sz w:val="32"/>
          <w:szCs w:val="32"/>
          <w:shd w:val="clear" w:color="auto" w:fill="FFFFFF"/>
          <w:lang w:val="en-US" w:eastAsia="zh-CN"/>
        </w:rPr>
        <w:t>26</w:t>
      </w:r>
      <w:r>
        <w:rPr>
          <w:rFonts w:ascii="仿宋" w:hAnsi="仿宋" w:eastAsia="仿宋" w:cs="仿宋"/>
          <w:color w:val="auto"/>
          <w:sz w:val="32"/>
          <w:szCs w:val="32"/>
          <w:shd w:val="clear" w:color="auto" w:fill="FFFFFF"/>
        </w:rPr>
        <w:t>条、民生公益</w:t>
      </w:r>
      <w:r>
        <w:rPr>
          <w:rFonts w:hint="eastAsia" w:ascii="仿宋" w:hAnsi="仿宋" w:eastAsia="仿宋" w:cs="仿宋"/>
          <w:color w:val="auto"/>
          <w:sz w:val="32"/>
          <w:szCs w:val="32"/>
          <w:shd w:val="clear" w:color="auto" w:fill="FFFFFF"/>
          <w:lang w:val="en-US" w:eastAsia="zh-CN"/>
        </w:rPr>
        <w:t>4</w:t>
      </w:r>
      <w:r>
        <w:rPr>
          <w:rFonts w:ascii="仿宋" w:hAnsi="仿宋" w:eastAsia="仿宋" w:cs="仿宋"/>
          <w:color w:val="auto"/>
          <w:sz w:val="32"/>
          <w:szCs w:val="32"/>
          <w:shd w:val="clear" w:color="auto" w:fill="FFFFFF"/>
        </w:rPr>
        <w:t>条、重要部署执行公开</w:t>
      </w:r>
      <w:r>
        <w:rPr>
          <w:rFonts w:hint="eastAsia" w:ascii="仿宋" w:hAnsi="仿宋" w:eastAsia="仿宋" w:cs="仿宋"/>
          <w:color w:val="auto"/>
          <w:sz w:val="32"/>
          <w:szCs w:val="32"/>
          <w:shd w:val="clear" w:color="auto" w:fill="FFFFFF"/>
          <w:lang w:val="en-US" w:eastAsia="zh-CN"/>
        </w:rPr>
        <w:t>23</w:t>
      </w:r>
      <w:r>
        <w:rPr>
          <w:rFonts w:ascii="仿宋" w:hAnsi="仿宋" w:eastAsia="仿宋" w:cs="仿宋"/>
          <w:color w:val="auto"/>
          <w:sz w:val="32"/>
          <w:szCs w:val="32"/>
          <w:shd w:val="clear" w:color="auto" w:fill="FFFFFF"/>
        </w:rPr>
        <w:t>条、管理和服务公开</w:t>
      </w:r>
      <w:r>
        <w:rPr>
          <w:rFonts w:hint="eastAsia" w:ascii="仿宋" w:hAnsi="仿宋" w:eastAsia="仿宋" w:cs="仿宋"/>
          <w:color w:val="auto"/>
          <w:sz w:val="32"/>
          <w:szCs w:val="32"/>
          <w:shd w:val="clear" w:color="auto" w:fill="FFFFFF"/>
          <w:lang w:val="en-US" w:eastAsia="zh-CN"/>
        </w:rPr>
        <w:t>447</w:t>
      </w:r>
      <w:r>
        <w:rPr>
          <w:rFonts w:ascii="仿宋" w:hAnsi="仿宋" w:eastAsia="仿宋" w:cs="仿宋"/>
          <w:color w:val="auto"/>
          <w:sz w:val="32"/>
          <w:szCs w:val="32"/>
          <w:shd w:val="clear" w:color="auto" w:fill="FFFFFF"/>
        </w:rPr>
        <w:t>条、业务工作</w:t>
      </w:r>
      <w:r>
        <w:rPr>
          <w:rFonts w:hint="eastAsia" w:ascii="仿宋" w:hAnsi="仿宋" w:eastAsia="仿宋" w:cs="仿宋"/>
          <w:color w:val="auto"/>
          <w:sz w:val="32"/>
          <w:szCs w:val="32"/>
          <w:shd w:val="clear" w:color="auto" w:fill="FFFFFF"/>
          <w:lang w:val="en-US" w:eastAsia="zh-CN"/>
        </w:rPr>
        <w:t>30</w:t>
      </w:r>
      <w:r>
        <w:rPr>
          <w:rFonts w:ascii="仿宋" w:hAnsi="仿宋" w:eastAsia="仿宋" w:cs="仿宋"/>
          <w:color w:val="auto"/>
          <w:sz w:val="32"/>
          <w:szCs w:val="32"/>
          <w:shd w:val="clear" w:color="auto" w:fill="FFFFFF"/>
        </w:rPr>
        <w:t>条、政府信息公开年度报告1条、政务公开保障机制1条、主动公开基本目录1条、基层政务公开标准化目录1条、其他</w:t>
      </w:r>
      <w:r>
        <w:rPr>
          <w:rFonts w:hint="eastAsia" w:ascii="仿宋" w:hAnsi="仿宋" w:eastAsia="仿宋" w:cs="仿宋"/>
          <w:color w:val="auto"/>
          <w:sz w:val="32"/>
          <w:szCs w:val="32"/>
          <w:shd w:val="clear" w:color="auto" w:fill="FFFFFF"/>
          <w:lang w:val="en-US" w:eastAsia="zh-CN"/>
        </w:rPr>
        <w:t>5</w:t>
      </w:r>
      <w:r>
        <w:rPr>
          <w:rFonts w:ascii="仿宋" w:hAnsi="仿宋" w:eastAsia="仿宋" w:cs="仿宋"/>
          <w:color w:val="auto"/>
          <w:sz w:val="32"/>
          <w:szCs w:val="32"/>
          <w:shd w:val="clear" w:color="auto" w:fill="FFFFFF"/>
        </w:rPr>
        <w:t>。</w:t>
      </w:r>
    </w:p>
    <w:p>
      <w:pPr>
        <w:pStyle w:val="4"/>
        <w:spacing w:beforeAutospacing="0" w:afterAutospacing="0" w:line="560" w:lineRule="exact"/>
        <w:ind w:firstLine="640" w:firstLineChars="200"/>
        <w:jc w:val="both"/>
        <w:rPr>
          <w:rFonts w:hint="default" w:ascii="楷体" w:hAnsi="楷体" w:eastAsia="楷体" w:cs="楷体"/>
          <w:color w:val="auto"/>
          <w:sz w:val="32"/>
          <w:szCs w:val="32"/>
          <w:shd w:val="clear" w:color="auto" w:fill="FFFFFF"/>
        </w:rPr>
      </w:pPr>
      <w:r>
        <w:rPr>
          <w:rFonts w:ascii="楷体" w:hAnsi="楷体" w:eastAsia="楷体" w:cs="楷体"/>
          <w:color w:val="auto"/>
          <w:sz w:val="32"/>
          <w:szCs w:val="32"/>
          <w:shd w:val="clear" w:color="auto" w:fill="FFFFFF"/>
        </w:rPr>
        <w:t>（二）202</w:t>
      </w:r>
      <w:r>
        <w:rPr>
          <w:rFonts w:hint="eastAsia" w:ascii="楷体" w:hAnsi="楷体" w:eastAsia="楷体" w:cs="楷体"/>
          <w:color w:val="auto"/>
          <w:sz w:val="32"/>
          <w:szCs w:val="32"/>
          <w:shd w:val="clear" w:color="auto" w:fill="FFFFFF"/>
          <w:lang w:val="en-US" w:eastAsia="zh-CN"/>
        </w:rPr>
        <w:t>2</w:t>
      </w:r>
      <w:r>
        <w:rPr>
          <w:rFonts w:ascii="楷体" w:hAnsi="楷体" w:eastAsia="楷体" w:cs="楷体"/>
          <w:color w:val="auto"/>
          <w:sz w:val="32"/>
          <w:szCs w:val="32"/>
          <w:shd w:val="clear" w:color="auto" w:fill="FFFFFF"/>
        </w:rPr>
        <w:t>年依申请公开情况</w:t>
      </w:r>
    </w:p>
    <w:p>
      <w:pPr>
        <w:pStyle w:val="4"/>
        <w:shd w:val="clear" w:color="auto" w:fill="FFFFFF"/>
        <w:spacing w:beforeAutospacing="0" w:afterAutospacing="0" w:line="560" w:lineRule="exact"/>
        <w:ind w:firstLine="640" w:firstLineChars="200"/>
        <w:rPr>
          <w:rFonts w:hint="default" w:ascii="仿宋" w:hAnsi="仿宋" w:eastAsia="仿宋" w:cs="仿宋"/>
          <w:color w:val="000000"/>
          <w:sz w:val="32"/>
          <w:szCs w:val="32"/>
          <w:shd w:val="clear" w:color="auto" w:fill="FFFFFF"/>
        </w:rPr>
      </w:pPr>
      <w:r>
        <w:rPr>
          <w:rFonts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2</w:t>
      </w:r>
      <w:r>
        <w:rPr>
          <w:rFonts w:ascii="仿宋" w:hAnsi="仿宋" w:eastAsia="仿宋" w:cs="仿宋"/>
          <w:color w:val="auto"/>
          <w:sz w:val="32"/>
          <w:szCs w:val="32"/>
          <w:shd w:val="clear" w:color="auto" w:fill="FFFFFF"/>
        </w:rPr>
        <w:t>年我局收到依申请公开</w:t>
      </w:r>
      <w:r>
        <w:rPr>
          <w:rFonts w:hint="eastAsia" w:ascii="仿宋" w:hAnsi="仿宋" w:eastAsia="仿宋" w:cs="仿宋"/>
          <w:color w:val="auto"/>
          <w:sz w:val="32"/>
          <w:szCs w:val="32"/>
          <w:shd w:val="clear" w:color="auto" w:fill="FFFFFF"/>
          <w:lang w:val="en-US" w:eastAsia="zh-CN"/>
        </w:rPr>
        <w:t>0</w:t>
      </w:r>
      <w:r>
        <w:rPr>
          <w:rFonts w:ascii="仿宋" w:hAnsi="仿宋" w:eastAsia="仿宋" w:cs="仿宋"/>
          <w:color w:val="auto"/>
          <w:sz w:val="32"/>
          <w:szCs w:val="32"/>
          <w:shd w:val="clear" w:color="auto" w:fill="FFFFFF"/>
        </w:rPr>
        <w:t>件。</w:t>
      </w:r>
    </w:p>
    <w:p>
      <w:pPr>
        <w:pStyle w:val="4"/>
        <w:shd w:val="clear" w:color="auto" w:fill="FFFFFF"/>
        <w:spacing w:beforeAutospacing="0" w:afterAutospacing="0" w:line="560" w:lineRule="exact"/>
        <w:ind w:firstLine="645"/>
        <w:jc w:val="both"/>
        <w:rPr>
          <w:rFonts w:hint="default"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（三）政府信息管理</w:t>
      </w:r>
    </w:p>
    <w:p>
      <w:pPr>
        <w:pStyle w:val="4"/>
        <w:shd w:val="clear" w:color="auto" w:fill="FFFFFF"/>
        <w:spacing w:beforeAutospacing="0" w:afterAutospacing="0" w:line="560" w:lineRule="exact"/>
        <w:ind w:firstLine="645"/>
        <w:jc w:val="both"/>
        <w:rPr>
          <w:rFonts w:hint="default" w:ascii="楷体" w:hAnsi="楷体" w:eastAsia="楷体" w:cs="楷体"/>
          <w:color w:val="000000"/>
          <w:sz w:val="32"/>
          <w:szCs w:val="32"/>
          <w:shd w:val="clear" w:color="auto" w:fill="FFFFFF"/>
        </w:rPr>
      </w:pPr>
      <w:r>
        <w:rPr>
          <w:rFonts w:hint="eastAsia" w:ascii="仿宋" w:hAnsi="仿宋" w:eastAsia="仿宋" w:cs="仿宋"/>
          <w:b w:val="0"/>
          <w:bCs w:val="0"/>
          <w:i w:val="0"/>
          <w:iCs w:val="0"/>
          <w:caps w:val="0"/>
          <w:color w:val="000000"/>
          <w:spacing w:val="0"/>
          <w:sz w:val="32"/>
          <w:szCs w:val="32"/>
          <w:shd w:val="clear" w:fill="FFFFFF"/>
        </w:rPr>
        <w:t>局办公室负责单位政务公开工作，确定专人负责政务公开工作，严格执行政务公开“先审查、后公开”保密审查制度，确保公开信息不泄密</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rPr>
        <w:br w:type="textWrapping"/>
      </w:r>
      <w:r>
        <w:rPr>
          <w:rFonts w:hint="eastAsia" w:ascii="仿宋_GB2312" w:eastAsia="仿宋_GB2312" w:cs="仿宋_GB2312"/>
          <w:b w:val="0"/>
          <w:bCs w:val="0"/>
          <w:i w:val="0"/>
          <w:iCs w:val="0"/>
          <w:caps w:val="0"/>
          <w:color w:val="000000"/>
          <w:spacing w:val="0"/>
          <w:sz w:val="32"/>
          <w:szCs w:val="32"/>
          <w:shd w:val="clear" w:fill="FFFFFF"/>
          <w:lang w:val="en-US" w:eastAsia="zh-CN"/>
        </w:rPr>
        <w:t xml:space="preserve">  </w:t>
      </w:r>
      <w:r>
        <w:rPr>
          <w:rFonts w:ascii="楷体" w:hAnsi="楷体" w:eastAsia="楷体" w:cs="楷体"/>
          <w:color w:val="000000"/>
          <w:sz w:val="32"/>
          <w:szCs w:val="32"/>
          <w:shd w:val="clear" w:color="auto" w:fill="FFFFFF"/>
        </w:rPr>
        <w:t>（四）政府信息公开平台建设。</w:t>
      </w:r>
    </w:p>
    <w:p>
      <w:pPr>
        <w:spacing w:line="560" w:lineRule="exact"/>
        <w:ind w:firstLine="640" w:firstLineChars="200"/>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一是在临淄区政府网站设立临淄区</w:t>
      </w:r>
      <w:r>
        <w:rPr>
          <w:rFonts w:hint="eastAsia" w:ascii="仿宋" w:hAnsi="仿宋" w:eastAsia="仿宋" w:cs="仿宋"/>
          <w:b w:val="0"/>
          <w:bCs w:val="0"/>
          <w:i w:val="0"/>
          <w:iCs w:val="0"/>
          <w:caps w:val="0"/>
          <w:color w:val="000000"/>
          <w:spacing w:val="0"/>
          <w:sz w:val="32"/>
          <w:szCs w:val="32"/>
          <w:shd w:val="clear" w:fill="FFFFFF"/>
          <w:lang w:val="en-US" w:eastAsia="zh-CN"/>
        </w:rPr>
        <w:t>行政审批服务</w:t>
      </w:r>
      <w:r>
        <w:rPr>
          <w:rFonts w:hint="eastAsia" w:ascii="仿宋" w:hAnsi="仿宋" w:eastAsia="仿宋" w:cs="仿宋"/>
          <w:b w:val="0"/>
          <w:bCs w:val="0"/>
          <w:i w:val="0"/>
          <w:iCs w:val="0"/>
          <w:caps w:val="0"/>
          <w:color w:val="000000"/>
          <w:spacing w:val="0"/>
          <w:sz w:val="32"/>
          <w:szCs w:val="32"/>
          <w:shd w:val="clear" w:fill="FFFFFF"/>
        </w:rPr>
        <w:t>局政府信息公开专栏；</w:t>
      </w:r>
    </w:p>
    <w:p>
      <w:pPr>
        <w:spacing w:line="560" w:lineRule="exact"/>
        <w:ind w:firstLine="640" w:firstLineChars="200"/>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二是充分利用</w:t>
      </w:r>
      <w:r>
        <w:rPr>
          <w:rFonts w:hint="eastAsia" w:ascii="仿宋" w:hAnsi="仿宋" w:eastAsia="仿宋" w:cs="仿宋"/>
          <w:b w:val="0"/>
          <w:bCs w:val="0"/>
          <w:i w:val="0"/>
          <w:iCs w:val="0"/>
          <w:caps w:val="0"/>
          <w:color w:val="000000"/>
          <w:spacing w:val="0"/>
          <w:sz w:val="32"/>
          <w:szCs w:val="32"/>
          <w:shd w:val="clear" w:fill="FFFFFF"/>
          <w:lang w:val="en-US" w:eastAsia="zh-CN"/>
        </w:rPr>
        <w:t>多种</w:t>
      </w:r>
      <w:r>
        <w:rPr>
          <w:rFonts w:hint="eastAsia" w:ascii="仿宋" w:hAnsi="仿宋" w:eastAsia="仿宋" w:cs="仿宋"/>
          <w:b w:val="0"/>
          <w:bCs w:val="0"/>
          <w:i w:val="0"/>
          <w:iCs w:val="0"/>
          <w:caps w:val="0"/>
          <w:color w:val="000000"/>
          <w:spacing w:val="0"/>
          <w:sz w:val="32"/>
          <w:szCs w:val="32"/>
          <w:shd w:val="clear" w:fill="FFFFFF"/>
        </w:rPr>
        <w:t>新媒体开展信息公开工作，在“临淄</w:t>
      </w:r>
      <w:r>
        <w:rPr>
          <w:rFonts w:hint="eastAsia" w:ascii="仿宋" w:hAnsi="仿宋" w:eastAsia="仿宋" w:cs="仿宋"/>
          <w:b w:val="0"/>
          <w:bCs w:val="0"/>
          <w:i w:val="0"/>
          <w:iCs w:val="0"/>
          <w:caps w:val="0"/>
          <w:color w:val="000000"/>
          <w:spacing w:val="0"/>
          <w:sz w:val="32"/>
          <w:szCs w:val="32"/>
          <w:shd w:val="clear" w:fill="FFFFFF"/>
          <w:lang w:val="en-US" w:eastAsia="zh-CN"/>
        </w:rPr>
        <w:t>审批服务</w:t>
      </w:r>
      <w:r>
        <w:rPr>
          <w:rFonts w:hint="eastAsia" w:ascii="仿宋" w:hAnsi="仿宋" w:eastAsia="仿宋" w:cs="仿宋"/>
          <w:b w:val="0"/>
          <w:bCs w:val="0"/>
          <w:i w:val="0"/>
          <w:iCs w:val="0"/>
          <w:caps w:val="0"/>
          <w:color w:val="000000"/>
          <w:spacing w:val="0"/>
          <w:sz w:val="32"/>
          <w:szCs w:val="32"/>
          <w:shd w:val="clear" w:fill="FFFFFF"/>
        </w:rPr>
        <w:t>”微信公众号</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视频号、抖音号</w:t>
      </w:r>
      <w:r>
        <w:rPr>
          <w:rFonts w:hint="eastAsia" w:ascii="仿宋" w:hAnsi="仿宋" w:eastAsia="仿宋" w:cs="仿宋"/>
          <w:b w:val="0"/>
          <w:bCs w:val="0"/>
          <w:i w:val="0"/>
          <w:iCs w:val="0"/>
          <w:caps w:val="0"/>
          <w:color w:val="000000"/>
          <w:spacing w:val="0"/>
          <w:sz w:val="32"/>
          <w:szCs w:val="32"/>
          <w:shd w:val="clear" w:fill="FFFFFF"/>
        </w:rPr>
        <w:t>上及时发布相关</w:t>
      </w:r>
      <w:r>
        <w:rPr>
          <w:rFonts w:hint="eastAsia" w:ascii="仿宋" w:hAnsi="仿宋" w:eastAsia="仿宋" w:cs="仿宋"/>
          <w:b w:val="0"/>
          <w:bCs w:val="0"/>
          <w:i w:val="0"/>
          <w:iCs w:val="0"/>
          <w:caps w:val="0"/>
          <w:color w:val="000000"/>
          <w:spacing w:val="0"/>
          <w:sz w:val="32"/>
          <w:szCs w:val="32"/>
          <w:shd w:val="clear" w:fill="FFFFFF"/>
          <w:lang w:val="en-US" w:eastAsia="zh-CN"/>
        </w:rPr>
        <w:t>政府</w:t>
      </w:r>
      <w:r>
        <w:rPr>
          <w:rFonts w:hint="eastAsia" w:ascii="仿宋" w:hAnsi="仿宋" w:eastAsia="仿宋" w:cs="仿宋"/>
          <w:b w:val="0"/>
          <w:bCs w:val="0"/>
          <w:i w:val="0"/>
          <w:iCs w:val="0"/>
          <w:caps w:val="0"/>
          <w:color w:val="000000"/>
          <w:spacing w:val="0"/>
          <w:sz w:val="32"/>
          <w:szCs w:val="32"/>
          <w:shd w:val="clear" w:fill="FFFFFF"/>
        </w:rPr>
        <w:t>信息，</w:t>
      </w:r>
      <w:r>
        <w:rPr>
          <w:rFonts w:hint="eastAsia" w:ascii="仿宋" w:hAnsi="仿宋" w:eastAsia="仿宋" w:cs="仿宋"/>
          <w:b w:val="0"/>
          <w:bCs w:val="0"/>
          <w:i w:val="0"/>
          <w:iCs w:val="0"/>
          <w:caps w:val="0"/>
          <w:color w:val="000000"/>
          <w:spacing w:val="0"/>
          <w:sz w:val="32"/>
          <w:szCs w:val="32"/>
          <w:shd w:val="clear" w:fill="FFFFFF"/>
          <w:lang w:val="en-US" w:eastAsia="zh-CN"/>
        </w:rPr>
        <w:t>提升政务公开信息传播的广度，</w:t>
      </w:r>
      <w:r>
        <w:rPr>
          <w:rFonts w:hint="eastAsia" w:ascii="仿宋" w:hAnsi="仿宋" w:eastAsia="仿宋" w:cs="仿宋"/>
          <w:b w:val="0"/>
          <w:bCs w:val="0"/>
          <w:i w:val="0"/>
          <w:iCs w:val="0"/>
          <w:caps w:val="0"/>
          <w:color w:val="000000"/>
          <w:spacing w:val="0"/>
          <w:sz w:val="32"/>
          <w:szCs w:val="32"/>
          <w:shd w:val="clear" w:fill="FFFFFF"/>
        </w:rPr>
        <w:t>加强政务新媒体平台的建设。</w:t>
      </w:r>
    </w:p>
    <w:p>
      <w:pPr>
        <w:spacing w:line="560" w:lineRule="exact"/>
        <w:ind w:firstLine="640" w:firstLineChars="200"/>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（五）监督保障</w:t>
      </w:r>
    </w:p>
    <w:p>
      <w:pPr>
        <w:pStyle w:val="4"/>
        <w:shd w:val="clear" w:color="auto" w:fill="FFFFFF"/>
        <w:spacing w:beforeAutospacing="0" w:afterAutospacing="0"/>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sz w:val="32"/>
          <w:szCs w:val="32"/>
          <w:shd w:val="clear" w:color="auto" w:fill="FFFFFF"/>
          <w:lang w:val="en-US" w:eastAsia="zh-CN"/>
        </w:rPr>
        <w:t>我局</w:t>
      </w:r>
      <w:r>
        <w:rPr>
          <w:rFonts w:hint="eastAsia" w:ascii="仿宋" w:hAnsi="仿宋" w:eastAsia="仿宋" w:cs="仿宋"/>
          <w:sz w:val="32"/>
          <w:szCs w:val="32"/>
          <w:shd w:val="clear" w:color="auto" w:fill="FFFFFF"/>
        </w:rPr>
        <w:t>由主要领导担任组长，</w:t>
      </w:r>
      <w:r>
        <w:rPr>
          <w:rFonts w:hint="eastAsia" w:ascii="仿宋" w:hAnsi="仿宋" w:eastAsia="仿宋" w:cs="仿宋"/>
          <w:sz w:val="32"/>
          <w:szCs w:val="32"/>
          <w:shd w:val="clear" w:color="auto" w:fill="FFFFFF"/>
          <w:lang w:val="en-US" w:eastAsia="zh-CN"/>
        </w:rPr>
        <w:t>分管领导任副组长，</w:t>
      </w:r>
      <w:r>
        <w:rPr>
          <w:rFonts w:hint="eastAsia" w:ascii="仿宋" w:hAnsi="仿宋" w:eastAsia="仿宋" w:cs="仿宋"/>
          <w:sz w:val="32"/>
          <w:szCs w:val="32"/>
          <w:shd w:val="clear" w:color="auto" w:fill="FFFFFF"/>
        </w:rPr>
        <w:t>领导小组办公室设在局办公室，</w:t>
      </w:r>
      <w:r>
        <w:rPr>
          <w:rFonts w:hint="eastAsia" w:ascii="仿宋" w:hAnsi="仿宋" w:eastAsia="仿宋" w:cs="仿宋"/>
          <w:sz w:val="32"/>
          <w:szCs w:val="32"/>
          <w:shd w:val="clear" w:color="auto" w:fill="FFFFFF"/>
          <w:lang w:val="en-US" w:eastAsia="zh-CN"/>
        </w:rPr>
        <w:t>由</w:t>
      </w:r>
      <w:r>
        <w:rPr>
          <w:rFonts w:hint="eastAsia" w:ascii="仿宋" w:hAnsi="仿宋" w:eastAsia="仿宋" w:cs="仿宋"/>
          <w:b w:val="0"/>
          <w:bCs w:val="0"/>
          <w:i w:val="0"/>
          <w:iCs w:val="0"/>
          <w:caps w:val="0"/>
          <w:color w:val="000000"/>
          <w:spacing w:val="0"/>
          <w:sz w:val="32"/>
          <w:szCs w:val="32"/>
          <w:shd w:val="clear" w:fill="FFFFFF"/>
        </w:rPr>
        <w:t>局办公室具体负责政府信息公开工作的开展</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并且</w:t>
      </w:r>
      <w:r>
        <w:rPr>
          <w:rFonts w:hint="eastAsia" w:ascii="仿宋" w:hAnsi="仿宋" w:eastAsia="仿宋" w:cs="仿宋"/>
          <w:sz w:val="32"/>
          <w:szCs w:val="32"/>
          <w:shd w:val="clear" w:color="auto" w:fill="FFFFFF"/>
        </w:rPr>
        <w:t>配备</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名同志</w:t>
      </w:r>
      <w:r>
        <w:rPr>
          <w:rFonts w:hint="eastAsia" w:ascii="仿宋" w:hAnsi="仿宋" w:eastAsia="仿宋" w:cs="仿宋"/>
          <w:sz w:val="32"/>
          <w:szCs w:val="32"/>
          <w:shd w:val="clear" w:color="auto" w:fill="FFFFFF"/>
          <w:lang w:val="en-US" w:eastAsia="zh-CN"/>
        </w:rPr>
        <w:t>专门</w:t>
      </w:r>
      <w:r>
        <w:rPr>
          <w:rFonts w:hint="eastAsia" w:ascii="仿宋" w:hAnsi="仿宋" w:eastAsia="仿宋" w:cs="仿宋"/>
          <w:sz w:val="32"/>
          <w:szCs w:val="32"/>
          <w:shd w:val="clear" w:color="auto" w:fill="FFFFFF"/>
        </w:rPr>
        <w:t>负责政务公开工作</w:t>
      </w:r>
      <w:r>
        <w:rPr>
          <w:rFonts w:hint="eastAsia" w:ascii="仿宋" w:hAnsi="仿宋" w:eastAsia="仿宋" w:cs="仿宋"/>
          <w:b w:val="0"/>
          <w:bCs w:val="0"/>
          <w:i w:val="0"/>
          <w:iCs w:val="0"/>
          <w:caps w:val="0"/>
          <w:color w:val="000000"/>
          <w:spacing w:val="0"/>
          <w:sz w:val="32"/>
          <w:szCs w:val="32"/>
          <w:shd w:val="clear" w:fill="FFFFFF"/>
        </w:rPr>
        <w:t>。同时将政府信息公开工作纳入年底考核，根据</w:t>
      </w:r>
      <w:r>
        <w:rPr>
          <w:rFonts w:hint="eastAsia" w:ascii="仿宋" w:hAnsi="仿宋" w:eastAsia="仿宋" w:cs="仿宋"/>
          <w:b w:val="0"/>
          <w:bCs w:val="0"/>
          <w:i w:val="0"/>
          <w:iCs w:val="0"/>
          <w:caps w:val="0"/>
          <w:color w:val="000000"/>
          <w:spacing w:val="0"/>
          <w:sz w:val="32"/>
          <w:szCs w:val="32"/>
          <w:shd w:val="clear" w:fill="FFFFFF"/>
          <w:lang w:val="en-US" w:eastAsia="zh-CN"/>
        </w:rPr>
        <w:t>平时</w:t>
      </w:r>
      <w:r>
        <w:rPr>
          <w:rFonts w:hint="eastAsia" w:ascii="仿宋" w:hAnsi="仿宋" w:eastAsia="仿宋" w:cs="仿宋"/>
          <w:b w:val="0"/>
          <w:bCs w:val="0"/>
          <w:i w:val="0"/>
          <w:iCs w:val="0"/>
          <w:caps w:val="0"/>
          <w:color w:val="000000"/>
          <w:spacing w:val="0"/>
          <w:sz w:val="32"/>
          <w:szCs w:val="32"/>
          <w:shd w:val="clear" w:fill="FFFFFF"/>
        </w:rPr>
        <w:t>公开情况及应诉复议结果对各科室综合打分，保障信息公</w:t>
      </w:r>
      <w:r>
        <w:rPr>
          <w:rFonts w:hint="eastAsia" w:ascii="仿宋" w:hAnsi="仿宋" w:eastAsia="仿宋" w:cs="仿宋"/>
          <w:b w:val="0"/>
          <w:bCs w:val="0"/>
          <w:i w:val="0"/>
          <w:iCs w:val="0"/>
          <w:caps w:val="0"/>
          <w:color w:val="000000"/>
          <w:spacing w:val="0"/>
          <w:sz w:val="32"/>
          <w:szCs w:val="32"/>
          <w:shd w:val="clear" w:fill="FFFFFF"/>
          <w:lang w:val="en-US" w:eastAsia="zh-CN"/>
        </w:rPr>
        <w:t>开工作落地落</w:t>
      </w:r>
      <w:r>
        <w:rPr>
          <w:rFonts w:hint="eastAsia" w:ascii="仿宋" w:hAnsi="仿宋" w:eastAsia="仿宋" w:cs="仿宋"/>
          <w:b w:val="0"/>
          <w:bCs w:val="0"/>
          <w:i w:val="0"/>
          <w:iCs w:val="0"/>
          <w:caps w:val="0"/>
          <w:color w:val="000000"/>
          <w:spacing w:val="0"/>
          <w:sz w:val="32"/>
          <w:szCs w:val="32"/>
          <w:shd w:val="clear" w:fill="FFFFFF"/>
        </w:rPr>
        <w:t>。</w:t>
      </w:r>
    </w:p>
    <w:p>
      <w:pPr>
        <w:spacing w:line="560" w:lineRule="exact"/>
        <w:ind w:firstLine="648"/>
        <w:rPr>
          <w:rFonts w:ascii="宋体" w:hAnsi="宋体" w:eastAsia="宋体" w:cs="宋体"/>
          <w:kern w:val="0"/>
          <w:szCs w:val="21"/>
        </w:rPr>
      </w:pPr>
      <w:r>
        <w:rPr>
          <w:rFonts w:hint="eastAsia" w:ascii="黑体" w:hAnsi="黑体" w:eastAsia="黑体"/>
          <w:sz w:val="32"/>
          <w:szCs w:val="32"/>
        </w:rPr>
        <w:t>二、主动公开政府信息情况</w:t>
      </w:r>
    </w:p>
    <w:tbl>
      <w:tblPr>
        <w:tblStyle w:val="11"/>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line="560" w:lineRule="exact"/>
              <w:ind w:left="-1" w:right="1"/>
              <w:jc w:val="center"/>
              <w:rPr>
                <w:lang w:eastAsia="en-US"/>
              </w:rPr>
            </w:pPr>
            <w:r>
              <w:rPr>
                <w:lang w:eastAsia="en-US"/>
              </w:rPr>
              <w:t>第二十条</w:t>
            </w:r>
            <w:r>
              <w:rPr>
                <w:lang w:eastAsia="en-US"/>
              </w:rPr>
              <w:tab/>
            </w:r>
            <w:r>
              <w:rPr>
                <w:lang w:eastAsia="en-US"/>
              </w:rPr>
              <w:t>第 （一</w:t>
            </w:r>
            <w:r>
              <w:rPr>
                <w:rFonts w:hint="eastAsia"/>
                <w:lang w:eastAsia="en-US"/>
              </w:rPr>
              <w:t>）</w:t>
            </w:r>
            <w:r>
              <w:rPr>
                <w:lang w:eastAsia="en-US"/>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line="560" w:lineRule="exact"/>
              <w:ind w:right="27"/>
              <w:jc w:val="center"/>
              <w:rPr>
                <w:lang w:eastAsia="en-US"/>
              </w:rPr>
            </w:pPr>
            <w:r>
              <w:rPr>
                <w:lang w:eastAsia="en-US"/>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line="560" w:lineRule="exact"/>
              <w:ind w:left="216"/>
              <w:jc w:val="center"/>
              <w:rPr>
                <w:lang w:eastAsia="en-US"/>
              </w:rPr>
            </w:pPr>
            <w:r>
              <w:rPr>
                <w:lang w:eastAsia="en-US"/>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line="560" w:lineRule="exact"/>
              <w:ind w:left="275"/>
              <w:jc w:val="center"/>
              <w:rPr>
                <w:lang w:eastAsia="en-US"/>
              </w:rPr>
            </w:pPr>
            <w:r>
              <w:rPr>
                <w:lang w:eastAsia="en-US"/>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line="560" w:lineRule="exact"/>
              <w:jc w:val="center"/>
              <w:rPr>
                <w:lang w:eastAsia="en-US"/>
              </w:rPr>
            </w:pPr>
            <w:r>
              <w:rPr>
                <w:lang w:eastAsia="en-US"/>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line="560" w:lineRule="exact"/>
              <w:ind w:left="93"/>
              <w:jc w:val="center"/>
              <w:rPr>
                <w:lang w:eastAsia="en-US"/>
              </w:rPr>
            </w:pPr>
            <w:r>
              <w:rPr>
                <w:lang w:eastAsia="en-US"/>
              </w:rPr>
              <w:t>规章</w:t>
            </w:r>
          </w:p>
        </w:tc>
        <w:tc>
          <w:tcPr>
            <w:tcW w:w="1686" w:type="dxa"/>
            <w:tcBorders>
              <w:top w:val="single" w:color="707790" w:sz="4" w:space="0"/>
              <w:left w:val="single" w:color="97979C" w:sz="4" w:space="0"/>
              <w:bottom w:val="single" w:color="747487" w:sz="4" w:space="0"/>
              <w:right w:val="single" w:color="939397" w:sz="4" w:space="0"/>
            </w:tcBorders>
          </w:tcPr>
          <w:p>
            <w:pPr>
              <w:spacing w:line="560" w:lineRule="exact"/>
              <w:jc w:val="center"/>
              <w:rPr>
                <w:lang w:eastAsia="en-US"/>
              </w:rPr>
            </w:pPr>
            <w:r>
              <w:rPr>
                <w:rFonts w:hint="eastAsia"/>
                <w:lang w:eastAsia="en-US"/>
              </w:rPr>
              <w:t>0</w:t>
            </w:r>
          </w:p>
        </w:tc>
        <w:tc>
          <w:tcPr>
            <w:tcW w:w="1803" w:type="dxa"/>
            <w:tcBorders>
              <w:top w:val="single" w:color="835B67" w:sz="4" w:space="0"/>
              <w:left w:val="single" w:color="939397" w:sz="4" w:space="0"/>
              <w:bottom w:val="single" w:color="546080" w:sz="2" w:space="0"/>
              <w:right w:val="single" w:color="97939C" w:sz="4" w:space="0"/>
            </w:tcBorders>
          </w:tcPr>
          <w:p>
            <w:pPr>
              <w:spacing w:line="560" w:lineRule="exact"/>
              <w:jc w:val="center"/>
              <w:rPr>
                <w:lang w:eastAsia="en-US"/>
              </w:rPr>
            </w:pPr>
            <w:r>
              <w:rPr>
                <w:rFonts w:hint="eastAsia"/>
                <w:lang w:eastAsia="en-US"/>
              </w:rPr>
              <w:t>0</w:t>
            </w:r>
          </w:p>
        </w:tc>
        <w:tc>
          <w:tcPr>
            <w:tcW w:w="1351" w:type="dxa"/>
            <w:tcBorders>
              <w:top w:val="single" w:color="835B67" w:sz="4" w:space="0"/>
              <w:left w:val="single" w:color="97939C" w:sz="4" w:space="0"/>
              <w:bottom w:val="single" w:color="74778C" w:sz="4" w:space="0"/>
              <w:right w:val="single" w:color="3B3B3F" w:sz="8" w:space="0"/>
            </w:tcBorders>
          </w:tcPr>
          <w:p>
            <w:pPr>
              <w:spacing w:line="560" w:lineRule="exact"/>
              <w:jc w:val="center"/>
              <w:rPr>
                <w:lang w:eastAsia="en-US"/>
              </w:rPr>
            </w:pPr>
            <w:r>
              <w:rPr>
                <w:rFonts w:hint="eastAsia"/>
                <w:lang w:eastAsia="en-US"/>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line="560" w:lineRule="exact"/>
              <w:ind w:left="93"/>
              <w:jc w:val="center"/>
              <w:rPr>
                <w:lang w:eastAsia="en-US"/>
              </w:rPr>
            </w:pPr>
            <w:r>
              <w:rPr>
                <w:lang w:eastAsia="en-US"/>
              </w:rPr>
              <w:t>行政规范性文件</w:t>
            </w:r>
          </w:p>
        </w:tc>
        <w:tc>
          <w:tcPr>
            <w:tcW w:w="1686" w:type="dxa"/>
            <w:tcBorders>
              <w:top w:val="single" w:color="747487" w:sz="4" w:space="0"/>
              <w:left w:val="single" w:color="97979C" w:sz="4" w:space="0"/>
              <w:bottom w:val="single" w:color="5B6080" w:sz="4" w:space="0"/>
              <w:right w:val="single" w:color="939397" w:sz="4" w:space="0"/>
            </w:tcBorders>
          </w:tcPr>
          <w:p>
            <w:pPr>
              <w:spacing w:line="560" w:lineRule="exact"/>
              <w:jc w:val="center"/>
              <w:rPr>
                <w:lang w:eastAsia="en-US"/>
              </w:rPr>
            </w:pPr>
            <w:r>
              <w:rPr>
                <w:rFonts w:hint="eastAsia"/>
                <w:lang w:eastAsia="en-US"/>
              </w:rPr>
              <w:t>0</w:t>
            </w:r>
          </w:p>
        </w:tc>
        <w:tc>
          <w:tcPr>
            <w:tcW w:w="1803" w:type="dxa"/>
            <w:tcBorders>
              <w:top w:val="single" w:color="546080" w:sz="2" w:space="0"/>
              <w:left w:val="single" w:color="939397" w:sz="4" w:space="0"/>
              <w:bottom w:val="single" w:color="5B6080" w:sz="4" w:space="0"/>
              <w:right w:val="single" w:color="97939C" w:sz="4" w:space="0"/>
            </w:tcBorders>
          </w:tcPr>
          <w:p>
            <w:pPr>
              <w:spacing w:line="560" w:lineRule="exact"/>
              <w:jc w:val="center"/>
              <w:rPr>
                <w:lang w:eastAsia="en-US"/>
              </w:rPr>
            </w:pPr>
            <w:r>
              <w:rPr>
                <w:rFonts w:hint="eastAsia"/>
                <w:lang w:eastAsia="en-US"/>
              </w:rPr>
              <w:t>0</w:t>
            </w:r>
          </w:p>
        </w:tc>
        <w:tc>
          <w:tcPr>
            <w:tcW w:w="1351" w:type="dxa"/>
            <w:tcBorders>
              <w:top w:val="single" w:color="74778C" w:sz="4" w:space="0"/>
              <w:left w:val="single" w:color="97939C" w:sz="4" w:space="0"/>
              <w:bottom w:val="single" w:color="5B6080" w:sz="4" w:space="0"/>
              <w:right w:val="single" w:color="3B3B3F" w:sz="8" w:space="0"/>
            </w:tcBorders>
          </w:tcPr>
          <w:p>
            <w:pPr>
              <w:spacing w:line="560" w:lineRule="exact"/>
              <w:jc w:val="center"/>
              <w:rPr>
                <w:lang w:eastAsia="en-US"/>
              </w:rPr>
            </w:pPr>
            <w:r>
              <w:rPr>
                <w:rFonts w:hint="eastAsia"/>
                <w:lang w:eastAsia="en-US"/>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line="560" w:lineRule="exact"/>
              <w:ind w:left="5"/>
              <w:jc w:val="center"/>
              <w:rPr>
                <w:lang w:eastAsia="en-US"/>
              </w:rPr>
            </w:pPr>
            <w:r>
              <w:rPr>
                <w:lang w:eastAsia="en-US"/>
              </w:rPr>
              <w:t>第二十条</w:t>
            </w:r>
            <w:r>
              <w:rPr>
                <w:lang w:eastAsia="en-US"/>
              </w:rPr>
              <w:tab/>
            </w:r>
            <w:r>
              <w:rPr>
                <w:lang w:eastAsia="en-US"/>
              </w:rPr>
              <w:t>第 （五</w:t>
            </w:r>
            <w:r>
              <w:rPr>
                <w:rFonts w:hint="eastAsia"/>
                <w:lang w:eastAsia="en-US"/>
              </w:rPr>
              <w:t>）</w:t>
            </w:r>
            <w:r>
              <w:rPr>
                <w:lang w:eastAsia="en-US"/>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line="560" w:lineRule="exact"/>
              <w:ind w:right="17"/>
              <w:jc w:val="center"/>
              <w:rPr>
                <w:lang w:eastAsia="en-US"/>
              </w:rPr>
            </w:pPr>
            <w:r>
              <w:rPr>
                <w:lang w:eastAsia="en-US"/>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line="560" w:lineRule="exact"/>
              <w:ind w:right="16"/>
              <w:jc w:val="center"/>
              <w:rPr>
                <w:lang w:eastAsia="en-US"/>
              </w:rPr>
            </w:pPr>
            <w:r>
              <w:rPr>
                <w:lang w:eastAsia="en-US"/>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line="560" w:lineRule="exact"/>
              <w:ind w:left="98"/>
              <w:jc w:val="center"/>
              <w:rPr>
                <w:lang w:eastAsia="en-US"/>
              </w:rPr>
            </w:pPr>
            <w:r>
              <w:rPr>
                <w:lang w:eastAsia="en-US"/>
              </w:rPr>
              <w:t>行政许可</w:t>
            </w:r>
          </w:p>
        </w:tc>
        <w:tc>
          <w:tcPr>
            <w:tcW w:w="4840" w:type="dxa"/>
            <w:gridSpan w:val="3"/>
            <w:tcBorders>
              <w:top w:val="single" w:color="7C7474" w:sz="4" w:space="0"/>
              <w:left w:val="single" w:color="878787" w:sz="4" w:space="0"/>
              <w:bottom w:val="single" w:color="646487" w:sz="4" w:space="0"/>
              <w:right w:val="single" w:color="3B3B3F" w:sz="8" w:space="0"/>
            </w:tcBorders>
          </w:tcPr>
          <w:p>
            <w:pPr>
              <w:spacing w:line="560" w:lineRule="exact"/>
              <w:jc w:val="center"/>
              <w:rPr>
                <w:rFonts w:hint="default" w:eastAsiaTheme="minorEastAsia"/>
                <w:lang w:val="en-US" w:eastAsia="zh-CN"/>
              </w:rPr>
            </w:pPr>
            <w:r>
              <w:rPr>
                <w:rFonts w:hint="eastAsia"/>
                <w:lang w:val="en-US" w:eastAsia="zh-CN"/>
              </w:rPr>
              <w:t>23269</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line="560" w:lineRule="exact"/>
              <w:ind w:left="15"/>
              <w:jc w:val="center"/>
              <w:rPr>
                <w:lang w:eastAsia="en-US"/>
              </w:rPr>
            </w:pPr>
            <w:r>
              <w:rPr>
                <w:lang w:eastAsia="en-US"/>
              </w:rPr>
              <w:t>第二十条</w:t>
            </w:r>
            <w:r>
              <w:rPr>
                <w:lang w:eastAsia="en-US"/>
              </w:rPr>
              <w:tab/>
            </w:r>
            <w:r>
              <w:rPr>
                <w:lang w:eastAsia="en-US"/>
              </w:rPr>
              <w:t>第 （六</w:t>
            </w:r>
            <w:r>
              <w:rPr>
                <w:rFonts w:hint="eastAsia"/>
                <w:lang w:eastAsia="en-US"/>
              </w:rPr>
              <w:t>）</w:t>
            </w:r>
            <w:r>
              <w:rPr>
                <w:lang w:eastAsia="en-US"/>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line="560" w:lineRule="exact"/>
              <w:ind w:right="8"/>
              <w:jc w:val="center"/>
              <w:rPr>
                <w:lang w:eastAsia="en-US"/>
              </w:rPr>
            </w:pPr>
            <w:r>
              <w:rPr>
                <w:lang w:eastAsia="en-US"/>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line="560" w:lineRule="exact"/>
              <w:ind w:right="13"/>
              <w:jc w:val="center"/>
              <w:rPr>
                <w:lang w:eastAsia="en-US"/>
              </w:rPr>
            </w:pPr>
            <w:r>
              <w:rPr>
                <w:lang w:eastAsia="en-US"/>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line="560" w:lineRule="exact"/>
              <w:ind w:left="102"/>
              <w:jc w:val="center"/>
              <w:rPr>
                <w:lang w:eastAsia="en-US"/>
              </w:rPr>
            </w:pPr>
            <w:r>
              <w:rPr>
                <w:lang w:eastAsia="en-US"/>
              </w:rPr>
              <w:t>行政处罚</w:t>
            </w:r>
          </w:p>
        </w:tc>
        <w:tc>
          <w:tcPr>
            <w:tcW w:w="4840" w:type="dxa"/>
            <w:gridSpan w:val="3"/>
            <w:tcBorders>
              <w:top w:val="single" w:color="747074" w:sz="4" w:space="0"/>
              <w:left w:val="single" w:color="909093" w:sz="4" w:space="0"/>
              <w:bottom w:val="single" w:color="7C6B74" w:sz="4" w:space="0"/>
              <w:right w:val="single" w:color="3B3B3F" w:sz="8" w:space="0"/>
            </w:tcBorders>
          </w:tcPr>
          <w:p>
            <w:pPr>
              <w:spacing w:line="560" w:lineRule="exact"/>
              <w:jc w:val="center"/>
              <w:rPr>
                <w:lang w:eastAsia="en-US"/>
              </w:rPr>
            </w:pPr>
            <w:r>
              <w:rPr>
                <w:rFonts w:hint="eastAsia"/>
                <w:lang w:eastAsia="en-US"/>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line="560" w:lineRule="exact"/>
              <w:ind w:left="107"/>
              <w:jc w:val="center"/>
              <w:rPr>
                <w:lang w:eastAsia="en-US"/>
              </w:rPr>
            </w:pPr>
            <w:r>
              <w:rPr>
                <w:lang w:eastAsia="en-US"/>
              </w:rPr>
              <w:t>行政强制</w:t>
            </w:r>
          </w:p>
        </w:tc>
        <w:tc>
          <w:tcPr>
            <w:tcW w:w="4840" w:type="dxa"/>
            <w:gridSpan w:val="3"/>
            <w:tcBorders>
              <w:top w:val="single" w:color="7C6B74" w:sz="4" w:space="0"/>
              <w:left w:val="single" w:color="909093" w:sz="4" w:space="0"/>
              <w:bottom w:val="single" w:color="646080" w:sz="4" w:space="0"/>
              <w:right w:val="single" w:color="3B3B3F" w:sz="8" w:space="0"/>
            </w:tcBorders>
          </w:tcPr>
          <w:p>
            <w:pPr>
              <w:spacing w:line="560" w:lineRule="exact"/>
              <w:jc w:val="center"/>
              <w:rPr>
                <w:lang w:eastAsia="en-US"/>
              </w:rPr>
            </w:pPr>
            <w:r>
              <w:rPr>
                <w:rFonts w:hint="eastAsia"/>
                <w:lang w:eastAsia="en-US"/>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line="560" w:lineRule="exact"/>
              <w:ind w:left="25"/>
              <w:jc w:val="center"/>
              <w:rPr>
                <w:lang w:eastAsia="en-US"/>
              </w:rPr>
            </w:pPr>
            <w:r>
              <w:rPr>
                <w:lang w:eastAsia="en-US"/>
              </w:rPr>
              <w:t>第二十条</w:t>
            </w:r>
            <w:r>
              <w:rPr>
                <w:lang w:eastAsia="en-US"/>
              </w:rPr>
              <w:tab/>
            </w:r>
            <w:r>
              <w:rPr>
                <w:lang w:eastAsia="en-US"/>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line="560" w:lineRule="exact"/>
              <w:ind w:right="1"/>
              <w:jc w:val="center"/>
              <w:rPr>
                <w:lang w:eastAsia="en-US"/>
              </w:rPr>
            </w:pPr>
            <w:r>
              <w:rPr>
                <w:lang w:eastAsia="en-US"/>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line="560" w:lineRule="exact"/>
              <w:ind w:left="1446"/>
              <w:jc w:val="center"/>
              <w:rPr>
                <w:lang w:eastAsia="en-US"/>
              </w:rPr>
            </w:pPr>
            <w:r>
              <w:rPr>
                <w:lang w:eastAsia="en-US"/>
              </w:rPr>
              <w:t>本年收费金额  （单位 ：万元</w:t>
            </w:r>
            <w:r>
              <w:rPr>
                <w:rFonts w:hint="eastAsia"/>
                <w:lang w:eastAsia="en-US"/>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line="560" w:lineRule="exact"/>
              <w:ind w:left="107"/>
              <w:jc w:val="center"/>
              <w:rPr>
                <w:lang w:eastAsia="en-US"/>
              </w:rPr>
            </w:pPr>
            <w:r>
              <w:rPr>
                <w:lang w:eastAsia="en-US"/>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tcPr>
          <w:p>
            <w:pPr>
              <w:spacing w:line="560" w:lineRule="exact"/>
              <w:jc w:val="center"/>
              <w:rPr>
                <w:lang w:eastAsia="en-US"/>
              </w:rPr>
            </w:pPr>
            <w:r>
              <w:rPr>
                <w:rFonts w:hint="eastAsia"/>
                <w:lang w:eastAsia="en-US"/>
              </w:rPr>
              <w:t>0</w:t>
            </w:r>
          </w:p>
        </w:tc>
      </w:tr>
    </w:tbl>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spacing w:line="560" w:lineRule="exact"/>
            </w:pPr>
            <w:r>
              <w:rPr>
                <w:rFonts w:hint="eastAsia"/>
              </w:rPr>
              <w:t>（本列数据的勾稽关系为：第一项加第二项之和，等于第三项加第四项之和）</w:t>
            </w:r>
          </w:p>
        </w:tc>
        <w:tc>
          <w:tcPr>
            <w:tcW w:w="4685" w:type="dxa"/>
            <w:gridSpan w:val="7"/>
            <w:vAlign w:val="center"/>
          </w:tcPr>
          <w:p>
            <w:pPr>
              <w:spacing w:line="560" w:lineRule="exact"/>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spacing w:line="560" w:lineRule="exact"/>
            </w:pPr>
          </w:p>
        </w:tc>
        <w:tc>
          <w:tcPr>
            <w:tcW w:w="554" w:type="dxa"/>
            <w:vMerge w:val="restart"/>
            <w:vAlign w:val="center"/>
          </w:tcPr>
          <w:p>
            <w:pPr>
              <w:spacing w:line="560" w:lineRule="exact"/>
              <w:jc w:val="center"/>
              <w:rPr>
                <w:sz w:val="18"/>
                <w:szCs w:val="18"/>
              </w:rPr>
            </w:pPr>
            <w:r>
              <w:rPr>
                <w:rFonts w:hint="eastAsia"/>
                <w:szCs w:val="21"/>
              </w:rPr>
              <w:t>自然人</w:t>
            </w:r>
          </w:p>
        </w:tc>
        <w:tc>
          <w:tcPr>
            <w:tcW w:w="3466" w:type="dxa"/>
            <w:gridSpan w:val="5"/>
            <w:vAlign w:val="center"/>
          </w:tcPr>
          <w:p>
            <w:pPr>
              <w:spacing w:line="560" w:lineRule="exact"/>
              <w:jc w:val="center"/>
              <w:rPr>
                <w:szCs w:val="21"/>
              </w:rPr>
            </w:pPr>
            <w:r>
              <w:rPr>
                <w:rFonts w:hint="eastAsia"/>
                <w:szCs w:val="21"/>
              </w:rPr>
              <w:t>法人或其他组织</w:t>
            </w:r>
          </w:p>
        </w:tc>
        <w:tc>
          <w:tcPr>
            <w:tcW w:w="665" w:type="dxa"/>
            <w:vMerge w:val="restart"/>
            <w:vAlign w:val="center"/>
          </w:tcPr>
          <w:p>
            <w:pPr>
              <w:spacing w:line="560" w:lineRule="exact"/>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spacing w:line="560" w:lineRule="exact"/>
            </w:pPr>
          </w:p>
        </w:tc>
        <w:tc>
          <w:tcPr>
            <w:tcW w:w="554" w:type="dxa"/>
            <w:vMerge w:val="continue"/>
          </w:tcPr>
          <w:p>
            <w:pPr>
              <w:spacing w:line="560" w:lineRule="exact"/>
              <w:rPr>
                <w:sz w:val="18"/>
                <w:szCs w:val="18"/>
              </w:rPr>
            </w:pPr>
          </w:p>
        </w:tc>
        <w:tc>
          <w:tcPr>
            <w:tcW w:w="693" w:type="dxa"/>
            <w:vAlign w:val="center"/>
          </w:tcPr>
          <w:p>
            <w:pPr>
              <w:spacing w:line="560" w:lineRule="exact"/>
              <w:rPr>
                <w:szCs w:val="21"/>
              </w:rPr>
            </w:pPr>
            <w:r>
              <w:rPr>
                <w:rFonts w:hint="eastAsia"/>
                <w:szCs w:val="21"/>
              </w:rPr>
              <w:t>商业企业</w:t>
            </w:r>
          </w:p>
        </w:tc>
        <w:tc>
          <w:tcPr>
            <w:tcW w:w="692" w:type="dxa"/>
            <w:vAlign w:val="center"/>
          </w:tcPr>
          <w:p>
            <w:pPr>
              <w:spacing w:line="560" w:lineRule="exact"/>
              <w:rPr>
                <w:szCs w:val="21"/>
              </w:rPr>
            </w:pPr>
            <w:r>
              <w:rPr>
                <w:rFonts w:hint="eastAsia"/>
                <w:szCs w:val="21"/>
              </w:rPr>
              <w:t>科研机构</w:t>
            </w:r>
          </w:p>
        </w:tc>
        <w:tc>
          <w:tcPr>
            <w:tcW w:w="693" w:type="dxa"/>
            <w:vAlign w:val="center"/>
          </w:tcPr>
          <w:p>
            <w:pPr>
              <w:spacing w:line="560" w:lineRule="exact"/>
              <w:rPr>
                <w:szCs w:val="21"/>
              </w:rPr>
            </w:pPr>
            <w:r>
              <w:rPr>
                <w:rFonts w:hint="eastAsia"/>
                <w:szCs w:val="21"/>
              </w:rPr>
              <w:t>社会公益组织</w:t>
            </w:r>
          </w:p>
        </w:tc>
        <w:tc>
          <w:tcPr>
            <w:tcW w:w="693" w:type="dxa"/>
            <w:vAlign w:val="center"/>
          </w:tcPr>
          <w:p>
            <w:pPr>
              <w:spacing w:line="560" w:lineRule="exact"/>
              <w:rPr>
                <w:szCs w:val="21"/>
              </w:rPr>
            </w:pPr>
            <w:r>
              <w:rPr>
                <w:rFonts w:hint="eastAsia"/>
                <w:szCs w:val="21"/>
              </w:rPr>
              <w:t>法律服务机构</w:t>
            </w:r>
          </w:p>
        </w:tc>
        <w:tc>
          <w:tcPr>
            <w:tcW w:w="695" w:type="dxa"/>
            <w:vAlign w:val="center"/>
          </w:tcPr>
          <w:p>
            <w:pPr>
              <w:spacing w:line="560" w:lineRule="exact"/>
              <w:rPr>
                <w:szCs w:val="21"/>
              </w:rPr>
            </w:pPr>
            <w:r>
              <w:rPr>
                <w:rFonts w:hint="eastAsia"/>
                <w:szCs w:val="21"/>
              </w:rPr>
              <w:t>其他</w:t>
            </w:r>
          </w:p>
        </w:tc>
        <w:tc>
          <w:tcPr>
            <w:tcW w:w="665" w:type="dxa"/>
            <w:vMerge w:val="continue"/>
            <w:vAlign w:val="center"/>
          </w:tcPr>
          <w:p>
            <w:pPr>
              <w:spacing w:line="5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spacing w:line="560" w:lineRule="exact"/>
            </w:pPr>
            <w:r>
              <w:rPr>
                <w:rFonts w:hint="eastAsia"/>
              </w:rPr>
              <w:t>一、本年新收政府信息公开申请数量</w:t>
            </w:r>
          </w:p>
        </w:tc>
        <w:tc>
          <w:tcPr>
            <w:tcW w:w="554" w:type="dxa"/>
          </w:tcPr>
          <w:p>
            <w:pPr>
              <w:spacing w:line="560" w:lineRule="exact"/>
              <w:jc w:val="center"/>
            </w:pPr>
            <w:r>
              <w:rPr>
                <w:rFonts w:hint="eastAsia"/>
              </w:rPr>
              <w:t>0</w:t>
            </w:r>
          </w:p>
        </w:tc>
        <w:tc>
          <w:tcPr>
            <w:tcW w:w="693" w:type="dxa"/>
            <w:vAlign w:val="center"/>
          </w:tcPr>
          <w:p>
            <w:pPr>
              <w:spacing w:line="560" w:lineRule="exact"/>
              <w:jc w:val="center"/>
              <w:rPr>
                <w:rFonts w:hint="eastAsia" w:eastAsiaTheme="minorEastAsia"/>
                <w:szCs w:val="21"/>
                <w:lang w:eastAsia="zh-CN"/>
              </w:rPr>
            </w:pPr>
            <w:r>
              <w:rPr>
                <w:rFonts w:hint="eastAsia"/>
                <w:lang w:val="en-US" w:eastAsia="zh-CN"/>
              </w:rPr>
              <w:t>0</w:t>
            </w:r>
          </w:p>
        </w:tc>
        <w:tc>
          <w:tcPr>
            <w:tcW w:w="692" w:type="dxa"/>
            <w:vAlign w:val="center"/>
          </w:tcPr>
          <w:p>
            <w:pPr>
              <w:spacing w:line="560" w:lineRule="exact"/>
              <w:jc w:val="center"/>
              <w:rPr>
                <w:szCs w:val="21"/>
              </w:rPr>
            </w:pPr>
            <w:r>
              <w:rPr>
                <w:rFonts w:hint="eastAsia"/>
              </w:rPr>
              <w:t>0</w:t>
            </w:r>
          </w:p>
        </w:tc>
        <w:tc>
          <w:tcPr>
            <w:tcW w:w="693" w:type="dxa"/>
            <w:vAlign w:val="center"/>
          </w:tcPr>
          <w:p>
            <w:pPr>
              <w:spacing w:line="560" w:lineRule="exact"/>
              <w:jc w:val="center"/>
              <w:rPr>
                <w:szCs w:val="21"/>
              </w:rPr>
            </w:pPr>
            <w:r>
              <w:rPr>
                <w:rFonts w:hint="eastAsia"/>
              </w:rPr>
              <w:t>0</w:t>
            </w:r>
          </w:p>
        </w:tc>
        <w:tc>
          <w:tcPr>
            <w:tcW w:w="693" w:type="dxa"/>
            <w:vAlign w:val="center"/>
          </w:tcPr>
          <w:p>
            <w:pPr>
              <w:spacing w:line="560" w:lineRule="exact"/>
              <w:jc w:val="center"/>
              <w:rPr>
                <w:rFonts w:hint="eastAsia" w:eastAsiaTheme="minorEastAsia"/>
                <w:szCs w:val="21"/>
                <w:lang w:eastAsia="zh-CN"/>
              </w:rPr>
            </w:pPr>
            <w:r>
              <w:rPr>
                <w:rFonts w:hint="eastAsia"/>
                <w:lang w:val="en-US" w:eastAsia="zh-CN"/>
              </w:rPr>
              <w:t>0</w:t>
            </w:r>
          </w:p>
        </w:tc>
        <w:tc>
          <w:tcPr>
            <w:tcW w:w="695" w:type="dxa"/>
            <w:vAlign w:val="center"/>
          </w:tcPr>
          <w:p>
            <w:pPr>
              <w:spacing w:line="560" w:lineRule="exact"/>
              <w:jc w:val="center"/>
              <w:rPr>
                <w:szCs w:val="21"/>
              </w:rPr>
            </w:pPr>
            <w:r>
              <w:rPr>
                <w:rFonts w:hint="eastAsia"/>
              </w:rPr>
              <w:t>0</w:t>
            </w:r>
          </w:p>
        </w:tc>
        <w:tc>
          <w:tcPr>
            <w:tcW w:w="665" w:type="dxa"/>
            <w:vAlign w:val="center"/>
          </w:tcPr>
          <w:p>
            <w:pPr>
              <w:spacing w:line="560" w:lineRule="exact"/>
              <w:jc w:val="center"/>
              <w:rPr>
                <w:rFonts w:hint="eastAsia" w:eastAsiaTheme="minorEastAsia"/>
                <w:szCs w:val="21"/>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spacing w:line="560" w:lineRule="exact"/>
            </w:pPr>
            <w:r>
              <w:rPr>
                <w:rFonts w:hint="eastAsia"/>
              </w:rPr>
              <w:t>二、上年结转政府信息公开申请数量</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spacing w:line="560" w:lineRule="exact"/>
            </w:pPr>
            <w:r>
              <w:rPr>
                <w:rFonts w:hint="eastAsia"/>
              </w:rPr>
              <w:t>三、本年度办理结果</w:t>
            </w:r>
          </w:p>
        </w:tc>
        <w:tc>
          <w:tcPr>
            <w:tcW w:w="4159" w:type="dxa"/>
            <w:gridSpan w:val="2"/>
          </w:tcPr>
          <w:p>
            <w:pPr>
              <w:spacing w:line="560" w:lineRule="exact"/>
              <w:rPr>
                <w:rFonts w:asciiTheme="minorEastAsia" w:hAnsiTheme="minorEastAsia"/>
                <w:sz w:val="18"/>
                <w:szCs w:val="18"/>
              </w:rPr>
            </w:pPr>
            <w:r>
              <w:rPr>
                <w:rFonts w:hint="eastAsia" w:asciiTheme="minorEastAsia" w:hAnsiTheme="minorEastAsia"/>
                <w:sz w:val="18"/>
                <w:szCs w:val="18"/>
              </w:rPr>
              <w:t>（一）予以公开</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spacing w:line="560" w:lineRule="exact"/>
            </w:pPr>
          </w:p>
        </w:tc>
        <w:tc>
          <w:tcPr>
            <w:tcW w:w="4159" w:type="dxa"/>
            <w:gridSpan w:val="2"/>
          </w:tcPr>
          <w:p>
            <w:pPr>
              <w:spacing w:line="560" w:lineRule="exact"/>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spacing w:line="560" w:lineRule="exact"/>
            </w:pPr>
          </w:p>
        </w:tc>
        <w:tc>
          <w:tcPr>
            <w:tcW w:w="1525" w:type="dxa"/>
            <w:vMerge w:val="restart"/>
            <w:vAlign w:val="center"/>
          </w:tcPr>
          <w:p>
            <w:pPr>
              <w:spacing w:line="560" w:lineRule="exact"/>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spacing w:line="560" w:lineRule="exac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spacing w:line="560" w:lineRule="exact"/>
            </w:pPr>
          </w:p>
        </w:tc>
        <w:tc>
          <w:tcPr>
            <w:tcW w:w="1525" w:type="dxa"/>
            <w:vMerge w:val="continue"/>
            <w:vAlign w:val="center"/>
          </w:tcPr>
          <w:p>
            <w:pPr>
              <w:spacing w:line="560" w:lineRule="exact"/>
              <w:rPr>
                <w:rFonts w:asciiTheme="minorEastAsia" w:hAnsiTheme="minorEastAsia"/>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3．危及“三安全一稳定”</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tcPr>
          <w:p>
            <w:pPr>
              <w:spacing w:line="560" w:lineRule="exact"/>
              <w:jc w:val="center"/>
            </w:pPr>
            <w:r>
              <w:rPr>
                <w:rFonts w:hint="eastAsia"/>
              </w:rPr>
              <w:t>0</w:t>
            </w:r>
          </w:p>
        </w:tc>
        <w:tc>
          <w:tcPr>
            <w:tcW w:w="693" w:type="dxa"/>
          </w:tcPr>
          <w:p>
            <w:pPr>
              <w:spacing w:line="560" w:lineRule="exact"/>
              <w:jc w:val="center"/>
              <w:rPr>
                <w:rFonts w:hint="eastAsia" w:eastAsiaTheme="minorEastAsia"/>
                <w:lang w:eastAsia="zh-CN"/>
              </w:rPr>
            </w:pPr>
            <w:r>
              <w:rPr>
                <w:rFonts w:hint="eastAsia"/>
                <w:lang w:val="en-US" w:eastAsia="zh-CN"/>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rPr>
                <w:rFonts w:hint="eastAsia" w:eastAsiaTheme="minorEastAsia"/>
                <w:lang w:eastAsia="zh-CN"/>
              </w:rPr>
            </w:pPr>
            <w:r>
              <w:rPr>
                <w:rFonts w:hint="eastAsia"/>
                <w:lang w:val="en-US" w:eastAsia="zh-CN"/>
              </w:rPr>
              <w:t>0</w:t>
            </w:r>
          </w:p>
        </w:tc>
        <w:tc>
          <w:tcPr>
            <w:tcW w:w="695" w:type="dxa"/>
          </w:tcPr>
          <w:p>
            <w:pPr>
              <w:spacing w:line="560" w:lineRule="exact"/>
              <w:jc w:val="center"/>
            </w:pPr>
            <w:r>
              <w:rPr>
                <w:rFonts w:hint="eastAsia"/>
              </w:rPr>
              <w:t>0</w:t>
            </w:r>
          </w:p>
        </w:tc>
        <w:tc>
          <w:tcPr>
            <w:tcW w:w="665" w:type="dxa"/>
          </w:tcPr>
          <w:p>
            <w:pPr>
              <w:spacing w:line="560" w:lineRule="exact"/>
              <w:jc w:val="cente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7．属于行政执法案卷</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8．属于行政查询事项</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spacing w:line="560" w:lineRule="exact"/>
            </w:pPr>
          </w:p>
        </w:tc>
        <w:tc>
          <w:tcPr>
            <w:tcW w:w="1525" w:type="dxa"/>
            <w:vMerge w:val="restart"/>
            <w:vAlign w:val="center"/>
          </w:tcPr>
          <w:p>
            <w:pPr>
              <w:spacing w:line="560" w:lineRule="exact"/>
              <w:rPr>
                <w:sz w:val="18"/>
                <w:szCs w:val="18"/>
              </w:rPr>
            </w:pPr>
            <w:r>
              <w:rPr>
                <w:rFonts w:hint="eastAsia"/>
                <w:sz w:val="18"/>
                <w:szCs w:val="18"/>
              </w:rPr>
              <w:t>（四）无法提供</w:t>
            </w: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spacing w:line="560" w:lineRule="exact"/>
            </w:pPr>
          </w:p>
        </w:tc>
        <w:tc>
          <w:tcPr>
            <w:tcW w:w="1525" w:type="dxa"/>
            <w:vMerge w:val="continue"/>
            <w:vAlign w:val="center"/>
          </w:tcPr>
          <w:p>
            <w:pPr>
              <w:spacing w:line="560" w:lineRule="exact"/>
              <w:rPr>
                <w:sz w:val="18"/>
                <w:szCs w:val="18"/>
              </w:rPr>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spacing w:line="560" w:lineRule="exact"/>
            </w:pPr>
          </w:p>
        </w:tc>
        <w:tc>
          <w:tcPr>
            <w:tcW w:w="1525" w:type="dxa"/>
            <w:vMerge w:val="restart"/>
            <w:vAlign w:val="center"/>
          </w:tcPr>
          <w:p>
            <w:pPr>
              <w:spacing w:line="560" w:lineRule="exact"/>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spacing w:line="560" w:lineRule="exact"/>
            </w:pPr>
          </w:p>
        </w:tc>
        <w:tc>
          <w:tcPr>
            <w:tcW w:w="1525" w:type="dxa"/>
            <w:vMerge w:val="continue"/>
          </w:tcPr>
          <w:p>
            <w:pPr>
              <w:spacing w:line="560" w:lineRule="exact"/>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2．重复申请</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spacing w:line="560" w:lineRule="exact"/>
            </w:pPr>
          </w:p>
        </w:tc>
        <w:tc>
          <w:tcPr>
            <w:tcW w:w="1525" w:type="dxa"/>
            <w:vMerge w:val="continue"/>
          </w:tcPr>
          <w:p>
            <w:pPr>
              <w:spacing w:line="560" w:lineRule="exact"/>
            </w:pPr>
          </w:p>
        </w:tc>
        <w:tc>
          <w:tcPr>
            <w:tcW w:w="2634" w:type="dxa"/>
          </w:tcPr>
          <w:p>
            <w:pPr>
              <w:spacing w:line="560" w:lineRule="exact"/>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spacing w:line="560" w:lineRule="exact"/>
            </w:pPr>
          </w:p>
        </w:tc>
        <w:tc>
          <w:tcPr>
            <w:tcW w:w="1525" w:type="dxa"/>
            <w:vMerge w:val="continue"/>
          </w:tcPr>
          <w:p>
            <w:pPr>
              <w:spacing w:line="560" w:lineRule="exact"/>
            </w:pPr>
          </w:p>
        </w:tc>
        <w:tc>
          <w:tcPr>
            <w:tcW w:w="2634" w:type="dxa"/>
          </w:tcPr>
          <w:p>
            <w:pPr>
              <w:spacing w:line="560" w:lineRule="exact"/>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spacing w:line="560" w:lineRule="exact"/>
            </w:pPr>
          </w:p>
        </w:tc>
        <w:tc>
          <w:tcPr>
            <w:tcW w:w="1525" w:type="dxa"/>
            <w:vMerge w:val="continue"/>
          </w:tcPr>
          <w:p>
            <w:pPr>
              <w:spacing w:line="560" w:lineRule="exact"/>
            </w:pPr>
          </w:p>
        </w:tc>
        <w:tc>
          <w:tcPr>
            <w:tcW w:w="2634" w:type="dxa"/>
          </w:tcPr>
          <w:p>
            <w:pPr>
              <w:spacing w:line="560" w:lineRule="exact"/>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spacing w:line="560" w:lineRule="exact"/>
            </w:pPr>
          </w:p>
        </w:tc>
        <w:tc>
          <w:tcPr>
            <w:tcW w:w="1525" w:type="dxa"/>
            <w:vMerge w:val="restart"/>
            <w:vAlign w:val="center"/>
          </w:tcPr>
          <w:p>
            <w:pPr>
              <w:spacing w:line="560" w:lineRule="exact"/>
            </w:pPr>
            <w:r>
              <w:rPr>
                <w:rFonts w:hint="eastAsia"/>
                <w:sz w:val="18"/>
                <w:szCs w:val="18"/>
              </w:rPr>
              <w:t>（六）其他处理</w:t>
            </w:r>
          </w:p>
        </w:tc>
        <w:tc>
          <w:tcPr>
            <w:tcW w:w="2634" w:type="dxa"/>
          </w:tcPr>
          <w:p>
            <w:pPr>
              <w:spacing w:line="560" w:lineRule="exact"/>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spacing w:line="560" w:lineRule="exact"/>
            </w:pPr>
          </w:p>
        </w:tc>
        <w:tc>
          <w:tcPr>
            <w:tcW w:w="1525" w:type="dxa"/>
            <w:vMerge w:val="continue"/>
          </w:tcPr>
          <w:p>
            <w:pPr>
              <w:spacing w:line="560" w:lineRule="exact"/>
            </w:pPr>
          </w:p>
        </w:tc>
        <w:tc>
          <w:tcPr>
            <w:tcW w:w="2634" w:type="dxa"/>
          </w:tcPr>
          <w:p>
            <w:pPr>
              <w:spacing w:line="560" w:lineRule="exact"/>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spacing w:line="560" w:lineRule="exact"/>
            </w:pPr>
          </w:p>
        </w:tc>
        <w:tc>
          <w:tcPr>
            <w:tcW w:w="1525" w:type="dxa"/>
            <w:vMerge w:val="continue"/>
          </w:tcPr>
          <w:p>
            <w:pPr>
              <w:spacing w:line="560" w:lineRule="exact"/>
            </w:pPr>
          </w:p>
        </w:tc>
        <w:tc>
          <w:tcPr>
            <w:tcW w:w="2634" w:type="dxa"/>
          </w:tcPr>
          <w:p>
            <w:pPr>
              <w:spacing w:line="560" w:lineRule="exact"/>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spacing w:line="560" w:lineRule="exact"/>
            </w:pPr>
          </w:p>
        </w:tc>
        <w:tc>
          <w:tcPr>
            <w:tcW w:w="4159" w:type="dxa"/>
            <w:gridSpan w:val="2"/>
            <w:vAlign w:val="center"/>
          </w:tcPr>
          <w:p>
            <w:pPr>
              <w:spacing w:line="560" w:lineRule="exact"/>
              <w:rPr>
                <w:sz w:val="18"/>
                <w:szCs w:val="18"/>
              </w:rPr>
            </w:pPr>
            <w:r>
              <w:rPr>
                <w:rFonts w:hint="eastAsia"/>
                <w:sz w:val="18"/>
                <w:szCs w:val="18"/>
              </w:rPr>
              <w:t>（七）总计</w:t>
            </w:r>
          </w:p>
        </w:tc>
        <w:tc>
          <w:tcPr>
            <w:tcW w:w="554" w:type="dxa"/>
          </w:tcPr>
          <w:p>
            <w:pPr>
              <w:spacing w:line="560" w:lineRule="exact"/>
              <w:jc w:val="center"/>
            </w:pPr>
            <w:r>
              <w:rPr>
                <w:rFonts w:hint="eastAsia"/>
              </w:rPr>
              <w:t>0</w:t>
            </w:r>
          </w:p>
        </w:tc>
        <w:tc>
          <w:tcPr>
            <w:tcW w:w="693" w:type="dxa"/>
          </w:tcPr>
          <w:p>
            <w:pPr>
              <w:spacing w:line="560" w:lineRule="exact"/>
              <w:jc w:val="center"/>
              <w:rPr>
                <w:rFonts w:hint="eastAsia" w:eastAsiaTheme="minorEastAsia"/>
                <w:lang w:eastAsia="zh-CN"/>
              </w:rPr>
            </w:pPr>
            <w:r>
              <w:rPr>
                <w:rFonts w:hint="eastAsia"/>
                <w:lang w:val="en-US" w:eastAsia="zh-CN"/>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rPr>
                <w:rFonts w:hint="eastAsia" w:eastAsiaTheme="minorEastAsia"/>
                <w:lang w:eastAsia="zh-CN"/>
              </w:rPr>
            </w:pPr>
            <w:r>
              <w:rPr>
                <w:rFonts w:hint="eastAsia"/>
                <w:lang w:val="en-US" w:eastAsia="zh-CN"/>
              </w:rPr>
              <w:t>0</w:t>
            </w:r>
          </w:p>
        </w:tc>
        <w:tc>
          <w:tcPr>
            <w:tcW w:w="695" w:type="dxa"/>
          </w:tcPr>
          <w:p>
            <w:pPr>
              <w:spacing w:line="560" w:lineRule="exact"/>
              <w:jc w:val="center"/>
            </w:pPr>
            <w:r>
              <w:rPr>
                <w:rFonts w:hint="eastAsia"/>
              </w:rPr>
              <w:t>0</w:t>
            </w:r>
          </w:p>
        </w:tc>
        <w:tc>
          <w:tcPr>
            <w:tcW w:w="665" w:type="dxa"/>
          </w:tcPr>
          <w:p>
            <w:pPr>
              <w:spacing w:line="560" w:lineRule="exact"/>
              <w:jc w:val="cente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spacing w:line="560" w:lineRule="exact"/>
            </w:pPr>
            <w:r>
              <w:rPr>
                <w:rFonts w:hint="eastAsia"/>
              </w:rPr>
              <w:t>四、结转下年度继续办理</w:t>
            </w:r>
          </w:p>
        </w:tc>
        <w:tc>
          <w:tcPr>
            <w:tcW w:w="554"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2"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3" w:type="dxa"/>
          </w:tcPr>
          <w:p>
            <w:pPr>
              <w:spacing w:line="560" w:lineRule="exact"/>
              <w:jc w:val="center"/>
            </w:pPr>
            <w:r>
              <w:rPr>
                <w:rFonts w:hint="eastAsia"/>
              </w:rPr>
              <w:t>0</w:t>
            </w:r>
          </w:p>
        </w:tc>
        <w:tc>
          <w:tcPr>
            <w:tcW w:w="695" w:type="dxa"/>
          </w:tcPr>
          <w:p>
            <w:pPr>
              <w:spacing w:line="560" w:lineRule="exact"/>
              <w:jc w:val="center"/>
            </w:pPr>
            <w:r>
              <w:rPr>
                <w:rFonts w:hint="eastAsia"/>
              </w:rPr>
              <w:t>0</w:t>
            </w:r>
          </w:p>
        </w:tc>
        <w:tc>
          <w:tcPr>
            <w:tcW w:w="665" w:type="dxa"/>
          </w:tcPr>
          <w:p>
            <w:pPr>
              <w:spacing w:line="560" w:lineRule="exact"/>
              <w:jc w:val="center"/>
            </w:pPr>
            <w:r>
              <w:rPr>
                <w:rFonts w:hint="eastAsia"/>
              </w:rPr>
              <w:t>0</w:t>
            </w:r>
          </w:p>
        </w:tc>
      </w:tr>
    </w:tbl>
    <w:p>
      <w:pPr>
        <w:numPr>
          <w:ilvl w:val="0"/>
          <w:numId w:val="2"/>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政府信息公开行政复议、行政诉讼情况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全年没有因政务信息公开原因被自然人、法人或其他组织提起行政复议</w:t>
      </w:r>
      <w:r>
        <w:rPr>
          <w:rFonts w:hint="eastAsia" w:ascii="仿宋" w:hAnsi="仿宋" w:eastAsia="仿宋" w:cs="仿宋"/>
          <w:sz w:val="32"/>
          <w:szCs w:val="32"/>
          <w:lang w:val="en-US" w:eastAsia="zh-CN"/>
        </w:rPr>
        <w:t>或行政诉讼</w:t>
      </w:r>
      <w:r>
        <w:rPr>
          <w:rFonts w:hint="eastAsia" w:ascii="仿宋" w:hAnsi="仿宋" w:eastAsia="仿宋" w:cs="仿宋"/>
          <w:sz w:val="32"/>
          <w:szCs w:val="32"/>
        </w:rPr>
        <w:t>。</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spacing w:line="560" w:lineRule="exact"/>
              <w:jc w:val="center"/>
              <w:rPr>
                <w:szCs w:val="21"/>
              </w:rPr>
            </w:pPr>
            <w:r>
              <w:rPr>
                <w:rFonts w:hint="eastAsia"/>
                <w:szCs w:val="21"/>
              </w:rPr>
              <w:t>行政复议</w:t>
            </w:r>
          </w:p>
        </w:tc>
        <w:tc>
          <w:tcPr>
            <w:tcW w:w="6505" w:type="dxa"/>
            <w:gridSpan w:val="10"/>
            <w:vAlign w:val="center"/>
          </w:tcPr>
          <w:p>
            <w:pPr>
              <w:spacing w:line="560" w:lineRule="exact"/>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spacing w:line="560" w:lineRule="exact"/>
              <w:jc w:val="center"/>
              <w:rPr>
                <w:szCs w:val="21"/>
              </w:rPr>
            </w:pPr>
            <w:r>
              <w:rPr>
                <w:rFonts w:hint="eastAsia"/>
                <w:szCs w:val="21"/>
              </w:rPr>
              <w:t>结果维持</w:t>
            </w:r>
          </w:p>
        </w:tc>
        <w:tc>
          <w:tcPr>
            <w:tcW w:w="709" w:type="dxa"/>
            <w:vMerge w:val="restart"/>
            <w:vAlign w:val="center"/>
          </w:tcPr>
          <w:p>
            <w:pPr>
              <w:spacing w:line="560" w:lineRule="exact"/>
              <w:jc w:val="center"/>
              <w:rPr>
                <w:szCs w:val="21"/>
              </w:rPr>
            </w:pPr>
            <w:r>
              <w:rPr>
                <w:rFonts w:hint="eastAsia"/>
                <w:szCs w:val="21"/>
              </w:rPr>
              <w:t>结果纠正</w:t>
            </w:r>
          </w:p>
        </w:tc>
        <w:tc>
          <w:tcPr>
            <w:tcW w:w="709" w:type="dxa"/>
            <w:vMerge w:val="restart"/>
            <w:vAlign w:val="center"/>
          </w:tcPr>
          <w:p>
            <w:pPr>
              <w:spacing w:line="560" w:lineRule="exact"/>
              <w:jc w:val="center"/>
              <w:rPr>
                <w:szCs w:val="21"/>
              </w:rPr>
            </w:pPr>
            <w:r>
              <w:rPr>
                <w:rFonts w:hint="eastAsia"/>
                <w:szCs w:val="21"/>
              </w:rPr>
              <w:t>其他结果</w:t>
            </w:r>
          </w:p>
        </w:tc>
        <w:tc>
          <w:tcPr>
            <w:tcW w:w="706" w:type="dxa"/>
            <w:vMerge w:val="restart"/>
            <w:vAlign w:val="center"/>
          </w:tcPr>
          <w:p>
            <w:pPr>
              <w:spacing w:line="560" w:lineRule="exact"/>
              <w:jc w:val="center"/>
              <w:rPr>
                <w:szCs w:val="21"/>
              </w:rPr>
            </w:pPr>
            <w:r>
              <w:rPr>
                <w:rFonts w:hint="eastAsia"/>
                <w:szCs w:val="21"/>
              </w:rPr>
              <w:t>尚未审结</w:t>
            </w:r>
          </w:p>
        </w:tc>
        <w:tc>
          <w:tcPr>
            <w:tcW w:w="428" w:type="dxa"/>
            <w:vMerge w:val="restart"/>
            <w:vAlign w:val="center"/>
          </w:tcPr>
          <w:p>
            <w:pPr>
              <w:spacing w:line="560" w:lineRule="exact"/>
              <w:jc w:val="center"/>
              <w:rPr>
                <w:szCs w:val="21"/>
              </w:rPr>
            </w:pPr>
            <w:r>
              <w:rPr>
                <w:rFonts w:hint="eastAsia"/>
                <w:szCs w:val="21"/>
              </w:rPr>
              <w:t>总计</w:t>
            </w:r>
          </w:p>
        </w:tc>
        <w:tc>
          <w:tcPr>
            <w:tcW w:w="3260" w:type="dxa"/>
            <w:gridSpan w:val="5"/>
            <w:vAlign w:val="center"/>
          </w:tcPr>
          <w:p>
            <w:pPr>
              <w:spacing w:line="560" w:lineRule="exact"/>
              <w:jc w:val="center"/>
              <w:rPr>
                <w:szCs w:val="21"/>
              </w:rPr>
            </w:pPr>
            <w:r>
              <w:rPr>
                <w:rFonts w:hint="eastAsia"/>
                <w:szCs w:val="21"/>
              </w:rPr>
              <w:t>未经复议直接起诉</w:t>
            </w:r>
          </w:p>
        </w:tc>
        <w:tc>
          <w:tcPr>
            <w:tcW w:w="3245" w:type="dxa"/>
            <w:gridSpan w:val="5"/>
            <w:vAlign w:val="center"/>
          </w:tcPr>
          <w:p>
            <w:pPr>
              <w:spacing w:line="560" w:lineRule="exact"/>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spacing w:line="560" w:lineRule="exact"/>
              <w:jc w:val="center"/>
              <w:rPr>
                <w:sz w:val="18"/>
                <w:szCs w:val="18"/>
              </w:rPr>
            </w:pPr>
          </w:p>
        </w:tc>
        <w:tc>
          <w:tcPr>
            <w:tcW w:w="709" w:type="dxa"/>
            <w:vMerge w:val="continue"/>
            <w:vAlign w:val="center"/>
          </w:tcPr>
          <w:p>
            <w:pPr>
              <w:spacing w:line="560" w:lineRule="exact"/>
              <w:jc w:val="center"/>
              <w:rPr>
                <w:sz w:val="18"/>
                <w:szCs w:val="18"/>
              </w:rPr>
            </w:pPr>
          </w:p>
        </w:tc>
        <w:tc>
          <w:tcPr>
            <w:tcW w:w="709" w:type="dxa"/>
            <w:vMerge w:val="continue"/>
            <w:vAlign w:val="center"/>
          </w:tcPr>
          <w:p>
            <w:pPr>
              <w:spacing w:line="560" w:lineRule="exact"/>
              <w:jc w:val="center"/>
              <w:rPr>
                <w:sz w:val="18"/>
                <w:szCs w:val="18"/>
              </w:rPr>
            </w:pPr>
          </w:p>
        </w:tc>
        <w:tc>
          <w:tcPr>
            <w:tcW w:w="706" w:type="dxa"/>
            <w:vMerge w:val="continue"/>
            <w:vAlign w:val="center"/>
          </w:tcPr>
          <w:p>
            <w:pPr>
              <w:spacing w:line="560" w:lineRule="exact"/>
              <w:jc w:val="center"/>
              <w:rPr>
                <w:szCs w:val="21"/>
              </w:rPr>
            </w:pPr>
          </w:p>
        </w:tc>
        <w:tc>
          <w:tcPr>
            <w:tcW w:w="428" w:type="dxa"/>
            <w:vMerge w:val="continue"/>
            <w:vAlign w:val="center"/>
          </w:tcPr>
          <w:p>
            <w:pPr>
              <w:spacing w:line="560" w:lineRule="exact"/>
              <w:jc w:val="center"/>
              <w:rPr>
                <w:szCs w:val="21"/>
              </w:rPr>
            </w:pPr>
          </w:p>
        </w:tc>
        <w:tc>
          <w:tcPr>
            <w:tcW w:w="708" w:type="dxa"/>
            <w:vAlign w:val="center"/>
          </w:tcPr>
          <w:p>
            <w:pPr>
              <w:spacing w:line="560" w:lineRule="exact"/>
              <w:jc w:val="center"/>
              <w:rPr>
                <w:szCs w:val="21"/>
              </w:rPr>
            </w:pPr>
            <w:r>
              <w:rPr>
                <w:rFonts w:hint="eastAsia"/>
                <w:szCs w:val="21"/>
              </w:rPr>
              <w:t>结果维持</w:t>
            </w:r>
          </w:p>
        </w:tc>
        <w:tc>
          <w:tcPr>
            <w:tcW w:w="709" w:type="dxa"/>
            <w:vAlign w:val="center"/>
          </w:tcPr>
          <w:p>
            <w:pPr>
              <w:spacing w:line="560" w:lineRule="exact"/>
              <w:jc w:val="center"/>
              <w:rPr>
                <w:szCs w:val="21"/>
              </w:rPr>
            </w:pPr>
            <w:r>
              <w:rPr>
                <w:rFonts w:hint="eastAsia"/>
                <w:szCs w:val="21"/>
              </w:rPr>
              <w:t>结果纠正</w:t>
            </w:r>
          </w:p>
        </w:tc>
        <w:tc>
          <w:tcPr>
            <w:tcW w:w="709" w:type="dxa"/>
            <w:vAlign w:val="center"/>
          </w:tcPr>
          <w:p>
            <w:pPr>
              <w:spacing w:line="560" w:lineRule="exact"/>
              <w:jc w:val="center"/>
              <w:rPr>
                <w:szCs w:val="21"/>
              </w:rPr>
            </w:pPr>
            <w:r>
              <w:rPr>
                <w:rFonts w:hint="eastAsia"/>
                <w:szCs w:val="21"/>
              </w:rPr>
              <w:t>其他结果</w:t>
            </w:r>
          </w:p>
        </w:tc>
        <w:tc>
          <w:tcPr>
            <w:tcW w:w="709" w:type="dxa"/>
            <w:vAlign w:val="center"/>
          </w:tcPr>
          <w:p>
            <w:pPr>
              <w:spacing w:line="560" w:lineRule="exact"/>
              <w:jc w:val="center"/>
              <w:rPr>
                <w:szCs w:val="21"/>
              </w:rPr>
            </w:pPr>
            <w:r>
              <w:rPr>
                <w:rFonts w:hint="eastAsia"/>
                <w:szCs w:val="21"/>
              </w:rPr>
              <w:t>尚未审结</w:t>
            </w:r>
          </w:p>
        </w:tc>
        <w:tc>
          <w:tcPr>
            <w:tcW w:w="425" w:type="dxa"/>
            <w:vAlign w:val="center"/>
          </w:tcPr>
          <w:p>
            <w:pPr>
              <w:spacing w:line="560" w:lineRule="exact"/>
              <w:jc w:val="center"/>
              <w:rPr>
                <w:szCs w:val="21"/>
              </w:rPr>
            </w:pPr>
            <w:r>
              <w:rPr>
                <w:rFonts w:hint="eastAsia"/>
                <w:szCs w:val="21"/>
              </w:rPr>
              <w:t>总计</w:t>
            </w:r>
          </w:p>
        </w:tc>
        <w:tc>
          <w:tcPr>
            <w:tcW w:w="709" w:type="dxa"/>
            <w:vAlign w:val="center"/>
          </w:tcPr>
          <w:p>
            <w:pPr>
              <w:spacing w:line="560" w:lineRule="exact"/>
              <w:jc w:val="center"/>
              <w:rPr>
                <w:szCs w:val="21"/>
              </w:rPr>
            </w:pPr>
            <w:r>
              <w:rPr>
                <w:rFonts w:hint="eastAsia"/>
                <w:szCs w:val="21"/>
              </w:rPr>
              <w:t>结果维持</w:t>
            </w:r>
          </w:p>
        </w:tc>
        <w:tc>
          <w:tcPr>
            <w:tcW w:w="708" w:type="dxa"/>
            <w:vAlign w:val="center"/>
          </w:tcPr>
          <w:p>
            <w:pPr>
              <w:spacing w:line="560" w:lineRule="exact"/>
              <w:jc w:val="center"/>
              <w:rPr>
                <w:szCs w:val="21"/>
              </w:rPr>
            </w:pPr>
            <w:r>
              <w:rPr>
                <w:rFonts w:hint="eastAsia"/>
                <w:szCs w:val="21"/>
              </w:rPr>
              <w:t>结果纠正</w:t>
            </w:r>
          </w:p>
        </w:tc>
        <w:tc>
          <w:tcPr>
            <w:tcW w:w="709" w:type="dxa"/>
            <w:vAlign w:val="center"/>
          </w:tcPr>
          <w:p>
            <w:pPr>
              <w:spacing w:line="560" w:lineRule="exact"/>
              <w:jc w:val="center"/>
              <w:rPr>
                <w:szCs w:val="21"/>
              </w:rPr>
            </w:pPr>
            <w:r>
              <w:rPr>
                <w:rFonts w:hint="eastAsia"/>
                <w:szCs w:val="21"/>
              </w:rPr>
              <w:t>其他结果</w:t>
            </w:r>
          </w:p>
        </w:tc>
        <w:tc>
          <w:tcPr>
            <w:tcW w:w="694" w:type="dxa"/>
            <w:vAlign w:val="center"/>
          </w:tcPr>
          <w:p>
            <w:pPr>
              <w:spacing w:line="560" w:lineRule="exact"/>
              <w:jc w:val="center"/>
              <w:rPr>
                <w:szCs w:val="21"/>
              </w:rPr>
            </w:pPr>
            <w:r>
              <w:rPr>
                <w:rFonts w:hint="eastAsia"/>
                <w:szCs w:val="21"/>
              </w:rPr>
              <w:t>尚未审结</w:t>
            </w:r>
          </w:p>
        </w:tc>
        <w:tc>
          <w:tcPr>
            <w:tcW w:w="425" w:type="dxa"/>
            <w:vAlign w:val="center"/>
          </w:tcPr>
          <w:p>
            <w:pPr>
              <w:spacing w:line="560" w:lineRule="exact"/>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spacing w:line="560" w:lineRule="exact"/>
              <w:jc w:val="center"/>
              <w:rPr>
                <w:sz w:val="18"/>
                <w:szCs w:val="18"/>
              </w:rPr>
            </w:pPr>
            <w:r>
              <w:rPr>
                <w:rFonts w:hint="eastAsia"/>
                <w:sz w:val="18"/>
                <w:szCs w:val="18"/>
              </w:rPr>
              <w:t>0</w:t>
            </w:r>
          </w:p>
        </w:tc>
        <w:tc>
          <w:tcPr>
            <w:tcW w:w="709" w:type="dxa"/>
            <w:vAlign w:val="center"/>
          </w:tcPr>
          <w:p>
            <w:pPr>
              <w:spacing w:line="560" w:lineRule="exact"/>
              <w:jc w:val="center"/>
              <w:rPr>
                <w:sz w:val="18"/>
                <w:szCs w:val="18"/>
              </w:rPr>
            </w:pPr>
            <w:r>
              <w:rPr>
                <w:rFonts w:hint="eastAsia"/>
                <w:sz w:val="18"/>
                <w:szCs w:val="18"/>
              </w:rPr>
              <w:t>0</w:t>
            </w:r>
          </w:p>
        </w:tc>
        <w:tc>
          <w:tcPr>
            <w:tcW w:w="709" w:type="dxa"/>
            <w:vAlign w:val="center"/>
          </w:tcPr>
          <w:p>
            <w:pPr>
              <w:spacing w:line="560" w:lineRule="exact"/>
              <w:jc w:val="center"/>
              <w:rPr>
                <w:sz w:val="18"/>
                <w:szCs w:val="18"/>
              </w:rPr>
            </w:pPr>
            <w:r>
              <w:rPr>
                <w:rFonts w:hint="eastAsia"/>
                <w:sz w:val="18"/>
                <w:szCs w:val="18"/>
              </w:rPr>
              <w:t>0</w:t>
            </w:r>
          </w:p>
        </w:tc>
        <w:tc>
          <w:tcPr>
            <w:tcW w:w="706" w:type="dxa"/>
            <w:vAlign w:val="center"/>
          </w:tcPr>
          <w:p>
            <w:pPr>
              <w:spacing w:line="560" w:lineRule="exact"/>
              <w:jc w:val="center"/>
              <w:rPr>
                <w:szCs w:val="21"/>
              </w:rPr>
            </w:pPr>
            <w:r>
              <w:rPr>
                <w:rFonts w:hint="eastAsia"/>
                <w:szCs w:val="21"/>
              </w:rPr>
              <w:t>0</w:t>
            </w:r>
          </w:p>
        </w:tc>
        <w:tc>
          <w:tcPr>
            <w:tcW w:w="428" w:type="dxa"/>
            <w:vAlign w:val="center"/>
          </w:tcPr>
          <w:p>
            <w:pPr>
              <w:spacing w:line="560" w:lineRule="exact"/>
              <w:jc w:val="center"/>
              <w:rPr>
                <w:szCs w:val="21"/>
              </w:rPr>
            </w:pPr>
            <w:r>
              <w:rPr>
                <w:rFonts w:hint="eastAsia"/>
                <w:szCs w:val="21"/>
              </w:rPr>
              <w:t>0</w:t>
            </w:r>
          </w:p>
        </w:tc>
        <w:tc>
          <w:tcPr>
            <w:tcW w:w="708" w:type="dxa"/>
            <w:vAlign w:val="center"/>
          </w:tcPr>
          <w:p>
            <w:pPr>
              <w:spacing w:line="560" w:lineRule="exact"/>
              <w:jc w:val="center"/>
              <w:rPr>
                <w:szCs w:val="21"/>
              </w:rPr>
            </w:pPr>
            <w:r>
              <w:rPr>
                <w:rFonts w:hint="eastAsia"/>
                <w:szCs w:val="21"/>
              </w:rPr>
              <w:t>0</w:t>
            </w:r>
          </w:p>
        </w:tc>
        <w:tc>
          <w:tcPr>
            <w:tcW w:w="709" w:type="dxa"/>
            <w:vAlign w:val="center"/>
          </w:tcPr>
          <w:p>
            <w:pPr>
              <w:spacing w:line="560" w:lineRule="exact"/>
              <w:jc w:val="center"/>
              <w:rPr>
                <w:szCs w:val="21"/>
              </w:rPr>
            </w:pPr>
            <w:r>
              <w:rPr>
                <w:rFonts w:hint="eastAsia"/>
                <w:szCs w:val="21"/>
              </w:rPr>
              <w:t>0</w:t>
            </w:r>
          </w:p>
        </w:tc>
        <w:tc>
          <w:tcPr>
            <w:tcW w:w="709" w:type="dxa"/>
            <w:vAlign w:val="center"/>
          </w:tcPr>
          <w:p>
            <w:pPr>
              <w:spacing w:line="560" w:lineRule="exact"/>
              <w:jc w:val="center"/>
              <w:rPr>
                <w:rFonts w:hint="eastAsia" w:eastAsiaTheme="minorEastAsia"/>
                <w:szCs w:val="21"/>
                <w:lang w:eastAsia="zh-CN"/>
              </w:rPr>
            </w:pPr>
            <w:r>
              <w:rPr>
                <w:rFonts w:hint="eastAsia"/>
                <w:szCs w:val="21"/>
                <w:lang w:val="en-US" w:eastAsia="zh-CN"/>
              </w:rPr>
              <w:t>0</w:t>
            </w:r>
          </w:p>
        </w:tc>
        <w:tc>
          <w:tcPr>
            <w:tcW w:w="709" w:type="dxa"/>
            <w:vAlign w:val="center"/>
          </w:tcPr>
          <w:p>
            <w:pPr>
              <w:spacing w:line="560" w:lineRule="exact"/>
              <w:jc w:val="center"/>
              <w:rPr>
                <w:szCs w:val="21"/>
              </w:rPr>
            </w:pPr>
            <w:r>
              <w:rPr>
                <w:rFonts w:hint="eastAsia"/>
                <w:szCs w:val="21"/>
              </w:rPr>
              <w:t>0</w:t>
            </w:r>
          </w:p>
        </w:tc>
        <w:tc>
          <w:tcPr>
            <w:tcW w:w="425" w:type="dxa"/>
            <w:vAlign w:val="center"/>
          </w:tcPr>
          <w:p>
            <w:pPr>
              <w:spacing w:line="560" w:lineRule="exact"/>
              <w:jc w:val="center"/>
              <w:rPr>
                <w:rFonts w:hint="eastAsia" w:eastAsiaTheme="minorEastAsia"/>
                <w:szCs w:val="21"/>
                <w:lang w:eastAsia="zh-CN"/>
              </w:rPr>
            </w:pPr>
            <w:r>
              <w:rPr>
                <w:rFonts w:hint="eastAsia"/>
                <w:szCs w:val="21"/>
                <w:lang w:val="en-US" w:eastAsia="zh-CN"/>
              </w:rPr>
              <w:t>0</w:t>
            </w:r>
          </w:p>
        </w:tc>
        <w:tc>
          <w:tcPr>
            <w:tcW w:w="709" w:type="dxa"/>
            <w:vAlign w:val="center"/>
          </w:tcPr>
          <w:p>
            <w:pPr>
              <w:spacing w:line="560" w:lineRule="exact"/>
              <w:jc w:val="center"/>
              <w:rPr>
                <w:szCs w:val="21"/>
              </w:rPr>
            </w:pPr>
            <w:r>
              <w:rPr>
                <w:rFonts w:hint="eastAsia"/>
                <w:szCs w:val="21"/>
              </w:rPr>
              <w:t>0</w:t>
            </w:r>
          </w:p>
        </w:tc>
        <w:tc>
          <w:tcPr>
            <w:tcW w:w="708" w:type="dxa"/>
            <w:vAlign w:val="center"/>
          </w:tcPr>
          <w:p>
            <w:pPr>
              <w:spacing w:line="560" w:lineRule="exact"/>
              <w:jc w:val="center"/>
              <w:rPr>
                <w:szCs w:val="21"/>
              </w:rPr>
            </w:pPr>
            <w:r>
              <w:rPr>
                <w:rFonts w:hint="eastAsia"/>
                <w:szCs w:val="21"/>
              </w:rPr>
              <w:t>0</w:t>
            </w:r>
          </w:p>
        </w:tc>
        <w:tc>
          <w:tcPr>
            <w:tcW w:w="709" w:type="dxa"/>
            <w:vAlign w:val="center"/>
          </w:tcPr>
          <w:p>
            <w:pPr>
              <w:spacing w:line="560" w:lineRule="exact"/>
              <w:jc w:val="center"/>
              <w:rPr>
                <w:szCs w:val="21"/>
              </w:rPr>
            </w:pPr>
            <w:r>
              <w:rPr>
                <w:rFonts w:hint="eastAsia"/>
                <w:szCs w:val="21"/>
              </w:rPr>
              <w:t>0</w:t>
            </w:r>
          </w:p>
        </w:tc>
        <w:tc>
          <w:tcPr>
            <w:tcW w:w="694" w:type="dxa"/>
            <w:vAlign w:val="center"/>
          </w:tcPr>
          <w:p>
            <w:pPr>
              <w:spacing w:line="560" w:lineRule="exact"/>
              <w:jc w:val="center"/>
              <w:rPr>
                <w:szCs w:val="21"/>
              </w:rPr>
            </w:pPr>
            <w:r>
              <w:rPr>
                <w:rFonts w:hint="eastAsia"/>
                <w:szCs w:val="21"/>
              </w:rPr>
              <w:t>0</w:t>
            </w:r>
          </w:p>
        </w:tc>
        <w:tc>
          <w:tcPr>
            <w:tcW w:w="425" w:type="dxa"/>
            <w:vAlign w:val="center"/>
          </w:tcPr>
          <w:p>
            <w:pPr>
              <w:spacing w:line="560" w:lineRule="exact"/>
              <w:jc w:val="center"/>
              <w:rPr>
                <w:szCs w:val="21"/>
              </w:rPr>
            </w:pPr>
            <w:r>
              <w:rPr>
                <w:rFonts w:hint="eastAsia"/>
                <w:szCs w:val="21"/>
              </w:rPr>
              <w:t>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（一）存在的问题</w:t>
      </w:r>
    </w:p>
    <w:p>
      <w:pPr>
        <w:spacing w:line="560" w:lineRule="exact"/>
        <w:ind w:firstLine="640" w:firstLineChars="200"/>
        <w:rPr>
          <w:rFonts w:hint="eastAsia" w:ascii="仿宋" w:hAnsi="仿宋" w:eastAsia="仿宋" w:cs="仿宋"/>
          <w:i w:val="0"/>
          <w:iCs w:val="0"/>
          <w:caps w:val="0"/>
          <w:color w:val="auto"/>
          <w:spacing w:val="0"/>
          <w:sz w:val="32"/>
          <w:szCs w:val="32"/>
          <w:u w:val="none"/>
          <w:bdr w:val="none" w:color="auto" w:sz="0" w:space="0"/>
          <w:shd w:val="clear" w:fill="FFFFFF"/>
        </w:rPr>
      </w:pPr>
      <w:r>
        <w:rPr>
          <w:rFonts w:hint="eastAsia" w:ascii="仿宋" w:hAnsi="仿宋" w:eastAsia="仿宋" w:cs="仿宋"/>
          <w:i w:val="0"/>
          <w:iCs w:val="0"/>
          <w:caps w:val="0"/>
          <w:color w:val="auto"/>
          <w:spacing w:val="0"/>
          <w:sz w:val="32"/>
          <w:szCs w:val="32"/>
          <w:u w:val="none"/>
          <w:bdr w:val="none" w:color="auto" w:sz="0" w:space="0"/>
          <w:shd w:val="clear" w:fill="FFFFFF"/>
        </w:rPr>
        <w:t>2022年，</w:t>
      </w:r>
      <w:r>
        <w:rPr>
          <w:rFonts w:hint="eastAsia" w:ascii="仿宋" w:hAnsi="仿宋" w:eastAsia="仿宋" w:cs="仿宋"/>
          <w:i w:val="0"/>
          <w:iCs w:val="0"/>
          <w:caps w:val="0"/>
          <w:color w:val="auto"/>
          <w:spacing w:val="0"/>
          <w:sz w:val="32"/>
          <w:szCs w:val="32"/>
          <w:u w:val="none"/>
          <w:bdr w:val="none" w:color="auto" w:sz="0" w:space="0"/>
          <w:shd w:val="clear" w:fill="FFFFFF"/>
          <w:lang w:val="en-US" w:eastAsia="zh-CN"/>
        </w:rPr>
        <w:t>区</w:t>
      </w:r>
      <w:r>
        <w:rPr>
          <w:rFonts w:hint="eastAsia" w:ascii="仿宋" w:hAnsi="仿宋" w:eastAsia="仿宋" w:cs="仿宋"/>
          <w:i w:val="0"/>
          <w:iCs w:val="0"/>
          <w:caps w:val="0"/>
          <w:color w:val="auto"/>
          <w:spacing w:val="0"/>
          <w:sz w:val="32"/>
          <w:szCs w:val="32"/>
          <w:u w:val="none"/>
          <w:bdr w:val="none" w:color="auto" w:sz="0" w:space="0"/>
          <w:shd w:val="clear" w:fill="FFFFFF"/>
        </w:rPr>
        <w:t>行政审批局较好地完成了政府信息公开工作，但也存在一些不足，如信息公开队伍专业化能力还需提升，信息公开载体服务水平还需提高，公开内容多以文字为主、形式比较单一等。</w:t>
      </w:r>
    </w:p>
    <w:p>
      <w:pPr>
        <w:numPr>
          <w:ilvl w:val="0"/>
          <w:numId w:val="3"/>
        </w:numPr>
        <w:spacing w:line="56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改进措施</w:t>
      </w:r>
    </w:p>
    <w:p>
      <w:pPr>
        <w:spacing w:line="560" w:lineRule="exact"/>
        <w:ind w:firstLine="643" w:firstLineChars="200"/>
        <w:rPr>
          <w:rFonts w:hint="eastAsia" w:ascii="仿宋" w:hAnsi="仿宋" w:eastAsia="仿宋" w:cs="仿宋"/>
          <w:i w:val="0"/>
          <w:iCs w:val="0"/>
          <w:caps w:val="0"/>
          <w:color w:val="auto"/>
          <w:spacing w:val="0"/>
          <w:sz w:val="32"/>
          <w:szCs w:val="32"/>
          <w:u w:val="none"/>
          <w:shd w:val="clear" w:fill="FFFFFF"/>
          <w:lang w:val="en-US" w:eastAsia="zh-CN"/>
        </w:rPr>
      </w:pPr>
      <w:r>
        <w:rPr>
          <w:rFonts w:hint="eastAsia" w:ascii="仿宋" w:hAnsi="仿宋" w:eastAsia="仿宋" w:cs="仿宋"/>
          <w:b/>
          <w:bCs/>
          <w:i w:val="0"/>
          <w:iCs w:val="0"/>
          <w:caps w:val="0"/>
          <w:color w:val="auto"/>
          <w:spacing w:val="0"/>
          <w:sz w:val="32"/>
          <w:szCs w:val="32"/>
          <w:u w:val="none"/>
          <w:shd w:val="clear" w:fill="FFFFFF"/>
        </w:rPr>
        <w:t>一是</w:t>
      </w:r>
      <w:r>
        <w:rPr>
          <w:rFonts w:hint="eastAsia" w:ascii="仿宋" w:hAnsi="仿宋" w:eastAsia="仿宋" w:cs="仿宋"/>
          <w:i w:val="0"/>
          <w:iCs w:val="0"/>
          <w:caps w:val="0"/>
          <w:color w:val="auto"/>
          <w:spacing w:val="0"/>
          <w:sz w:val="32"/>
          <w:szCs w:val="32"/>
          <w:u w:val="none"/>
          <w:shd w:val="clear" w:fill="FFFFFF"/>
        </w:rPr>
        <w:t>加强专业培训。加大对政务公开工作人员，包括各处室政务公开联络人的培训力度，组织学习政务公开相关规定和信息公开具体流程，持续提高工作人员素质和业务</w:t>
      </w:r>
      <w:r>
        <w:rPr>
          <w:rFonts w:hint="eastAsia" w:ascii="仿宋" w:hAnsi="仿宋" w:eastAsia="仿宋" w:cs="仿宋"/>
          <w:i w:val="0"/>
          <w:iCs w:val="0"/>
          <w:caps w:val="0"/>
          <w:color w:val="auto"/>
          <w:spacing w:val="0"/>
          <w:sz w:val="32"/>
          <w:szCs w:val="32"/>
          <w:u w:val="none"/>
          <w:shd w:val="clear" w:fill="FFFFFF"/>
          <w:lang w:val="en-US" w:eastAsia="zh-CN"/>
        </w:rPr>
        <w:t>水平。</w:t>
      </w:r>
    </w:p>
    <w:p>
      <w:pPr>
        <w:spacing w:line="560" w:lineRule="exact"/>
        <w:ind w:firstLine="643" w:firstLineChars="200"/>
        <w:rPr>
          <w:rFonts w:hint="eastAsia" w:ascii="仿宋" w:hAnsi="仿宋" w:eastAsia="仿宋" w:cs="仿宋"/>
          <w:i w:val="0"/>
          <w:iCs w:val="0"/>
          <w:caps w:val="0"/>
          <w:color w:val="auto"/>
          <w:spacing w:val="0"/>
          <w:sz w:val="32"/>
          <w:szCs w:val="32"/>
          <w:u w:val="none"/>
          <w:shd w:val="clear" w:fill="FFFFFF"/>
        </w:rPr>
      </w:pPr>
      <w:r>
        <w:rPr>
          <w:rFonts w:hint="eastAsia" w:ascii="仿宋" w:hAnsi="仿宋" w:eastAsia="仿宋" w:cs="仿宋"/>
          <w:b/>
          <w:bCs/>
          <w:i w:val="0"/>
          <w:iCs w:val="0"/>
          <w:caps w:val="0"/>
          <w:color w:val="auto"/>
          <w:spacing w:val="0"/>
          <w:sz w:val="32"/>
          <w:szCs w:val="32"/>
          <w:u w:val="none"/>
          <w:shd w:val="clear" w:fill="FFFFFF"/>
        </w:rPr>
        <w:t>二是</w:t>
      </w:r>
      <w:r>
        <w:rPr>
          <w:rFonts w:hint="eastAsia" w:ascii="仿宋" w:hAnsi="仿宋" w:eastAsia="仿宋" w:cs="仿宋"/>
          <w:i w:val="0"/>
          <w:iCs w:val="0"/>
          <w:caps w:val="0"/>
          <w:color w:val="auto"/>
          <w:spacing w:val="0"/>
          <w:sz w:val="32"/>
          <w:szCs w:val="32"/>
          <w:u w:val="none"/>
          <w:shd w:val="clear" w:fill="FFFFFF"/>
        </w:rPr>
        <w:t>完善平台建设。持续完善政府网站以及微信公众号等信息发布平台建设，规范开设相关栏目，做好信息内容保障。发挥实体服务大厅、一体化政务服务平台和政务服务便民热线优势，及时为群众提供政策咨询服务。</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u w:val="none"/>
          <w:shd w:val="clear" w:fill="FFFFFF"/>
        </w:rPr>
        <w:t>三是</w:t>
      </w:r>
      <w:r>
        <w:rPr>
          <w:rFonts w:hint="eastAsia" w:ascii="仿宋" w:hAnsi="仿宋" w:eastAsia="仿宋" w:cs="仿宋"/>
          <w:i w:val="0"/>
          <w:iCs w:val="0"/>
          <w:caps w:val="0"/>
          <w:color w:val="auto"/>
          <w:spacing w:val="0"/>
          <w:sz w:val="32"/>
          <w:szCs w:val="32"/>
          <w:u w:val="none"/>
          <w:shd w:val="clear" w:fill="FFFFFF"/>
        </w:rPr>
        <w:t>提升服务水平。探索丰富信息公开形式，以群众喜闻乐见的图文等形式公开相关政府信息，同时拓宽报刊、广播、电视、政务新媒体等公开渠道，进一步提升政务公开的实效。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pStyle w:val="4"/>
        <w:spacing w:beforeAutospacing="0" w:afterAutospacing="0"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000000"/>
          <w:sz w:val="32"/>
          <w:szCs w:val="32"/>
          <w:shd w:val="clear" w:color="auto" w:fill="FFFFFF"/>
        </w:rPr>
        <w:t>1、</w:t>
      </w:r>
      <w:r>
        <w:rPr>
          <w:rFonts w:ascii="楷体" w:hAnsi="楷体" w:eastAsia="楷体" w:cs="楷体"/>
          <w:color w:val="000000"/>
          <w:sz w:val="32"/>
          <w:szCs w:val="32"/>
          <w:shd w:val="clear" w:color="auto" w:fill="FFFFFF"/>
        </w:rPr>
        <w:t>收取信息处理费情况。</w:t>
      </w: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2</w:t>
      </w:r>
      <w:r>
        <w:rPr>
          <w:rFonts w:ascii="仿宋" w:hAnsi="仿宋" w:eastAsia="仿宋" w:cs="仿宋"/>
          <w:color w:val="000000"/>
          <w:sz w:val="32"/>
          <w:szCs w:val="32"/>
          <w:shd w:val="clear" w:color="auto" w:fill="FFFFFF"/>
        </w:rPr>
        <w:t>年政府信息公开未收取信息处理费。</w:t>
      </w:r>
    </w:p>
    <w:p>
      <w:pPr>
        <w:pStyle w:val="4"/>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rPr>
      </w:pPr>
      <w:r>
        <w:rPr>
          <w:rFonts w:ascii="仿宋" w:hAnsi="仿宋" w:eastAsia="仿宋" w:cs="仿宋"/>
          <w:color w:val="auto"/>
          <w:sz w:val="32"/>
          <w:szCs w:val="32"/>
          <w:shd w:val="clear" w:color="auto" w:fill="FFFFFF"/>
        </w:rPr>
        <w:t>2、</w:t>
      </w:r>
      <w:r>
        <w:rPr>
          <w:rFonts w:ascii="楷体" w:hAnsi="楷体" w:eastAsia="楷体" w:cs="楷体"/>
          <w:color w:val="auto"/>
          <w:sz w:val="32"/>
          <w:szCs w:val="32"/>
          <w:shd w:val="clear" w:color="auto" w:fill="FFFFFF"/>
        </w:rPr>
        <w:t>人大代表建议和政协提案办理结果情况。</w:t>
      </w:r>
      <w:r>
        <w:rPr>
          <w:rFonts w:hint="eastAsia" w:ascii="仿宋" w:hAnsi="仿宋" w:eastAsia="仿宋" w:cs="仿宋"/>
          <w:color w:val="auto"/>
          <w:sz w:val="32"/>
          <w:szCs w:val="32"/>
          <w:shd w:val="clear" w:color="auto" w:fill="FFFFFF"/>
        </w:rPr>
        <w:t>本年度收到人大建议0件；收到提案</w:t>
      </w:r>
      <w:r>
        <w:rPr>
          <w:rFonts w:hint="eastAsia" w:ascii="仿宋" w:hAnsi="仿宋" w:eastAsia="仿宋" w:cs="仿宋"/>
          <w:color w:val="auto"/>
          <w:sz w:val="32"/>
          <w:szCs w:val="32"/>
          <w:shd w:val="clear" w:color="auto" w:fill="FFFFFF"/>
          <w:lang w:val="en-US" w:eastAsia="zh-CN"/>
        </w:rPr>
        <w:t>0件</w:t>
      </w:r>
      <w:r>
        <w:rPr>
          <w:rFonts w:hint="eastAsia" w:ascii="仿宋" w:hAnsi="仿宋" w:eastAsia="仿宋" w:cs="仿宋"/>
          <w:color w:val="auto"/>
          <w:sz w:val="32"/>
          <w:szCs w:val="32"/>
          <w:shd w:val="clear" w:color="auto" w:fill="FFFFFF"/>
        </w:rPr>
        <w:t>。</w:t>
      </w:r>
    </w:p>
    <w:p>
      <w:pPr>
        <w:pStyle w:val="4"/>
        <w:spacing w:beforeAutospacing="0" w:afterAutospacing="0" w:line="560" w:lineRule="exact"/>
        <w:ind w:firstLine="640" w:firstLineChars="200"/>
        <w:jc w:val="both"/>
        <w:rPr>
          <w:rFonts w:hint="eastAsia" w:ascii="仿宋" w:hAnsi="仿宋" w:eastAsia="仿宋" w:cs="仿宋"/>
          <w:color w:val="000000"/>
          <w:sz w:val="32"/>
          <w:szCs w:val="32"/>
          <w:shd w:val="clear" w:color="auto" w:fill="FFFFFF"/>
          <w:lang w:val="en-US"/>
        </w:rPr>
      </w:pPr>
      <w:r>
        <w:rPr>
          <w:rFonts w:ascii="仿宋" w:hAnsi="仿宋" w:eastAsia="仿宋" w:cs="仿宋"/>
          <w:color w:val="000000"/>
          <w:sz w:val="32"/>
          <w:szCs w:val="32"/>
          <w:shd w:val="clear" w:color="auto" w:fill="FFFFFF"/>
        </w:rPr>
        <w:t>3、</w:t>
      </w:r>
      <w:r>
        <w:rPr>
          <w:rFonts w:ascii="楷体" w:hAnsi="楷体" w:eastAsia="楷体" w:cs="楷体"/>
          <w:color w:val="000000"/>
          <w:sz w:val="32"/>
          <w:szCs w:val="32"/>
          <w:shd w:val="clear" w:color="auto" w:fill="FFFFFF"/>
        </w:rPr>
        <w:t>年度工作要点落实情况。</w:t>
      </w:r>
      <w:r>
        <w:rPr>
          <w:rFonts w:hint="eastAsia" w:ascii="仿宋" w:hAnsi="仿宋" w:eastAsia="仿宋" w:cs="仿宋"/>
          <w:color w:val="000000"/>
          <w:sz w:val="32"/>
          <w:szCs w:val="32"/>
          <w:shd w:val="clear" w:color="auto" w:fill="FFFFFF"/>
          <w:lang w:val="en-US" w:eastAsia="zh-CN"/>
        </w:rPr>
        <w:t>2022年，</w:t>
      </w:r>
      <w:r>
        <w:rPr>
          <w:rFonts w:hint="eastAsia" w:ascii="仿宋" w:hAnsi="仿宋" w:eastAsia="仿宋" w:cs="仿宋"/>
          <w:color w:val="000000"/>
          <w:sz w:val="32"/>
          <w:szCs w:val="32"/>
          <w:shd w:val="clear" w:color="auto" w:fill="FFFFFF"/>
        </w:rPr>
        <w:t>区行政审批服务局</w:t>
      </w:r>
      <w:r>
        <w:rPr>
          <w:rFonts w:hint="eastAsia" w:ascii="仿宋" w:hAnsi="仿宋" w:eastAsia="仿宋" w:cs="仿宋"/>
          <w:color w:val="000000"/>
          <w:sz w:val="32"/>
          <w:szCs w:val="32"/>
          <w:shd w:val="clear" w:color="auto" w:fill="FFFFFF"/>
          <w:lang w:val="en-US" w:eastAsia="zh-CN"/>
        </w:rPr>
        <w:t>持续</w:t>
      </w:r>
      <w:r>
        <w:rPr>
          <w:rFonts w:hint="eastAsia" w:ascii="仿宋" w:hAnsi="仿宋" w:eastAsia="仿宋" w:cs="仿宋"/>
          <w:color w:val="000000"/>
          <w:sz w:val="32"/>
          <w:szCs w:val="32"/>
          <w:shd w:val="clear" w:color="auto" w:fill="FFFFFF"/>
        </w:rPr>
        <w:t>做</w:t>
      </w:r>
      <w:r>
        <w:rPr>
          <w:rFonts w:hint="eastAsia" w:ascii="仿宋" w:hAnsi="仿宋" w:eastAsia="仿宋" w:cs="仿宋"/>
          <w:color w:val="000000"/>
          <w:sz w:val="32"/>
          <w:szCs w:val="32"/>
          <w:shd w:val="clear" w:color="auto" w:fill="FFFFFF"/>
          <w:lang w:val="en-US" w:eastAsia="zh-CN"/>
        </w:rPr>
        <w:t>好</w:t>
      </w:r>
      <w:r>
        <w:rPr>
          <w:rFonts w:hint="eastAsia" w:ascii="仿宋" w:hAnsi="仿宋" w:eastAsia="仿宋" w:cs="仿宋"/>
          <w:color w:val="000000"/>
          <w:sz w:val="32"/>
          <w:szCs w:val="32"/>
          <w:shd w:val="clear" w:color="auto" w:fill="FFFFFF"/>
        </w:rPr>
        <w:t>政务公开工作，通过</w:t>
      </w:r>
      <w:r>
        <w:rPr>
          <w:rFonts w:hint="eastAsia" w:ascii="仿宋" w:hAnsi="仿宋" w:eastAsia="仿宋" w:cs="仿宋"/>
          <w:color w:val="000000"/>
          <w:sz w:val="32"/>
          <w:szCs w:val="32"/>
          <w:shd w:val="clear" w:color="auto" w:fill="FFFFFF"/>
          <w:lang w:val="en-US" w:eastAsia="zh-CN"/>
        </w:rPr>
        <w:t>加强政务公开主阵地建设、多渠道宣传、“政务服务”面对面</w:t>
      </w:r>
      <w:r>
        <w:rPr>
          <w:rFonts w:hint="eastAsia" w:ascii="仿宋" w:hAnsi="仿宋" w:eastAsia="仿宋" w:cs="仿宋"/>
          <w:color w:val="000000"/>
          <w:sz w:val="32"/>
          <w:szCs w:val="32"/>
          <w:shd w:val="clear" w:color="auto" w:fill="FFFFFF"/>
        </w:rPr>
        <w:t>等措施，全面提升政务公开</w:t>
      </w:r>
      <w:r>
        <w:rPr>
          <w:rFonts w:hint="eastAsia" w:ascii="仿宋" w:hAnsi="仿宋" w:eastAsia="仿宋" w:cs="仿宋"/>
          <w:color w:val="000000"/>
          <w:sz w:val="32"/>
          <w:szCs w:val="32"/>
          <w:shd w:val="clear" w:color="auto" w:fill="FFFFFF"/>
          <w:lang w:val="en-US" w:eastAsia="zh-CN"/>
        </w:rPr>
        <w:t>工作的标准化、规范化水平</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一是</w:t>
      </w:r>
      <w:r>
        <w:rPr>
          <w:rFonts w:hint="eastAsia" w:ascii="仿宋" w:hAnsi="仿宋" w:eastAsia="仿宋" w:cs="仿宋"/>
          <w:color w:val="000000"/>
          <w:sz w:val="32"/>
          <w:szCs w:val="32"/>
          <w:lang w:val="en-US" w:eastAsia="zh-CN"/>
        </w:rPr>
        <w:t>常态好做好“政务公开”网站的建设。对于各类公开事项按保密要求严格进行审核、把关，并积极与区政府办公室对接，确保公开信息不涉密、公开模块及时更新，做好网站日常维护与更新；积极报送政务公开信息，在市政府网站“政务公开”模块采用率较高，并且在每一季度的政务公开评估中均取得前三名。二是利用好新媒体进行宣传引导。充分发挥好“临淄审批服务”、“临淄政务服务”微信公众号和“临淄审批服务”视频号、抖音号的正面宣传、指引作用，及时发布各类办事指南、便民利企举措、政策解读等，一年内，共制</w:t>
      </w:r>
      <w:r>
        <w:rPr>
          <w:rFonts w:hint="eastAsia" w:ascii="仿宋" w:hAnsi="仿宋" w:eastAsia="仿宋" w:cs="仿宋"/>
          <w:color w:val="auto"/>
          <w:sz w:val="32"/>
          <w:szCs w:val="32"/>
          <w:lang w:val="en-US" w:eastAsia="zh-CN"/>
        </w:rPr>
        <w:t>作微信1000余条，阅读人次达20万人次以上，市局微信公众号采用我局信息80余篇，起到了良好的宣传、引导作用。三是政务公开面对面，</w:t>
      </w:r>
      <w:r>
        <w:rPr>
          <w:rFonts w:hint="eastAsia" w:ascii="仿宋" w:hAnsi="仿宋" w:eastAsia="仿宋" w:cs="仿宋"/>
          <w:color w:val="000000"/>
          <w:sz w:val="32"/>
          <w:szCs w:val="32"/>
          <w:lang w:val="en-US" w:eastAsia="zh-CN"/>
        </w:rPr>
        <w:t>政务服务零距离。组织开展“政风行风热线”“临淄区投资项目联合审批联席会议”“政务服务”好差评等，定期与企业、办事群众、新闻媒体、专家进行座谈，面对面听取意见建议，形成问题台账，及时进行整改反馈，不断提升政务服务工作的透明度，提高企业群众的获得感、满意度。</w:t>
      </w:r>
    </w:p>
    <w:p>
      <w:pPr>
        <w:pStyle w:val="4"/>
        <w:shd w:val="clear" w:color="auto" w:fill="FFFFFF"/>
        <w:spacing w:before="0" w:beforeAutospacing="0" w:after="0" w:afterAutospacing="0" w:line="560" w:lineRule="exact"/>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4、202</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年，区行政审批服务局政务公开工作无创新举措及其他仍需要报告的事项。</w:t>
      </w:r>
    </w:p>
    <w:p>
      <w:pPr>
        <w:pStyle w:val="4"/>
        <w:shd w:val="clear" w:color="auto" w:fill="FFFFFF"/>
        <w:spacing w:before="0" w:beforeAutospacing="0" w:after="0" w:afterAutospacing="0" w:line="560" w:lineRule="exact"/>
        <w:ind w:firstLine="640"/>
        <w:jc w:val="both"/>
        <w:rPr>
          <w:rFonts w:hint="default" w:ascii="仿宋" w:hAnsi="仿宋" w:eastAsia="仿宋" w:cs="仿宋"/>
          <w:color w:val="000000"/>
          <w:sz w:val="32"/>
          <w:szCs w:val="32"/>
          <w:shd w:val="clear" w:color="auto" w:fill="FFFFFF"/>
        </w:rPr>
      </w:pPr>
    </w:p>
    <w:p>
      <w:pPr>
        <w:pStyle w:val="4"/>
        <w:shd w:val="clear" w:color="auto" w:fill="FFFFFF"/>
        <w:spacing w:before="0" w:beforeAutospacing="0" w:after="0" w:afterAutospacing="0" w:line="560" w:lineRule="exact"/>
        <w:ind w:firstLine="4166" w:firstLineChars="1302"/>
        <w:jc w:val="both"/>
        <w:rPr>
          <w:rFonts w:hint="default" w:ascii="仿宋" w:hAnsi="仿宋" w:eastAsia="仿宋" w:cs="仿宋"/>
          <w:color w:val="000000"/>
          <w:sz w:val="32"/>
          <w:szCs w:val="32"/>
          <w:shd w:val="clear" w:color="auto" w:fill="FFFFFF"/>
        </w:rPr>
      </w:pPr>
    </w:p>
    <w:p>
      <w:pPr>
        <w:pStyle w:val="4"/>
        <w:shd w:val="clear" w:color="auto" w:fill="FFFFFF"/>
        <w:spacing w:before="0" w:beforeAutospacing="0" w:after="0" w:afterAutospacing="0" w:line="560" w:lineRule="exact"/>
        <w:ind w:firstLine="4166" w:firstLineChars="1302"/>
        <w:jc w:val="both"/>
        <w:rPr>
          <w:rFonts w:hint="default" w:ascii="仿宋" w:hAnsi="仿宋" w:eastAsia="仿宋" w:cs="仿宋"/>
          <w:color w:val="000000"/>
          <w:sz w:val="32"/>
          <w:szCs w:val="32"/>
          <w:shd w:val="clear" w:color="auto" w:fill="FFFFFF"/>
        </w:rPr>
      </w:pPr>
      <w:bookmarkStart w:id="0" w:name="_GoBack"/>
      <w:bookmarkEnd w:id="0"/>
    </w:p>
    <w:p>
      <w:pPr>
        <w:pStyle w:val="4"/>
        <w:shd w:val="clear" w:color="auto" w:fill="FFFFFF"/>
        <w:spacing w:before="0" w:beforeAutospacing="0" w:after="0" w:afterAutospacing="0" w:line="560" w:lineRule="exact"/>
        <w:ind w:firstLine="4166" w:firstLineChars="1302"/>
        <w:jc w:val="both"/>
        <w:rPr>
          <w:rFonts w:hint="default"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临淄区行政审批服务局</w:t>
      </w:r>
    </w:p>
    <w:p>
      <w:pPr>
        <w:pStyle w:val="4"/>
        <w:shd w:val="clear" w:color="auto" w:fill="FFFFFF"/>
        <w:spacing w:before="0" w:beforeAutospacing="0" w:after="0" w:afterAutospacing="0" w:line="560" w:lineRule="exact"/>
        <w:ind w:firstLine="4486" w:firstLineChars="1402"/>
        <w:jc w:val="both"/>
        <w:rPr>
          <w:rFonts w:hint="default"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2022年1月</w:t>
      </w:r>
      <w:r>
        <w:rPr>
          <w:rFonts w:hint="eastAsia" w:ascii="仿宋" w:hAnsi="仿宋" w:eastAsia="仿宋" w:cs="仿宋"/>
          <w:color w:val="000000"/>
          <w:sz w:val="32"/>
          <w:szCs w:val="32"/>
          <w:shd w:val="clear" w:color="auto" w:fill="FFFFFF"/>
          <w:lang w:val="en-US" w:eastAsia="zh-CN"/>
        </w:rPr>
        <w:t>2</w:t>
      </w:r>
      <w:r>
        <w:rPr>
          <w:rFonts w:ascii="仿宋" w:hAnsi="仿宋" w:eastAsia="仿宋" w:cs="仿宋"/>
          <w:color w:val="000000"/>
          <w:sz w:val="32"/>
          <w:szCs w:val="32"/>
          <w:shd w:val="clear" w:color="auto" w:fill="FFFFFF"/>
        </w:rPr>
        <w:t>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EAFBF2-6001-48F1-9F0C-3D22E9E713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DA8C156-6F1F-44D7-85AB-858C650BE93A}"/>
  </w:font>
  <w:font w:name="仿宋">
    <w:panose1 w:val="02010609060101010101"/>
    <w:charset w:val="86"/>
    <w:family w:val="modern"/>
    <w:pitch w:val="default"/>
    <w:sig w:usb0="800002BF" w:usb1="38CF7CFA" w:usb2="00000016" w:usb3="00000000" w:csb0="00040001" w:csb1="00000000"/>
    <w:embedRegular r:id="rId3" w:fontKey="{B04DE489-CB4C-446F-A479-BF6DF7EA0B55}"/>
  </w:font>
  <w:font w:name="仿宋_GB2312">
    <w:altName w:val="仿宋"/>
    <w:panose1 w:val="02010609030101010101"/>
    <w:charset w:val="86"/>
    <w:family w:val="modern"/>
    <w:pitch w:val="default"/>
    <w:sig w:usb0="00000000" w:usb1="00000000" w:usb2="00000000" w:usb3="00000000" w:csb0="00040000" w:csb1="00000000"/>
    <w:embedRegular r:id="rId4" w:fontKey="{BCF042C7-5B29-48D9-9155-69650FA3A9CF}"/>
  </w:font>
  <w:font w:name="楷体">
    <w:panose1 w:val="02010609060101010101"/>
    <w:charset w:val="86"/>
    <w:family w:val="modern"/>
    <w:pitch w:val="default"/>
    <w:sig w:usb0="800002BF" w:usb1="38CF7CFA" w:usb2="00000016" w:usb3="00000000" w:csb0="00040001" w:csb1="00000000"/>
    <w:embedRegular r:id="rId5" w:fontKey="{41FC0215-9127-4143-80DF-26A69ABE9976}"/>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97DF2"/>
    <w:multiLevelType w:val="singleLevel"/>
    <w:tmpl w:val="92297DF2"/>
    <w:lvl w:ilvl="0" w:tentative="0">
      <w:start w:val="1"/>
      <w:numFmt w:val="chineseCounting"/>
      <w:suff w:val="nothing"/>
      <w:lvlText w:val="%1、"/>
      <w:lvlJc w:val="left"/>
      <w:pPr>
        <w:ind w:left="640" w:leftChars="0" w:firstLine="0" w:firstLineChars="0"/>
      </w:pPr>
      <w:rPr>
        <w:rFonts w:hint="eastAsia"/>
      </w:rPr>
    </w:lvl>
  </w:abstractNum>
  <w:abstractNum w:abstractNumId="1">
    <w:nsid w:val="F4330FA9"/>
    <w:multiLevelType w:val="singleLevel"/>
    <w:tmpl w:val="F4330FA9"/>
    <w:lvl w:ilvl="0" w:tentative="0">
      <w:start w:val="2"/>
      <w:numFmt w:val="chineseCounting"/>
      <w:suff w:val="nothing"/>
      <w:lvlText w:val="（%1）"/>
      <w:lvlJc w:val="left"/>
      <w:rPr>
        <w:rFonts w:hint="eastAsia"/>
      </w:rPr>
    </w:lvl>
  </w:abstractNum>
  <w:abstractNum w:abstractNumId="2">
    <w:nsid w:val="3F0957C4"/>
    <w:multiLevelType w:val="singleLevel"/>
    <w:tmpl w:val="3F0957C4"/>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YjRjMmY4YWQ1NjY4OWRhZWI3ODIxYTQyZmQ3NzUifQ=="/>
  </w:docVars>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17A99"/>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138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A205C"/>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36FA4"/>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14715D0"/>
    <w:rsid w:val="03E20B08"/>
    <w:rsid w:val="09E96305"/>
    <w:rsid w:val="0B893C33"/>
    <w:rsid w:val="18542D30"/>
    <w:rsid w:val="18ED2570"/>
    <w:rsid w:val="19274786"/>
    <w:rsid w:val="1A431DE6"/>
    <w:rsid w:val="1F807702"/>
    <w:rsid w:val="1FD35E05"/>
    <w:rsid w:val="21601A33"/>
    <w:rsid w:val="22C87B72"/>
    <w:rsid w:val="23402606"/>
    <w:rsid w:val="29113AD6"/>
    <w:rsid w:val="2C1B7B34"/>
    <w:rsid w:val="30241CDB"/>
    <w:rsid w:val="32700456"/>
    <w:rsid w:val="334A6E71"/>
    <w:rsid w:val="367A54EC"/>
    <w:rsid w:val="37920E34"/>
    <w:rsid w:val="380A35FE"/>
    <w:rsid w:val="39393BDA"/>
    <w:rsid w:val="3A37578A"/>
    <w:rsid w:val="3AE07FA7"/>
    <w:rsid w:val="3DFB03D8"/>
    <w:rsid w:val="3F4818FD"/>
    <w:rsid w:val="40F6053A"/>
    <w:rsid w:val="41E57EEC"/>
    <w:rsid w:val="45BC650D"/>
    <w:rsid w:val="468E588C"/>
    <w:rsid w:val="4ABD7C9A"/>
    <w:rsid w:val="4CD32211"/>
    <w:rsid w:val="4CE71842"/>
    <w:rsid w:val="4DE93206"/>
    <w:rsid w:val="50A2611F"/>
    <w:rsid w:val="5A0370B1"/>
    <w:rsid w:val="5CB564CD"/>
    <w:rsid w:val="5CFD1B08"/>
    <w:rsid w:val="5D476A9B"/>
    <w:rsid w:val="61003ACC"/>
    <w:rsid w:val="639E1178"/>
    <w:rsid w:val="656942F9"/>
    <w:rsid w:val="66477E7F"/>
    <w:rsid w:val="671715CF"/>
    <w:rsid w:val="682C160E"/>
    <w:rsid w:val="68832525"/>
    <w:rsid w:val="6C392935"/>
    <w:rsid w:val="6E11552E"/>
    <w:rsid w:val="6FED3C1E"/>
    <w:rsid w:val="71C14B7C"/>
    <w:rsid w:val="73763F4E"/>
    <w:rsid w:val="755C29B1"/>
    <w:rsid w:val="799120DB"/>
    <w:rsid w:val="7B0316D2"/>
    <w:rsid w:val="7DF37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2917</Words>
  <Characters>3022</Characters>
  <Lines>24</Lines>
  <Paragraphs>6</Paragraphs>
  <TotalTime>5</TotalTime>
  <ScaleCrop>false</ScaleCrop>
  <LinksUpToDate>false</LinksUpToDate>
  <CharactersWithSpaces>3048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2022-01-26T09:33:00Z</dcterms:created>
  <dc:creator>China</dc:creator>
  <cp:lastModifiedBy>姜伟霞</cp:lastModifiedBy>
  <dcterms:modified xsi:type="dcterms:W3CDTF">2023-02-07T02:52:33Z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A25F2CF7E2294B609E214165B1B12EF6</vt:lpwstr>
  </property>
</Properties>
</file>