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w:t>
      </w:r>
      <w:r>
        <w:rPr>
          <w:rFonts w:hint="eastAsia" w:ascii="方正小标宋简体" w:hAnsi="方正小标宋简体" w:eastAsia="方正小标宋简体" w:cs="方正小标宋简体"/>
          <w:sz w:val="44"/>
          <w:szCs w:val="44"/>
          <w:lang w:val="en-US" w:eastAsia="zh-CN"/>
        </w:rPr>
        <w:t>应急</w:t>
      </w:r>
      <w:r>
        <w:rPr>
          <w:rFonts w:hint="eastAsia" w:ascii="方正小标宋简体" w:hAnsi="方正小标宋简体" w:eastAsia="方正小标宋简体" w:cs="方正小标宋简体"/>
          <w:sz w:val="44"/>
          <w:szCs w:val="44"/>
        </w:rPr>
        <w:t>管理局2020年政府信息公开工作年度报告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根据《中华人民共和国政府信息公开条例》以及国家、省、市、区有关要求，现向社会公布2020年度</w:t>
      </w:r>
      <w:r>
        <w:rPr>
          <w:rFonts w:hint="eastAsia" w:ascii="仿宋_GB2312" w:hAnsi="仿宋_GB2312" w:eastAsia="仿宋_GB2312" w:cs="仿宋_GB2312"/>
          <w:sz w:val="32"/>
          <w:szCs w:val="32"/>
          <w:lang w:val="en-US" w:eastAsia="zh-CN"/>
        </w:rPr>
        <w:t>临淄</w:t>
      </w:r>
      <w:r>
        <w:rPr>
          <w:rFonts w:hint="eastAsia" w:ascii="仿宋_GB2312" w:hAnsi="仿宋_GB2312" w:eastAsia="仿宋_GB2312" w:cs="仿宋_GB2312"/>
          <w:sz w:val="32"/>
          <w:szCs w:val="32"/>
        </w:rPr>
        <w:t>区应急管理局（以下简称“区应急局”）政府信息公开工作年度报告。本报告中所列数据的统计期限自2020年1月1日起至2020年12月31日止。报告电子版可在</w:t>
      </w:r>
      <w:r>
        <w:rPr>
          <w:rFonts w:hint="eastAsia" w:ascii="仿宋_GB2312" w:hAnsi="仿宋_GB2312" w:eastAsia="仿宋_GB2312" w:cs="仿宋_GB2312"/>
          <w:sz w:val="32"/>
          <w:szCs w:val="32"/>
          <w:lang w:val="en-US" w:eastAsia="zh-CN"/>
        </w:rPr>
        <w:t>临淄</w:t>
      </w:r>
      <w:r>
        <w:rPr>
          <w:rFonts w:hint="eastAsia" w:ascii="仿宋_GB2312" w:hAnsi="仿宋_GB2312" w:eastAsia="仿宋_GB2312" w:cs="仿宋_GB2312"/>
          <w:sz w:val="32"/>
          <w:szCs w:val="32"/>
        </w:rPr>
        <w:t>区应急管理局政府信息公开网下载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http://www.linzi.gov.cn/gongkai/site_lzqyjglj/</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。如对本报告有任何疑问，请与区应急局办公室联系（地址：临淄区</w:t>
      </w:r>
      <w:r>
        <w:rPr>
          <w:rFonts w:hint="eastAsia" w:ascii="仿宋_GB2312" w:hAnsi="仿宋_GB2312" w:eastAsia="仿宋_GB2312" w:cs="仿宋_GB2312"/>
          <w:sz w:val="32"/>
          <w:szCs w:val="32"/>
          <w:lang w:val="en-US" w:eastAsia="zh-CN"/>
        </w:rPr>
        <w:t>雪宫路309</w:t>
      </w:r>
      <w:r>
        <w:rPr>
          <w:rFonts w:hint="eastAsia" w:ascii="仿宋_GB2312" w:hAnsi="仿宋_GB2312" w:eastAsia="仿宋_GB2312" w:cs="仿宋_GB2312"/>
          <w:sz w:val="32"/>
          <w:szCs w:val="32"/>
        </w:rPr>
        <w:t>号；邮编：255400；联系电话：0533-7</w:t>
      </w:r>
      <w:r>
        <w:rPr>
          <w:rFonts w:hint="eastAsia" w:ascii="仿宋_GB2312" w:hAnsi="仿宋_GB2312" w:eastAsia="仿宋_GB2312" w:cs="仿宋_GB2312"/>
          <w:sz w:val="32"/>
          <w:szCs w:val="32"/>
          <w:lang w:val="en-US" w:eastAsia="zh-CN"/>
        </w:rPr>
        <w:t>163086</w:t>
      </w:r>
      <w:r>
        <w:rPr>
          <w:rFonts w:hint="eastAsia" w:ascii="仿宋_GB2312" w:hAnsi="仿宋_GB2312" w:eastAsia="仿宋_GB2312" w:cs="仿宋_GB2312"/>
          <w:sz w:val="32"/>
          <w:szCs w:val="32"/>
        </w:rPr>
        <w:t>；传真：0533-7</w:t>
      </w:r>
      <w:r>
        <w:rPr>
          <w:rFonts w:hint="eastAsia" w:ascii="仿宋_GB2312" w:hAnsi="仿宋_GB2312" w:eastAsia="仿宋_GB2312" w:cs="仿宋_GB2312"/>
          <w:sz w:val="32"/>
          <w:szCs w:val="32"/>
          <w:lang w:val="en-US" w:eastAsia="zh-CN"/>
        </w:rPr>
        <w:t>175298</w:t>
      </w: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"mailto:lzqaj@zb.shandong.cn）。"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lzq</w:t>
      </w:r>
      <w:r>
        <w:rPr>
          <w:rFonts w:hint="eastAsia" w:ascii="仿宋_GB2312" w:hAnsi="仿宋_GB2312" w:eastAsia="仿宋_GB2312" w:cs="仿宋_GB2312"/>
          <w:sz w:val="32"/>
          <w:szCs w:val="32"/>
          <w:lang w:val="en-US" w:eastAsia="zh-CN"/>
        </w:rPr>
        <w:t>aj</w:t>
      </w:r>
      <w:r>
        <w:rPr>
          <w:rFonts w:hint="eastAsia" w:ascii="仿宋_GB2312" w:hAnsi="仿宋_GB2312" w:eastAsia="仿宋_GB2312" w:cs="仿宋_GB2312"/>
          <w:sz w:val="32"/>
          <w:szCs w:val="32"/>
        </w:rPr>
        <w:t>@zb.shandong.cn）。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局的政府信息公开工作坚持以习近平新时代中国特色社会主义思想为指引，认真贯彻落实省市区工作部署，在区委、区政府的正确领导下和区政务公开办具体指导下，结合应急管理和安全生产工作实际，进一步细化政务公开工作任务，加大政务公开力度，深入推进政务决策公开、执行公开、管理公开、服务公开和结果公开，深化重点领域信息公开，完善政务公开体制机制，切实加强政策解读，主动回应社会关切，不断推进政务公开工作向纵深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法定主动公开内容。</w:t>
      </w:r>
      <w:r>
        <w:rPr>
          <w:rFonts w:hint="eastAsia" w:ascii="仿宋_GB2312" w:hAnsi="仿宋_GB2312" w:eastAsia="仿宋_GB2312" w:cs="仿宋_GB2312"/>
          <w:sz w:val="32"/>
          <w:szCs w:val="32"/>
        </w:rPr>
        <w:t>其中业务工作</w:t>
      </w: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条、机构职能</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法规公文47条、</w:t>
      </w:r>
      <w:r>
        <w:rPr>
          <w:rFonts w:hint="eastAsia" w:ascii="仿宋_GB2312" w:hAnsi="仿宋_GB2312" w:eastAsia="仿宋_GB2312" w:cs="仿宋_GB2312"/>
          <w:sz w:val="32"/>
          <w:szCs w:val="32"/>
        </w:rPr>
        <w:t>部门会议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条、规划计划3条、</w:t>
      </w:r>
      <w:r>
        <w:rPr>
          <w:rFonts w:hint="eastAsia" w:ascii="仿宋_GB2312" w:hAnsi="仿宋_GB2312" w:eastAsia="仿宋_GB2312" w:cs="仿宋_GB2312"/>
          <w:sz w:val="32"/>
          <w:szCs w:val="32"/>
          <w:lang w:val="en-US" w:eastAsia="zh-CN"/>
        </w:rPr>
        <w:t>社会救助7</w:t>
      </w:r>
      <w:r>
        <w:rPr>
          <w:rFonts w:hint="eastAsia" w:ascii="仿宋_GB2312" w:hAnsi="仿宋_GB2312" w:eastAsia="仿宋_GB2312" w:cs="仿宋_GB2312"/>
          <w:sz w:val="32"/>
          <w:szCs w:val="32"/>
        </w:rPr>
        <w:t>条、脱贫攻坚3条、重要部署</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条、财政预决算信息</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条、“双随机、一公开”信息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条、行政执法信息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优化服务1条、</w:t>
      </w:r>
      <w:r>
        <w:rPr>
          <w:rFonts w:hint="eastAsia" w:ascii="仿宋_GB2312" w:hAnsi="仿宋_GB2312" w:eastAsia="仿宋_GB2312" w:cs="仿宋_GB2312"/>
          <w:sz w:val="32"/>
          <w:szCs w:val="32"/>
        </w:rPr>
        <w:t>优化营商环境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条、应急管理</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条、政府信息公开指南1条、政协提案办理情况说明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条、其他</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条。（以下为部分主动公开信息截图。）</w:t>
      </w:r>
    </w:p>
    <w:p>
      <w:pPr>
        <w:widowControl w:val="0"/>
        <w:numPr>
          <w:numId w:val="0"/>
        </w:numPr>
        <w:jc w:val="both"/>
        <w:rPr>
          <w:rFonts w:hint="eastAsia" w:ascii="仿宋" w:hAnsi="仿宋" w:eastAsia="仿宋" w:cs="仿宋"/>
          <w:i w:val="0"/>
          <w:caps w:val="0"/>
          <w:color w:val="000000" w:themeColor="text1"/>
          <w:spacing w:val="0"/>
          <w:sz w:val="32"/>
          <w:szCs w:val="32"/>
          <w:bdr w:val="none" w:color="auto" w:sz="0" w:space="0"/>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drawing>
          <wp:inline distT="0" distB="0" distL="114300" distR="114300">
            <wp:extent cx="5269865" cy="2425065"/>
            <wp:effectExtent l="0" t="0" r="6985" b="13335"/>
            <wp:docPr id="4" name="图片 4" descr="360截图2021012910535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60截图20210129105352443"/>
                    <pic:cNvPicPr>
                      <a:picLocks noChangeAspect="1"/>
                    </pic:cNvPicPr>
                  </pic:nvPicPr>
                  <pic:blipFill>
                    <a:blip r:embed="rId4"/>
                    <a:stretch>
                      <a:fillRect/>
                    </a:stretch>
                  </pic:blipFill>
                  <pic:spPr>
                    <a:xfrm>
                      <a:off x="0" y="0"/>
                      <a:ext cx="5269865" cy="2425065"/>
                    </a:xfrm>
                    <a:prstGeom prst="rect">
                      <a:avLst/>
                    </a:prstGeom>
                  </pic:spPr>
                </pic:pic>
              </a:graphicData>
            </a:graphic>
          </wp:inline>
        </w:drawing>
      </w:r>
    </w:p>
    <w:p>
      <w:pPr>
        <w:widowControl w:val="0"/>
        <w:numPr>
          <w:numId w:val="0"/>
        </w:numPr>
        <w:jc w:val="center"/>
        <w:rPr>
          <w:rFonts w:hint="eastAsia" w:ascii="仿宋" w:hAnsi="仿宋" w:eastAsia="仿宋" w:cs="仿宋"/>
          <w:i w:val="0"/>
          <w:caps w:val="0"/>
          <w:color w:val="000000" w:themeColor="text1"/>
          <w:spacing w:val="0"/>
          <w:sz w:val="32"/>
          <w:szCs w:val="32"/>
          <w:bdr w:val="none" w:color="auto" w:sz="0" w:space="0"/>
          <w:shd w:val="clear" w:fill="FFFFFF"/>
          <w14:textFill>
            <w14:solidFill>
              <w14:schemeClr w14:val="tx1"/>
            </w14:solidFill>
          </w14:textFill>
        </w:rPr>
      </w:pPr>
      <w:r>
        <w:rPr>
          <w:rFonts w:ascii="仿宋" w:hAnsi="仿宋" w:eastAsia="仿宋" w:cs="仿宋"/>
          <w:i w:val="0"/>
          <w:caps w:val="0"/>
          <w:color w:val="000000" w:themeColor="text1"/>
          <w:spacing w:val="0"/>
          <w:sz w:val="32"/>
          <w:szCs w:val="32"/>
          <w:shd w:val="clear" w:fill="FFFFFF"/>
          <w14:textFill>
            <w14:solidFill>
              <w14:schemeClr w14:val="tx1"/>
            </w14:solidFill>
          </w14:textFill>
        </w:rPr>
        <w:t>图1.</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法规公文</w:t>
      </w:r>
      <w:r>
        <w:rPr>
          <w:rFonts w:ascii="仿宋" w:hAnsi="仿宋" w:eastAsia="仿宋" w:cs="仿宋"/>
          <w:i w:val="0"/>
          <w:caps w:val="0"/>
          <w:color w:val="000000" w:themeColor="text1"/>
          <w:spacing w:val="0"/>
          <w:sz w:val="32"/>
          <w:szCs w:val="32"/>
          <w:shd w:val="clear" w:fill="FFFFFF"/>
          <w14:textFill>
            <w14:solidFill>
              <w14:schemeClr w14:val="tx1"/>
            </w14:solidFill>
          </w14:textFill>
        </w:rPr>
        <w:t>信息截图</w:t>
      </w:r>
    </w:p>
    <w:p>
      <w:pPr>
        <w:widowControl w:val="0"/>
        <w:numPr>
          <w:numId w:val="0"/>
        </w:numPr>
        <w:jc w:val="both"/>
        <w:rPr>
          <w:rFonts w:hint="eastAsia" w:ascii="仿宋" w:hAnsi="仿宋" w:eastAsia="仿宋" w:cs="仿宋"/>
          <w:i w:val="0"/>
          <w:caps w:val="0"/>
          <w:color w:val="000000" w:themeColor="text1"/>
          <w:spacing w:val="0"/>
          <w:sz w:val="32"/>
          <w:szCs w:val="32"/>
          <w:bdr w:val="none" w:color="auto" w:sz="0" w:space="0"/>
          <w:shd w:val="clear" w:fill="FFFFFF"/>
          <w14:textFill>
            <w14:solidFill>
              <w14:schemeClr w14:val="tx1"/>
            </w14:solidFill>
          </w14:textFill>
        </w:rPr>
      </w:pPr>
    </w:p>
    <w:p>
      <w:pPr>
        <w:numPr>
          <w:numId w:val="0"/>
        </w:numP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drawing>
          <wp:inline distT="0" distB="0" distL="114300" distR="114300">
            <wp:extent cx="5268595" cy="2557780"/>
            <wp:effectExtent l="0" t="0" r="8255" b="13970"/>
            <wp:docPr id="3" name="图片 3" descr="360截图2021012910544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0截图20210129105447530"/>
                    <pic:cNvPicPr>
                      <a:picLocks noChangeAspect="1"/>
                    </pic:cNvPicPr>
                  </pic:nvPicPr>
                  <pic:blipFill>
                    <a:blip r:embed="rId5"/>
                    <a:stretch>
                      <a:fillRect/>
                    </a:stretch>
                  </pic:blipFill>
                  <pic:spPr>
                    <a:xfrm>
                      <a:off x="0" y="0"/>
                      <a:ext cx="5268595" cy="2557780"/>
                    </a:xfrm>
                    <a:prstGeom prst="rect">
                      <a:avLst/>
                    </a:prstGeom>
                  </pic:spPr>
                </pic:pic>
              </a:graphicData>
            </a:graphic>
          </wp:inline>
        </w:drawing>
      </w:r>
    </w:p>
    <w:p>
      <w:pPr>
        <w:numPr>
          <w:numId w:val="0"/>
        </w:numPr>
        <w:jc w:val="cente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ascii="仿宋" w:hAnsi="仿宋" w:eastAsia="仿宋" w:cs="仿宋"/>
          <w:i w:val="0"/>
          <w:caps w:val="0"/>
          <w:color w:val="000000" w:themeColor="text1"/>
          <w:spacing w:val="0"/>
          <w:sz w:val="32"/>
          <w:szCs w:val="32"/>
          <w:shd w:val="clear" w:fill="FFFFFF"/>
          <w14:textFill>
            <w14:solidFill>
              <w14:schemeClr w14:val="tx1"/>
            </w14:solidFill>
          </w14:textFill>
        </w:rPr>
        <w:t>图</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2</w:t>
      </w:r>
      <w:r>
        <w:rPr>
          <w:rFonts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应急管理</w:t>
      </w:r>
      <w:r>
        <w:rPr>
          <w:rFonts w:ascii="仿宋" w:hAnsi="仿宋" w:eastAsia="仿宋" w:cs="仿宋"/>
          <w:i w:val="0"/>
          <w:caps w:val="0"/>
          <w:color w:val="000000" w:themeColor="text1"/>
          <w:spacing w:val="0"/>
          <w:sz w:val="32"/>
          <w:szCs w:val="32"/>
          <w:shd w:val="clear" w:fill="FFFFFF"/>
          <w14:textFill>
            <w14:solidFill>
              <w14:schemeClr w14:val="tx1"/>
            </w14:solidFill>
          </w14:textFill>
        </w:rPr>
        <w:t>信息截图</w:t>
      </w:r>
    </w:p>
    <w:p>
      <w:pPr>
        <w:numPr>
          <w:numId w:val="0"/>
        </w:numPr>
        <w:rPr>
          <w:rFonts w:hint="eastAsia" w:ascii="仿宋" w:hAnsi="仿宋" w:eastAsia="仿宋" w:cs="仿宋"/>
          <w:i w:val="0"/>
          <w:caps w:val="0"/>
          <w:color w:val="000000" w:themeColor="text1"/>
          <w:spacing w:val="0"/>
          <w:sz w:val="32"/>
          <w:szCs w:val="32"/>
          <w:bdr w:val="none" w:color="auto" w:sz="0" w:space="0"/>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bdr w:val="none" w:color="auto" w:sz="0" w:space="0"/>
          <w:shd w:val="clear" w:fill="FFFFFF"/>
          <w:lang w:eastAsia="zh-CN"/>
          <w14:textFill>
            <w14:solidFill>
              <w14:schemeClr w14:val="tx1"/>
            </w14:solidFill>
          </w14:textFill>
        </w:rPr>
        <w:drawing>
          <wp:inline distT="0" distB="0" distL="114300" distR="114300">
            <wp:extent cx="5264785" cy="2583815"/>
            <wp:effectExtent l="0" t="0" r="12065" b="6985"/>
            <wp:docPr id="2" name="图片 2" descr="360截图2021012910553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0截图20210129105531322"/>
                    <pic:cNvPicPr>
                      <a:picLocks noChangeAspect="1"/>
                    </pic:cNvPicPr>
                  </pic:nvPicPr>
                  <pic:blipFill>
                    <a:blip r:embed="rId6"/>
                    <a:stretch>
                      <a:fillRect/>
                    </a:stretch>
                  </pic:blipFill>
                  <pic:spPr>
                    <a:xfrm>
                      <a:off x="0" y="0"/>
                      <a:ext cx="5264785" cy="2583815"/>
                    </a:xfrm>
                    <a:prstGeom prst="rect">
                      <a:avLst/>
                    </a:prstGeom>
                  </pic:spPr>
                </pic:pic>
              </a:graphicData>
            </a:graphic>
          </wp:inline>
        </w:drawing>
      </w:r>
    </w:p>
    <w:p>
      <w:pPr>
        <w:numPr>
          <w:numId w:val="0"/>
        </w:numPr>
        <w:jc w:val="center"/>
        <w:rPr>
          <w:rFonts w:ascii="仿宋" w:hAnsi="仿宋" w:eastAsia="仿宋" w:cs="仿宋"/>
          <w:i w:val="0"/>
          <w:caps w:val="0"/>
          <w:color w:val="000000" w:themeColor="text1"/>
          <w:spacing w:val="0"/>
          <w:sz w:val="32"/>
          <w:szCs w:val="32"/>
          <w:shd w:val="clear" w:fill="FFFFFF"/>
          <w14:textFill>
            <w14:solidFill>
              <w14:schemeClr w14:val="tx1"/>
            </w14:solidFill>
          </w14:textFill>
        </w:rPr>
      </w:pPr>
      <w:r>
        <w:rPr>
          <w:rFonts w:ascii="仿宋" w:hAnsi="仿宋" w:eastAsia="仿宋" w:cs="仿宋"/>
          <w:i w:val="0"/>
          <w:caps w:val="0"/>
          <w:color w:val="000000" w:themeColor="text1"/>
          <w:spacing w:val="0"/>
          <w:sz w:val="32"/>
          <w:szCs w:val="32"/>
          <w:shd w:val="clear" w:fill="FFFFFF"/>
          <w14:textFill>
            <w14:solidFill>
              <w14:schemeClr w14:val="tx1"/>
            </w14:solidFill>
          </w14:textFill>
        </w:rPr>
        <w:t>图</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3</w:t>
      </w:r>
      <w:r>
        <w:rPr>
          <w:rFonts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行政执法信息</w:t>
      </w:r>
      <w:r>
        <w:rPr>
          <w:rFonts w:ascii="仿宋" w:hAnsi="仿宋" w:eastAsia="仿宋" w:cs="仿宋"/>
          <w:i w:val="0"/>
          <w:caps w:val="0"/>
          <w:color w:val="000000" w:themeColor="text1"/>
          <w:spacing w:val="0"/>
          <w:sz w:val="32"/>
          <w:szCs w:val="32"/>
          <w:shd w:val="clear" w:fill="FFFFFF"/>
          <w14:textFill>
            <w14:solidFill>
              <w14:schemeClr w14:val="tx1"/>
            </w14:solidFill>
          </w14:textFill>
        </w:rPr>
        <w:t>截图</w:t>
      </w:r>
    </w:p>
    <w:p>
      <w:pPr>
        <w:numPr>
          <w:numId w:val="0"/>
        </w:numP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drawing>
          <wp:inline distT="0" distB="0" distL="114300" distR="114300">
            <wp:extent cx="5273675" cy="2579370"/>
            <wp:effectExtent l="0" t="0" r="3175" b="11430"/>
            <wp:docPr id="5" name="图片 5" descr="360截图2021012911002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0截图20210129110027891"/>
                    <pic:cNvPicPr>
                      <a:picLocks noChangeAspect="1"/>
                    </pic:cNvPicPr>
                  </pic:nvPicPr>
                  <pic:blipFill>
                    <a:blip r:embed="rId7"/>
                    <a:stretch>
                      <a:fillRect/>
                    </a:stretch>
                  </pic:blipFill>
                  <pic:spPr>
                    <a:xfrm>
                      <a:off x="0" y="0"/>
                      <a:ext cx="5273675" cy="2579370"/>
                    </a:xfrm>
                    <a:prstGeom prst="rect">
                      <a:avLst/>
                    </a:prstGeom>
                  </pic:spPr>
                </pic:pic>
              </a:graphicData>
            </a:graphic>
          </wp:inline>
        </w:drawing>
      </w:r>
    </w:p>
    <w:p>
      <w:pPr>
        <w:numPr>
          <w:numId w:val="0"/>
        </w:numPr>
        <w:jc w:val="cente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图4.业务工作</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信息</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截图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依申请公开情况。</w:t>
      </w:r>
      <w:r>
        <w:rPr>
          <w:rFonts w:hint="eastAsia" w:ascii="仿宋_GB2312" w:hAnsi="仿宋_GB2312" w:eastAsia="仿宋_GB2312" w:cs="仿宋_GB2312"/>
          <w:sz w:val="32"/>
          <w:szCs w:val="32"/>
        </w:rPr>
        <w:t>根据新条例完善依申请公开制度和公开指南，设立依申请公开受理点，公众可通过电话、邮件、网络等多种方式申请政府信息公开；规范政府信息依申请公开的受理、审查、处理、答复等各环节的工作流程，做好合法性审查，确保答复时限和答复内容的依法依规。2020年，共收到政府信息公开申请0件，予以公开0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（三）建议提案办理公开情况。</w:t>
      </w:r>
      <w:r>
        <w:rPr>
          <w:rFonts w:hint="eastAsia" w:ascii="仿宋_GB2312" w:hAnsi="仿宋_GB2312" w:eastAsia="仿宋_GB2312" w:cs="仿宋_GB2312"/>
          <w:sz w:val="32"/>
          <w:szCs w:val="32"/>
        </w:rPr>
        <w:t>2020年区</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局共收到区政协十届四次会议</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号、12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项提案。对收到的全部提案区</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局进行了认真办理，办结率100%、满意率100%，并及时公开办理情况报告，接受社会监督。</w:t>
      </w:r>
    </w:p>
    <w:p>
      <w:pPr>
        <w:ind w:firstLine="640" w:firstLineChars="200"/>
        <w:rPr>
          <w:rFonts w:hint="eastAsia" w:ascii="仿宋" w:hAnsi="仿宋" w:eastAsia="仿宋" w:cs="仿宋"/>
          <w:i w:val="0"/>
          <w:caps w:val="0"/>
          <w:color w:val="000000" w:themeColor="text1"/>
          <w:spacing w:val="0"/>
          <w:sz w:val="32"/>
          <w:szCs w:val="32"/>
          <w:bdr w:val="none" w:color="auto" w:sz="0" w:space="0"/>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bdr w:val="none" w:color="auto" w:sz="0" w:space="0"/>
          <w:shd w:val="clear" w:fill="FFFFFF"/>
          <w:lang w:eastAsia="zh-CN"/>
          <w14:textFill>
            <w14:solidFill>
              <w14:schemeClr w14:val="tx1"/>
            </w14:solidFill>
          </w14:textFill>
        </w:rPr>
        <w:drawing>
          <wp:inline distT="0" distB="0" distL="114300" distR="114300">
            <wp:extent cx="5267960" cy="4260850"/>
            <wp:effectExtent l="0" t="0" r="8890" b="6350"/>
            <wp:docPr id="7" name="图片 7" descr="360截图2021012910355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60截图20210129103552496"/>
                    <pic:cNvPicPr>
                      <a:picLocks noChangeAspect="1"/>
                    </pic:cNvPicPr>
                  </pic:nvPicPr>
                  <pic:blipFill>
                    <a:blip r:embed="rId8"/>
                    <a:stretch>
                      <a:fillRect/>
                    </a:stretch>
                  </pic:blipFill>
                  <pic:spPr>
                    <a:xfrm>
                      <a:off x="0" y="0"/>
                      <a:ext cx="5267960" cy="42608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（四）政府信息管理情况。</w:t>
      </w:r>
      <w:r>
        <w:rPr>
          <w:rFonts w:hint="eastAsia" w:ascii="仿宋_GB2312" w:hAnsi="仿宋_GB2312" w:eastAsia="仿宋_GB2312" w:cs="仿宋_GB2312"/>
          <w:sz w:val="32"/>
          <w:szCs w:val="32"/>
          <w:lang w:val="en-US" w:eastAsia="zh-CN"/>
        </w:rPr>
        <w:t>一是明确责任，做好政府信息管理的日常维护工作。与群众做好互动，倾听群众的心声，鼓励建言献策，发挥好政府网站“便民服务”作用。二是健全机制，切实加强信息主动公开工作。做好安全生产重点领域政府信息的发布工作。对公众关注的社会热点问题，要主动予以回应，发布权威信息、有关政策措施以及处理结果等。三是规范管理，不断提升政府信息管理工作水平。建立链接审批制度，严格审核把关。四是全面检查，做好政府网站的安全保密工作。确保上网信息准确、真实，不发生失泄密问题。五是落实制度，推动政府信息管理工作制度化、常态化。对政府网站管理工作开展经常性的督促检查，及时发现并妥善解决存在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（五）平台建设情况。</w:t>
      </w:r>
      <w:r>
        <w:rPr>
          <w:rFonts w:hint="eastAsia" w:ascii="仿宋_GB2312" w:hAnsi="仿宋_GB2312" w:eastAsia="仿宋_GB2312" w:cs="仿宋_GB2312"/>
          <w:sz w:val="32"/>
          <w:szCs w:val="32"/>
        </w:rPr>
        <w:t>在临淄区门户网站设立临淄区</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管理局政府信息公开专栏，</w:t>
      </w:r>
      <w:r>
        <w:rPr>
          <w:rFonts w:hint="eastAsia" w:ascii="仿宋_GB2312" w:hAnsi="仿宋_GB2312" w:eastAsia="仿宋_GB2312" w:cs="仿宋_GB2312"/>
          <w:sz w:val="32"/>
          <w:szCs w:val="32"/>
          <w:lang w:val="en-US" w:eastAsia="zh-CN"/>
        </w:rPr>
        <w:t>规范信息公开栏目标准，全面落实主动公开基本目录制度。按照《26个重点领域基层政务公开事项指引目录》及时调整目录名称和栏目内容。严格落实“五公开”，做到“应公开、尽公开”，开展应急宣传科普、安全生产执法典型案例、安全生产月主题活动等宣传。</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（六）监督保障工作情况。</w:t>
      </w:r>
      <w:r>
        <w:rPr>
          <w:rFonts w:hint="eastAsia" w:ascii="仿宋_GB2312" w:hAnsi="仿宋_GB2312" w:eastAsia="仿宋_GB2312" w:cs="仿宋_GB2312"/>
          <w:sz w:val="32"/>
          <w:szCs w:val="32"/>
          <w:lang w:val="en-US" w:eastAsia="zh-CN"/>
        </w:rPr>
        <w:t>根据《中华人民共和国政府信息公开条例》等相关法律法规制定《区应急局政务公开发布审核制度》，建立健全政务公开工作机制，明确政务公开分管领导，明确各科室职责、主动公开的事项、依申请公开的各项规定程序等，并按要求指定专人负责同步更新区政府网站我局信息公开专栏，坚持常态化推进政府信息公开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W w:w="8840" w:type="dxa"/>
        <w:tblInd w:w="0" w:type="dxa"/>
        <w:shd w:val="clear"/>
        <w:tblLayout w:type="autofit"/>
        <w:tblCellMar>
          <w:top w:w="0" w:type="dxa"/>
          <w:left w:w="0" w:type="dxa"/>
          <w:bottom w:w="0" w:type="dxa"/>
          <w:right w:w="0" w:type="dxa"/>
        </w:tblCellMar>
      </w:tblPr>
      <w:tblGrid>
        <w:gridCol w:w="1670"/>
        <w:gridCol w:w="2385"/>
        <w:gridCol w:w="2235"/>
        <w:gridCol w:w="2550"/>
      </w:tblGrid>
      <w:tr>
        <w:tblPrEx>
          <w:shd w:val="clear"/>
          <w:tblCellMar>
            <w:top w:w="0" w:type="dxa"/>
            <w:left w:w="0" w:type="dxa"/>
            <w:bottom w:w="0" w:type="dxa"/>
            <w:right w:w="0" w:type="dxa"/>
          </w:tblCellMar>
        </w:tblPrEx>
        <w:trPr>
          <w:trHeight w:val="405" w:hRule="atLeast"/>
        </w:trPr>
        <w:tc>
          <w:tcPr>
            <w:tcW w:w="8840"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第二十条第（一）项</w:t>
            </w:r>
          </w:p>
        </w:tc>
      </w:tr>
      <w:tr>
        <w:tblPrEx>
          <w:shd w:val="clear"/>
          <w:tblCellMar>
            <w:top w:w="0" w:type="dxa"/>
            <w:left w:w="0" w:type="dxa"/>
            <w:bottom w:w="0" w:type="dxa"/>
            <w:right w:w="0" w:type="dxa"/>
          </w:tblCellMar>
        </w:tblPrEx>
        <w:trPr>
          <w:trHeight w:val="57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信息内容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本年新制作数量</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本年新公开数量</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对外公开总数量</w:t>
            </w:r>
          </w:p>
        </w:tc>
      </w:tr>
      <w:tr>
        <w:tblPrEx>
          <w:shd w:val="clear"/>
          <w:tblCellMar>
            <w:top w:w="0" w:type="dxa"/>
            <w:left w:w="0" w:type="dxa"/>
            <w:bottom w:w="0" w:type="dxa"/>
            <w:right w:w="0" w:type="dxa"/>
          </w:tblCellMar>
        </w:tblPrEx>
        <w:trPr>
          <w:trHeight w:val="48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规章</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r>
      <w:tr>
        <w:tblPrEx>
          <w:shd w:val="clear"/>
          <w:tblCellMar>
            <w:top w:w="0" w:type="dxa"/>
            <w:left w:w="0" w:type="dxa"/>
            <w:bottom w:w="0" w:type="dxa"/>
            <w:right w:w="0" w:type="dxa"/>
          </w:tblCellMar>
        </w:tblPrEx>
        <w:trPr>
          <w:trHeight w:val="465"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规范性文件</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r>
      <w:tr>
        <w:tblPrEx>
          <w:shd w:val="clear"/>
          <w:tblCellMar>
            <w:top w:w="0" w:type="dxa"/>
            <w:left w:w="0" w:type="dxa"/>
            <w:bottom w:w="0" w:type="dxa"/>
            <w:right w:w="0" w:type="dxa"/>
          </w:tblCellMar>
        </w:tblPrEx>
        <w:trPr>
          <w:trHeight w:val="465" w:hRule="atLeast"/>
        </w:trPr>
        <w:tc>
          <w:tcPr>
            <w:tcW w:w="8840" w:type="dxa"/>
            <w:gridSpan w:val="4"/>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第二十条第（五）项</w:t>
            </w:r>
          </w:p>
        </w:tc>
      </w:tr>
      <w:tr>
        <w:tblPrEx>
          <w:shd w:val="clear"/>
          <w:tblCellMar>
            <w:top w:w="0" w:type="dxa"/>
            <w:left w:w="0" w:type="dxa"/>
            <w:bottom w:w="0" w:type="dxa"/>
            <w:right w:w="0" w:type="dxa"/>
          </w:tblCellMar>
        </w:tblPrEx>
        <w:trPr>
          <w:trHeight w:val="57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信息内容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上一年项目数量</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本年增/减</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处理决定数量</w:t>
            </w:r>
          </w:p>
        </w:tc>
      </w:tr>
      <w:tr>
        <w:tblPrEx>
          <w:shd w:val="clear"/>
          <w:tblCellMar>
            <w:top w:w="0" w:type="dxa"/>
            <w:left w:w="0" w:type="dxa"/>
            <w:bottom w:w="0" w:type="dxa"/>
            <w:right w:w="0" w:type="dxa"/>
          </w:tblCellMar>
        </w:tblPrEx>
        <w:trPr>
          <w:trHeight w:val="465"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行政许可</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654</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仿宋"/>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w:t>
            </w: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467</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187</w:t>
            </w:r>
          </w:p>
        </w:tc>
      </w:tr>
      <w:tr>
        <w:tblPrEx>
          <w:shd w:val="clear"/>
          <w:tblCellMar>
            <w:top w:w="0" w:type="dxa"/>
            <w:left w:w="0" w:type="dxa"/>
            <w:bottom w:w="0" w:type="dxa"/>
            <w:right w:w="0" w:type="dxa"/>
          </w:tblCellMar>
        </w:tblPrEx>
        <w:trPr>
          <w:trHeight w:val="57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其他对外管理服务事项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2141</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-1359</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782</w:t>
            </w:r>
          </w:p>
        </w:tc>
      </w:tr>
      <w:tr>
        <w:tblPrEx>
          <w:shd w:val="clear"/>
        </w:tblPrEx>
        <w:trPr>
          <w:trHeight w:val="345" w:hRule="atLeast"/>
        </w:trPr>
        <w:tc>
          <w:tcPr>
            <w:tcW w:w="8840" w:type="dxa"/>
            <w:gridSpan w:val="4"/>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第二十条第（六）项</w:t>
            </w:r>
          </w:p>
        </w:tc>
      </w:tr>
      <w:tr>
        <w:tblPrEx>
          <w:shd w:val="clear"/>
          <w:tblCellMar>
            <w:top w:w="0" w:type="dxa"/>
            <w:left w:w="0" w:type="dxa"/>
            <w:bottom w:w="0" w:type="dxa"/>
            <w:right w:w="0" w:type="dxa"/>
          </w:tblCellMar>
        </w:tblPrEx>
        <w:trPr>
          <w:trHeight w:val="57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信息内容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上一年项目数量</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本年增/减</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处理决定数量</w:t>
            </w:r>
          </w:p>
        </w:tc>
      </w:tr>
      <w:tr>
        <w:tblPrEx>
          <w:shd w:val="clear"/>
          <w:tblCellMar>
            <w:top w:w="0" w:type="dxa"/>
            <w:left w:w="0" w:type="dxa"/>
            <w:bottom w:w="0" w:type="dxa"/>
            <w:right w:w="0" w:type="dxa"/>
          </w:tblCellMar>
        </w:tblPrEx>
        <w:trPr>
          <w:trHeight w:val="36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行政处罚</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74</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+34</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108</w:t>
            </w:r>
          </w:p>
        </w:tc>
      </w:tr>
      <w:tr>
        <w:tblPrEx>
          <w:shd w:val="clear"/>
          <w:tblCellMar>
            <w:top w:w="0" w:type="dxa"/>
            <w:left w:w="0" w:type="dxa"/>
            <w:bottom w:w="0" w:type="dxa"/>
            <w:right w:w="0" w:type="dxa"/>
          </w:tblCellMar>
        </w:tblPrEx>
        <w:trPr>
          <w:trHeight w:val="36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行政强制</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0</w:t>
            </w:r>
          </w:p>
        </w:tc>
        <w:tc>
          <w:tcPr>
            <w:tcW w:w="223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255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0</w:t>
            </w:r>
          </w:p>
        </w:tc>
      </w:tr>
      <w:tr>
        <w:tblPrEx>
          <w:shd w:val="clear"/>
          <w:tblCellMar>
            <w:top w:w="0" w:type="dxa"/>
            <w:left w:w="0" w:type="dxa"/>
            <w:bottom w:w="0" w:type="dxa"/>
            <w:right w:w="0" w:type="dxa"/>
          </w:tblCellMar>
        </w:tblPrEx>
        <w:trPr>
          <w:trHeight w:val="405" w:hRule="atLeast"/>
        </w:trPr>
        <w:tc>
          <w:tcPr>
            <w:tcW w:w="8840" w:type="dxa"/>
            <w:gridSpan w:val="4"/>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第二十条第（八）项</w:t>
            </w:r>
          </w:p>
        </w:tc>
      </w:tr>
      <w:tr>
        <w:tblPrEx>
          <w:shd w:val="clear"/>
          <w:tblCellMar>
            <w:top w:w="0" w:type="dxa"/>
            <w:left w:w="0" w:type="dxa"/>
            <w:bottom w:w="0" w:type="dxa"/>
            <w:right w:w="0" w:type="dxa"/>
          </w:tblCellMar>
        </w:tblPrEx>
        <w:trPr>
          <w:trHeight w:val="57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信息内容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上一年项目数量</w:t>
            </w:r>
          </w:p>
        </w:tc>
        <w:tc>
          <w:tcPr>
            <w:tcW w:w="4785"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本年增/减</w:t>
            </w:r>
          </w:p>
        </w:tc>
      </w:tr>
      <w:tr>
        <w:tblPrEx>
          <w:shd w:val="clear"/>
          <w:tblCellMar>
            <w:top w:w="0" w:type="dxa"/>
            <w:left w:w="0" w:type="dxa"/>
            <w:bottom w:w="0" w:type="dxa"/>
            <w:right w:w="0" w:type="dxa"/>
          </w:tblCellMar>
        </w:tblPrEx>
        <w:trPr>
          <w:trHeight w:val="420"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行政事业性收费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c>
          <w:tcPr>
            <w:tcW w:w="4785"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8840" w:type="dxa"/>
            <w:gridSpan w:val="4"/>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第二十条第（九）项</w:t>
            </w:r>
          </w:p>
        </w:tc>
      </w:tr>
      <w:tr>
        <w:tblPrEx>
          <w:shd w:val="clear"/>
          <w:tblCellMar>
            <w:top w:w="0" w:type="dxa"/>
            <w:left w:w="0" w:type="dxa"/>
            <w:bottom w:w="0" w:type="dxa"/>
            <w:right w:w="0" w:type="dxa"/>
          </w:tblCellMar>
        </w:tblPrEx>
        <w:trPr>
          <w:trHeight w:val="345"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信息内容</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采购项目数量</w:t>
            </w:r>
          </w:p>
        </w:tc>
        <w:tc>
          <w:tcPr>
            <w:tcW w:w="4785"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采购总金额</w:t>
            </w:r>
          </w:p>
        </w:tc>
      </w:tr>
      <w:tr>
        <w:tblPrEx>
          <w:shd w:val="clear"/>
          <w:tblCellMar>
            <w:top w:w="0" w:type="dxa"/>
            <w:left w:w="0" w:type="dxa"/>
            <w:bottom w:w="0" w:type="dxa"/>
            <w:right w:w="0" w:type="dxa"/>
          </w:tblCellMar>
        </w:tblPrEx>
        <w:trPr>
          <w:trHeight w:val="375" w:hRule="atLeast"/>
        </w:trPr>
        <w:tc>
          <w:tcPr>
            <w:tcW w:w="167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14:textFill>
                  <w14:solidFill>
                    <w14:schemeClr w14:val="tx1"/>
                  </w14:solidFill>
                </w14:textFill>
              </w:rPr>
              <w:t>政府集中采购</w:t>
            </w:r>
          </w:p>
        </w:tc>
        <w:tc>
          <w:tcPr>
            <w:tcW w:w="238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1</w:t>
            </w:r>
          </w:p>
        </w:tc>
        <w:tc>
          <w:tcPr>
            <w:tcW w:w="4785"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60"/>
              <w:jc w:val="center"/>
              <w:rPr>
                <w:rFonts w:hint="default" w:eastAsiaTheme="minorEastAsia"/>
                <w:color w:val="000000" w:themeColor="text1"/>
                <w:sz w:val="24"/>
                <w:szCs w:val="24"/>
                <w:lang w:val="en-US" w:eastAsia="zh-CN"/>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shd w:val="clear" w:fill="FFFFFF"/>
                <w:lang w:val="en-US" w:eastAsia="zh-CN"/>
                <w14:textFill>
                  <w14:solidFill>
                    <w14:schemeClr w14:val="tx1"/>
                  </w14:solidFill>
                </w14:textFill>
              </w:rPr>
              <w:t>25.96万元</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caps w:val="0"/>
          <w:color w:val="000000" w:themeColor="text1"/>
          <w:spacing w:val="0"/>
          <w:sz w:val="24"/>
          <w:szCs w:val="24"/>
          <w14:textFill>
            <w14:solidFill>
              <w14:schemeClr w14:val="tx1"/>
            </w14:solidFill>
          </w14:textFill>
        </w:rPr>
      </w:pPr>
      <w:r>
        <w:rPr>
          <w:rFonts w:hint="eastAsia" w:ascii="黑体" w:hAnsi="宋体" w:eastAsia="黑体" w:cs="黑体"/>
          <w:i w:val="0"/>
          <w:caps w:val="0"/>
          <w:color w:val="000000" w:themeColor="text1"/>
          <w:spacing w:val="0"/>
          <w:sz w:val="32"/>
          <w:szCs w:val="32"/>
          <w:bdr w:val="none" w:color="auto" w:sz="0" w:space="0"/>
          <w:shd w:val="clear" w:fill="FFFFFF"/>
          <w14:textFill>
            <w14:solidFill>
              <w14:schemeClr w14:val="tx1"/>
            </w14:solidFill>
          </w14:textFill>
        </w:rPr>
        <w:t>三、收到和处理政府信息公开申请情况</w:t>
      </w:r>
    </w:p>
    <w:tbl>
      <w:tblPr>
        <w:tblW w:w="9780" w:type="dxa"/>
        <w:tblInd w:w="0" w:type="dxa"/>
        <w:shd w:val="clear"/>
        <w:tblLayout w:type="autofit"/>
        <w:tblCellMar>
          <w:top w:w="0" w:type="dxa"/>
          <w:left w:w="0" w:type="dxa"/>
          <w:bottom w:w="0" w:type="dxa"/>
          <w:right w:w="0" w:type="dxa"/>
        </w:tblCellMar>
      </w:tblPr>
      <w:tblGrid>
        <w:gridCol w:w="630"/>
        <w:gridCol w:w="1515"/>
        <w:gridCol w:w="2740"/>
        <w:gridCol w:w="420"/>
        <w:gridCol w:w="687"/>
        <w:gridCol w:w="687"/>
        <w:gridCol w:w="687"/>
        <w:gridCol w:w="687"/>
        <w:gridCol w:w="701"/>
        <w:gridCol w:w="1026"/>
      </w:tblGrid>
      <w:tr>
        <w:tblPrEx>
          <w:shd w:val="clear"/>
          <w:tblCellMar>
            <w:top w:w="0" w:type="dxa"/>
            <w:left w:w="0" w:type="dxa"/>
            <w:bottom w:w="0" w:type="dxa"/>
            <w:right w:w="0" w:type="dxa"/>
          </w:tblCellMar>
        </w:tblPrEx>
        <w:trPr>
          <w:trHeight w:val="450" w:hRule="atLeast"/>
        </w:trPr>
        <w:tc>
          <w:tcPr>
            <w:tcW w:w="4815" w:type="dxa"/>
            <w:gridSpan w:val="3"/>
            <w:vMerge w:val="restart"/>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（本列数据的勾稽关系为：第一项加第二项之和，等于第三项加第四项之和）</w:t>
            </w:r>
          </w:p>
        </w:tc>
        <w:tc>
          <w:tcPr>
            <w:tcW w:w="4965"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申请人情况</w:t>
            </w:r>
          </w:p>
        </w:tc>
      </w:tr>
      <w:tr>
        <w:tblPrEx>
          <w:shd w:val="clear"/>
          <w:tblCellMar>
            <w:top w:w="0" w:type="dxa"/>
            <w:left w:w="0" w:type="dxa"/>
            <w:bottom w:w="0" w:type="dxa"/>
            <w:right w:w="0" w:type="dxa"/>
          </w:tblCellMar>
        </w:tblPrEx>
        <w:trPr>
          <w:trHeight w:val="525" w:hRule="atLeast"/>
        </w:trPr>
        <w:tc>
          <w:tcPr>
            <w:tcW w:w="4815" w:type="dxa"/>
            <w:gridSpan w:val="3"/>
            <w:vMerge w:val="continue"/>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375"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自然人</w:t>
            </w:r>
          </w:p>
        </w:tc>
        <w:tc>
          <w:tcPr>
            <w:tcW w:w="3540" w:type="dxa"/>
            <w:gridSpan w:val="5"/>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法人或其他组织</w:t>
            </w:r>
          </w:p>
        </w:tc>
        <w:tc>
          <w:tcPr>
            <w:tcW w:w="855"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总计</w:t>
            </w:r>
          </w:p>
        </w:tc>
      </w:tr>
      <w:tr>
        <w:tblPrEx>
          <w:shd w:val="clear"/>
          <w:tblCellMar>
            <w:top w:w="0" w:type="dxa"/>
            <w:left w:w="0" w:type="dxa"/>
            <w:bottom w:w="0" w:type="dxa"/>
            <w:right w:w="0" w:type="dxa"/>
          </w:tblCellMar>
        </w:tblPrEx>
        <w:trPr>
          <w:trHeight w:val="1125" w:hRule="atLeast"/>
        </w:trPr>
        <w:tc>
          <w:tcPr>
            <w:tcW w:w="4815" w:type="dxa"/>
            <w:gridSpan w:val="3"/>
            <w:vMerge w:val="continue"/>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375"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商业企业</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科研机构</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社会公益组织</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法律服务机构</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其他</w:t>
            </w:r>
          </w:p>
        </w:tc>
        <w:tc>
          <w:tcPr>
            <w:tcW w:w="855"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r>
      <w:tr>
        <w:tblPrEx>
          <w:shd w:val="clear"/>
          <w:tblCellMar>
            <w:top w:w="0" w:type="dxa"/>
            <w:left w:w="0" w:type="dxa"/>
            <w:bottom w:w="0" w:type="dxa"/>
            <w:right w:w="0" w:type="dxa"/>
          </w:tblCellMar>
        </w:tblPrEx>
        <w:trPr>
          <w:trHeight w:val="450" w:hRule="atLeast"/>
        </w:trPr>
        <w:tc>
          <w:tcPr>
            <w:tcW w:w="4815" w:type="dxa"/>
            <w:gridSpan w:val="3"/>
            <w:tcBorders>
              <w:top w:val="nil"/>
              <w:left w:val="single" w:color="auto" w:sz="8" w:space="0"/>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一、本年新收政府信息公开申请数量</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lang w:val="en-US" w:eastAsia="zh-CN"/>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lang w:val="en-US" w:eastAsia="zh-CN"/>
                <w14:textFill>
                  <w14:solidFill>
                    <w14:schemeClr w14:val="tx1"/>
                  </w14:solidFill>
                </w14:textFill>
              </w:rPr>
              <w:t>0</w:t>
            </w:r>
          </w:p>
        </w:tc>
      </w:tr>
      <w:tr>
        <w:tblPrEx>
          <w:shd w:val="clear"/>
          <w:tblCellMar>
            <w:top w:w="0" w:type="dxa"/>
            <w:left w:w="0" w:type="dxa"/>
            <w:bottom w:w="0" w:type="dxa"/>
            <w:right w:w="0" w:type="dxa"/>
          </w:tblCellMar>
        </w:tblPrEx>
        <w:trPr>
          <w:trHeight w:val="405" w:hRule="atLeast"/>
        </w:trPr>
        <w:tc>
          <w:tcPr>
            <w:tcW w:w="4815" w:type="dxa"/>
            <w:gridSpan w:val="3"/>
            <w:tcBorders>
              <w:top w:val="nil"/>
              <w:left w:val="single" w:color="auto" w:sz="8" w:space="0"/>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二、上年结转政府信息公开申请数量</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restart"/>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三、本年度办理结果</w:t>
            </w:r>
          </w:p>
        </w:tc>
        <w:tc>
          <w:tcPr>
            <w:tcW w:w="4260" w:type="dxa"/>
            <w:gridSpan w:val="2"/>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（一）予以公开</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lang w:val="en-US" w:eastAsia="zh-CN"/>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lang w:val="en-US" w:eastAsia="zh-CN"/>
                <w14:textFill>
                  <w14:solidFill>
                    <w14:schemeClr w14:val="tx1"/>
                  </w14:solidFill>
                </w14:textFill>
              </w:rPr>
              <w:t>0</w:t>
            </w:r>
          </w:p>
        </w:tc>
      </w:tr>
      <w:tr>
        <w:tblPrEx>
          <w:shd w:val="clear"/>
          <w:tblCellMar>
            <w:top w:w="0" w:type="dxa"/>
            <w:left w:w="0" w:type="dxa"/>
            <w:bottom w:w="0" w:type="dxa"/>
            <w:right w:w="0" w:type="dxa"/>
          </w:tblCellMar>
        </w:tblPrEx>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4260" w:type="dxa"/>
            <w:gridSpan w:val="2"/>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（二）部分公开（区分处理的，只计这一情形，不计其他情形）</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95"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（三）不予公开</w:t>
            </w: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1．属于国家秘密</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2．其他法律行政法规禁止公开</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3．危及“三安全一稳定”</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39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4．保护第三方合法权益</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5．属于三类内部事务信息</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tblCellMar>
            <w:top w:w="0" w:type="dxa"/>
            <w:left w:w="0" w:type="dxa"/>
            <w:bottom w:w="0" w:type="dxa"/>
            <w:right w:w="0" w:type="dxa"/>
          </w:tblCellMar>
        </w:tblPrEx>
        <w:trPr>
          <w:trHeight w:val="405"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6．属于四类过程性信息</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7．属于行政执法案卷</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8．属于行政查询事项</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05"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（四）无法提供</w:t>
            </w: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1．本机关不掌握相关政府信息</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2．没有现成信息需要另行制作</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3．补正后申请内容仍不明确</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375"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（五）不予处理</w:t>
            </w: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1．信访举报投诉类申请</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2．重复申请</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39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3．要求提供公开出版物</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tblCellMar>
            <w:top w:w="0" w:type="dxa"/>
            <w:left w:w="0" w:type="dxa"/>
            <w:bottom w:w="0" w:type="dxa"/>
            <w:right w:w="0" w:type="dxa"/>
          </w:tblCellMar>
        </w:tblPrEx>
        <w:trPr>
          <w:trHeight w:val="420" w:hRule="atLeast"/>
        </w:trPr>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4．无正当理由大量反复申请</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c>
          <w:tcPr>
            <w:tcW w:w="375"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156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2700" w:type="dxa"/>
            <w:tcBorders>
              <w:top w:val="nil"/>
              <w:left w:val="nil"/>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5．要求行政机关确认或重新出具已获取信息</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65" w:hRule="atLeast"/>
        </w:trPr>
        <w:tc>
          <w:tcPr>
            <w:tcW w:w="375" w:type="dxa"/>
            <w:tcBorders>
              <w:top w:val="nil"/>
              <w:left w:val="single" w:color="auto" w:sz="8" w:space="0"/>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 </w:t>
            </w:r>
          </w:p>
        </w:tc>
        <w:tc>
          <w:tcPr>
            <w:tcW w:w="4260"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（六）其他处理</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r>
        <w:tblPrEx>
          <w:shd w:val="clear"/>
          <w:tblCellMar>
            <w:top w:w="0" w:type="dxa"/>
            <w:left w:w="0" w:type="dxa"/>
            <w:bottom w:w="0" w:type="dxa"/>
            <w:right w:w="0" w:type="dxa"/>
          </w:tblCellMar>
        </w:tblPrEx>
        <w:trPr>
          <w:trHeight w:val="420" w:hRule="atLeast"/>
        </w:trPr>
        <w:tc>
          <w:tcPr>
            <w:tcW w:w="375" w:type="dxa"/>
            <w:tcBorders>
              <w:top w:val="nil"/>
              <w:left w:val="single" w:color="auto" w:sz="8" w:space="0"/>
              <w:bottom w:val="single" w:color="auto" w:sz="8" w:space="0"/>
              <w:right w:val="single" w:color="auto" w:sz="8" w:space="0"/>
            </w:tcBorders>
            <w:shd w:val="clear"/>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 </w:t>
            </w:r>
          </w:p>
        </w:tc>
        <w:tc>
          <w:tcPr>
            <w:tcW w:w="4260" w:type="dxa"/>
            <w:gridSpan w:val="2"/>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（七）总计</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6</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6</w:t>
            </w:r>
          </w:p>
        </w:tc>
      </w:tr>
      <w:tr>
        <w:tblPrEx>
          <w:shd w:val="clear"/>
          <w:tblCellMar>
            <w:top w:w="0" w:type="dxa"/>
            <w:left w:w="0" w:type="dxa"/>
            <w:bottom w:w="0" w:type="dxa"/>
            <w:right w:w="0" w:type="dxa"/>
          </w:tblCellMar>
        </w:tblPrEx>
        <w:tc>
          <w:tcPr>
            <w:tcW w:w="4815" w:type="dxa"/>
            <w:gridSpan w:val="3"/>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四、结转下年度继续办理</w:t>
            </w:r>
          </w:p>
        </w:tc>
        <w:tc>
          <w:tcPr>
            <w:tcW w:w="37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70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c>
          <w:tcPr>
            <w:tcW w:w="855"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1"/>
                <w:szCs w:val="21"/>
                <w:bdr w:val="none" w:color="auto" w:sz="0" w:space="0"/>
                <w14:textFill>
                  <w14:solidFill>
                    <w14:schemeClr w14:val="tx1"/>
                  </w14:solidFill>
                </w14:textFill>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caps w:val="0"/>
          <w:color w:val="000000" w:themeColor="text1"/>
          <w:spacing w:val="0"/>
          <w:sz w:val="24"/>
          <w:szCs w:val="24"/>
          <w14:textFill>
            <w14:solidFill>
              <w14:schemeClr w14:val="tx1"/>
            </w14:solidFill>
          </w14:textFill>
        </w:rPr>
      </w:pPr>
      <w:r>
        <w:rPr>
          <w:rFonts w:hint="eastAsia" w:ascii="黑体" w:hAnsi="宋体" w:eastAsia="黑体" w:cs="黑体"/>
          <w:i w:val="0"/>
          <w:caps w:val="0"/>
          <w:color w:val="000000" w:themeColor="text1"/>
          <w:spacing w:val="0"/>
          <w:sz w:val="32"/>
          <w:szCs w:val="32"/>
          <w:bdr w:val="none" w:color="auto" w:sz="0" w:space="0"/>
          <w:shd w:val="clear" w:fill="FFFFFF"/>
          <w14:textFill>
            <w14:solidFill>
              <w14:schemeClr w14:val="tx1"/>
            </w14:solidFill>
          </w14:textFill>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政府信息公开行政复议处理结果情况。全年没有因政务信息公开原因被自然人、法人或其他组织提起行政复议。二是政府信息公开行政诉讼处理结果情况。全年没有因政务信息公开原因被自然人、法人或其他组织提起行政诉讼。</w:t>
      </w:r>
    </w:p>
    <w:tbl>
      <w:tblPr>
        <w:tblW w:w="9710" w:type="dxa"/>
        <w:tblInd w:w="0" w:type="dxa"/>
        <w:shd w:val="clear"/>
        <w:tblLayout w:type="autofit"/>
        <w:tblCellMar>
          <w:top w:w="0" w:type="dxa"/>
          <w:left w:w="0" w:type="dxa"/>
          <w:bottom w:w="0" w:type="dxa"/>
          <w:right w:w="0" w:type="dxa"/>
        </w:tblCellMar>
      </w:tblPr>
      <w:tblGrid>
        <w:gridCol w:w="530"/>
        <w:gridCol w:w="530"/>
        <w:gridCol w:w="530"/>
        <w:gridCol w:w="530"/>
        <w:gridCol w:w="530"/>
        <w:gridCol w:w="530"/>
        <w:gridCol w:w="530"/>
        <w:gridCol w:w="530"/>
        <w:gridCol w:w="530"/>
        <w:gridCol w:w="530"/>
        <w:gridCol w:w="530"/>
        <w:gridCol w:w="530"/>
        <w:gridCol w:w="530"/>
        <w:gridCol w:w="530"/>
        <w:gridCol w:w="2290"/>
      </w:tblGrid>
      <w:tr>
        <w:tblPrEx>
          <w:tblCellMar>
            <w:top w:w="0" w:type="dxa"/>
            <w:left w:w="0" w:type="dxa"/>
            <w:bottom w:w="0" w:type="dxa"/>
            <w:right w:w="0" w:type="dxa"/>
          </w:tblCellMar>
        </w:tblPrEx>
        <w:trPr>
          <w:trHeight w:val="465" w:hRule="atLeast"/>
        </w:trPr>
        <w:tc>
          <w:tcPr>
            <w:tcW w:w="2650" w:type="dxa"/>
            <w:gridSpan w:val="5"/>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134"/>
              <w:jc w:val="both"/>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行政复议</w:t>
            </w:r>
          </w:p>
        </w:tc>
        <w:tc>
          <w:tcPr>
            <w:tcW w:w="7060" w:type="dxa"/>
            <w:gridSpan w:val="10"/>
            <w:tcBorders>
              <w:top w:val="single" w:color="auto" w:sz="8" w:space="0"/>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行政诉讼</w:t>
            </w:r>
          </w:p>
        </w:tc>
      </w:tr>
      <w:tr>
        <w:tblPrEx>
          <w:shd w:val="clear"/>
          <w:tblCellMar>
            <w:top w:w="0" w:type="dxa"/>
            <w:left w:w="0" w:type="dxa"/>
            <w:bottom w:w="0" w:type="dxa"/>
            <w:right w:w="0" w:type="dxa"/>
          </w:tblCellMar>
        </w:tblPrEx>
        <w:trPr>
          <w:trHeight w:val="570" w:hRule="atLeast"/>
        </w:trPr>
        <w:tc>
          <w:tcPr>
            <w:tcW w:w="530" w:type="dxa"/>
            <w:vMerge w:val="restart"/>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结果维持</w:t>
            </w:r>
          </w:p>
        </w:tc>
        <w:tc>
          <w:tcPr>
            <w:tcW w:w="53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结果纠正</w:t>
            </w:r>
          </w:p>
        </w:tc>
        <w:tc>
          <w:tcPr>
            <w:tcW w:w="53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其他结果</w:t>
            </w:r>
          </w:p>
        </w:tc>
        <w:tc>
          <w:tcPr>
            <w:tcW w:w="53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尚未审结</w:t>
            </w:r>
          </w:p>
        </w:tc>
        <w:tc>
          <w:tcPr>
            <w:tcW w:w="530" w:type="dxa"/>
            <w:vMerge w:val="restart"/>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总计</w:t>
            </w:r>
          </w:p>
        </w:tc>
        <w:tc>
          <w:tcPr>
            <w:tcW w:w="2650" w:type="dxa"/>
            <w:gridSpan w:val="5"/>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未经复议直接起诉</w:t>
            </w:r>
          </w:p>
        </w:tc>
        <w:tc>
          <w:tcPr>
            <w:tcW w:w="4410" w:type="dxa"/>
            <w:gridSpan w:val="5"/>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复议后起诉</w:t>
            </w:r>
          </w:p>
        </w:tc>
      </w:tr>
      <w:tr>
        <w:tblPrEx>
          <w:shd w:val="clear"/>
          <w:tblCellMar>
            <w:top w:w="0" w:type="dxa"/>
            <w:left w:w="0" w:type="dxa"/>
            <w:bottom w:w="0" w:type="dxa"/>
            <w:right w:w="0" w:type="dxa"/>
          </w:tblCellMar>
        </w:tblPrEx>
        <w:tc>
          <w:tcPr>
            <w:tcW w:w="530" w:type="dxa"/>
            <w:vMerge w:val="continue"/>
            <w:tcBorders>
              <w:top w:val="nil"/>
              <w:left w:val="single" w:color="auto" w:sz="8" w:space="0"/>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53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53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53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530" w:type="dxa"/>
            <w:vMerge w:val="continue"/>
            <w:tcBorders>
              <w:top w:val="nil"/>
              <w:left w:val="nil"/>
              <w:bottom w:val="single" w:color="auto" w:sz="8" w:space="0"/>
              <w:right w:val="single" w:color="auto" w:sz="8" w:space="0"/>
            </w:tcBorders>
            <w:shd w:val="clear"/>
            <w:tcMar>
              <w:left w:w="105" w:type="dxa"/>
              <w:right w:w="105" w:type="dxa"/>
            </w:tcMar>
            <w:vAlign w:val="center"/>
          </w:tcPr>
          <w:p>
            <w:pPr>
              <w:rPr>
                <w:rFonts w:hint="eastAsia" w:ascii="微软雅黑" w:hAnsi="微软雅黑" w:eastAsia="微软雅黑" w:cs="微软雅黑"/>
                <w:i w:val="0"/>
                <w:caps w:val="0"/>
                <w:color w:val="000000" w:themeColor="text1"/>
                <w:spacing w:val="0"/>
                <w:sz w:val="27"/>
                <w:szCs w:val="27"/>
                <w14:textFill>
                  <w14:solidFill>
                    <w14:schemeClr w14:val="tx1"/>
                  </w14:solidFill>
                </w14:textFill>
              </w:rPr>
            </w:pP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结果维持</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结果纠正</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其他结果</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尚未审结</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总计</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结果维持</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结果纠正</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其他结果</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尚未审结</w:t>
            </w:r>
          </w:p>
        </w:tc>
        <w:tc>
          <w:tcPr>
            <w:tcW w:w="229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总计</w:t>
            </w:r>
          </w:p>
        </w:tc>
      </w:tr>
      <w:tr>
        <w:tblPrEx>
          <w:shd w:val="clear"/>
          <w:tblCellMar>
            <w:top w:w="0" w:type="dxa"/>
            <w:left w:w="0" w:type="dxa"/>
            <w:bottom w:w="0" w:type="dxa"/>
            <w:right w:w="0" w:type="dxa"/>
          </w:tblCellMar>
        </w:tblPrEx>
        <w:trPr>
          <w:trHeight w:val="900" w:hRule="atLeast"/>
        </w:trPr>
        <w:tc>
          <w:tcPr>
            <w:tcW w:w="530" w:type="dxa"/>
            <w:tcBorders>
              <w:top w:val="nil"/>
              <w:left w:val="single" w:color="auto" w:sz="8" w:space="0"/>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53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c>
          <w:tcPr>
            <w:tcW w:w="2290" w:type="dxa"/>
            <w:tcBorders>
              <w:top w:val="nil"/>
              <w:left w:val="nil"/>
              <w:bottom w:val="single" w:color="auto" w:sz="8" w:space="0"/>
              <w:right w:val="single" w:color="auto" w:sz="8"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color w:val="000000" w:themeColor="text1"/>
                <w:sz w:val="24"/>
                <w:szCs w:val="24"/>
                <w14:textFill>
                  <w14:solidFill>
                    <w14:schemeClr w14:val="tx1"/>
                  </w14:solidFill>
                </w14:textFill>
              </w:rPr>
            </w:pPr>
            <w:r>
              <w:rPr>
                <w:rFonts w:hint="eastAsia" w:ascii="仿宋" w:hAnsi="仿宋" w:eastAsia="仿宋" w:cs="仿宋"/>
                <w:i w:val="0"/>
                <w:caps w:val="0"/>
                <w:color w:val="000000" w:themeColor="text1"/>
                <w:spacing w:val="0"/>
                <w:sz w:val="28"/>
                <w:szCs w:val="28"/>
                <w:bdr w:val="none" w:color="auto" w:sz="0" w:space="0"/>
                <w14:textFill>
                  <w14:solidFill>
                    <w14:schemeClr w14:val="tx1"/>
                  </w14:solidFill>
                </w14:textFill>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caps w:val="0"/>
          <w:color w:val="000000" w:themeColor="text1"/>
          <w:spacing w:val="0"/>
          <w:sz w:val="24"/>
          <w:szCs w:val="24"/>
          <w14:textFill>
            <w14:solidFill>
              <w14:schemeClr w14:val="tx1"/>
            </w14:solidFill>
          </w14:textFill>
        </w:rPr>
      </w:pPr>
      <w:r>
        <w:rPr>
          <w:rFonts w:hint="eastAsia" w:ascii="黑体" w:hAnsi="宋体" w:eastAsia="黑体" w:cs="黑体"/>
          <w:i w:val="0"/>
          <w:caps w:val="0"/>
          <w:color w:val="000000" w:themeColor="text1"/>
          <w:spacing w:val="0"/>
          <w:sz w:val="32"/>
          <w:szCs w:val="32"/>
          <w:bdr w:val="none" w:color="auto" w:sz="0" w:space="0"/>
          <w14:textFill>
            <w14:solidFill>
              <w14:schemeClr w14:val="tx1"/>
            </w14:solidFill>
          </w14:textFill>
        </w:rPr>
        <w:t>五、存在的主要问题及改进情况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一是相关公开责任还不是很明确。</w:t>
      </w:r>
      <w:r>
        <w:rPr>
          <w:rFonts w:hint="eastAsia" w:ascii="仿宋_GB2312" w:hAnsi="仿宋_GB2312" w:eastAsia="仿宋_GB2312" w:cs="仿宋_GB2312"/>
          <w:sz w:val="32"/>
          <w:szCs w:val="32"/>
        </w:rPr>
        <w:t>应急管理机构改革后相关增加的职能多，门户网站设定的目录内容与条线职能对应内容上还有交叉，不能非常明确地落实到各股室。下步将细化公开任务，加强对接，合理设置目录，明确分工。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二是各科室“应公开尽公开”的意识还不是很强。</w:t>
      </w:r>
      <w:r>
        <w:rPr>
          <w:rFonts w:hint="eastAsia" w:ascii="仿宋_GB2312" w:hAnsi="仿宋_GB2312" w:eastAsia="仿宋_GB2312" w:cs="仿宋_GB2312"/>
          <w:sz w:val="32"/>
          <w:szCs w:val="32"/>
          <w:lang w:val="en-US" w:eastAsia="zh-CN"/>
        </w:rPr>
        <w:t>各科</w:t>
      </w:r>
      <w:r>
        <w:rPr>
          <w:rFonts w:hint="eastAsia" w:ascii="仿宋_GB2312" w:hAnsi="仿宋_GB2312" w:eastAsia="仿宋_GB2312" w:cs="仿宋_GB2312"/>
          <w:sz w:val="32"/>
          <w:szCs w:val="32"/>
        </w:rPr>
        <w:t>室“公开是常态”的这一指导思想树立还不是很牢固，对条线工作的公开积极性还不是很高，导致个别内容有所遗漏。下步将明确信息公开四定要求，即定人、定</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室、定内容、定时间，确保公开内容的时效性、完整性。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sz w:val="32"/>
          <w:szCs w:val="32"/>
        </w:rPr>
        <w:t>三是公开内容差错漏误还不同程度的存在。</w:t>
      </w:r>
      <w:r>
        <w:rPr>
          <w:rFonts w:hint="eastAsia" w:ascii="仿宋_GB2312" w:hAnsi="仿宋_GB2312" w:eastAsia="仿宋_GB2312" w:cs="仿宋_GB2312"/>
          <w:sz w:val="32"/>
          <w:szCs w:val="32"/>
        </w:rPr>
        <w:t>在信息公开中行文还不够严谨，下一步要强化公开信息审核校对，落实分管领导审批制度，办公室抽查与考核制度确保准确无误。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caps w:val="0"/>
          <w:color w:val="000000" w:themeColor="text1"/>
          <w:spacing w:val="0"/>
          <w:sz w:val="24"/>
          <w:szCs w:val="24"/>
          <w14:textFill>
            <w14:solidFill>
              <w14:schemeClr w14:val="tx1"/>
            </w14:solidFill>
          </w14:textFill>
        </w:rPr>
      </w:pPr>
      <w:r>
        <w:rPr>
          <w:rFonts w:hint="eastAsia" w:ascii="黑体" w:hAnsi="宋体" w:eastAsia="黑体" w:cs="黑体"/>
          <w:i w:val="0"/>
          <w:caps w:val="0"/>
          <w:color w:val="000000" w:themeColor="text1"/>
          <w:spacing w:val="0"/>
          <w:sz w:val="32"/>
          <w:szCs w:val="32"/>
          <w:bdr w:val="none" w:color="auto" w:sz="0" w:space="0"/>
          <w:shd w:val="clear" w:fill="FFFFFF"/>
          <w14:textFill>
            <w14:solidFill>
              <w14:schemeClr w14:val="tx1"/>
            </w14:solidFill>
          </w14:textFill>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bdr w:val="none" w:color="auto" w:sz="0" w:space="0"/>
          <w:shd w:val="clear" w:fill="FFFFFF"/>
          <w14:textFill>
            <w14:solidFill>
              <w14:schemeClr w14:val="tx1"/>
            </w14:solidFill>
          </w14:textFill>
        </w:rPr>
        <w:t>无其他需报告事项。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微软雅黑" w:eastAsia="仿宋_GB2312" w:cs="仿宋_GB2312"/>
          <w:i w:val="0"/>
          <w:caps w:val="0"/>
          <w:color w:val="000000" w:themeColor="text1"/>
          <w:spacing w:val="0"/>
          <w:kern w:val="0"/>
          <w:sz w:val="32"/>
          <w:szCs w:val="32"/>
          <w:bdr w:val="none" w:color="auto" w:sz="0" w:space="0"/>
          <w:shd w:val="clear" w:fill="FFFFFF"/>
          <w:lang w:val="en-US" w:eastAsia="zh-CN" w:bidi="ar"/>
          <w14:textFill>
            <w14:solidFill>
              <w14:schemeClr w14:val="tx1"/>
            </w14:solidFill>
          </w14:textFill>
        </w:rPr>
      </w:pPr>
    </w:p>
    <w:p>
      <w:pPr>
        <w:ind w:firstLine="640" w:firstLineChars="200"/>
        <w:rPr>
          <w:rFonts w:hint="eastAsia" w:ascii="仿宋" w:hAnsi="仿宋" w:eastAsia="仿宋" w:cs="仿宋"/>
          <w:i w:val="0"/>
          <w:caps w:val="0"/>
          <w:color w:val="000000" w:themeColor="text1"/>
          <w:spacing w:val="0"/>
          <w:sz w:val="32"/>
          <w:szCs w:val="32"/>
          <w:bdr w:val="none" w:color="auto" w:sz="0" w:space="0"/>
          <w:shd w:val="clear" w:fill="FFFFFF"/>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46391"/>
    <w:rsid w:val="3A64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2021-01-29T01:39:00Z</dcterms:created>
  <dc:creator>qzuser</dc:creator>
  <cp:lastModifiedBy>qzuser</cp:lastModifiedBy>
  <cp:lastPrinted>2021-01-29T01:40:07Z</cp:lastPrinted>
  <dcterms:modified xsi:type="dcterms:W3CDTF">2021-01-29T03:36:54Z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