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p>
    <w:p>
      <w:pPr>
        <w:widowControl/>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关于调整部分中医医疗服务项目价格的通知</w:t>
      </w:r>
    </w:p>
    <w:p>
      <w:pPr>
        <w:pStyle w:val="2"/>
      </w:pPr>
    </w:p>
    <w:p>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各区县医保分局、卫生健康局，高新区医保分局、卫生健康事业中心，经开区医保分局、淄博南部生态产业新城发展中心，市医保中心、文昌湖区地方事业局，市稽核中心，全市各公立医疗机构：</w:t>
      </w:r>
    </w:p>
    <w:p>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为支持中医药传承创新发展，促进国家中医药综合改革示范区建设，根据山东省医疗保障局《关于调整部分中医医疗服务项目价格的通知》（鲁医保发〔2022〕31号）文件精神，按照总量控制、结构调整、有升有降、逐步到位的原则，调整全市公立医疗机构部分中医医疗服务项目价格，现就有关事项通知如下：</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一、此次调整的中医医疗服务项目价格为最高价格（见附件），各级公立医疗机构可根据具体情况适当下浮。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二、各公立医疗机构应及时在系统内做好医疗服务项目信息变更维护，进一步规范医疗服务行为。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三、严格执行明码标价的有关规定，各公立医疗机构应通过电子显示屏等多种方式在醒目位置公示医疗服务项目编码、名称、内涵、计价单位和价格等内容，接受社会监督。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四、各区县医保分局要及时做好政策衔接，密切监测价格运行情况，遇有问题及时向市医保局报告。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本通知自2023年5月1日起施行，有效期至2028年4月30日。</w:t>
      </w:r>
    </w:p>
    <w:p>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p>
    <w:p>
      <w:pPr>
        <w:widowControl/>
        <w:spacing w:line="590" w:lineRule="exact"/>
        <w:ind w:left="1379" w:leftChars="352" w:hanging="640" w:hanging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公立医疗机构部分中医医疗服务项目价格表</w:t>
      </w:r>
    </w:p>
    <w:p>
      <w:pPr>
        <w:widowControl/>
        <w:spacing w:line="590" w:lineRule="exact"/>
        <w:ind w:firstLine="480"/>
        <w:jc w:val="righ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widowControl/>
        <w:spacing w:line="590" w:lineRule="exact"/>
        <w:ind w:firstLine="48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淄博市医疗保障局           淄博市卫生健康委员会</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widowControl/>
        <w:spacing w:line="59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 xml:space="preserve">日 </w:t>
      </w:r>
    </w:p>
    <w:p>
      <w:pPr>
        <w:rPr>
          <w:rFonts w:hint="default" w:ascii="Times New Roman" w:hAnsi="Times New Roman" w:eastAsia="仿宋_GB2312" w:cs="Times New Roman"/>
          <w:sz w:val="32"/>
          <w:szCs w:val="32"/>
        </w:rPr>
      </w:pPr>
    </w:p>
    <w:tbl>
      <w:tblPr>
        <w:tblStyle w:val="4"/>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2130"/>
        <w:gridCol w:w="2460"/>
        <w:gridCol w:w="1245"/>
        <w:gridCol w:w="1245"/>
        <w:gridCol w:w="870"/>
        <w:gridCol w:w="870"/>
        <w:gridCol w:w="870"/>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2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CESI黑体-GB13000" w:hAnsi="CESI黑体-GB13000" w:eastAsia="CESI黑体-GB13000" w:cs="CESI黑体-GB13000"/>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CESI黑体-GB13000" w:hAnsi="CESI黑体-GB13000" w:eastAsia="CESI黑体-GB13000" w:cs="CESI黑体-GB13000"/>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bookmarkEnd w:id="0"/>
            <w:r>
              <w:rPr>
                <w:rFonts w:hint="eastAsia" w:ascii="CESI黑体-GB13000" w:hAnsi="CESI黑体-GB13000" w:eastAsia="CESI黑体-GB13000" w:cs="CESI黑体-GB13000"/>
                <w:i w:val="0"/>
                <w:color w:val="000000"/>
                <w:kern w:val="0"/>
                <w:sz w:val="32"/>
                <w:szCs w:val="32"/>
                <w:u w:val="none"/>
                <w:lang w:val="en-US" w:eastAsia="zh-CN" w:bidi="ar"/>
              </w:rPr>
              <w:t>附件</w:t>
            </w:r>
          </w:p>
        </w:tc>
        <w:tc>
          <w:tcPr>
            <w:tcW w:w="213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46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6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595"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淄博市公立医疗机构部分中医医疗服务项目价格表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项目内涵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除外</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内容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计价</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三级</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（一）中医外治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val="0"/>
                <w:bCs/>
                <w:i w:val="0"/>
                <w:color w:val="000000"/>
                <w:sz w:val="20"/>
                <w:szCs w:val="20"/>
                <w:u w:val="none"/>
                <w:lang w:eastAsia="zh-CN"/>
              </w:rPr>
              <w:t>药物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贴敷疗法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每个创面</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中药热奄包治疗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中药封包治疗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按每部位面积大小分为特大、大、中、小分别计价(特大＞15cm×15cm、大＞10cm×10cm、≤15cm×15cm、中＞5cm×5cm，≤10cm×10cm、小≤5cm×5cm)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410000005a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特大</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410000005b</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410000005c</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410000005d</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赘生物中药腐蚀治疗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每个赘生物</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甲床放血治疗术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指穿透甲板，放出甲下积血</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每甲</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中医骨伤</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不含X光透视、麻醉。部分项目参见肌肉骨骼系统手术</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关节脱位手法整复术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关节陈旧性脱位手法整复术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420000005b</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髋关节脱位手法整复术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骨折外固定架固定术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含整复固定,包括复查调整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外固定材料</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骨折夹板外固定术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含整复固定，包括复查调整、8字绷带外固定术、叠瓦氏外固定术</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外固定材料</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麻醉下腰椎间盘突出症大手法治疗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含X光透视、麻醉</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外固定架使用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关节粘连传统松解术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420000011a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大关节粘连传统松解术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外固定调整术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包括骨折外固定架、外固定夹板调整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外固定架拆除术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含器械使用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骨折畸形愈合手法折骨术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含折骨过程、重新整复及固定过程</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腰间盘三维牵引复位术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指在三维牵引床下完成的复位术</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（三）针刺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6岁及以下儿童加收20%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头皮针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埋针治疗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包括穴位包埋、穴位埋线、穴位结扎</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每个穴位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针刺运动疗法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包括辅助运动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五个穴位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针刺麻醉</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经络穴位测评疗法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包括体穴、耳穴、经络测评、经络导评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（六）中医肛肠</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460000001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直肠脱出复位治疗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460000001a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三度直肠脱出复位治疗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460000011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肛瘘封堵术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（七）中医特殊疗法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白内障针拨术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粘弹剂</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白内障针拨吸出术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粘弹剂</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白内障针拨套出术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粘弹剂</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红皮病清消术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中药硬膏热贴敷治疗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中药直肠滴入治疗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烫熨治疗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每个部位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（八）中医综合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480000006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中医辨证论治费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含诊察费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480000006a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普通医师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480000006b</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副主任医师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480000006c</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主任医师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诊察费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住院诊察费</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指医务人员技术劳务性服务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12（区属1级18）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结核病人加收6元。有资质的中医临床医生通过辨证施治的方法进行诊察的服务，加收1元。</w:t>
            </w:r>
          </w:p>
        </w:tc>
      </w:tr>
    </w:tbl>
    <w:p>
      <w:pPr>
        <w:pStyle w:val="2"/>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eastAsiaTheme="minorEastAsia"/>
                              <w:sz w:val="18"/>
                              <w:szCs w:val="28"/>
                            </w:rPr>
                            <w:t>—</w:t>
                          </w:r>
                          <w:r>
                            <w:rPr>
                              <w:rFonts w:eastAsiaTheme="minorEastAsia"/>
                              <w:sz w:val="28"/>
                              <w:szCs w:val="28"/>
                            </w:rPr>
                            <w:t xml:space="preserve"> </w:t>
                          </w:r>
                          <w:r>
                            <w:rPr>
                              <w:rFonts w:ascii="Times New Roman" w:hAnsi="Times New Roman" w:eastAsia="CESI仿宋-GB2312" w:cs="Times New Roman"/>
                              <w:sz w:val="28"/>
                              <w:szCs w:val="28"/>
                            </w:rPr>
                            <w:fldChar w:fldCharType="begin"/>
                          </w:r>
                          <w:r>
                            <w:rPr>
                              <w:rFonts w:ascii="Times New Roman" w:hAnsi="Times New Roman" w:eastAsia="CESI仿宋-GB2312" w:cs="Times New Roman"/>
                              <w:sz w:val="28"/>
                              <w:szCs w:val="28"/>
                            </w:rPr>
                            <w:instrText xml:space="preserve"> PAGE  \* MERGEFORMAT </w:instrText>
                          </w:r>
                          <w:r>
                            <w:rPr>
                              <w:rFonts w:ascii="Times New Roman" w:hAnsi="Times New Roman" w:eastAsia="CESI仿宋-GB2312" w:cs="Times New Roman"/>
                              <w:sz w:val="28"/>
                              <w:szCs w:val="28"/>
                            </w:rPr>
                            <w:fldChar w:fldCharType="separate"/>
                          </w:r>
                          <w:r>
                            <w:rPr>
                              <w:rFonts w:ascii="Times New Roman" w:hAnsi="Times New Roman" w:eastAsia="CESI仿宋-GB2312" w:cs="Times New Roman"/>
                              <w:sz w:val="28"/>
                              <w:szCs w:val="28"/>
                            </w:rPr>
                            <w:t>1</w:t>
                          </w:r>
                          <w:r>
                            <w:rPr>
                              <w:rFonts w:ascii="Times New Roman" w:hAnsi="Times New Roman" w:eastAsia="CESI仿宋-GB2312" w:cs="Times New Roman"/>
                              <w:sz w:val="28"/>
                              <w:szCs w:val="28"/>
                            </w:rPr>
                            <w:fldChar w:fldCharType="end"/>
                          </w:r>
                          <w:r>
                            <w:rPr>
                              <w:rFonts w:ascii="CESI仿宋-GB2312" w:hAnsi="CESI仿宋-GB2312" w:eastAsia="CESI仿宋-GB2312"/>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eastAsiaTheme="minorEastAsia"/>
                        <w:sz w:val="18"/>
                        <w:szCs w:val="28"/>
                      </w:rPr>
                      <w:t>—</w:t>
                    </w:r>
                    <w:r>
                      <w:rPr>
                        <w:rFonts w:eastAsiaTheme="minorEastAsia"/>
                        <w:sz w:val="28"/>
                        <w:szCs w:val="28"/>
                      </w:rPr>
                      <w:t xml:space="preserve"> </w:t>
                    </w:r>
                    <w:r>
                      <w:rPr>
                        <w:rFonts w:ascii="Times New Roman" w:hAnsi="Times New Roman" w:eastAsia="CESI仿宋-GB2312" w:cs="Times New Roman"/>
                        <w:sz w:val="28"/>
                        <w:szCs w:val="28"/>
                      </w:rPr>
                      <w:fldChar w:fldCharType="begin"/>
                    </w:r>
                    <w:r>
                      <w:rPr>
                        <w:rFonts w:ascii="Times New Roman" w:hAnsi="Times New Roman" w:eastAsia="CESI仿宋-GB2312" w:cs="Times New Roman"/>
                        <w:sz w:val="28"/>
                        <w:szCs w:val="28"/>
                      </w:rPr>
                      <w:instrText xml:space="preserve"> PAGE  \* MERGEFORMAT </w:instrText>
                    </w:r>
                    <w:r>
                      <w:rPr>
                        <w:rFonts w:ascii="Times New Roman" w:hAnsi="Times New Roman" w:eastAsia="CESI仿宋-GB2312" w:cs="Times New Roman"/>
                        <w:sz w:val="28"/>
                        <w:szCs w:val="28"/>
                      </w:rPr>
                      <w:fldChar w:fldCharType="separate"/>
                    </w:r>
                    <w:r>
                      <w:rPr>
                        <w:rFonts w:ascii="Times New Roman" w:hAnsi="Times New Roman" w:eastAsia="CESI仿宋-GB2312" w:cs="Times New Roman"/>
                        <w:sz w:val="28"/>
                        <w:szCs w:val="28"/>
                      </w:rPr>
                      <w:t>1</w:t>
                    </w:r>
                    <w:r>
                      <w:rPr>
                        <w:rFonts w:ascii="Times New Roman" w:hAnsi="Times New Roman" w:eastAsia="CESI仿宋-GB2312" w:cs="Times New Roman"/>
                        <w:sz w:val="28"/>
                        <w:szCs w:val="28"/>
                      </w:rPr>
                      <w:fldChar w:fldCharType="end"/>
                    </w:r>
                    <w:r>
                      <w:rPr>
                        <w:rFonts w:ascii="CESI仿宋-GB2312" w:hAnsi="CESI仿宋-GB2312" w:eastAsia="CESI仿宋-GB2312"/>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DQxYzVlMTYwYTVkNGQ0NWEzZTc3ODUyOGE4ZjAifQ=="/>
  </w:docVars>
  <w:rsids>
    <w:rsidRoot w:val="FF3FC7A3"/>
    <w:rsid w:val="147108E1"/>
    <w:rsid w:val="368FBA3C"/>
    <w:rsid w:val="3BF730EB"/>
    <w:rsid w:val="3FEF66AA"/>
    <w:rsid w:val="45DFD0B1"/>
    <w:rsid w:val="46701131"/>
    <w:rsid w:val="4FF7867B"/>
    <w:rsid w:val="4FFB162A"/>
    <w:rsid w:val="52E9AAD6"/>
    <w:rsid w:val="5A890BBC"/>
    <w:rsid w:val="5C7C6DDC"/>
    <w:rsid w:val="5CBFDA66"/>
    <w:rsid w:val="5E3EF6F4"/>
    <w:rsid w:val="5EFF5930"/>
    <w:rsid w:val="5FFF7382"/>
    <w:rsid w:val="6393C46E"/>
    <w:rsid w:val="64D90EDE"/>
    <w:rsid w:val="65713A65"/>
    <w:rsid w:val="677C75BD"/>
    <w:rsid w:val="6EEF128E"/>
    <w:rsid w:val="6F3FAF93"/>
    <w:rsid w:val="6FD5676B"/>
    <w:rsid w:val="6FEE6572"/>
    <w:rsid w:val="79F58574"/>
    <w:rsid w:val="79FB48ED"/>
    <w:rsid w:val="7A7ED668"/>
    <w:rsid w:val="7AFF6E6E"/>
    <w:rsid w:val="7B6C43CB"/>
    <w:rsid w:val="7B79DF2A"/>
    <w:rsid w:val="7BEC964C"/>
    <w:rsid w:val="7E4F2472"/>
    <w:rsid w:val="7E9FD52E"/>
    <w:rsid w:val="7EF48BB1"/>
    <w:rsid w:val="7EF86A78"/>
    <w:rsid w:val="7EFBE589"/>
    <w:rsid w:val="7F5DF6E9"/>
    <w:rsid w:val="7F7DF662"/>
    <w:rsid w:val="7F7F0668"/>
    <w:rsid w:val="7F7FEBFF"/>
    <w:rsid w:val="7FBBA54F"/>
    <w:rsid w:val="7FBF5E1C"/>
    <w:rsid w:val="7FE7F0BC"/>
    <w:rsid w:val="7FFE4977"/>
    <w:rsid w:val="8FECBB84"/>
    <w:rsid w:val="99EB7AC0"/>
    <w:rsid w:val="B7F61436"/>
    <w:rsid w:val="BF5F611A"/>
    <w:rsid w:val="BF7D013F"/>
    <w:rsid w:val="CEF7ABE4"/>
    <w:rsid w:val="D77F6866"/>
    <w:rsid w:val="DBFCE19D"/>
    <w:rsid w:val="DD3F6514"/>
    <w:rsid w:val="DEFF9B6D"/>
    <w:rsid w:val="EA8F348F"/>
    <w:rsid w:val="ECDFE7C6"/>
    <w:rsid w:val="EDFFBFB3"/>
    <w:rsid w:val="EFFD6AEC"/>
    <w:rsid w:val="F152141F"/>
    <w:rsid w:val="F1BF030E"/>
    <w:rsid w:val="F5EB733D"/>
    <w:rsid w:val="F77CA4FC"/>
    <w:rsid w:val="F7E2ADE4"/>
    <w:rsid w:val="FAFFB819"/>
    <w:rsid w:val="FBFBC575"/>
    <w:rsid w:val="FDAEEAA7"/>
    <w:rsid w:val="FDD93DF1"/>
    <w:rsid w:val="FEAF0C0F"/>
    <w:rsid w:val="FEEA2A9F"/>
    <w:rsid w:val="FF3C29A9"/>
    <w:rsid w:val="FF3FC7A3"/>
    <w:rsid w:val="FF723A79"/>
    <w:rsid w:val="FF775D03"/>
    <w:rsid w:val="FF7DC759"/>
    <w:rsid w:val="FFBBB098"/>
    <w:rsid w:val="FFBD4774"/>
    <w:rsid w:val="FFFBE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1566</Words>
  <Characters>2175</Characters>
  <Lines>0</Lines>
  <Paragraphs>0</Paragraphs>
  <TotalTime>15</TotalTime>
  <ScaleCrop>false</ScaleCrop>
  <LinksUpToDate>false</LinksUpToDate>
  <CharactersWithSpaces>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2023-02-11T16:51:00Z</dcterms:created>
  <dc:creator>administrator</dc:creator>
  <cp:lastModifiedBy>徐峰</cp:lastModifiedBy>
  <dcterms:modified xsi:type="dcterms:W3CDTF">2023-08-02T08:17:32Z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B9A6FBA935444AF18E17E813DAF66CD3</vt:lpwstr>
  </property>
</Properties>
</file>