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临淄区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住房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和城乡建设局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2020年政府信息公开工作年度报告</w:t>
      </w:r>
    </w:p>
    <w:p>
      <w:pPr>
        <w:numPr>
          <w:ilvl w:val="0"/>
          <w:numId w:val="0"/>
        </w:numPr>
        <w:tabs>
          <w:tab w:val="left" w:pos="0"/>
        </w:tabs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numPr>
          <w:ilvl w:val="0"/>
          <w:numId w:val="0"/>
        </w:numPr>
        <w:tabs>
          <w:tab w:val="left" w:pos="0"/>
        </w:tabs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《中华人民共和国政府信息公开条例》、国务院办公厅《关于政府信息公开工作年度报告有关事项的通知》和区政府办《关于编制和发布2020年政府信息公开工作年度报告的通知》要求，现将我单位2020年度政府信息公开工作情况报告如下。</w:t>
      </w:r>
    </w:p>
    <w:p>
      <w:pPr>
        <w:numPr>
          <w:ilvl w:val="0"/>
          <w:numId w:val="0"/>
        </w:numPr>
        <w:tabs>
          <w:tab w:val="left" w:pos="0"/>
        </w:tabs>
        <w:spacing w:line="560" w:lineRule="exact"/>
        <w:ind w:leftChars="200" w:firstLine="320" w:firstLineChars="1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总体情况</w:t>
      </w:r>
    </w:p>
    <w:p>
      <w:pPr>
        <w:numPr>
          <w:ilvl w:val="0"/>
          <w:numId w:val="0"/>
        </w:numPr>
        <w:tabs>
          <w:tab w:val="left" w:pos="0"/>
        </w:tabs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1.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主动公开方面。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在政府网站共发布各类信息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条。主要公开内容为：一是机构职能；二是业务工作动态；三是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重大项目建设、农村危房改造、棚户区改造、“双随机一公开”信息、行政执法信息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等；四是政府工作报告任务执行情况和重点民生实事工作进展情况；五是主动公开基本目录、政府信息公开指南、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26个试点领域目录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六是</w:t>
      </w:r>
      <w:r>
        <w:rPr>
          <w:rFonts w:hint="eastAsia" w:ascii="仿宋_GB2312" w:hAnsi="仿宋_GB2312" w:eastAsia="仿宋_GB2312" w:cs="仿宋_GB2312"/>
          <w:sz w:val="32"/>
          <w:szCs w:val="32"/>
        </w:rPr>
        <w:t>人大代表、政协委员建议提案办理结果公开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50条，其中，</w:t>
      </w:r>
      <w:r>
        <w:rPr>
          <w:rFonts w:hint="eastAsia" w:ascii="仿宋_GB2312" w:hAnsi="仿宋_GB2312" w:eastAsia="仿宋_GB2312" w:cs="仿宋_GB2312"/>
          <w:sz w:val="32"/>
          <w:szCs w:val="32"/>
        </w:rPr>
        <w:t>人大代表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建议答复29条，政协委员提案答复21条。</w:t>
      </w:r>
    </w:p>
    <w:p>
      <w:pPr>
        <w:numPr>
          <w:ilvl w:val="0"/>
          <w:numId w:val="0"/>
        </w:numPr>
        <w:tabs>
          <w:tab w:val="left" w:pos="0"/>
        </w:tabs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2.依申请公开方面。2020年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共收到依申请公开8件，已全部按照规定答复。</w:t>
      </w:r>
    </w:p>
    <w:p>
      <w:pPr>
        <w:numPr>
          <w:ilvl w:val="0"/>
          <w:numId w:val="0"/>
        </w:numPr>
        <w:tabs>
          <w:tab w:val="left" w:pos="0"/>
        </w:tabs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3.政府信息管理方面。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局办公室负责单位政务公开工作，确定专人负责政务公开工作，严格执行政务公开保密审查制度。按照区政府办要求，制定了单位《政务公开事项标准目录》、《主动公开基本目录》，严格按照目录要求进行标准化规范化公开。</w:t>
      </w:r>
    </w:p>
    <w:p>
      <w:pPr>
        <w:numPr>
          <w:ilvl w:val="0"/>
          <w:numId w:val="0"/>
        </w:numPr>
        <w:tabs>
          <w:tab w:val="left" w:pos="0"/>
        </w:tabs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4.平台建设方面。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在临淄区政府网站设立临淄区住房和城乡建设局政府信息公开专栏，确保政府信息依法公开。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5.监督保障方面。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将政府信息公开工作纳入年底对科室工作考核，根据考核情况对各相关科室进行加减分。落实专门人员明确职责、工作任务和工作要求，负责信息公开材料的收集、发布、归档等工作。</w:t>
      </w:r>
    </w:p>
    <w:p>
      <w:pPr>
        <w:numPr>
          <w:ilvl w:val="0"/>
          <w:numId w:val="0"/>
        </w:numPr>
        <w:tabs>
          <w:tab w:val="left" w:pos="0"/>
        </w:tabs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主动公开政府信息情况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该部分以表格形式报告。表格如下：</w:t>
      </w:r>
    </w:p>
    <w:tbl>
      <w:tblPr>
        <w:tblStyle w:val="14"/>
        <w:tblW w:w="823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09"/>
        <w:gridCol w:w="1842"/>
        <w:gridCol w:w="1888"/>
        <w:gridCol w:w="199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234" w:type="dxa"/>
            <w:gridSpan w:val="4"/>
            <w:tcBorders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第二十条第（一）项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信息内容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本年新制作数量</w:t>
            </w:r>
          </w:p>
        </w:tc>
        <w:tc>
          <w:tcPr>
            <w:tcW w:w="1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本年新公开数量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对外公开总数量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规章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25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规范性文件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234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第二十条第（五）项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信息内容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上一年项目数量</w:t>
            </w:r>
          </w:p>
        </w:tc>
        <w:tc>
          <w:tcPr>
            <w:tcW w:w="1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本年增/减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处理决定数量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行政许可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356</w:t>
            </w:r>
          </w:p>
        </w:tc>
        <w:tc>
          <w:tcPr>
            <w:tcW w:w="1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-118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238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其他对外管理服务事项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8234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第二十条第（六）项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信息内容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上一年项目数量</w:t>
            </w:r>
          </w:p>
        </w:tc>
        <w:tc>
          <w:tcPr>
            <w:tcW w:w="1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本年增/减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处理决定数量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行政处罚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+1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行政强制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234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第二十条第（八）项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信息内容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上一年项目数量</w:t>
            </w:r>
          </w:p>
        </w:tc>
        <w:tc>
          <w:tcPr>
            <w:tcW w:w="388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本年增/减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行政事业性收费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88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234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第二十条第（九）项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信息内容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采购项目数量</w:t>
            </w:r>
          </w:p>
        </w:tc>
        <w:tc>
          <w:tcPr>
            <w:tcW w:w="388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采购总金额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96" w:hRule="atLeast"/>
        </w:trPr>
        <w:tc>
          <w:tcPr>
            <w:tcW w:w="2509" w:type="dxa"/>
            <w:tcBorders>
              <w:top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政府集中采购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883" w:type="dxa"/>
            <w:gridSpan w:val="2"/>
            <w:tcBorders>
              <w:top w:val="single" w:color="000000" w:sz="2" w:space="0"/>
              <w:lef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0"/>
        </w:numPr>
        <w:tabs>
          <w:tab w:val="left" w:pos="0"/>
        </w:tabs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收到和处理政府信息公开申请情况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该部分以表格形式报告。表格如下：</w:t>
      </w:r>
    </w:p>
    <w:tbl>
      <w:tblPr>
        <w:tblStyle w:val="15"/>
        <w:tblpPr w:leftFromText="181" w:rightFromText="181" w:vertAnchor="text" w:horzAnchor="page" w:tblpXSpec="center" w:tblpY="284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4"/>
        <w:gridCol w:w="1134"/>
        <w:gridCol w:w="1887"/>
        <w:gridCol w:w="565"/>
        <w:gridCol w:w="635"/>
        <w:gridCol w:w="635"/>
        <w:gridCol w:w="775"/>
        <w:gridCol w:w="829"/>
        <w:gridCol w:w="442"/>
        <w:gridCol w:w="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0" w:type="auto"/>
            <w:gridSpan w:val="3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0" w:type="auto"/>
            <w:gridSpan w:val="7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0" w:type="auto"/>
            <w:gridSpan w:val="3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自然人</w:t>
            </w:r>
          </w:p>
        </w:tc>
        <w:tc>
          <w:tcPr>
            <w:tcW w:w="3316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法人或其他组织</w:t>
            </w:r>
          </w:p>
        </w:tc>
        <w:tc>
          <w:tcPr>
            <w:tcW w:w="496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  <w:jc w:val="center"/>
        </w:trPr>
        <w:tc>
          <w:tcPr>
            <w:tcW w:w="0" w:type="auto"/>
            <w:gridSpan w:val="3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商业企业</w:t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科研机构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社会公益组织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法律服务机构</w:t>
            </w:r>
          </w:p>
        </w:tc>
        <w:tc>
          <w:tcPr>
            <w:tcW w:w="44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其他</w:t>
            </w:r>
          </w:p>
        </w:tc>
        <w:tc>
          <w:tcPr>
            <w:tcW w:w="496" w:type="dxa"/>
            <w:vMerge w:val="continue"/>
            <w:vAlign w:val="center"/>
          </w:tcPr>
          <w:p>
            <w:pPr>
              <w:rPr>
                <w:rFonts w:asciiTheme="minorHAnsi" w:hAnsiTheme="minorHAnsi" w:eastAsiaTheme="minorEastAsia" w:cstheme="minorBid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0" w:type="auto"/>
            <w:gridSpan w:val="3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0" w:type="auto"/>
            <w:gridSpan w:val="3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0" w:type="auto"/>
            <w:vMerge w:val="restart"/>
            <w:vAlign w:val="center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三、本年度办理结果</w:t>
            </w:r>
          </w:p>
        </w:tc>
        <w:tc>
          <w:tcPr>
            <w:tcW w:w="0" w:type="auto"/>
            <w:gridSpan w:val="2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（一）予以公开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0" w:type="auto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gridSpan w:val="2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0" w:type="auto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（三）不予公开</w:t>
            </w:r>
          </w:p>
        </w:tc>
        <w:tc>
          <w:tcPr>
            <w:tcW w:w="0" w:type="auto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1．属于国家秘密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0" w:type="auto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2．其他法律行政法规禁止公开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0" w:type="auto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3．危及“三安全一稳定”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4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4．保护第三方合法权益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4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0" w:type="auto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5．属于三类内部事务信息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4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0" w:type="auto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6．属于四类过程性信息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4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0" w:type="auto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7．属于行政执法案卷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4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0" w:type="auto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8．属于行政查询事项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4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0" w:type="auto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（四）无法提供</w:t>
            </w:r>
          </w:p>
        </w:tc>
        <w:tc>
          <w:tcPr>
            <w:tcW w:w="0" w:type="auto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1．本单位不掌握相关政府信息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4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0" w:type="auto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2．没有现成信息需要另行制作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4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0" w:type="auto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3．补正后申请内容仍不明确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4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0" w:type="auto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（五）不予处理</w:t>
            </w:r>
          </w:p>
        </w:tc>
        <w:tc>
          <w:tcPr>
            <w:tcW w:w="0" w:type="auto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1．信访举报投诉类申请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4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0" w:type="auto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2．重复申请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4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0" w:type="auto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3．要求提供公开出版物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0" w:type="auto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4．无正当理由大量反复申请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0" w:type="auto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ind w:left="210" w:hanging="210" w:hangingChars="100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5．要求行政机关确认或重新出具已获取信息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0" w:type="auto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（六）其他处理</w:t>
            </w:r>
          </w:p>
        </w:tc>
        <w:tc>
          <w:tcPr>
            <w:tcW w:w="56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4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0" w:type="auto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（七）总计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0" w:type="auto"/>
            <w:gridSpan w:val="3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四、结转下年度继续办理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0"/>
        </w:numPr>
        <w:tabs>
          <w:tab w:val="left" w:pos="0"/>
        </w:tabs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sz w:val="32"/>
          <w:szCs w:val="32"/>
        </w:rPr>
        <w:t>政府信息公开行政复议、行政诉讼情况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该部分以表格形式报告。表格如下：</w:t>
      </w:r>
    </w:p>
    <w:tbl>
      <w:tblPr>
        <w:tblStyle w:val="15"/>
        <w:tblpPr w:leftFromText="180" w:rightFromText="180" w:vertAnchor="text" w:horzAnchor="page" w:tblpX="1890" w:tblpY="45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3"/>
        <w:gridCol w:w="594"/>
        <w:gridCol w:w="594"/>
        <w:gridCol w:w="594"/>
        <w:gridCol w:w="463"/>
        <w:gridCol w:w="594"/>
        <w:gridCol w:w="594"/>
        <w:gridCol w:w="594"/>
        <w:gridCol w:w="594"/>
        <w:gridCol w:w="463"/>
        <w:gridCol w:w="594"/>
        <w:gridCol w:w="597"/>
        <w:gridCol w:w="597"/>
        <w:gridCol w:w="594"/>
        <w:gridCol w:w="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0" w:type="auto"/>
            <w:gridSpan w:val="5"/>
            <w:vAlign w:val="center"/>
          </w:tcPr>
          <w:p>
            <w:pPr>
              <w:autoSpaceDE/>
              <w:autoSpaceDN/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行政复议</w:t>
            </w:r>
          </w:p>
        </w:tc>
        <w:tc>
          <w:tcPr>
            <w:tcW w:w="0" w:type="auto"/>
            <w:gridSpan w:val="10"/>
            <w:vAlign w:val="center"/>
          </w:tcPr>
          <w:p>
            <w:pPr>
              <w:autoSpaceDE/>
              <w:autoSpaceDN/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vMerge w:val="restart"/>
            <w:vAlign w:val="center"/>
          </w:tcPr>
          <w:p>
            <w:pPr>
              <w:autoSpaceDE/>
              <w:autoSpaceDN/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结果维持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autoSpaceDE/>
              <w:autoSpaceDN/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结果纠正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autoSpaceDE/>
              <w:autoSpaceDN/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其他结果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autoSpaceDE/>
              <w:autoSpaceDN/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尚未审结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autoSpaceDE/>
              <w:autoSpaceDN/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总计</w:t>
            </w:r>
          </w:p>
        </w:tc>
        <w:tc>
          <w:tcPr>
            <w:tcW w:w="0" w:type="auto"/>
            <w:gridSpan w:val="5"/>
            <w:vAlign w:val="center"/>
          </w:tcPr>
          <w:p>
            <w:pPr>
              <w:autoSpaceDE/>
              <w:autoSpaceDN/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未经复议直接起诉</w:t>
            </w:r>
          </w:p>
        </w:tc>
        <w:tc>
          <w:tcPr>
            <w:tcW w:w="0" w:type="auto"/>
            <w:gridSpan w:val="5"/>
            <w:vAlign w:val="center"/>
          </w:tcPr>
          <w:p>
            <w:pPr>
              <w:autoSpaceDE/>
              <w:autoSpaceDN/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结果维持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结果纠正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其他结果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尚未审结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总计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结果维持</w:t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结果纠正</w:t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其他结果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尚未审结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0"/>
        </w:numPr>
        <w:tabs>
          <w:tab w:val="left" w:pos="0"/>
        </w:tabs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黑体"/>
          <w:sz w:val="32"/>
          <w:szCs w:val="32"/>
        </w:rPr>
        <w:t>存在的主要问题及改进情况</w:t>
      </w:r>
      <w:bookmarkStart w:id="0" w:name="_GoBack"/>
      <w:bookmarkEnd w:id="0"/>
    </w:p>
    <w:p>
      <w:pPr>
        <w:numPr>
          <w:ilvl w:val="0"/>
          <w:numId w:val="0"/>
        </w:numPr>
        <w:tabs>
          <w:tab w:val="left" w:pos="1134"/>
        </w:tabs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主要问题：一是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信息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公开内容多为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单位日常工作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，其他业务方面少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；二是信息公开不及时。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改进措施：一是加强对各科室政府信息公开工作的督导，明确报送数量要求，提高农村危房改造、棚户区改造、“双随机一公开”等方面的信息上传的数量；二是制定信息公开报送制度，严格报送时间要求，各相关科室应公开信息出台后，要7日内上报到局办公室，提高信息公开工作的时效性。</w:t>
      </w:r>
    </w:p>
    <w:p>
      <w:pPr>
        <w:numPr>
          <w:ilvl w:val="0"/>
          <w:numId w:val="0"/>
        </w:numPr>
        <w:tabs>
          <w:tab w:val="left" w:pos="0"/>
        </w:tabs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六、</w:t>
      </w:r>
      <w:r>
        <w:rPr>
          <w:rFonts w:hint="eastAsia" w:ascii="黑体" w:hAnsi="黑体" w:eastAsia="黑体" w:cs="黑体"/>
          <w:sz w:val="32"/>
          <w:szCs w:val="32"/>
        </w:rPr>
        <w:t>其他需要报告的事项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spacing w:line="14" w:lineRule="auto"/>
      <w:ind w:left="0"/>
      <w:rPr>
        <w:sz w:val="20"/>
      </w:rPr>
    </w:pPr>
    <w:r>
      <w:rPr>
        <w:sz w:val="20"/>
        <w:lang w:val="en-US" w:bidi="ar-SA"/>
      </w:rPr>
      <w:pict>
        <v:shape id="文本框 8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0P4YAIAAAoFAAAOAAAAZHJzL2Uyb0RvYy54bWysVE1uEzEU3iNxB8t7OmkRVRRlUoVWRUgV&#10;rSiIteOxmxG2n2W7mQkHgBuwYtM95+o5+OzJpKiwKWLjeeP3/733eX7SW8M2KsSWXM0PDyacKSep&#10;ad1NzT9+OH8x5Swm4RphyKmab1XkJ4vnz+adn6kjWpNpVGAI4uKs8zVfp+RnVRXlWlkRD8grB6Wm&#10;YEXCb7ipmiA6RLemOppMjquOQuMDSRUjbs8GJV+U+FormS61jioxU3PUlsoZyrnKZ7WYi9lNEH7d&#10;yl0Z4h+qsKJ1SLoPdSaSYLeh/SOUbWWgSDodSLIVad1KVXpAN4eTR91cr4VXpReAE/0epvj/wsp3&#10;m6vA2qbmGJQTFiO6//7t/sfP+7uvbJrh6Xycwerawy71r6nHmMf7iMvcda+DzV/0w6AH0Ns9uKpP&#10;TGan6dF0OoFKQjf+IH714O5DTG8UWZaFmgdMr4AqNhcxDaajSc7m6Lw1pkzQONbV/Pjlq0lx2GsQ&#10;3DjkyE0MxRYpbY3KEYx7rzS6LzXni7J36tQEthHYGCGlcqm0WyLBOltppH2K484+u6qyk09x3nuU&#10;zOTS3tm2jkLp91HZzeexZD3YjwgMfWcIUr/qd8NdUbPFbAMN5IhenrfA/0LEdCUC2ICZgeHpEoc2&#10;BJxpJ3G2pvDlb/fZHksKLWcd2FVzB/pzZt46LG8m4iiEUViNgru1pwTwD/FyeFlEOIRkRlEHsp9A&#10;+2XOAZVwEplqnkbxNA0Mx7Mh1XJZjEA3L9KFu/Yyhy7D9svbhB0qq5VBGZDYgQXCleXcPQ6Z0b//&#10;F6uHJ2zxCw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gYdD+GACAAAKBQAADgAAAAAAAAAAAAAAAAAuAgAAZHJzL2Uyb0RvYy54bWxQ&#10;SwECLQAUAAYACAAAACEAcarRudcAAAAFAQAADwAAAAAAAAAAAAAAAAC6BAAAZHJzL2Rvd25yZXYu&#10;eG1sUEsFBgAAAAAEAAQA8wAAAL4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12"/>
                  <w:rPr>
                    <w:rFonts w:asciiTheme="minorEastAsia" w:hAnsiTheme="minorEastAsia" w:eastAsiaTheme="minorEastAsia" w:cstheme="minorEastAsia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</w:rPr>
                  <w:fldChar w:fldCharType="separate"/>
                </w:r>
                <w:r>
                  <w:rPr>
                    <w:rFonts w:asciiTheme="minorEastAsia" w:hAnsiTheme="minorEastAsia" w:eastAsiaTheme="minorEastAsia" w:cstheme="minorEastAsia"/>
                  </w:rPr>
                  <w:t>2</w:t>
                </w:r>
                <w:r>
                  <w:rPr>
                    <w:rFonts w:hint="eastAsia" w:asciiTheme="minorEastAsia" w:hAnsiTheme="minorEastAsia" w:eastAsiaTheme="minorEastAsia" w:cstheme="minorEastAsia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B4298A"/>
    <w:multiLevelType w:val="multilevel"/>
    <w:tmpl w:val="85B4298A"/>
    <w:lvl w:ilvl="0" w:tentative="0">
      <w:start w:val="1"/>
      <w:numFmt w:val="decimal"/>
      <w:pStyle w:val="2"/>
      <w:suff w:val="space"/>
      <w:lvlText w:val="%1."/>
      <w:lvlJc w:val="left"/>
      <w:pPr>
        <w:tabs>
          <w:tab w:val="left" w:pos="420"/>
        </w:tabs>
        <w:ind w:left="0" w:firstLine="40"/>
      </w:pPr>
      <w:rPr>
        <w:rFonts w:hint="default" w:ascii="宋体" w:hAnsi="宋体" w:eastAsia="宋体" w:cs="宋体"/>
      </w:rPr>
    </w:lvl>
    <w:lvl w:ilvl="1" w:tentative="0">
      <w:start w:val="1"/>
      <w:numFmt w:val="decimal"/>
      <w:pStyle w:val="3"/>
      <w:suff w:val="space"/>
      <w:lvlText w:val="%1.%2"/>
      <w:lvlJc w:val="left"/>
      <w:pPr>
        <w:tabs>
          <w:tab w:val="left" w:pos="420"/>
        </w:tabs>
        <w:ind w:left="0" w:firstLine="40"/>
      </w:pPr>
      <w:rPr>
        <w:rFonts w:hint="default" w:ascii="宋体" w:hAnsi="宋体" w:eastAsia="宋体" w:cs="宋体"/>
      </w:rPr>
    </w:lvl>
    <w:lvl w:ilvl="2" w:tentative="0">
      <w:start w:val="1"/>
      <w:numFmt w:val="decimal"/>
      <w:pStyle w:val="4"/>
      <w:suff w:val="space"/>
      <w:lvlText w:val="%1.%2.%3"/>
      <w:lvlJc w:val="left"/>
      <w:pPr>
        <w:tabs>
          <w:tab w:val="left" w:pos="420"/>
        </w:tabs>
        <w:ind w:left="0" w:firstLine="40"/>
      </w:pPr>
      <w:rPr>
        <w:rFonts w:hint="default" w:ascii="宋体" w:hAnsi="宋体" w:eastAsia="宋体" w:cs="宋体"/>
      </w:rPr>
    </w:lvl>
    <w:lvl w:ilvl="3" w:tentative="0">
      <w:start w:val="1"/>
      <w:numFmt w:val="decimal"/>
      <w:pStyle w:val="5"/>
      <w:suff w:val="space"/>
      <w:lvlText w:val="%1.%2.%3.%4"/>
      <w:lvlJc w:val="left"/>
      <w:pPr>
        <w:tabs>
          <w:tab w:val="left" w:pos="420"/>
        </w:tabs>
        <w:ind w:left="0" w:firstLine="40"/>
      </w:pPr>
      <w:rPr>
        <w:rFonts w:hint="default" w:ascii="宋体" w:hAnsi="宋体" w:eastAsia="宋体" w:cs="宋体"/>
      </w:rPr>
    </w:lvl>
    <w:lvl w:ilvl="4" w:tentative="0">
      <w:start w:val="1"/>
      <w:numFmt w:val="decimal"/>
      <w:pStyle w:val="6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7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pStyle w:val="8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9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0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7CDE5119"/>
    <w:rsid w:val="000A1628"/>
    <w:rsid w:val="000D6C4A"/>
    <w:rsid w:val="000E61D8"/>
    <w:rsid w:val="00124155"/>
    <w:rsid w:val="00154C8D"/>
    <w:rsid w:val="00162875"/>
    <w:rsid w:val="00174DC8"/>
    <w:rsid w:val="001D1F86"/>
    <w:rsid w:val="001E2F2E"/>
    <w:rsid w:val="00296EB1"/>
    <w:rsid w:val="00303887"/>
    <w:rsid w:val="003A0F49"/>
    <w:rsid w:val="00481E75"/>
    <w:rsid w:val="004D2CF1"/>
    <w:rsid w:val="0055797E"/>
    <w:rsid w:val="005643B3"/>
    <w:rsid w:val="00627313"/>
    <w:rsid w:val="006C3007"/>
    <w:rsid w:val="006E3FF2"/>
    <w:rsid w:val="007215A6"/>
    <w:rsid w:val="0072406D"/>
    <w:rsid w:val="007D2F7C"/>
    <w:rsid w:val="00820A12"/>
    <w:rsid w:val="00857D17"/>
    <w:rsid w:val="008602C0"/>
    <w:rsid w:val="00893ABA"/>
    <w:rsid w:val="008D65EC"/>
    <w:rsid w:val="0098752B"/>
    <w:rsid w:val="0099295E"/>
    <w:rsid w:val="009B1249"/>
    <w:rsid w:val="009D1612"/>
    <w:rsid w:val="00A23474"/>
    <w:rsid w:val="00A80CB1"/>
    <w:rsid w:val="00A931EA"/>
    <w:rsid w:val="00AE7CF0"/>
    <w:rsid w:val="00B7019E"/>
    <w:rsid w:val="00BA0B20"/>
    <w:rsid w:val="00C17899"/>
    <w:rsid w:val="00C17BB9"/>
    <w:rsid w:val="00C66A78"/>
    <w:rsid w:val="00C767F8"/>
    <w:rsid w:val="00CB4FD8"/>
    <w:rsid w:val="00CC2387"/>
    <w:rsid w:val="00CE03BD"/>
    <w:rsid w:val="00D607F5"/>
    <w:rsid w:val="00DD359C"/>
    <w:rsid w:val="00DF74A4"/>
    <w:rsid w:val="00E2645A"/>
    <w:rsid w:val="00E374A3"/>
    <w:rsid w:val="00E57F6F"/>
    <w:rsid w:val="00EE24A3"/>
    <w:rsid w:val="00F41DB7"/>
    <w:rsid w:val="00F66BF8"/>
    <w:rsid w:val="00F718E2"/>
    <w:rsid w:val="08DD2FD7"/>
    <w:rsid w:val="09366BBE"/>
    <w:rsid w:val="0A967B92"/>
    <w:rsid w:val="0CDA472C"/>
    <w:rsid w:val="0D5C1512"/>
    <w:rsid w:val="103C6FF6"/>
    <w:rsid w:val="117E78A5"/>
    <w:rsid w:val="16946B4B"/>
    <w:rsid w:val="19135F47"/>
    <w:rsid w:val="1D4B58FC"/>
    <w:rsid w:val="20544CB8"/>
    <w:rsid w:val="205A38ED"/>
    <w:rsid w:val="20711667"/>
    <w:rsid w:val="2C9F4E9B"/>
    <w:rsid w:val="2CF10EB7"/>
    <w:rsid w:val="2E412DD6"/>
    <w:rsid w:val="2E576436"/>
    <w:rsid w:val="2EEC05A0"/>
    <w:rsid w:val="36162A24"/>
    <w:rsid w:val="36726698"/>
    <w:rsid w:val="36761A31"/>
    <w:rsid w:val="37FE167F"/>
    <w:rsid w:val="3CF60E3E"/>
    <w:rsid w:val="3D8945AB"/>
    <w:rsid w:val="3E3B72D7"/>
    <w:rsid w:val="3EE037F8"/>
    <w:rsid w:val="411F700C"/>
    <w:rsid w:val="42CB2A5B"/>
    <w:rsid w:val="47057BB5"/>
    <w:rsid w:val="47DA37B8"/>
    <w:rsid w:val="4BB320C6"/>
    <w:rsid w:val="4BC74C00"/>
    <w:rsid w:val="4BDE13BD"/>
    <w:rsid w:val="4E0B024D"/>
    <w:rsid w:val="50F96A91"/>
    <w:rsid w:val="528B03F8"/>
    <w:rsid w:val="52D40368"/>
    <w:rsid w:val="563509D0"/>
    <w:rsid w:val="57E9794C"/>
    <w:rsid w:val="592A2859"/>
    <w:rsid w:val="59934979"/>
    <w:rsid w:val="5B4E06FA"/>
    <w:rsid w:val="5D686C0C"/>
    <w:rsid w:val="62775988"/>
    <w:rsid w:val="63F969E7"/>
    <w:rsid w:val="6764553C"/>
    <w:rsid w:val="67E27BED"/>
    <w:rsid w:val="68AE2D6E"/>
    <w:rsid w:val="6A61711B"/>
    <w:rsid w:val="6CE374DC"/>
    <w:rsid w:val="6D6541FB"/>
    <w:rsid w:val="6F5B62C3"/>
    <w:rsid w:val="794837D3"/>
    <w:rsid w:val="798D2570"/>
    <w:rsid w:val="7CDE5119"/>
    <w:rsid w:val="7D641F69"/>
    <w:rsid w:val="7DBA3EA7"/>
    <w:rsid w:val="7DE179C9"/>
    <w:rsid w:val="7E6C1B26"/>
    <w:rsid w:val="7FC87C5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方正仿宋_GBK" w:hAnsi="方正仿宋_GBK" w:eastAsia="方正仿宋_GBK" w:cs="方正仿宋_GBK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after="290" w:line="372" w:lineRule="auto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after="64" w:line="317" w:lineRule="auto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after="64" w:line="317" w:lineRule="auto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after="64" w:line="317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after="64" w:line="317" w:lineRule="auto"/>
      <w:outlineLvl w:val="8"/>
    </w:pPr>
    <w:rPr>
      <w:rFonts w:ascii="Arial" w:hAnsi="Arial" w:eastAsia="黑体"/>
      <w:sz w:val="21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ody Text"/>
    <w:basedOn w:val="1"/>
    <w:qFormat/>
    <w:uiPriority w:val="1"/>
    <w:pPr>
      <w:ind w:left="151"/>
    </w:pPr>
    <w:rPr>
      <w:sz w:val="32"/>
      <w:szCs w:val="32"/>
    </w:rPr>
  </w:style>
  <w:style w:type="paragraph" w:styleId="1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1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styleId="15">
    <w:name w:val="Table Grid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7">
    <w:name w:val="List Paragraph"/>
    <w:basedOn w:val="1"/>
    <w:qFormat/>
    <w:uiPriority w:val="1"/>
    <w:pPr>
      <w:ind w:left="151" w:firstLine="628"/>
    </w:pPr>
  </w:style>
  <w:style w:type="paragraph" w:customStyle="1" w:styleId="18">
    <w:name w:val="Table Paragraph"/>
    <w:basedOn w:val="1"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943</Words>
  <Characters>5377</Characters>
  <Lines>44</Lines>
  <Paragraphs>12</Paragraphs>
  <TotalTime>12</TotalTime>
  <ScaleCrop>false</ScaleCrop>
  <LinksUpToDate>false</LinksUpToDate>
  <CharactersWithSpaces>6308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2021-01-14T01:25:00Z</dcterms:created>
  <dc:creator>Administrator</dc:creator>
  <cp:lastModifiedBy>西园公子</cp:lastModifiedBy>
  <dcterms:modified xsi:type="dcterms:W3CDTF">2021-06-01T06:01:51Z</dcterms:modified>
  <cp:revision>175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0A80B912F12D42A09A1FA5B3742C1236</vt:lpwstr>
  </property>
</Properties>
</file>