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黑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color w:val="auto"/>
          <w:sz w:val="44"/>
          <w:szCs w:val="44"/>
        </w:rPr>
        <w:t>临淄区</w:t>
      </w:r>
      <w:r>
        <w:rPr>
          <w:rFonts w:hint="eastAsia" w:ascii="方正小标宋简体" w:hAnsi="黑体" w:eastAsia="方正小标宋简体"/>
          <w:color w:val="auto"/>
          <w:sz w:val="44"/>
          <w:szCs w:val="44"/>
          <w:lang w:eastAsia="zh-CN"/>
        </w:rPr>
        <w:t>综合行政执法局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ascii="方正小标宋简体" w:hAnsi="黑体" w:eastAsia="方正小标宋简体"/>
          <w:color w:val="auto"/>
          <w:sz w:val="44"/>
          <w:szCs w:val="44"/>
        </w:rPr>
      </w:pPr>
      <w:r>
        <w:rPr>
          <w:rFonts w:hint="eastAsia" w:ascii="方正小标宋简体" w:hAnsi="黑体" w:eastAsia="方正小标宋简体"/>
          <w:color w:val="auto"/>
          <w:sz w:val="44"/>
          <w:szCs w:val="44"/>
        </w:rPr>
        <w:t>20</w:t>
      </w:r>
      <w:r>
        <w:rPr>
          <w:rFonts w:ascii="方正小标宋简体" w:hAnsi="黑体" w:eastAsia="方正小标宋简体"/>
          <w:color w:val="auto"/>
          <w:sz w:val="44"/>
          <w:szCs w:val="44"/>
        </w:rPr>
        <w:t>2</w:t>
      </w:r>
      <w:r>
        <w:rPr>
          <w:rFonts w:hint="eastAsia" w:ascii="方正小标宋简体" w:hAnsi="黑体" w:eastAsia="方正小标宋简体"/>
          <w:color w:val="auto"/>
          <w:sz w:val="44"/>
          <w:szCs w:val="44"/>
          <w:lang w:val="en-US" w:eastAsia="zh-CN"/>
        </w:rPr>
        <w:t>5</w:t>
      </w:r>
      <w:r>
        <w:rPr>
          <w:rFonts w:hint="eastAsia" w:ascii="方正小标宋简体" w:hAnsi="黑体" w:eastAsia="方正小标宋简体"/>
          <w:color w:val="auto"/>
          <w:sz w:val="44"/>
          <w:szCs w:val="44"/>
        </w:rPr>
        <w:t>年政府信息公开工作年度报告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本年度报告中所列数据的统计期限自2025年1月1日起，至2025年12月31日止。如对报告内容有疑问，请与临淄区综合行政执法局联系（地址：临淄区齐城路38号；邮编：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-6"/>
          <w:w w:val="96"/>
          <w:sz w:val="32"/>
          <w:szCs w:val="32"/>
          <w:lang w:val="en-US" w:eastAsia="zh-CN"/>
        </w:rPr>
        <w:t>255400；电话：0533-2277013；邮箱lzqzhxzzfj@zb.shandong.cn）。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ascii="黑体" w:hAnsi="宋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ascii="黑体" w:hAnsi="宋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Chars="0" w:right="0"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2025年，临淄区综合行政执法局严格遵循《中华人民共和国政府信息公开条例》要求，坚持“以公开为常态、不公开为例外”原则，推动公开与业务深度融合，持续完善制度体系、深化公开内容、优化公开渠道、提升公开质效，以高质量政务公开助力综合行政执法工作提质增效，切实保障公众知情权、参与权、表达权和监督权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</w:rPr>
        <w:t>主动公开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工作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情况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2025年，临淄区综合行政执法局恪守依托政府网站，全年累计主动公开各类信息69条，具体涵盖执法结果17条、业务工作30条、“双随机一公开”2条、政务公开工作2条，以及其他政府信息18条。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</w:rPr>
        <w:t>依申请公开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工作情况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</w:rPr>
        <w:t>。</w:t>
      </w:r>
      <w:bookmarkStart w:id="0" w:name="OLE_LINK1"/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立足自身工作职责，我单位细化政务信息公开任务，保障信息公开工作及时高效推进。2025年，共受理自然人提出的政府信息公开申请21件，较上年增长600%。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行政复议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1件，行政诉讼1件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  <w:bookmarkEnd w:id="0"/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</w:rPr>
        <w:t>政府信息管理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情况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我单位持续夯实政府信息管理基础，完善主动公开目录并动态更新，细化公开范围与时限。健全政府信息管理制度，规范生成、流转、归档等环节。强化规范性文件全流程管理，做到应公开尽公开。严格落实信息公开保密审查制度，执行“三审三校”，确保公开内容合法合规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</w:rPr>
        <w:t>（四）政府信息公开平台建设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情况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规范设置信息公开、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政策解读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等专栏，落实专人负责内容日常维护，确保信息更新及时、准确规范。统筹管理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电视广播、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政务新媒体等线上载体，同步完善线下政务公开专区等便民渠道，构建起线上线下联动、多渠道协同的信息公开平台矩阵。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Chars="0" w:right="0" w:rightChars="0"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</w:rPr>
        <w:t>（五）</w:t>
      </w:r>
      <w:bookmarkStart w:id="1" w:name="OLE_LINK2"/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</w:rPr>
        <w:t>政府信息公开监督保障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情况</w:t>
      </w:r>
      <w:bookmarkEnd w:id="1"/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我单位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健全政务信息公开工作体制机制，成立由主要领导牵头的专项工作领导小组，明确科室职责分工，构建起权责清晰、协同高效的工作格局。常态化组织业务培训，围绕条例解读、保密审查、平台操作等内容开展专题学习，切实提升工作人员的专业能力和实操水平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600" w:lineRule="exact"/>
        <w:ind w:left="0" w:right="0" w:firstLine="420"/>
        <w:textAlignment w:val="auto"/>
        <w:rPr>
          <w:rFonts w:hint="default" w:ascii="黑体" w:hAnsi="宋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3"/>
        <w:tblW w:w="9420" w:type="dxa"/>
        <w:jc w:val="center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5"/>
        <w:gridCol w:w="2265"/>
        <w:gridCol w:w="2327"/>
        <w:gridCol w:w="2113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9420" w:type="dxa"/>
            <w:gridSpan w:val="4"/>
            <w:tcBorders>
              <w:top w:val="single" w:color="2B283F" w:sz="8" w:space="0"/>
              <w:left w:val="single" w:color="3B3B44" w:sz="8" w:space="0"/>
              <w:bottom w:val="single" w:color="64647C" w:sz="8" w:space="0"/>
              <w:right w:val="single" w:color="3B3B44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-1" w:right="1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715" w:type="dxa"/>
            <w:tcBorders>
              <w:top w:val="nil"/>
              <w:left w:val="single" w:color="3B3B44" w:sz="8" w:space="0"/>
              <w:bottom w:val="single" w:color="707790" w:sz="8" w:space="0"/>
              <w:right w:val="single" w:color="7C7C83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27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信息内容</w:t>
            </w:r>
          </w:p>
        </w:tc>
        <w:tc>
          <w:tcPr>
            <w:tcW w:w="2265" w:type="dxa"/>
            <w:tcBorders>
              <w:top w:val="single" w:color="64647C" w:sz="8" w:space="0"/>
              <w:left w:val="nil"/>
              <w:bottom w:val="single" w:color="707790" w:sz="8" w:space="0"/>
              <w:right w:val="single" w:color="777780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216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本年制发件数</w:t>
            </w:r>
          </w:p>
        </w:tc>
        <w:tc>
          <w:tcPr>
            <w:tcW w:w="2327" w:type="dxa"/>
            <w:tcBorders>
              <w:top w:val="single" w:color="64647C" w:sz="8" w:space="0"/>
              <w:left w:val="nil"/>
              <w:bottom w:val="single" w:color="835B67" w:sz="8" w:space="0"/>
              <w:right w:val="single" w:color="606064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275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本年废止件数</w:t>
            </w:r>
          </w:p>
        </w:tc>
        <w:tc>
          <w:tcPr>
            <w:tcW w:w="2113" w:type="dxa"/>
            <w:tcBorders>
              <w:top w:val="single" w:color="64647C" w:sz="8" w:space="0"/>
              <w:left w:val="nil"/>
              <w:bottom w:val="single" w:color="835B67" w:sz="8" w:space="0"/>
              <w:right w:val="single" w:color="3B3B44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715" w:type="dxa"/>
            <w:tcBorders>
              <w:top w:val="nil"/>
              <w:left w:val="single" w:color="3B3B44" w:sz="8" w:space="0"/>
              <w:bottom w:val="single" w:color="747487" w:sz="8" w:space="0"/>
              <w:right w:val="single" w:color="97979C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93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规章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747487" w:sz="8" w:space="0"/>
              <w:right w:val="single" w:color="939397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0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546080" w:sz="8" w:space="0"/>
              <w:right w:val="single" w:color="97939C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74778C" w:sz="8" w:space="0"/>
              <w:right w:val="single" w:color="3B3B3F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715" w:type="dxa"/>
            <w:tcBorders>
              <w:top w:val="nil"/>
              <w:left w:val="single" w:color="3B3B44" w:sz="8" w:space="0"/>
              <w:bottom w:val="single" w:color="5B6080" w:sz="8" w:space="0"/>
              <w:right w:val="single" w:color="97979C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93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行政规范性文件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5B6080" w:sz="8" w:space="0"/>
              <w:right w:val="single" w:color="939397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0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5B6080" w:sz="8" w:space="0"/>
              <w:right w:val="single" w:color="97939C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5B6080" w:sz="8" w:space="0"/>
              <w:right w:val="single" w:color="3B3B3F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9420" w:type="dxa"/>
            <w:gridSpan w:val="4"/>
            <w:tcBorders>
              <w:top w:val="nil"/>
              <w:left w:val="single" w:color="3B3B44" w:sz="8" w:space="0"/>
              <w:bottom w:val="single" w:color="646B80" w:sz="8" w:space="0"/>
              <w:right w:val="single" w:color="3B3B3F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5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715" w:type="dxa"/>
            <w:tcBorders>
              <w:top w:val="nil"/>
              <w:left w:val="single" w:color="3B3B44" w:sz="8" w:space="0"/>
              <w:bottom w:val="single" w:color="80676B" w:sz="8" w:space="0"/>
              <w:right w:val="single" w:color="878787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17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信息内容</w:t>
            </w:r>
          </w:p>
        </w:tc>
        <w:tc>
          <w:tcPr>
            <w:tcW w:w="6705" w:type="dxa"/>
            <w:gridSpan w:val="3"/>
            <w:tcBorders>
              <w:top w:val="single" w:color="646B80" w:sz="8" w:space="0"/>
              <w:left w:val="nil"/>
              <w:bottom w:val="single" w:color="7C7474" w:sz="8" w:space="0"/>
              <w:right w:val="single" w:color="3B3B3F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16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715" w:type="dxa"/>
            <w:tcBorders>
              <w:top w:val="nil"/>
              <w:left w:val="single" w:color="3B3B44" w:sz="8" w:space="0"/>
              <w:bottom w:val="single" w:color="646487" w:sz="8" w:space="0"/>
              <w:right w:val="single" w:color="878787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98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行政许可</w:t>
            </w:r>
          </w:p>
        </w:tc>
        <w:tc>
          <w:tcPr>
            <w:tcW w:w="6705" w:type="dxa"/>
            <w:gridSpan w:val="3"/>
            <w:tcBorders>
              <w:top w:val="nil"/>
              <w:left w:val="nil"/>
              <w:bottom w:val="single" w:color="646487" w:sz="8" w:space="0"/>
              <w:right w:val="single" w:color="3B3B3F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9420" w:type="dxa"/>
            <w:gridSpan w:val="4"/>
            <w:tcBorders>
              <w:top w:val="nil"/>
              <w:left w:val="single" w:color="3B3B44" w:sz="8" w:space="0"/>
              <w:bottom w:val="single" w:color="607087" w:sz="8" w:space="0"/>
              <w:right w:val="single" w:color="3B3B3F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15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715" w:type="dxa"/>
            <w:tcBorders>
              <w:top w:val="nil"/>
              <w:left w:val="single" w:color="3B3B44" w:sz="8" w:space="0"/>
              <w:bottom w:val="single" w:color="8C7774" w:sz="8" w:space="0"/>
              <w:right w:val="single" w:color="909093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信息内容</w:t>
            </w:r>
          </w:p>
        </w:tc>
        <w:tc>
          <w:tcPr>
            <w:tcW w:w="6705" w:type="dxa"/>
            <w:gridSpan w:val="3"/>
            <w:tcBorders>
              <w:top w:val="single" w:color="607087" w:sz="8" w:space="0"/>
              <w:left w:val="nil"/>
              <w:bottom w:val="single" w:color="747074" w:sz="8" w:space="0"/>
              <w:right w:val="single" w:color="3B3B3F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13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715" w:type="dxa"/>
            <w:tcBorders>
              <w:top w:val="nil"/>
              <w:left w:val="single" w:color="3B3B44" w:sz="8" w:space="0"/>
              <w:bottom w:val="single" w:color="7C6B74" w:sz="8" w:space="0"/>
              <w:right w:val="single" w:color="909093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102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行政处罚</w:t>
            </w:r>
          </w:p>
        </w:tc>
        <w:tc>
          <w:tcPr>
            <w:tcW w:w="6705" w:type="dxa"/>
            <w:gridSpan w:val="3"/>
            <w:tcBorders>
              <w:top w:val="nil"/>
              <w:left w:val="nil"/>
              <w:bottom w:val="single" w:color="7C6B74" w:sz="8" w:space="0"/>
              <w:right w:val="single" w:color="3B3B3F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715" w:type="dxa"/>
            <w:tcBorders>
              <w:top w:val="nil"/>
              <w:left w:val="single" w:color="3B3B44" w:sz="8" w:space="0"/>
              <w:bottom w:val="single" w:color="646080" w:sz="8" w:space="0"/>
              <w:right w:val="single" w:color="909093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107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行政强制</w:t>
            </w:r>
          </w:p>
        </w:tc>
        <w:tc>
          <w:tcPr>
            <w:tcW w:w="6705" w:type="dxa"/>
            <w:gridSpan w:val="3"/>
            <w:tcBorders>
              <w:top w:val="nil"/>
              <w:left w:val="nil"/>
              <w:bottom w:val="single" w:color="646080" w:sz="8" w:space="0"/>
              <w:right w:val="single" w:color="3B3B3F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9420" w:type="dxa"/>
            <w:gridSpan w:val="4"/>
            <w:tcBorders>
              <w:top w:val="nil"/>
              <w:left w:val="single" w:color="3B3B44" w:sz="8" w:space="0"/>
              <w:bottom w:val="nil"/>
              <w:right w:val="single" w:color="3B3B3F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25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715" w:type="dxa"/>
            <w:tcBorders>
              <w:top w:val="single" w:color="6B747C" w:sz="8" w:space="0"/>
              <w:left w:val="single" w:color="5B5B60" w:sz="8" w:space="0"/>
              <w:bottom w:val="single" w:color="77778C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1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信息内容</w:t>
            </w:r>
          </w:p>
        </w:tc>
        <w:tc>
          <w:tcPr>
            <w:tcW w:w="67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1446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715" w:type="dxa"/>
            <w:tcBorders>
              <w:top w:val="nil"/>
              <w:left w:val="single" w:color="5B5B60" w:sz="8" w:space="0"/>
              <w:bottom w:val="single" w:color="3B383F" w:sz="8" w:space="0"/>
              <w:right w:val="single" w:color="8C8C93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107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行政事业性收费</w:t>
            </w:r>
          </w:p>
        </w:tc>
        <w:tc>
          <w:tcPr>
            <w:tcW w:w="6705" w:type="dxa"/>
            <w:gridSpan w:val="3"/>
            <w:tcBorders>
              <w:top w:val="nil"/>
              <w:left w:val="nil"/>
              <w:bottom w:val="single" w:color="3B383F" w:sz="8" w:space="0"/>
              <w:right w:val="single" w:color="3B3B44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600" w:lineRule="exact"/>
        <w:ind w:left="0" w:right="0" w:firstLine="420"/>
        <w:textAlignment w:val="auto"/>
        <w:rPr>
          <w:rFonts w:hint="default" w:ascii="仿宋体" w:hAnsi="仿宋体" w:cs="仿宋体"/>
          <w:color w:val="auto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三、收到和处理政府信息公开申请情况</w:t>
      </w:r>
    </w:p>
    <w:tbl>
      <w:tblPr>
        <w:tblStyle w:val="3"/>
        <w:tblW w:w="9398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7"/>
        <w:gridCol w:w="780"/>
        <w:gridCol w:w="3074"/>
        <w:gridCol w:w="553"/>
        <w:gridCol w:w="699"/>
        <w:gridCol w:w="670"/>
        <w:gridCol w:w="846"/>
        <w:gridCol w:w="919"/>
        <w:gridCol w:w="695"/>
        <w:gridCol w:w="65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436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503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436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自然人</w:t>
            </w:r>
          </w:p>
        </w:tc>
        <w:tc>
          <w:tcPr>
            <w:tcW w:w="382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法人或其他组织</w:t>
            </w:r>
          </w:p>
        </w:tc>
        <w:tc>
          <w:tcPr>
            <w:tcW w:w="65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36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5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商业企业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科研机构</w:t>
            </w:r>
          </w:p>
        </w:tc>
        <w:tc>
          <w:tcPr>
            <w:tcW w:w="8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社会公益组织</w:t>
            </w:r>
          </w:p>
        </w:tc>
        <w:tc>
          <w:tcPr>
            <w:tcW w:w="9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法律服务机构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其他</w:t>
            </w:r>
          </w:p>
        </w:tc>
        <w:tc>
          <w:tcPr>
            <w:tcW w:w="65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436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436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三、本年度办理结果</w:t>
            </w:r>
          </w:p>
        </w:tc>
        <w:tc>
          <w:tcPr>
            <w:tcW w:w="38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（一）予以公开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8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（三）不予公开</w:t>
            </w:r>
          </w:p>
        </w:tc>
        <w:tc>
          <w:tcPr>
            <w:tcW w:w="3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1．属于国家秘密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2．其他法律行政法规禁止公开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3．危及“三安全一稳定”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4．保护第三方合法权益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5．属于三类内部事务信息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6．属于四类过程性信息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7．属于行政执法案卷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8．属于行政查询事项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（四）无法提供</w:t>
            </w:r>
          </w:p>
        </w:tc>
        <w:tc>
          <w:tcPr>
            <w:tcW w:w="3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1．本机关不掌握相关政府信息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2．没有现成信息需要另行制作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3．补正后申请内容仍不明确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（五）不予处理</w:t>
            </w:r>
          </w:p>
        </w:tc>
        <w:tc>
          <w:tcPr>
            <w:tcW w:w="3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1．信访举报投诉类申请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2．重复申请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3．要求提供公开出版物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4．无正当理由大量反复申请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180" w:right="0" w:hanging="18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5．要求行政机关确认或重新出具已获取信息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（六）其他处理</w:t>
            </w:r>
          </w:p>
        </w:tc>
        <w:tc>
          <w:tcPr>
            <w:tcW w:w="3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180" w:right="0" w:hanging="18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180" w:right="0" w:hanging="18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2.申请人逾期未按收费通知 要求缴纳费用、行政机关不再处理其政府信息公开申请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180" w:right="0" w:hanging="18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3.其他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0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8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（七）总计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436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四、结转下年度继续办理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beforeAutospacing="0" w:after="157" w:afterLines="50" w:afterAutospacing="0" w:line="600" w:lineRule="exact"/>
        <w:ind w:left="0" w:right="0" w:firstLine="420"/>
        <w:textAlignment w:val="auto"/>
        <w:rPr>
          <w:rFonts w:hint="default" w:ascii="仿宋体" w:hAnsi="仿宋体" w:cs="仿宋体"/>
          <w:color w:val="auto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四、政府信息公开行政复议、行政诉讼情况</w:t>
      </w:r>
    </w:p>
    <w:tbl>
      <w:tblPr>
        <w:tblStyle w:val="3"/>
        <w:tblW w:w="9712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4"/>
        <w:gridCol w:w="708"/>
        <w:gridCol w:w="709"/>
        <w:gridCol w:w="706"/>
        <w:gridCol w:w="428"/>
        <w:gridCol w:w="708"/>
        <w:gridCol w:w="709"/>
        <w:gridCol w:w="709"/>
        <w:gridCol w:w="709"/>
        <w:gridCol w:w="426"/>
        <w:gridCol w:w="709"/>
        <w:gridCol w:w="708"/>
        <w:gridCol w:w="709"/>
        <w:gridCol w:w="694"/>
        <w:gridCol w:w="42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320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行政复议</w:t>
            </w:r>
          </w:p>
        </w:tc>
        <w:tc>
          <w:tcPr>
            <w:tcW w:w="650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65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总计</w:t>
            </w:r>
          </w:p>
        </w:tc>
        <w:tc>
          <w:tcPr>
            <w:tcW w:w="3261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未经复议直接起诉</w:t>
            </w:r>
          </w:p>
        </w:tc>
        <w:tc>
          <w:tcPr>
            <w:tcW w:w="3246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 w:hRule="atLeast"/>
          <w:jc w:val="center"/>
        </w:trPr>
        <w:tc>
          <w:tcPr>
            <w:tcW w:w="6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0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42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结果维持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结果纠正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其他结果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尚未审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结</w:t>
            </w:r>
          </w:p>
        </w:tc>
        <w:tc>
          <w:tcPr>
            <w:tcW w:w="4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总计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结果维持</w:t>
            </w:r>
          </w:p>
        </w:tc>
        <w:tc>
          <w:tcPr>
            <w:tcW w:w="7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结果纠正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其他结果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尚未审结</w:t>
            </w:r>
          </w:p>
        </w:tc>
        <w:tc>
          <w:tcPr>
            <w:tcW w:w="4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6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560" w:lineRule="exact"/>
        <w:ind w:left="0" w:right="0" w:firstLine="420"/>
        <w:textAlignment w:val="auto"/>
        <w:rPr>
          <w:rFonts w:hint="default" w:ascii="仿宋体" w:hAnsi="仿宋体" w:cs="仿宋体"/>
          <w:color w:val="auto"/>
          <w:sz w:val="32"/>
          <w:szCs w:val="32"/>
        </w:rPr>
      </w:pPr>
      <w:r>
        <w:rPr>
          <w:rFonts w:hint="eastAsia" w:ascii="黑体" w:hAnsi="宋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_GB2312" w:hAnsi="Verdana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（一）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</w:rPr>
        <w:t>存在的主要问题。</w:t>
      </w:r>
      <w:r>
        <w:rPr>
          <w:rFonts w:hint="eastAsia" w:ascii="仿宋_GB2312" w:hAnsi="Verdana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一是</w:t>
      </w:r>
      <w:r>
        <w:rPr>
          <w:rFonts w:hint="eastAsia" w:ascii="仿宋_GB2312" w:hAnsi="Verdana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公开</w:t>
      </w:r>
      <w:r>
        <w:rPr>
          <w:rFonts w:hint="eastAsia" w:ascii="仿宋_GB2312" w:hAnsi="Verdana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信息</w:t>
      </w:r>
      <w:r>
        <w:rPr>
          <w:rFonts w:hint="eastAsia" w:ascii="仿宋_GB2312" w:hAnsi="Verdana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与群众关切的执法事项、民生服务贴合度不高</w:t>
      </w:r>
      <w:r>
        <w:rPr>
          <w:rFonts w:hint="eastAsia" w:ascii="仿宋_GB2312" w:hAnsi="Verdana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。二是</w:t>
      </w:r>
      <w:r>
        <w:rPr>
          <w:rFonts w:hint="eastAsia" w:ascii="仿宋_GB2312" w:hAnsi="Verdana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群众获取信息的便捷性有待提升。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仿宋_GB2312" w:hAnsi="Verdana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（二）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</w:rPr>
        <w:t>改进情况。</w:t>
      </w:r>
      <w:r>
        <w:rPr>
          <w:rFonts w:hint="eastAsia" w:ascii="仿宋_GB2312" w:hAnsi="Verdana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建立群众关切信息清单，重点围绕执法结果、民生实事等内容加大公开力度；拓宽宣传平台，新增短视频、在线访谈等解读载体，提升信息传播实效。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体" w:hAnsi="仿宋体" w:cs="仿宋体"/>
          <w:color w:val="auto"/>
          <w:sz w:val="32"/>
          <w:szCs w:val="32"/>
        </w:rPr>
      </w:pPr>
      <w:r>
        <w:rPr>
          <w:rFonts w:hint="eastAsia" w:ascii="黑体" w:hAnsi="宋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体" w:hAnsi="仿宋体" w:cs="仿宋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</w:rPr>
        <w:t>（一）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依申请公开信息处理费收费情况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Verdana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本年度未有收取信息处理费情况。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Verdana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</w:rPr>
        <w:t>（二）建议提案办理公开情况。</w:t>
      </w:r>
      <w:r>
        <w:rPr>
          <w:rFonts w:hint="eastAsia" w:ascii="仿宋_GB2312" w:hAnsi="Verdana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2025年区综合行政执法局共收到区十九届人大四次会议17项建议，区政协十一届四次会23项提案。我局对收到的全部建议、提案进行了认真办理，办结率100%、满意率100%，并及时公开办理情况报告，接受社会监督。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Verdana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bookmarkStart w:id="2" w:name="OLE_LINK3"/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（三）政务公开工作创新情况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Verdana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一是建立“公开清单动态更新+全周期闭环管理”机制，将公开要求嵌入业务流程，实现公开与执法、服务工作同步推进。二是围绕执法结果、民生关切等领域精准列单、按需公开，增强信息针对性。</w:t>
      </w:r>
    </w:p>
    <w:bookmarkEnd w:id="2"/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Verdana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（四）落实上级年度政务公开</w:t>
      </w:r>
      <w:bookmarkStart w:id="3" w:name="_GoBack"/>
      <w:bookmarkEnd w:id="3"/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工作要点情况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Verdana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健全完善政务公开工作机制，明确责任分工，规范信息发布、审核、保密审查等流程。全面落实行政执法“三项制度”，依法公开执法依据、程序、结果等信息，推动执法全过程公开透明。聚焦城市管理、市容整治、违建治理、民生服务等重点领域，及时主动公开相关信息。规范办理政府信息公开申请，依法按时答复。积极做好政策解读与舆情回应，用好政务公开平台，强化监督考核，确保各项公开任务落地见效，切实保障群众知情权、参与权、监督权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Verdana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0" w:afterAutospacing="0" w:line="600" w:lineRule="exact"/>
        <w:ind w:right="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体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4AA5C4"/>
    <w:multiLevelType w:val="singleLevel"/>
    <w:tmpl w:val="E54AA5C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697519E"/>
    <w:multiLevelType w:val="singleLevel"/>
    <w:tmpl w:val="1697519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kMjhjYjljOTkwMDMxNWEwODQ1OWRlZjdlNDIzNjgifQ=="/>
  </w:docVars>
  <w:rsids>
    <w:rsidRoot w:val="00000000"/>
    <w:rsid w:val="1AD071A0"/>
    <w:rsid w:val="20125C37"/>
    <w:rsid w:val="21CE5F54"/>
    <w:rsid w:val="298025BD"/>
    <w:rsid w:val="2B406244"/>
    <w:rsid w:val="35F21042"/>
    <w:rsid w:val="43A1421E"/>
    <w:rsid w:val="487678D0"/>
    <w:rsid w:val="54453986"/>
    <w:rsid w:val="667208F6"/>
    <w:rsid w:val="75B00653"/>
    <w:rsid w:val="77FD697A"/>
    <w:rsid w:val="7A7B7B3E"/>
    <w:rsid w:val="7E53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2348</Words>
  <Characters>2438</Characters>
  <Lines>0</Lines>
  <Paragraphs>0</Paragraphs>
  <TotalTime>2</TotalTime>
  <ScaleCrop>false</ScaleCrop>
  <LinksUpToDate>false</LinksUpToDate>
  <CharactersWithSpaces>2440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2026-01-12T06:11:00Z</dcterms:created>
  <dc:creator>Administrator</dc:creator>
  <cp:lastModifiedBy>Administrator</cp:lastModifiedBy>
  <dcterms:modified xsi:type="dcterms:W3CDTF">2026-04-24T02:01:33Z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DC8C686EDFD64001A0D7E7439E2EE382_13</vt:lpwstr>
  </property>
</Properties>
</file>