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spacing w:before="0" w:beforeLines="0" w:line="600" w:lineRule="exact"/>
        <w:jc w:val="both"/>
        <w:rPr>
          <w:rFonts w:hint="eastAsia"/>
        </w:rPr>
      </w:pPr>
      <w:bookmarkStart w:id="0" w:name="_Toc7062"/>
      <w:bookmarkStart w:id="1" w:name="_Toc4313"/>
      <w:bookmarkStart w:id="2" w:name="_Toc14949"/>
      <w:bookmarkStart w:id="3" w:name="_Toc20123"/>
      <w:bookmarkStart w:id="4" w:name="_Toc1626"/>
      <w:bookmarkStart w:id="5" w:name="_Toc16951"/>
    </w:p>
    <w:p>
      <w:pPr>
        <w:pStyle w:val="3"/>
        <w:pageBreakBefore w:val="0"/>
        <w:widowControl w:val="0"/>
        <w:kinsoku/>
        <w:wordWrap/>
        <w:overflowPunct/>
        <w:topLinePunct w:val="0"/>
        <w:autoSpaceDE/>
        <w:autoSpaceDN/>
        <w:bidi w:val="0"/>
        <w:spacing w:before="0" w:beforeLines="0" w:line="600" w:lineRule="exact"/>
      </w:pPr>
      <w:r>
        <w:rPr>
          <w:rFonts w:hint="eastAsia"/>
        </w:rPr>
        <w:t>临淄区自然资源局</w:t>
      </w:r>
    </w:p>
    <w:p>
      <w:pPr>
        <w:pStyle w:val="3"/>
        <w:pageBreakBefore w:val="0"/>
        <w:widowControl w:val="0"/>
        <w:kinsoku/>
        <w:wordWrap/>
        <w:overflowPunct/>
        <w:topLinePunct w:val="0"/>
        <w:autoSpaceDE/>
        <w:autoSpaceDN/>
        <w:bidi w:val="0"/>
        <w:spacing w:before="0" w:beforeLines="0" w:line="600" w:lineRule="exact"/>
      </w:pPr>
      <w:r>
        <w:rPr>
          <w:rFonts w:hint="eastAsia"/>
        </w:rPr>
        <w:t>“双随机、一公开”抽查工作指引</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600" w:lineRule="exact"/>
        <w:ind w:firstLine="0" w:firstLineChars="0"/>
        <w:jc w:val="center"/>
        <w:textAlignment w:val="auto"/>
        <w:rPr>
          <w:rFonts w:ascii="楷体_GB2312" w:hAnsi="楷体_GB2312" w:eastAsia="楷体_GB2312" w:cs="楷体_GB2312"/>
          <w:szCs w:val="32"/>
        </w:rPr>
      </w:pPr>
      <w:r>
        <w:rPr>
          <w:rFonts w:hint="eastAsia" w:ascii="楷体_GB2312" w:hAnsi="楷体_GB2312" w:eastAsia="楷体_GB2312" w:cs="楷体_GB2312"/>
          <w:szCs w:val="32"/>
        </w:rPr>
        <w:t>总  述</w:t>
      </w:r>
    </w:p>
    <w:p>
      <w:pPr>
        <w:pageBreakBefore w:val="0"/>
        <w:widowControl w:val="0"/>
        <w:kinsoku/>
        <w:wordWrap/>
        <w:overflowPunct/>
        <w:topLinePunct w:val="0"/>
        <w:autoSpaceDE/>
        <w:autoSpaceDN/>
        <w:bidi w:val="0"/>
        <w:spacing w:line="600" w:lineRule="exact"/>
        <w:ind w:firstLine="640"/>
      </w:pPr>
      <w:r>
        <w:rPr>
          <w:rFonts w:hint="eastAsia" w:ascii="仿宋_GB2312" w:hAnsi="仿宋_GB2312" w:cs="仿宋_GB2312"/>
        </w:rPr>
        <w:t>根据《国务院关于在市场监管领域全面推行部门联合“双随机、一公开”监管的意见》（国发〔2019〕5号）《市场监管总局关于全面推进“双随机、一公开”监管工作的通知》（国市监信〔2019〕38号）要求和全区统一工作部署，结合本部门实际，制定本指引。</w:t>
      </w:r>
    </w:p>
    <w:p>
      <w:pPr>
        <w:pStyle w:val="4"/>
        <w:pageBreakBefore w:val="0"/>
        <w:widowControl w:val="0"/>
        <w:kinsoku/>
        <w:wordWrap/>
        <w:overflowPunct/>
        <w:topLinePunct w:val="0"/>
        <w:autoSpaceDE/>
        <w:autoSpaceDN/>
        <w:bidi w:val="0"/>
        <w:spacing w:line="600" w:lineRule="exact"/>
        <w:ind w:firstLine="640"/>
        <w:rPr>
          <w:rFonts w:hint="default"/>
        </w:rPr>
      </w:pPr>
      <w:r>
        <w:t>—、前期准备</w:t>
      </w:r>
    </w:p>
    <w:p>
      <w:pPr>
        <w:pageBreakBefore w:val="0"/>
        <w:widowControl w:val="0"/>
        <w:kinsoku/>
        <w:wordWrap/>
        <w:overflowPunct/>
        <w:topLinePunct w:val="0"/>
        <w:autoSpaceDE/>
        <w:autoSpaceDN/>
        <w:bidi w:val="0"/>
        <w:spacing w:line="600" w:lineRule="exact"/>
        <w:ind w:firstLine="640"/>
        <w:rPr>
          <w:rFonts w:ascii="仿宋_GB2312" w:hAnsi="仿宋_GB2312" w:cs="仿宋_GB2312"/>
        </w:rPr>
      </w:pPr>
      <w:r>
        <w:rPr>
          <w:rFonts w:hint="eastAsia" w:ascii="仿宋_GB2312" w:hAnsi="仿宋_GB2312" w:cs="仿宋_GB2312"/>
        </w:rPr>
        <w:t>“双随机、一公开”监管是一项系统性工作。各科室、单位要密切配合做好“双随机、一公开”监管工作。建立由各相关业务科室、单位分工负责的工作推进机制，统筹制定协调年度抽查工作计划和抽查事项清单，安排部署开展抽查工作，对抽查工作进行业务指导、培训、协调、督查。</w:t>
      </w:r>
    </w:p>
    <w:p>
      <w:pPr>
        <w:pStyle w:val="4"/>
        <w:pageBreakBefore w:val="0"/>
        <w:widowControl w:val="0"/>
        <w:kinsoku/>
        <w:wordWrap/>
        <w:overflowPunct/>
        <w:topLinePunct w:val="0"/>
        <w:autoSpaceDE/>
        <w:autoSpaceDN/>
        <w:bidi w:val="0"/>
        <w:spacing w:line="600" w:lineRule="exact"/>
        <w:ind w:firstLine="640"/>
        <w:rPr>
          <w:rFonts w:hint="default"/>
        </w:rPr>
      </w:pPr>
      <w:r>
        <w:t>二、实地检查</w:t>
      </w:r>
    </w:p>
    <w:p>
      <w:pPr>
        <w:pageBreakBefore w:val="0"/>
        <w:widowControl w:val="0"/>
        <w:kinsoku/>
        <w:wordWrap/>
        <w:overflowPunct/>
        <w:topLinePunct w:val="0"/>
        <w:autoSpaceDE/>
        <w:autoSpaceDN/>
        <w:bidi w:val="0"/>
        <w:spacing w:line="600" w:lineRule="exact"/>
        <w:ind w:firstLine="640"/>
        <w:rPr>
          <w:rFonts w:ascii="仿宋_GB2312" w:hAnsi="仿宋_GB2312" w:cs="仿宋_GB2312"/>
        </w:rPr>
      </w:pPr>
      <w:r>
        <w:rPr>
          <w:rFonts w:hint="eastAsia" w:ascii="仿宋_GB2312" w:hAnsi="仿宋_GB2312" w:cs="仿宋_GB2312"/>
        </w:rPr>
        <w:t>实地检查人员不得少于两人，并应出示执法证件，向检查对象发放检查告知书，告知配合检查的相关要求。检查中视情采取制作现场笔录、初步提取证据等相应监管措施，必要时可邀请相关人员作为见证人。现场检查应进行全过程执法记录。</w:t>
      </w:r>
    </w:p>
    <w:p>
      <w:pPr>
        <w:pStyle w:val="4"/>
        <w:pageBreakBefore w:val="0"/>
        <w:widowControl w:val="0"/>
        <w:kinsoku/>
        <w:wordWrap/>
        <w:overflowPunct/>
        <w:topLinePunct w:val="0"/>
        <w:autoSpaceDE/>
        <w:autoSpaceDN/>
        <w:bidi w:val="0"/>
        <w:spacing w:line="600" w:lineRule="exact"/>
        <w:ind w:firstLine="640"/>
        <w:rPr>
          <w:rFonts w:hint="default"/>
        </w:rPr>
      </w:pPr>
      <w:r>
        <w:t>三、结果公示</w:t>
      </w:r>
    </w:p>
    <w:p>
      <w:pPr>
        <w:pageBreakBefore w:val="0"/>
        <w:widowControl w:val="0"/>
        <w:kinsoku/>
        <w:wordWrap/>
        <w:overflowPunct/>
        <w:topLinePunct w:val="0"/>
        <w:autoSpaceDE/>
        <w:autoSpaceDN/>
        <w:bidi w:val="0"/>
        <w:spacing w:line="600" w:lineRule="exact"/>
        <w:ind w:firstLine="640"/>
        <w:rPr>
          <w:rFonts w:ascii="仿宋_GB2312" w:hAnsi="仿宋_GB2312" w:cs="仿宋_GB2312"/>
        </w:rPr>
      </w:pPr>
      <w:r>
        <w:rPr>
          <w:rFonts w:hint="eastAsia" w:ascii="仿宋_GB2312" w:hAnsi="仿宋_GB2312" w:cs="仿宋_GB2312"/>
        </w:rPr>
        <w:t>除依法依规不予公开的情形外，在本次抽查任务完成后20个工作日内，录入抽查系统，通过公示系统公示。在执行具体检查任务时，针对不同的检查对象特点，可根据监管工作需要对上述检查程序进行调整或删减。</w:t>
      </w:r>
    </w:p>
    <w:p>
      <w:pPr>
        <w:pStyle w:val="4"/>
        <w:pageBreakBefore w:val="0"/>
        <w:widowControl w:val="0"/>
        <w:kinsoku/>
        <w:wordWrap/>
        <w:overflowPunct/>
        <w:topLinePunct w:val="0"/>
        <w:autoSpaceDE/>
        <w:autoSpaceDN/>
        <w:bidi w:val="0"/>
        <w:spacing w:line="600" w:lineRule="exact"/>
        <w:ind w:firstLine="640"/>
        <w:rPr>
          <w:rFonts w:hint="default"/>
        </w:rPr>
      </w:pPr>
      <w:r>
        <w:t>四、附则</w:t>
      </w:r>
    </w:p>
    <w:p>
      <w:pPr>
        <w:pageBreakBefore w:val="0"/>
        <w:widowControl w:val="0"/>
        <w:kinsoku/>
        <w:wordWrap/>
        <w:overflowPunct/>
        <w:topLinePunct w:val="0"/>
        <w:autoSpaceDE/>
        <w:autoSpaceDN/>
        <w:bidi w:val="0"/>
        <w:spacing w:line="600" w:lineRule="exact"/>
        <w:ind w:firstLine="640"/>
        <w:rPr>
          <w:rFonts w:hint="eastAsia" w:ascii="仿宋_GB2312" w:hAnsi="仿宋_GB2312" w:cs="仿宋_GB2312"/>
        </w:rPr>
      </w:pPr>
      <w:r>
        <w:rPr>
          <w:rFonts w:hint="eastAsia" w:ascii="仿宋_GB2312" w:hAnsi="仿宋_GB2312" w:cs="仿宋_GB2312"/>
        </w:rPr>
        <w:t>本指引由临淄区自然资源局负责解释，自发布之日起施行。上级部门对</w:t>
      </w:r>
      <w:r>
        <w:rPr>
          <w:rFonts w:hint="eastAsia" w:ascii="仿宋_GB2312" w:hAnsi="仿宋_GB2312" w:cs="仿宋_GB2312"/>
          <w:lang w:eastAsia="zh-CN"/>
        </w:rPr>
        <w:t>“</w:t>
      </w:r>
      <w:r>
        <w:rPr>
          <w:rFonts w:hint="eastAsia" w:ascii="仿宋_GB2312" w:hAnsi="仿宋_GB2312" w:cs="仿宋_GB2312"/>
        </w:rPr>
        <w:t>双随机、一公开</w:t>
      </w:r>
      <w:r>
        <w:rPr>
          <w:rFonts w:hint="eastAsia" w:ascii="仿宋_GB2312" w:hAnsi="仿宋_GB2312" w:cs="仿宋_GB2312"/>
          <w:lang w:eastAsia="zh-CN"/>
        </w:rPr>
        <w:t>”</w:t>
      </w:r>
      <w:r>
        <w:rPr>
          <w:rFonts w:hint="eastAsia" w:ascii="仿宋_GB2312" w:hAnsi="仿宋_GB2312" w:cs="仿宋_GB2312"/>
        </w:rPr>
        <w:t>监管相关事项另有不同规定的，按照上级规定执行。</w:t>
      </w:r>
    </w:p>
    <w:p>
      <w:pPr>
        <w:pStyle w:val="2"/>
      </w:pPr>
    </w:p>
    <w:p/>
    <w:p>
      <w:pPr>
        <w:pStyle w:val="2"/>
        <w:pageBreakBefore w:val="0"/>
        <w:widowControl w:val="0"/>
        <w:kinsoku/>
        <w:wordWrap/>
        <w:overflowPunct/>
        <w:topLinePunct w:val="0"/>
        <w:autoSpaceDE/>
        <w:autoSpaceDN/>
        <w:bidi w:val="0"/>
        <w:spacing w:line="600" w:lineRule="exact"/>
        <w:jc w:val="center"/>
        <w:rPr>
          <w:rFonts w:hint="eastAsia" w:ascii="仿宋_GB2312" w:hAnsi="仿宋_GB2312" w:eastAsia="仿宋_GB2312" w:cs="仿宋_GB2312"/>
          <w:lang w:eastAsia="zh-CN"/>
        </w:rPr>
      </w:pP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临淄区自然资源局</w:t>
      </w:r>
    </w:p>
    <w:p>
      <w:pPr>
        <w:pageBreakBefore w:val="0"/>
        <w:widowControl w:val="0"/>
        <w:kinsoku/>
        <w:wordWrap/>
        <w:overflowPunct/>
        <w:topLinePunct w:val="0"/>
        <w:autoSpaceDE/>
        <w:autoSpaceDN/>
        <w:bidi w:val="0"/>
        <w:spacing w:line="6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2024年3月</w:t>
      </w:r>
      <w:r>
        <w:rPr>
          <w:rFonts w:hint="eastAsia" w:ascii="仿宋_GB2312" w:hAnsi="仿宋_GB2312" w:cs="仿宋_GB2312"/>
          <w:lang w:val="en-US" w:eastAsia="zh-CN"/>
        </w:rPr>
        <w:t>28</w:t>
      </w:r>
      <w:bookmarkStart w:id="36" w:name="_GoBack"/>
      <w:bookmarkEnd w:id="36"/>
      <w:r>
        <w:rPr>
          <w:rFonts w:hint="eastAsia" w:ascii="仿宋_GB2312" w:hAnsi="仿宋_GB2312" w:eastAsia="仿宋_GB2312" w:cs="仿宋_GB2312"/>
          <w:lang w:val="en-US" w:eastAsia="zh-CN"/>
        </w:rPr>
        <w:t>日</w:t>
      </w:r>
    </w:p>
    <w:p>
      <w:pPr>
        <w:pStyle w:val="2"/>
      </w:pPr>
    </w:p>
    <w:p/>
    <w:p>
      <w:pPr>
        <w:pStyle w:val="2"/>
      </w:pPr>
    </w:p>
    <w:p/>
    <w:p>
      <w:pPr>
        <w:pStyle w:val="2"/>
      </w:pPr>
    </w:p>
    <w:p/>
    <w:p>
      <w:pPr>
        <w:pStyle w:val="2"/>
      </w:pPr>
    </w:p>
    <w:p/>
    <w:p>
      <w:pPr>
        <w:pStyle w:val="2"/>
      </w:pPr>
    </w:p>
    <w:p/>
    <w:p>
      <w:pPr>
        <w:pageBreakBefore w:val="0"/>
        <w:widowControl w:val="0"/>
        <w:kinsoku/>
        <w:wordWrap/>
        <w:overflowPunct/>
        <w:topLinePunct w:val="0"/>
        <w:autoSpaceDE/>
        <w:autoSpaceDN/>
        <w:bidi w:val="0"/>
        <w:spacing w:before="280" w:after="280" w:line="600" w:lineRule="exact"/>
        <w:jc w:val="center"/>
        <w:outlineLvl w:val="1"/>
        <w:rPr>
          <w:rFonts w:ascii="方正小标宋简体" w:hAnsi="方正小标宋简体" w:eastAsia="方正小标宋简体" w:cs="方正小标宋简体"/>
          <w:szCs w:val="32"/>
        </w:rPr>
      </w:pPr>
      <w:bookmarkStart w:id="6" w:name="_Toc13872"/>
      <w:bookmarkStart w:id="7" w:name="_Toc15487"/>
      <w:r>
        <w:rPr>
          <w:rFonts w:hint="eastAsia" w:ascii="方正小标宋简体" w:hAnsi="方正小标宋简体" w:eastAsia="方正小标宋简体" w:cs="方正小标宋简体"/>
          <w:color w:val="000000"/>
          <w:szCs w:val="32"/>
        </w:rPr>
        <w:t xml:space="preserve">第一章  </w:t>
      </w:r>
      <w:r>
        <w:rPr>
          <w:rFonts w:hint="eastAsia" w:ascii="方正小标宋简体" w:hAnsi="方正小标宋简体" w:eastAsia="方正小标宋简体" w:cs="方正小标宋简体"/>
          <w:szCs w:val="32"/>
        </w:rPr>
        <w:t>对林草种子质量的检查工作指引</w:t>
      </w:r>
    </w:p>
    <w:p>
      <w:pPr>
        <w:pStyle w:val="4"/>
        <w:pageBreakBefore w:val="0"/>
        <w:widowControl w:val="0"/>
        <w:kinsoku/>
        <w:wordWrap/>
        <w:overflowPunct/>
        <w:topLinePunct w:val="0"/>
        <w:autoSpaceDE/>
        <w:autoSpaceDN/>
        <w:bidi w:val="0"/>
        <w:spacing w:line="600" w:lineRule="exact"/>
        <w:ind w:firstLine="640"/>
        <w:rPr>
          <w:rFonts w:hint="default"/>
        </w:rPr>
      </w:pPr>
      <w:r>
        <w:t>一、抽查事项</w:t>
      </w:r>
    </w:p>
    <w:p>
      <w:pPr>
        <w:pageBreakBefore w:val="0"/>
        <w:widowControl w:val="0"/>
        <w:kinsoku/>
        <w:wordWrap/>
        <w:overflowPunct/>
        <w:topLinePunct w:val="0"/>
        <w:autoSpaceDE/>
        <w:autoSpaceDN/>
        <w:bidi w:val="0"/>
        <w:spacing w:line="600" w:lineRule="exact"/>
        <w:ind w:firstLine="640"/>
        <w:rPr>
          <w:rFonts w:ascii="仿宋_GB2312" w:hAnsi="仿宋_GB2312" w:cs="仿宋_GB2312"/>
          <w:szCs w:val="32"/>
        </w:rPr>
      </w:pPr>
      <w:r>
        <w:rPr>
          <w:rFonts w:ascii="仿宋_GB2312" w:hAnsi="仿宋_GB2312" w:cs="仿宋_GB2312"/>
          <w:szCs w:val="32"/>
        </w:rPr>
        <w:t>对林</w:t>
      </w:r>
      <w:r>
        <w:rPr>
          <w:rFonts w:hint="eastAsia" w:ascii="仿宋_GB2312" w:hAnsi="仿宋_GB2312" w:cs="仿宋_GB2312"/>
          <w:szCs w:val="32"/>
        </w:rPr>
        <w:t>草</w:t>
      </w:r>
      <w:r>
        <w:rPr>
          <w:rFonts w:ascii="仿宋_GB2312" w:hAnsi="仿宋_GB2312" w:cs="仿宋_GB2312"/>
          <w:szCs w:val="32"/>
        </w:rPr>
        <w:t>种子质量的检查</w:t>
      </w:r>
      <w:r>
        <w:rPr>
          <w:rFonts w:hint="eastAsia" w:ascii="仿宋_GB2312" w:hAnsi="仿宋_GB2312" w:cs="仿宋_GB2312"/>
          <w:szCs w:val="32"/>
        </w:rPr>
        <w:t>。</w:t>
      </w:r>
    </w:p>
    <w:p>
      <w:pPr>
        <w:pStyle w:val="4"/>
        <w:pageBreakBefore w:val="0"/>
        <w:widowControl w:val="0"/>
        <w:kinsoku/>
        <w:wordWrap/>
        <w:overflowPunct/>
        <w:topLinePunct w:val="0"/>
        <w:autoSpaceDE/>
        <w:autoSpaceDN/>
        <w:bidi w:val="0"/>
        <w:spacing w:line="600" w:lineRule="exact"/>
        <w:ind w:firstLine="640"/>
        <w:rPr>
          <w:rFonts w:hint="default"/>
        </w:rPr>
      </w:pPr>
      <w:r>
        <w:t>二、检查内容和方法</w:t>
      </w:r>
    </w:p>
    <w:p>
      <w:pPr>
        <w:pageBreakBefore w:val="0"/>
        <w:widowControl w:val="0"/>
        <w:kinsoku/>
        <w:wordWrap/>
        <w:overflowPunct/>
        <w:topLinePunct w:val="0"/>
        <w:autoSpaceDE/>
        <w:autoSpaceDN/>
        <w:bidi w:val="0"/>
        <w:spacing w:line="600" w:lineRule="exact"/>
        <w:ind w:firstLine="640"/>
        <w:rPr>
          <w:rFonts w:ascii="仿宋_GB2312" w:hAnsi="仿宋_GB2312" w:cs="仿宋_GB2312"/>
          <w:szCs w:val="32"/>
        </w:rPr>
      </w:pPr>
      <w:r>
        <w:rPr>
          <w:rFonts w:hint="eastAsia" w:ascii="楷体" w:hAnsi="楷体" w:eastAsia="楷体" w:cs="楷体"/>
          <w:szCs w:val="32"/>
        </w:rPr>
        <w:t>（一）检查内容</w:t>
      </w:r>
    </w:p>
    <w:p>
      <w:pPr>
        <w:pageBreakBefore w:val="0"/>
        <w:widowControl w:val="0"/>
        <w:kinsoku/>
        <w:wordWrap/>
        <w:overflowPunct/>
        <w:topLinePunct w:val="0"/>
        <w:autoSpaceDE/>
        <w:autoSpaceDN/>
        <w:bidi w:val="0"/>
        <w:spacing w:line="600" w:lineRule="exact"/>
        <w:ind w:firstLine="640"/>
        <w:rPr>
          <w:rFonts w:ascii="仿宋_GB2312" w:hAnsi="仿宋_GB2312" w:cs="仿宋_GB2312"/>
        </w:rPr>
      </w:pPr>
      <w:r>
        <w:rPr>
          <w:rFonts w:hint="eastAsia" w:ascii="仿宋_GB2312" w:hAnsi="仿宋_GB2312" w:cs="仿宋_GB2312"/>
        </w:rPr>
        <w:t>1.</w:t>
      </w:r>
      <w:r>
        <w:rPr>
          <w:rFonts w:ascii="仿宋_GB2312" w:hAnsi="仿宋_GB2312" w:cs="仿宋_GB2312"/>
        </w:rPr>
        <w:t>苗木质量情况；2</w:t>
      </w:r>
      <w:r>
        <w:rPr>
          <w:rFonts w:hint="eastAsia" w:ascii="仿宋_GB2312" w:hAnsi="仿宋_GB2312" w:cs="仿宋_GB2312"/>
        </w:rPr>
        <w:t>.</w:t>
      </w:r>
      <w:r>
        <w:rPr>
          <w:rFonts w:ascii="仿宋_GB2312" w:hAnsi="仿宋_GB2312" w:cs="仿宋_GB2312"/>
        </w:rPr>
        <w:t>林</w:t>
      </w:r>
      <w:r>
        <w:rPr>
          <w:rFonts w:hint="eastAsia" w:ascii="仿宋_GB2312" w:hAnsi="仿宋_GB2312" w:cs="仿宋_GB2312"/>
        </w:rPr>
        <w:t>草</w:t>
      </w:r>
      <w:r>
        <w:rPr>
          <w:rFonts w:ascii="仿宋_GB2312" w:hAnsi="仿宋_GB2312" w:cs="仿宋_GB2312"/>
        </w:rPr>
        <w:t>种</w:t>
      </w:r>
      <w:r>
        <w:rPr>
          <w:rFonts w:hint="eastAsia" w:ascii="仿宋_GB2312" w:hAnsi="仿宋_GB2312" w:cs="仿宋_GB2312"/>
        </w:rPr>
        <w:t>子</w:t>
      </w:r>
      <w:r>
        <w:rPr>
          <w:rFonts w:ascii="仿宋_GB2312" w:hAnsi="仿宋_GB2312" w:cs="仿宋_GB2312"/>
        </w:rPr>
        <w:t>生产经营许可证、标签、档案、自检等制度执行情况；3</w:t>
      </w:r>
      <w:r>
        <w:rPr>
          <w:rFonts w:hint="eastAsia" w:ascii="仿宋_GB2312" w:hAnsi="仿宋_GB2312" w:cs="仿宋_GB2312"/>
        </w:rPr>
        <w:t>.</w:t>
      </w:r>
      <w:r>
        <w:rPr>
          <w:rFonts w:ascii="仿宋_GB2312" w:hAnsi="仿宋_GB2312" w:cs="仿宋_GB2312"/>
        </w:rPr>
        <w:t>作业设计中对种苗质量的要求及其执行情况；4</w:t>
      </w:r>
      <w:r>
        <w:rPr>
          <w:rFonts w:hint="eastAsia" w:ascii="仿宋_GB2312" w:hAnsi="仿宋_GB2312" w:cs="仿宋_GB2312"/>
        </w:rPr>
        <w:t>.</w:t>
      </w:r>
      <w:r>
        <w:rPr>
          <w:rFonts w:ascii="仿宋_GB2312" w:hAnsi="仿宋_GB2312" w:cs="仿宋_GB2312"/>
        </w:rPr>
        <w:t>种苗招投标文件中对种苗的要求情况</w:t>
      </w:r>
      <w:r>
        <w:rPr>
          <w:rFonts w:hint="eastAsia" w:ascii="仿宋_GB2312" w:hAnsi="仿宋_GB2312" w:cs="仿宋_GB2312"/>
        </w:rPr>
        <w:t>。</w:t>
      </w:r>
    </w:p>
    <w:p>
      <w:pPr>
        <w:pageBreakBefore w:val="0"/>
        <w:widowControl w:val="0"/>
        <w:kinsoku/>
        <w:wordWrap/>
        <w:overflowPunct/>
        <w:topLinePunct w:val="0"/>
        <w:autoSpaceDE/>
        <w:autoSpaceDN/>
        <w:bidi w:val="0"/>
        <w:spacing w:line="600" w:lineRule="exact"/>
        <w:ind w:firstLine="640"/>
        <w:rPr>
          <w:rFonts w:ascii="楷体" w:hAnsi="楷体" w:eastAsia="楷体" w:cs="楷体"/>
          <w:szCs w:val="32"/>
        </w:rPr>
      </w:pPr>
      <w:r>
        <w:rPr>
          <w:rFonts w:hint="eastAsia" w:ascii="楷体" w:hAnsi="楷体" w:eastAsia="楷体" w:cs="楷体"/>
          <w:szCs w:val="32"/>
        </w:rPr>
        <w:t>（二）检查方法</w:t>
      </w:r>
    </w:p>
    <w:p>
      <w:pPr>
        <w:pageBreakBefore w:val="0"/>
        <w:widowControl w:val="0"/>
        <w:kinsoku/>
        <w:wordWrap/>
        <w:overflowPunct/>
        <w:topLinePunct w:val="0"/>
        <w:autoSpaceDE/>
        <w:autoSpaceDN/>
        <w:bidi w:val="0"/>
        <w:spacing w:line="600" w:lineRule="exact"/>
        <w:ind w:firstLine="640"/>
        <w:rPr>
          <w:rFonts w:ascii="仿宋_GB2312" w:hAnsi="仿宋_GB2312" w:cs="仿宋_GB2312"/>
        </w:rPr>
      </w:pPr>
      <w:r>
        <w:rPr>
          <w:rFonts w:hint="eastAsia" w:ascii="仿宋_GB2312" w:hAnsi="仿宋_GB2312" w:cs="仿宋_GB2312"/>
        </w:rPr>
        <w:t>现场检查</w:t>
      </w:r>
    </w:p>
    <w:p>
      <w:pPr>
        <w:pageBreakBefore w:val="0"/>
        <w:widowControl w:val="0"/>
        <w:kinsoku/>
        <w:wordWrap/>
        <w:overflowPunct/>
        <w:topLinePunct w:val="0"/>
        <w:autoSpaceDE/>
        <w:autoSpaceDN/>
        <w:bidi w:val="0"/>
        <w:spacing w:line="600" w:lineRule="exact"/>
        <w:ind w:firstLine="640"/>
        <w:rPr>
          <w:rFonts w:ascii="仿宋_GB2312" w:hAnsi="仿宋_GB2312" w:cs="仿宋_GB2312"/>
        </w:rPr>
      </w:pPr>
      <w:r>
        <w:rPr>
          <w:rFonts w:hint="eastAsia" w:ascii="仿宋_GB2312" w:hAnsi="仿宋_GB2312" w:cs="仿宋_GB2312"/>
        </w:rPr>
        <w:t>1.全区抽取1-2个造林地和2-3个苗圃地；2.到苗木使用和生产经营单位现场检测种苗质量情况；3.现场提出问题与建议，填写林草种苗质量抽</w:t>
      </w:r>
      <w:r>
        <w:rPr>
          <w:rFonts w:hint="eastAsia" w:ascii="仿宋_GB2312" w:hAnsi="仿宋_GB2312" w:cs="仿宋_GB2312"/>
          <w:highlight w:val="none"/>
        </w:rPr>
        <w:t>查表格</w:t>
      </w:r>
      <w:r>
        <w:rPr>
          <w:rFonts w:hint="eastAsia" w:ascii="仿宋_GB2312" w:hAnsi="仿宋_GB2312" w:cs="仿宋_GB2312"/>
          <w:highlight w:val="none"/>
          <w:lang w:eastAsia="zh-CN"/>
        </w:rPr>
        <w:t>，</w:t>
      </w:r>
      <w:r>
        <w:rPr>
          <w:rFonts w:hint="eastAsia" w:ascii="仿宋_GB2312" w:hAnsi="仿宋_GB2312" w:cs="仿宋_GB2312"/>
          <w:highlight w:val="none"/>
        </w:rPr>
        <w:t>由被检查单</w:t>
      </w:r>
      <w:r>
        <w:rPr>
          <w:rFonts w:hint="eastAsia" w:ascii="仿宋_GB2312" w:hAnsi="仿宋_GB2312" w:cs="仿宋_GB2312"/>
        </w:rPr>
        <w:t>位负责人签字并盖章确认。</w:t>
      </w:r>
    </w:p>
    <w:p>
      <w:pPr>
        <w:pageBreakBefore w:val="0"/>
        <w:widowControl w:val="0"/>
        <w:kinsoku/>
        <w:wordWrap/>
        <w:overflowPunct/>
        <w:topLinePunct w:val="0"/>
        <w:autoSpaceDE/>
        <w:autoSpaceDN/>
        <w:bidi w:val="0"/>
        <w:spacing w:line="600" w:lineRule="exact"/>
        <w:ind w:firstLine="640" w:firstLineChars="200"/>
        <w:rPr>
          <w:rFonts w:hint="eastAsia" w:ascii="黑体" w:hAnsi="黑体" w:eastAsia="黑体" w:cs="黑体"/>
          <w:lang w:eastAsia="zh-CN"/>
        </w:rPr>
      </w:pPr>
      <w:r>
        <w:rPr>
          <w:rFonts w:hint="eastAsia" w:ascii="黑体" w:hAnsi="黑体" w:eastAsia="黑体" w:cs="黑体"/>
          <w:lang w:eastAsia="zh-CN"/>
        </w:rPr>
        <w:t>三、检查依据</w:t>
      </w:r>
    </w:p>
    <w:p>
      <w:pPr>
        <w:pageBreakBefore w:val="0"/>
        <w:widowControl w:val="0"/>
        <w:kinsoku/>
        <w:wordWrap/>
        <w:overflowPunct/>
        <w:topLinePunct w:val="0"/>
        <w:autoSpaceDE/>
        <w:autoSpaceDN/>
        <w:bidi w:val="0"/>
        <w:spacing w:line="600" w:lineRule="exact"/>
        <w:ind w:firstLine="640"/>
        <w:rPr>
          <w:rFonts w:ascii="仿宋_GB2312" w:hAnsi="仿宋_GB2312" w:cs="仿宋_GB2312"/>
        </w:rPr>
      </w:pPr>
      <w:r>
        <w:rPr>
          <w:rFonts w:hint="eastAsia" w:ascii="仿宋_GB2312" w:hAnsi="仿宋_GB2312" w:cs="仿宋_GB2312"/>
        </w:rPr>
        <w:t>1.</w:t>
      </w:r>
      <w:r>
        <w:rPr>
          <w:rFonts w:ascii="仿宋_GB2312" w:hAnsi="仿宋_GB2312" w:cs="仿宋_GB2312"/>
        </w:rPr>
        <w:t>《中华人民共和国种子法》</w:t>
      </w:r>
      <w:r>
        <w:rPr>
          <w:rFonts w:hint="eastAsia" w:ascii="仿宋_GB2312" w:hAnsi="仿宋_GB2312" w:cs="仿宋_GB2312"/>
        </w:rPr>
        <w:t>（根据2021年12月24日第十三届全国人民代表大会常务委员会第三十二次会议《关于修改〈中华人民共和国种子法〉的决定》第三次修正）</w:t>
      </w:r>
      <w:r>
        <w:rPr>
          <w:rFonts w:ascii="仿宋_GB2312" w:hAnsi="仿宋_GB2312" w:cs="仿宋_GB2312"/>
        </w:rPr>
        <w:t>第四十六条：“农业农村、林业草原主管部门应当加强对种子质量的监督检查。种子质量管理办法、行业标准和检验方法，由国务院农业农村、林业草原主管部门制定。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pageBreakBefore w:val="0"/>
        <w:widowControl w:val="0"/>
        <w:kinsoku/>
        <w:wordWrap/>
        <w:overflowPunct/>
        <w:topLinePunct w:val="0"/>
        <w:autoSpaceDE/>
        <w:autoSpaceDN/>
        <w:bidi w:val="0"/>
        <w:spacing w:line="600" w:lineRule="exact"/>
        <w:ind w:firstLine="640"/>
        <w:rPr>
          <w:rFonts w:hint="eastAsia" w:ascii="仿宋_GB2312" w:hAnsi="仿宋_GB2312" w:cs="仿宋_GB2312"/>
        </w:rPr>
      </w:pPr>
      <w:r>
        <w:rPr>
          <w:rFonts w:hint="eastAsia" w:ascii="仿宋_GB2312" w:hAnsi="仿宋_GB2312" w:cs="仿宋_GB2312"/>
        </w:rPr>
        <w:t>2.《林木种子检验规程》《林木种子质量分级》《草种子检验规程》《豆科草种子质量分级》《禾本科草种子质量分级》《主要造林树种苗木质量分级》（GB6000-1999）《育苗技术规程》《容器育苗技术》《主要造林树种苗木质量分级》（DB37/T 3140-2018）等国家和地方标准。</w:t>
      </w:r>
    </w:p>
    <w:p>
      <w:pPr>
        <w:pStyle w:val="2"/>
        <w:pageBreakBefore w:val="0"/>
        <w:widowControl w:val="0"/>
        <w:kinsoku/>
        <w:wordWrap/>
        <w:overflowPunct/>
        <w:topLinePunct w:val="0"/>
        <w:autoSpaceDE/>
        <w:autoSpaceDN/>
        <w:bidi w:val="0"/>
        <w:spacing w:line="600" w:lineRule="exact"/>
      </w:pPr>
    </w:p>
    <w:p>
      <w:pPr>
        <w:pStyle w:val="11"/>
        <w:pageBreakBefore w:val="0"/>
        <w:widowControl w:val="0"/>
        <w:kinsoku/>
        <w:wordWrap/>
        <w:overflowPunct/>
        <w:topLinePunct w:val="0"/>
        <w:autoSpaceDE/>
        <w:autoSpaceDN/>
        <w:bidi w:val="0"/>
        <w:snapToGrid w:val="0"/>
        <w:spacing w:before="280" w:after="280" w:line="600" w:lineRule="exact"/>
        <w:ind w:firstLine="0" w:firstLineChars="0"/>
        <w:jc w:val="center"/>
        <w:outlineLvl w:val="1"/>
        <w:rPr>
          <w:rFonts w:ascii="方正小标宋简体" w:hAnsi="方正小标宋简体" w:eastAsia="方正小标宋简体" w:cs="方正小标宋简体"/>
          <w:color w:val="000000"/>
          <w:sz w:val="32"/>
          <w:szCs w:val="32"/>
          <w:lang w:val="en-US"/>
        </w:rPr>
      </w:pPr>
      <w:r>
        <w:rPr>
          <w:rFonts w:hint="eastAsia" w:ascii="方正小标宋简体" w:hAnsi="方正小标宋简体" w:eastAsia="方正小标宋简体" w:cs="方正小标宋简体"/>
          <w:color w:val="000000"/>
          <w:sz w:val="32"/>
          <w:szCs w:val="32"/>
          <w:lang w:val="en-US"/>
        </w:rPr>
        <w:t>第二章  对</w:t>
      </w:r>
      <w:r>
        <w:rPr>
          <w:rFonts w:hint="eastAsia" w:ascii="方正小标宋简体" w:hAnsi="方正小标宋简体" w:eastAsia="方正小标宋简体" w:cs="方正小标宋简体"/>
          <w:color w:val="000000"/>
          <w:sz w:val="32"/>
          <w:szCs w:val="32"/>
          <w:lang w:val="en-US" w:eastAsia="zh-CN"/>
        </w:rPr>
        <w:t>食用林产品</w:t>
      </w:r>
      <w:r>
        <w:rPr>
          <w:rFonts w:hint="eastAsia" w:ascii="方正小标宋简体" w:hAnsi="方正小标宋简体" w:eastAsia="方正小标宋简体" w:cs="方正小标宋简体"/>
          <w:color w:val="000000"/>
          <w:sz w:val="32"/>
          <w:szCs w:val="32"/>
          <w:lang w:val="en-US"/>
        </w:rPr>
        <w:t>监督管理工作指引</w:t>
      </w:r>
    </w:p>
    <w:p>
      <w:pPr>
        <w:pStyle w:val="4"/>
        <w:pageBreakBefore w:val="0"/>
        <w:widowControl w:val="0"/>
        <w:kinsoku/>
        <w:wordWrap/>
        <w:overflowPunct/>
        <w:topLinePunct w:val="0"/>
        <w:autoSpaceDE/>
        <w:autoSpaceDN/>
        <w:bidi w:val="0"/>
        <w:spacing w:line="600" w:lineRule="exact"/>
        <w:ind w:firstLine="640"/>
        <w:rPr>
          <w:rFonts w:hint="default"/>
        </w:rPr>
      </w:pPr>
      <w:r>
        <w:t>一、抽查事项</w:t>
      </w:r>
    </w:p>
    <w:p>
      <w:pPr>
        <w:pStyle w:val="4"/>
        <w:pageBreakBefore w:val="0"/>
        <w:widowControl w:val="0"/>
        <w:kinsoku/>
        <w:wordWrap/>
        <w:overflowPunct/>
        <w:topLinePunct w:val="0"/>
        <w:autoSpaceDE/>
        <w:autoSpaceDN/>
        <w:bidi w:val="0"/>
        <w:spacing w:line="600" w:lineRule="exact"/>
        <w:ind w:firstLine="640"/>
        <w:rPr>
          <w:rFonts w:hint="eastAsia"/>
          <w:lang w:eastAsia="zh-CN"/>
        </w:rPr>
      </w:pPr>
      <w:r>
        <w:rPr>
          <w:rFonts w:hint="eastAsia" w:ascii="仿宋_GB2312" w:hAnsi="仿宋_GB2312" w:eastAsia="仿宋_GB2312" w:cs="仿宋_GB2312"/>
          <w:lang w:eastAsia="zh-CN"/>
        </w:rPr>
        <w:t>对食用林产品监管工作的检查</w:t>
      </w:r>
    </w:p>
    <w:p>
      <w:pPr>
        <w:pStyle w:val="4"/>
        <w:pageBreakBefore w:val="0"/>
        <w:widowControl w:val="0"/>
        <w:kinsoku/>
        <w:wordWrap/>
        <w:overflowPunct/>
        <w:topLinePunct w:val="0"/>
        <w:autoSpaceDE/>
        <w:autoSpaceDN/>
        <w:bidi w:val="0"/>
        <w:spacing w:line="600" w:lineRule="exact"/>
        <w:ind w:firstLine="640"/>
        <w:rPr>
          <w:rFonts w:hint="default"/>
        </w:rPr>
      </w:pPr>
      <w:r>
        <w:t>二、检查内容和方法</w:t>
      </w:r>
    </w:p>
    <w:p>
      <w:pPr>
        <w:pStyle w:val="6"/>
        <w:pageBreakBefore w:val="0"/>
        <w:widowControl w:val="0"/>
        <w:kinsoku/>
        <w:wordWrap/>
        <w:overflowPunct/>
        <w:topLinePunct w:val="0"/>
        <w:autoSpaceDE/>
        <w:autoSpaceDN/>
        <w:bidi w:val="0"/>
        <w:spacing w:line="600" w:lineRule="exact"/>
        <w:ind w:firstLine="643"/>
        <w:rPr>
          <w:b w:val="0"/>
          <w:bCs/>
        </w:rPr>
      </w:pPr>
      <w:r>
        <w:rPr>
          <w:rFonts w:hint="eastAsia" w:ascii="仿宋_GB2312"/>
          <w:b w:val="0"/>
          <w:bCs/>
          <w:lang w:eastAsia="zh-CN"/>
        </w:rPr>
        <w:t>（一）</w:t>
      </w:r>
      <w:r>
        <w:rPr>
          <w:rFonts w:hint="eastAsia"/>
          <w:b w:val="0"/>
          <w:bCs/>
        </w:rPr>
        <w:t>检查内容</w:t>
      </w:r>
    </w:p>
    <w:p>
      <w:pPr>
        <w:pageBreakBefore w:val="0"/>
        <w:widowControl w:val="0"/>
        <w:kinsoku/>
        <w:wordWrap/>
        <w:overflowPunct/>
        <w:topLinePunct w:val="0"/>
        <w:autoSpaceDE/>
        <w:autoSpaceDN/>
        <w:bidi w:val="0"/>
        <w:spacing w:line="600" w:lineRule="exact"/>
        <w:ind w:firstLine="640"/>
        <w:rPr>
          <w:rFonts w:hint="eastAsia" w:ascii="仿宋_GB2312" w:hAnsi="仿宋_GB2312" w:eastAsia="仿宋_GB2312" w:cs="仿宋_GB2312"/>
          <w:lang w:eastAsia="zh-CN"/>
        </w:rPr>
      </w:pPr>
      <w:r>
        <w:rPr>
          <w:rFonts w:hint="eastAsia" w:ascii="仿宋_GB2312" w:hAnsi="仿宋_GB2312" w:cs="仿宋_GB2312"/>
          <w:lang w:eastAsia="zh-CN"/>
        </w:rPr>
        <w:t>食用林产品（不含水果）从种植环节到进入批发、零售市场或者生产加工企业前的质量安全监督管理，以及职责范围内的农药、肥料等其他农业投入品使用的监督管理。</w:t>
      </w:r>
    </w:p>
    <w:p>
      <w:pPr>
        <w:pStyle w:val="6"/>
        <w:pageBreakBefore w:val="0"/>
        <w:widowControl w:val="0"/>
        <w:kinsoku/>
        <w:wordWrap/>
        <w:overflowPunct/>
        <w:topLinePunct w:val="0"/>
        <w:autoSpaceDE/>
        <w:autoSpaceDN/>
        <w:bidi w:val="0"/>
        <w:spacing w:line="600" w:lineRule="exact"/>
        <w:ind w:firstLine="643"/>
        <w:rPr>
          <w:rFonts w:hint="eastAsia" w:ascii="仿宋_GB2312"/>
          <w:b w:val="0"/>
          <w:bCs/>
        </w:rPr>
      </w:pPr>
      <w:r>
        <w:rPr>
          <w:rFonts w:hint="eastAsia" w:ascii="仿宋_GB2312"/>
          <w:b w:val="0"/>
          <w:bCs/>
          <w:lang w:eastAsia="zh-CN"/>
        </w:rPr>
        <w:t>（二）</w:t>
      </w:r>
      <w:r>
        <w:rPr>
          <w:rFonts w:hint="eastAsia" w:ascii="仿宋_GB2312"/>
          <w:b w:val="0"/>
          <w:bCs/>
        </w:rPr>
        <w:t>检查方法</w:t>
      </w:r>
    </w:p>
    <w:p>
      <w:pPr>
        <w:pageBreakBefore w:val="0"/>
        <w:widowControl w:val="0"/>
        <w:kinsoku/>
        <w:wordWrap/>
        <w:overflowPunct/>
        <w:topLinePunct w:val="0"/>
        <w:autoSpaceDE/>
        <w:autoSpaceDN/>
        <w:bidi w:val="0"/>
        <w:spacing w:line="600" w:lineRule="exact"/>
        <w:rPr>
          <w:rFonts w:hint="eastAsia" w:eastAsia="仿宋_GB2312"/>
          <w:lang w:eastAsia="zh-CN"/>
        </w:rPr>
      </w:pPr>
      <w:r>
        <w:rPr>
          <w:rFonts w:hint="eastAsia" w:ascii="仿宋_GB2312"/>
          <w:b w:val="0"/>
          <w:bCs/>
          <w:lang w:eastAsia="zh-CN"/>
        </w:rPr>
        <w:t>现场检查</w:t>
      </w:r>
    </w:p>
    <w:p>
      <w:pPr>
        <w:pageBreakBefore w:val="0"/>
        <w:widowControl w:val="0"/>
        <w:kinsoku/>
        <w:wordWrap/>
        <w:overflowPunct/>
        <w:topLinePunct w:val="0"/>
        <w:autoSpaceDE/>
        <w:autoSpaceDN/>
        <w:bidi w:val="0"/>
        <w:spacing w:line="600" w:lineRule="exact"/>
        <w:rPr>
          <w:rFonts w:hint="eastAsia" w:ascii="仿宋_GB2312" w:hAnsi="仿宋_GB2312" w:cs="仿宋_GB2312"/>
          <w:lang w:eastAsia="zh-CN"/>
        </w:rPr>
      </w:pPr>
      <w:r>
        <w:rPr>
          <w:rFonts w:hint="eastAsia" w:ascii="仿宋_GB2312" w:hAnsi="仿宋_GB2312" w:cs="仿宋_GB2312"/>
        </w:rPr>
        <w:t>听取检查</w:t>
      </w:r>
      <w:r>
        <w:rPr>
          <w:rFonts w:hint="eastAsia" w:ascii="仿宋_GB2312" w:hAnsi="仿宋_GB2312" w:cs="仿宋_GB2312"/>
          <w:lang w:eastAsia="zh-CN"/>
        </w:rPr>
        <w:t>合作社</w:t>
      </w:r>
      <w:r>
        <w:rPr>
          <w:rFonts w:hint="eastAsia" w:ascii="仿宋_GB2312" w:hAnsi="仿宋_GB2312" w:cs="仿宋_GB2312"/>
        </w:rPr>
        <w:t>的情况介绍</w:t>
      </w:r>
      <w:r>
        <w:rPr>
          <w:rFonts w:hint="eastAsia" w:ascii="仿宋_GB2312" w:hAnsi="仿宋_GB2312" w:cs="仿宋_GB2312"/>
          <w:lang w:eastAsia="zh-CN"/>
        </w:rPr>
        <w:t>，查看林产品从种植环节到进入批发、零售市场或者生产加工企业前的质量情况，</w:t>
      </w:r>
      <w:r>
        <w:rPr>
          <w:rFonts w:hint="eastAsia" w:ascii="仿宋_GB2312" w:hAnsi="仿宋_GB2312" w:cs="仿宋_GB2312"/>
        </w:rPr>
        <w:t>现场查看</w:t>
      </w:r>
      <w:r>
        <w:rPr>
          <w:rFonts w:hint="eastAsia" w:ascii="仿宋_GB2312" w:hAnsi="仿宋_GB2312" w:cs="仿宋_GB2312"/>
          <w:lang w:eastAsia="zh-CN"/>
        </w:rPr>
        <w:t>种植环节浇水、施肥、喷洒农药等记录</w:t>
      </w:r>
      <w:r>
        <w:rPr>
          <w:rFonts w:hint="eastAsia" w:ascii="仿宋_GB2312" w:hAnsi="仿宋_GB2312" w:cs="仿宋_GB2312"/>
        </w:rPr>
        <w:t>情况</w:t>
      </w:r>
      <w:r>
        <w:rPr>
          <w:rFonts w:hint="eastAsia" w:ascii="仿宋_GB2312" w:hAnsi="仿宋_GB2312" w:cs="仿宋_GB2312"/>
          <w:lang w:eastAsia="zh-CN"/>
        </w:rPr>
        <w:t>。</w:t>
      </w:r>
    </w:p>
    <w:p>
      <w:pPr>
        <w:pageBreakBefore w:val="0"/>
        <w:widowControl w:val="0"/>
        <w:kinsoku/>
        <w:wordWrap/>
        <w:overflowPunct/>
        <w:topLinePunct w:val="0"/>
        <w:autoSpaceDE/>
        <w:autoSpaceDN/>
        <w:bidi w:val="0"/>
        <w:spacing w:line="600" w:lineRule="exact"/>
        <w:ind w:firstLine="640" w:firstLineChars="200"/>
        <w:rPr>
          <w:rFonts w:hint="eastAsia" w:ascii="黑体" w:hAnsi="黑体" w:eastAsia="黑体" w:cs="黑体"/>
          <w:lang w:eastAsia="zh-CN"/>
        </w:rPr>
      </w:pPr>
      <w:r>
        <w:rPr>
          <w:rFonts w:hint="eastAsia" w:ascii="黑体" w:hAnsi="黑体" w:eastAsia="黑体" w:cs="黑体"/>
          <w:lang w:eastAsia="zh-CN"/>
        </w:rPr>
        <w:t>三、检查依据</w:t>
      </w:r>
    </w:p>
    <w:p>
      <w:pPr>
        <w:pStyle w:val="2"/>
        <w:pageBreakBefore w:val="0"/>
        <w:widowControl w:val="0"/>
        <w:kinsoku/>
        <w:wordWrap/>
        <w:overflowPunct/>
        <w:topLinePunct w:val="0"/>
        <w:autoSpaceDE/>
        <w:autoSpaceDN/>
        <w:bidi w:val="0"/>
        <w:spacing w:line="600" w:lineRule="exact"/>
        <w:rPr>
          <w:rFonts w:hint="eastAsia"/>
          <w:lang w:eastAsia="zh-CN"/>
        </w:rPr>
      </w:pPr>
      <w:r>
        <w:rPr>
          <w:rFonts w:hint="eastAsia"/>
          <w:lang w:val="en-US" w:eastAsia="zh-CN"/>
        </w:rPr>
        <w:t>《中华人民共和国农产品质量安全法》（2006年4月通过，2018年修正，2022年修订）第五条：国务院农业农村主管部门、市场监督管理部门依照本法和规定的职责，对农产品质量安全实施监督管理。</w:t>
      </w:r>
    </w:p>
    <w:p>
      <w:pPr>
        <w:pStyle w:val="2"/>
        <w:pageBreakBefore w:val="0"/>
        <w:widowControl w:val="0"/>
        <w:kinsoku/>
        <w:wordWrap/>
        <w:overflowPunct/>
        <w:topLinePunct w:val="0"/>
        <w:autoSpaceDE/>
        <w:autoSpaceDN/>
        <w:bidi w:val="0"/>
        <w:spacing w:line="600" w:lineRule="exact"/>
        <w:rPr>
          <w:rFonts w:hint="eastAsia"/>
          <w:lang w:eastAsia="zh-CN"/>
        </w:rPr>
      </w:pPr>
    </w:p>
    <w:p>
      <w:pPr>
        <w:pStyle w:val="11"/>
        <w:pageBreakBefore w:val="0"/>
        <w:widowControl w:val="0"/>
        <w:kinsoku/>
        <w:wordWrap/>
        <w:overflowPunct/>
        <w:topLinePunct w:val="0"/>
        <w:autoSpaceDE/>
        <w:autoSpaceDN/>
        <w:bidi w:val="0"/>
        <w:snapToGrid w:val="0"/>
        <w:spacing w:before="280" w:after="280" w:line="600" w:lineRule="exact"/>
        <w:ind w:firstLine="0" w:firstLineChars="0"/>
        <w:jc w:val="center"/>
        <w:outlineLvl w:val="1"/>
        <w:rPr>
          <w:rFonts w:ascii="方正小标宋简体" w:hAnsi="方正小标宋简体" w:eastAsia="方正小标宋简体" w:cs="方正小标宋简体"/>
          <w:color w:val="auto"/>
          <w:sz w:val="32"/>
          <w:szCs w:val="32"/>
          <w:lang w:val="en-US"/>
        </w:rPr>
      </w:pPr>
      <w:r>
        <w:rPr>
          <w:rFonts w:hint="eastAsia" w:ascii="方正小标宋简体" w:hAnsi="方正小标宋简体" w:eastAsia="方正小标宋简体" w:cs="方正小标宋简体"/>
          <w:color w:val="auto"/>
          <w:sz w:val="32"/>
          <w:szCs w:val="32"/>
          <w:lang w:val="en-US"/>
        </w:rPr>
        <w:t>第</w:t>
      </w:r>
      <w:r>
        <w:rPr>
          <w:rFonts w:hint="eastAsia" w:ascii="方正小标宋简体" w:hAnsi="方正小标宋简体" w:eastAsia="方正小标宋简体" w:cs="方正小标宋简体"/>
          <w:color w:val="auto"/>
          <w:sz w:val="32"/>
          <w:szCs w:val="32"/>
          <w:lang w:val="en-US" w:eastAsia="zh-CN"/>
        </w:rPr>
        <w:t>三</w:t>
      </w:r>
      <w:r>
        <w:rPr>
          <w:rFonts w:hint="eastAsia" w:ascii="方正小标宋简体" w:hAnsi="方正小标宋简体" w:eastAsia="方正小标宋简体" w:cs="方正小标宋简体"/>
          <w:color w:val="auto"/>
          <w:sz w:val="32"/>
          <w:szCs w:val="32"/>
          <w:lang w:val="en-US"/>
        </w:rPr>
        <w:t>章  对科学研究、人工繁育、公众展示展演等利用野生动物及其制品的活动进行监督管理工作指引</w:t>
      </w:r>
      <w:bookmarkEnd w:id="6"/>
      <w:bookmarkEnd w:id="7"/>
    </w:p>
    <w:p>
      <w:pPr>
        <w:pStyle w:val="4"/>
        <w:pageBreakBefore w:val="0"/>
        <w:widowControl w:val="0"/>
        <w:kinsoku/>
        <w:wordWrap/>
        <w:overflowPunct/>
        <w:topLinePunct w:val="0"/>
        <w:autoSpaceDE/>
        <w:autoSpaceDN/>
        <w:bidi w:val="0"/>
        <w:spacing w:line="600" w:lineRule="exact"/>
        <w:ind w:firstLine="640"/>
        <w:rPr>
          <w:rFonts w:hint="default"/>
          <w:color w:val="auto"/>
        </w:rPr>
      </w:pPr>
      <w:r>
        <w:rPr>
          <w:color w:val="auto"/>
        </w:rPr>
        <w:t>一、抽查事项</w:t>
      </w:r>
    </w:p>
    <w:p>
      <w:pPr>
        <w:pageBreakBefore w:val="0"/>
        <w:widowControl w:val="0"/>
        <w:kinsoku/>
        <w:wordWrap/>
        <w:overflowPunct/>
        <w:topLinePunct w:val="0"/>
        <w:autoSpaceDE/>
        <w:autoSpaceDN/>
        <w:bidi w:val="0"/>
        <w:spacing w:line="600" w:lineRule="exact"/>
        <w:ind w:firstLine="640"/>
        <w:rPr>
          <w:rFonts w:hint="eastAsia" w:ascii="仿宋_GB2312" w:hAnsi="仿宋_GB2312" w:cs="仿宋_GB2312"/>
          <w:color w:val="auto"/>
        </w:rPr>
      </w:pPr>
      <w:r>
        <w:rPr>
          <w:rFonts w:hint="eastAsia" w:ascii="仿宋_GB2312" w:hAnsi="仿宋_GB2312" w:cs="仿宋_GB2312"/>
          <w:color w:val="auto"/>
        </w:rPr>
        <w:t>陆生野生动物植物猎捕、采集，人工繁育，经营利用的监督检查</w:t>
      </w:r>
    </w:p>
    <w:p>
      <w:pPr>
        <w:pStyle w:val="4"/>
        <w:pageBreakBefore w:val="0"/>
        <w:widowControl w:val="0"/>
        <w:kinsoku/>
        <w:wordWrap/>
        <w:overflowPunct/>
        <w:topLinePunct w:val="0"/>
        <w:autoSpaceDE/>
        <w:autoSpaceDN/>
        <w:bidi w:val="0"/>
        <w:spacing w:line="600" w:lineRule="exact"/>
        <w:ind w:firstLine="640"/>
        <w:rPr>
          <w:rFonts w:hint="default"/>
          <w:color w:val="auto"/>
        </w:rPr>
      </w:pPr>
      <w:r>
        <w:rPr>
          <w:color w:val="auto"/>
        </w:rPr>
        <w:t>二、检查内容和方法</w:t>
      </w:r>
    </w:p>
    <w:p>
      <w:pPr>
        <w:pageBreakBefore w:val="0"/>
        <w:widowControl w:val="0"/>
        <w:kinsoku/>
        <w:wordWrap/>
        <w:overflowPunct/>
        <w:topLinePunct w:val="0"/>
        <w:autoSpaceDE/>
        <w:autoSpaceDN/>
        <w:bidi w:val="0"/>
        <w:spacing w:line="600" w:lineRule="exact"/>
        <w:ind w:firstLine="640"/>
        <w:rPr>
          <w:rFonts w:hint="eastAsia" w:ascii="楷体" w:hAnsi="楷体" w:eastAsia="楷体" w:cs="楷体"/>
          <w:color w:val="auto"/>
          <w:szCs w:val="32"/>
        </w:rPr>
      </w:pPr>
      <w:r>
        <w:rPr>
          <w:rFonts w:hint="eastAsia" w:ascii="楷体" w:hAnsi="楷体" w:eastAsia="楷体" w:cs="楷体"/>
          <w:color w:val="auto"/>
          <w:szCs w:val="32"/>
        </w:rPr>
        <w:t>（一）陆生野生动物植物猎捕、采集的监督检查</w:t>
      </w:r>
    </w:p>
    <w:p>
      <w:pPr>
        <w:pStyle w:val="6"/>
        <w:pageBreakBefore w:val="0"/>
        <w:widowControl w:val="0"/>
        <w:kinsoku/>
        <w:wordWrap/>
        <w:overflowPunct/>
        <w:topLinePunct w:val="0"/>
        <w:autoSpaceDE/>
        <w:autoSpaceDN/>
        <w:bidi w:val="0"/>
        <w:spacing w:line="600" w:lineRule="exact"/>
        <w:ind w:firstLine="643"/>
        <w:rPr>
          <w:b w:val="0"/>
          <w:bCs/>
          <w:color w:val="auto"/>
        </w:rPr>
      </w:pPr>
      <w:r>
        <w:rPr>
          <w:rFonts w:hint="eastAsia" w:ascii="仿宋_GB2312"/>
          <w:b w:val="0"/>
          <w:bCs/>
          <w:color w:val="auto"/>
        </w:rPr>
        <w:t>1.</w:t>
      </w:r>
      <w:r>
        <w:rPr>
          <w:rFonts w:hint="eastAsia"/>
          <w:b w:val="0"/>
          <w:bCs/>
          <w:color w:val="auto"/>
        </w:rPr>
        <w:t>检查内容</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检查陆生野生动物植物猎捕、采集单位的基本信息，猎捕目的、依据，技术力量，猎捕、采集方案（工具、方法、时间、地点等）等情况。</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（1）基本情况：营业执照、企业名称、法定代表人、负责人、实施团队等信息与陆生野生动物植物猎捕、采集许可文件是否一致。</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（2）猎捕目的、依据：实施猎捕、采集的实际活动、目的，与申请时提供的猎捕、采集目的、依据是否一致、匹配。</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（3）行政许可执行情况：是否按照行政许可决定规定的猎捕、采集方案开展活动，包含同意的物种、数量、工具、方法、时间、地点等情况；是否有相适应的技术力量保障猎捕、采集的顺利进行。</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（4）安全保障：是否制定安全预案，安全保障措施是否充分。</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（5）其他：猎捕、采集活动结束后是否按照有关规定及时向当地林业主管部门报告。</w:t>
      </w:r>
    </w:p>
    <w:p>
      <w:pPr>
        <w:pStyle w:val="6"/>
        <w:pageBreakBefore w:val="0"/>
        <w:widowControl w:val="0"/>
        <w:kinsoku/>
        <w:wordWrap/>
        <w:overflowPunct/>
        <w:topLinePunct w:val="0"/>
        <w:autoSpaceDE/>
        <w:autoSpaceDN/>
        <w:bidi w:val="0"/>
        <w:spacing w:line="600" w:lineRule="exact"/>
        <w:ind w:firstLine="643"/>
        <w:rPr>
          <w:rFonts w:ascii="仿宋_GB2312"/>
          <w:b w:val="0"/>
          <w:bCs/>
          <w:color w:val="auto"/>
        </w:rPr>
      </w:pPr>
      <w:r>
        <w:rPr>
          <w:rFonts w:hint="eastAsia" w:ascii="仿宋_GB2312"/>
          <w:b w:val="0"/>
          <w:bCs/>
          <w:color w:val="auto"/>
        </w:rPr>
        <w:t>2.检查方法</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（1）确定检查对象和人员。根据行政许可事项年度公示信息和行政执法人员基本信息，通过省市场监管局“</w:t>
      </w:r>
      <w:r>
        <w:rPr>
          <w:rFonts w:hint="eastAsia" w:ascii="仿宋_GB2312" w:hAnsi="仿宋_GB2312" w:cs="仿宋_GB2312"/>
          <w:color w:val="auto"/>
          <w:highlight w:val="none"/>
        </w:rPr>
        <w:t>双随机</w:t>
      </w:r>
      <w:r>
        <w:rPr>
          <w:rFonts w:hint="eastAsia" w:ascii="仿宋_GB2312" w:hAnsi="仿宋_GB2312" w:cs="仿宋_GB2312"/>
          <w:color w:val="auto"/>
          <w:highlight w:val="none"/>
          <w:lang w:eastAsia="zh-CN"/>
        </w:rPr>
        <w:t>、一</w:t>
      </w:r>
      <w:r>
        <w:rPr>
          <w:rFonts w:hint="eastAsia" w:ascii="仿宋_GB2312" w:hAnsi="仿宋_GB2312" w:cs="仿宋_GB2312"/>
          <w:color w:val="auto"/>
          <w:highlight w:val="none"/>
        </w:rPr>
        <w:t>公</w:t>
      </w:r>
      <w:r>
        <w:rPr>
          <w:rFonts w:hint="eastAsia" w:ascii="仿宋_GB2312" w:hAnsi="仿宋_GB2312" w:cs="仿宋_GB2312"/>
          <w:color w:val="auto"/>
        </w:rPr>
        <w:t>开”监管平台，随机指定检查对象和检查人员。</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2）实地检查。听取检查单位的情况介绍。现场查看野生动植物猎捕、采集单位活动现场、设施设备、技术力量等情况，查阅相关档案资料。填写检查告知书等相关表格，由被抽查单位负责人签字并盖章确认；无法取得签字盖章的，检查人员应当注明原因，并邀请有关人员现场见证。</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3）检查结果处理。形成抽查报告，抽查结果录入省“双随机、一公开”监管平台，并通过厅门户网站进行公示。检查结果作为行政执法的依据，发现涉嫌违反有关法律法规规章规定情形的，及时向执法部门移交。</w:t>
      </w:r>
    </w:p>
    <w:p>
      <w:pPr>
        <w:pStyle w:val="5"/>
        <w:pageBreakBefore w:val="0"/>
        <w:widowControl w:val="0"/>
        <w:kinsoku/>
        <w:wordWrap/>
        <w:overflowPunct/>
        <w:topLinePunct w:val="0"/>
        <w:autoSpaceDE/>
        <w:autoSpaceDN/>
        <w:bidi w:val="0"/>
        <w:spacing w:line="600" w:lineRule="exact"/>
        <w:ind w:firstLine="640"/>
        <w:rPr>
          <w:color w:val="auto"/>
        </w:rPr>
      </w:pPr>
      <w:r>
        <w:rPr>
          <w:rFonts w:hint="eastAsia"/>
          <w:color w:val="auto"/>
        </w:rPr>
        <w:t>（二）陆生野生动物人工繁育的监督检查</w:t>
      </w:r>
    </w:p>
    <w:p>
      <w:pPr>
        <w:pStyle w:val="6"/>
        <w:pageBreakBefore w:val="0"/>
        <w:widowControl w:val="0"/>
        <w:kinsoku/>
        <w:wordWrap/>
        <w:overflowPunct/>
        <w:topLinePunct w:val="0"/>
        <w:autoSpaceDE/>
        <w:autoSpaceDN/>
        <w:bidi w:val="0"/>
        <w:spacing w:line="600" w:lineRule="exact"/>
        <w:ind w:firstLine="643"/>
        <w:rPr>
          <w:rFonts w:ascii="仿宋_GB2312"/>
          <w:b w:val="0"/>
          <w:bCs/>
          <w:color w:val="auto"/>
        </w:rPr>
      </w:pPr>
      <w:r>
        <w:rPr>
          <w:rFonts w:hint="eastAsia" w:ascii="仿宋_GB2312"/>
          <w:b w:val="0"/>
          <w:bCs/>
          <w:color w:val="auto"/>
        </w:rPr>
        <w:t>1.检查内容</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highlight w:val="none"/>
        </w:rPr>
      </w:pPr>
      <w:r>
        <w:rPr>
          <w:rFonts w:hint="eastAsia" w:ascii="仿宋_GB2312" w:hAnsi="仿宋_GB2312" w:cs="仿宋_GB2312"/>
          <w:color w:val="auto"/>
          <w:highlight w:val="none"/>
        </w:rPr>
        <w:t>检查陆生野生动物从业机构基本信息</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现有条件</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种源来源</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档案管理</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安全管理等情况。</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（1）基本情况：营业执照、企业名称、法定代表人、负责人、经营地点等信息与人工繁育许可证是否一致。</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（2）现有条件：人工繁育场所、专业技术力量等是否符合《野生动物人工繁育管理规范总则》（YT3214-2020）《野生动物饲养场总体设计规范》（LYT 2499-2015）《陆生野生动物饲养场通用技术条件》（LY/T 1563-1999，LY/T 1564-1999，LY/T 1565-2015）《野生动物饲养从业人员要求》（LY/T 2806-2017）有关标准要求。</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（3）行政许可执行情况：是否按照行政许可决定规定的种类、地点、范围、方式、目的等从事陆生野生动物人工繁育活动。</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（4）种源来源：是否有合法的陆生野生动物种源来源，在养国家重点保护野生动物，是否有省级以上林业主管部门批复同意买卖动物的行政许可文书。</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（5）档案管理情况：野生动物繁殖、经营利用档案是否完整、规范，是否真实、准确、详细记录野生动物的物种种类、存栏数量、出生、死亡、调入、调出等人工繁育情况。</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（6）制度建设及执行情况：是否建立科学规范的企业管理、动物喂养、防疫、防逃逸应急预案、安全管理等制度规范，并执行到位。</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（7）其他：人工繁育陆生野生动物食物</w:t>
      </w:r>
      <w:r>
        <w:rPr>
          <w:rFonts w:hint="eastAsia" w:ascii="仿宋_GB2312" w:hAnsi="仿宋_GB2312" w:cs="仿宋_GB2312"/>
          <w:color w:val="auto"/>
          <w:highlight w:val="none"/>
        </w:rPr>
        <w:t>来源有保障，野生动物展示展演单位有合理、科学的安全标志和科</w:t>
      </w:r>
      <w:r>
        <w:rPr>
          <w:rFonts w:hint="eastAsia" w:ascii="仿宋_GB2312" w:hAnsi="仿宋_GB2312" w:cs="仿宋_GB2312"/>
          <w:color w:val="auto"/>
        </w:rPr>
        <w:t>普展牌，是否存在虐待野生动物情况，以及其他违法违规情况。</w:t>
      </w:r>
    </w:p>
    <w:p>
      <w:pPr>
        <w:pStyle w:val="6"/>
        <w:pageBreakBefore w:val="0"/>
        <w:widowControl w:val="0"/>
        <w:kinsoku/>
        <w:wordWrap/>
        <w:overflowPunct/>
        <w:topLinePunct w:val="0"/>
        <w:autoSpaceDE/>
        <w:autoSpaceDN/>
        <w:bidi w:val="0"/>
        <w:spacing w:line="600" w:lineRule="exact"/>
        <w:ind w:firstLine="643"/>
        <w:rPr>
          <w:rFonts w:ascii="仿宋_GB2312"/>
          <w:b w:val="0"/>
          <w:bCs/>
          <w:color w:val="auto"/>
        </w:rPr>
      </w:pPr>
      <w:r>
        <w:rPr>
          <w:rFonts w:hint="eastAsia" w:ascii="仿宋_GB2312"/>
          <w:b w:val="0"/>
          <w:bCs/>
          <w:color w:val="auto"/>
        </w:rPr>
        <w:t>2.检查方法</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（1）确定检查对象和人员。根据行政许可事项年度公示信息和行政执法人员基本信息，通过省市场监管局“双</w:t>
      </w:r>
      <w:r>
        <w:rPr>
          <w:rFonts w:hint="eastAsia" w:ascii="仿宋_GB2312" w:hAnsi="仿宋_GB2312" w:cs="仿宋_GB2312"/>
          <w:color w:val="auto"/>
          <w:highlight w:val="none"/>
        </w:rPr>
        <w:t>随机</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一公</w:t>
      </w:r>
      <w:r>
        <w:rPr>
          <w:rFonts w:hint="eastAsia" w:ascii="仿宋_GB2312" w:hAnsi="仿宋_GB2312" w:cs="仿宋_GB2312"/>
          <w:color w:val="auto"/>
        </w:rPr>
        <w:t>开”监管平台，随机指定检查对象和检查人员。</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2）实地检查。听取检查单位的情况介绍。现场查看陆生野生动物从业机构人工繁育、经营利用现场，设施设备，技术力量，档案管理等情况；查阅相关档案资料。填写检查告知书等相关表格，由被抽查单位负责人签字并盖章确认；无法取得签字盖章的，检查人员应当注明原因，并邀请有关人员现场见证。</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3）检查结果处理。形成抽查报告，抽查结果录入省“双随机、一公开”监管平台，并通过厅门户网站进行公示。检查结果作为行政执法的依据，发现涉嫌违反有关法律法规规章规定情形的，及时向执法部门移交。</w:t>
      </w:r>
    </w:p>
    <w:p>
      <w:pPr>
        <w:pStyle w:val="5"/>
        <w:pageBreakBefore w:val="0"/>
        <w:widowControl w:val="0"/>
        <w:kinsoku/>
        <w:wordWrap/>
        <w:overflowPunct/>
        <w:topLinePunct w:val="0"/>
        <w:autoSpaceDE/>
        <w:autoSpaceDN/>
        <w:bidi w:val="0"/>
        <w:spacing w:line="600" w:lineRule="exact"/>
        <w:ind w:firstLine="640"/>
        <w:rPr>
          <w:color w:val="auto"/>
        </w:rPr>
      </w:pPr>
      <w:r>
        <w:rPr>
          <w:rFonts w:hint="eastAsia"/>
          <w:color w:val="auto"/>
        </w:rPr>
        <w:t>（三）陆生野生动物经营利用的监督检查</w:t>
      </w:r>
    </w:p>
    <w:p>
      <w:pPr>
        <w:pStyle w:val="6"/>
        <w:pageBreakBefore w:val="0"/>
        <w:widowControl w:val="0"/>
        <w:kinsoku/>
        <w:wordWrap/>
        <w:overflowPunct/>
        <w:topLinePunct w:val="0"/>
        <w:autoSpaceDE/>
        <w:autoSpaceDN/>
        <w:bidi w:val="0"/>
        <w:spacing w:line="600" w:lineRule="exact"/>
        <w:ind w:firstLine="643"/>
        <w:rPr>
          <w:rFonts w:ascii="仿宋_GB2312"/>
          <w:b w:val="0"/>
          <w:bCs/>
          <w:color w:val="auto"/>
        </w:rPr>
      </w:pPr>
      <w:r>
        <w:rPr>
          <w:rFonts w:hint="eastAsia" w:ascii="仿宋_GB2312"/>
          <w:b w:val="0"/>
          <w:bCs/>
          <w:color w:val="auto"/>
        </w:rPr>
        <w:t>1.检查内容</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检查陆生野</w:t>
      </w:r>
      <w:r>
        <w:rPr>
          <w:rFonts w:hint="eastAsia" w:ascii="仿宋_GB2312" w:hAnsi="仿宋_GB2312" w:cs="仿宋_GB2312"/>
          <w:color w:val="auto"/>
          <w:highlight w:val="none"/>
        </w:rPr>
        <w:t>生动物从业机构基本信息</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现有条件</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种源来源</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档案管理</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安全管理等</w:t>
      </w:r>
      <w:r>
        <w:rPr>
          <w:rFonts w:hint="eastAsia" w:ascii="仿宋_GB2312" w:hAnsi="仿宋_GB2312" w:cs="仿宋_GB2312"/>
          <w:color w:val="auto"/>
        </w:rPr>
        <w:t>情况。</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（1）基本情况：营业执照、企业名称、法定代表人、负责人、经营地点等信息与经营利用行政许可决定书内容是否一致。</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（2）行政许可执行情况：是否按照行政许可决定规定的种类、数量、地点、范围、方式、有效期等从事陆生野生动物经营利用活动。</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（3）种源来源：是否有合法的陆生野生动物种源来源，经营利用的国家重点保护野生动物及其制品，是否有省级以上林业主管部门批复同意买卖动物的行政许可文书。</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（4）档案管理情况：野生动物繁殖、经营利用档案是否完整、规范，是否真实、准确、详细记录野生动物的物种种类、存栏数量、出生、死亡、调入、调出、库存储备与核销等经营利用情况。</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（5）制度建设及执行情况：是否建立科学规范的企业管理、库存管理、档案管理、安全管理等制度规范，并执行到位。</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rPr>
      </w:pPr>
      <w:r>
        <w:rPr>
          <w:rFonts w:hint="eastAsia" w:ascii="仿宋_GB2312" w:hAnsi="仿宋_GB2312" w:cs="仿宋_GB2312"/>
          <w:color w:val="auto"/>
        </w:rPr>
        <w:t>（7）其他：人工繁育</w:t>
      </w:r>
      <w:r>
        <w:rPr>
          <w:rFonts w:hint="eastAsia" w:ascii="仿宋_GB2312" w:hAnsi="仿宋_GB2312" w:cs="仿宋_GB2312"/>
          <w:color w:val="auto"/>
          <w:highlight w:val="none"/>
        </w:rPr>
        <w:t>陆生野生动物食物来源有保障，野生动物展示展演单位有合理、科学的安全标</w:t>
      </w:r>
      <w:r>
        <w:rPr>
          <w:rFonts w:hint="eastAsia" w:ascii="仿宋_GB2312" w:hAnsi="仿宋_GB2312" w:cs="仿宋_GB2312"/>
          <w:color w:val="auto"/>
        </w:rPr>
        <w:t>志和科普展牌，是否存在虐待野生动物情况，以及其他违法违规情况。</w:t>
      </w:r>
    </w:p>
    <w:p>
      <w:pPr>
        <w:pStyle w:val="6"/>
        <w:pageBreakBefore w:val="0"/>
        <w:widowControl w:val="0"/>
        <w:kinsoku/>
        <w:wordWrap/>
        <w:overflowPunct/>
        <w:topLinePunct w:val="0"/>
        <w:autoSpaceDE/>
        <w:autoSpaceDN/>
        <w:bidi w:val="0"/>
        <w:spacing w:line="600" w:lineRule="exact"/>
        <w:ind w:firstLine="643"/>
        <w:rPr>
          <w:rFonts w:ascii="仿宋_GB2312"/>
          <w:b w:val="0"/>
          <w:bCs/>
          <w:color w:val="auto"/>
        </w:rPr>
      </w:pPr>
      <w:r>
        <w:rPr>
          <w:rFonts w:hint="eastAsia" w:ascii="仿宋_GB2312"/>
          <w:b w:val="0"/>
          <w:bCs/>
          <w:color w:val="auto"/>
        </w:rPr>
        <w:t>2.检查方法</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（1）确定检查对象和人员。根据行政许可事项年度公示信息和行政执法人员基本信息，通过省市场监管局“双</w:t>
      </w:r>
      <w:r>
        <w:rPr>
          <w:rFonts w:hint="eastAsia" w:ascii="仿宋_GB2312" w:hAnsi="仿宋_GB2312" w:cs="仿宋_GB2312"/>
          <w:color w:val="auto"/>
          <w:highlight w:val="none"/>
        </w:rPr>
        <w:t>随机</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一公</w:t>
      </w:r>
      <w:r>
        <w:rPr>
          <w:rFonts w:hint="eastAsia" w:ascii="仿宋_GB2312" w:hAnsi="仿宋_GB2312" w:cs="仿宋_GB2312"/>
          <w:color w:val="auto"/>
        </w:rPr>
        <w:t>开”监管平台，随机指定检查对象和检查人员。</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2）实地检查。听取检查单位的情况介绍。现场查看陆生野生动物从业机构人工繁育、经营利用现场，设施设备，技术力量，档案管理等情况；查阅相关档案资料。填写检查告知书等相关表格，由被抽查单位负责人签字并盖章确认；无法取得签字盖章的，检查人员应当注明原因，并邀请有关人员现场见证。</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rPr>
      </w:pPr>
      <w:r>
        <w:rPr>
          <w:rFonts w:hint="eastAsia" w:ascii="仿宋_GB2312" w:hAnsi="仿宋_GB2312" w:cs="仿宋_GB2312"/>
          <w:color w:val="auto"/>
        </w:rPr>
        <w:t>（3）检查结果处理。形成抽查报告，抽查结果录入省“双随机、一公开”监管平台，并通过厅门户网站进行公示。检查结果作为行政执法的依据，发现涉嫌违反有关法律法规规章规定情形的，及时向执法部门移交。</w:t>
      </w:r>
    </w:p>
    <w:p>
      <w:pPr>
        <w:pStyle w:val="4"/>
        <w:pageBreakBefore w:val="0"/>
        <w:widowControl w:val="0"/>
        <w:kinsoku/>
        <w:wordWrap/>
        <w:overflowPunct/>
        <w:topLinePunct w:val="0"/>
        <w:autoSpaceDE/>
        <w:autoSpaceDN/>
        <w:bidi w:val="0"/>
        <w:spacing w:line="600" w:lineRule="exact"/>
        <w:ind w:firstLine="640"/>
        <w:rPr>
          <w:color w:val="auto"/>
        </w:rPr>
      </w:pPr>
      <w:r>
        <w:rPr>
          <w:color w:val="auto"/>
        </w:rPr>
        <w:t>三、检查依据</w:t>
      </w:r>
    </w:p>
    <w:p>
      <w:pPr>
        <w:pStyle w:val="4"/>
        <w:pageBreakBefore w:val="0"/>
        <w:widowControl w:val="0"/>
        <w:kinsoku/>
        <w:wordWrap/>
        <w:overflowPunct/>
        <w:topLinePunct w:val="0"/>
        <w:autoSpaceDE/>
        <w:autoSpaceDN/>
        <w:bidi w:val="0"/>
        <w:spacing w:line="600" w:lineRule="exact"/>
        <w:ind w:firstLine="64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《中华人民共和国野生动物保护法》（2022年12月30日第十三届全国人民代表大会常务委员会第三十八次会议第二次修订）第二十一条　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highlight w:val="none"/>
        </w:rPr>
      </w:pPr>
      <w:r>
        <w:rPr>
          <w:rFonts w:hint="eastAsia" w:ascii="仿宋_GB2312" w:hAnsi="仿宋_GB2312" w:cs="仿宋_GB2312"/>
          <w:color w:val="auto"/>
          <w:szCs w:val="32"/>
        </w:rPr>
        <w:t>第二十三条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w:t>
      </w:r>
      <w:r>
        <w:rPr>
          <w:rFonts w:hint="eastAsia" w:ascii="仿宋_GB2312" w:hAnsi="仿宋_GB2312" w:cs="仿宋_GB2312"/>
          <w:color w:val="auto"/>
          <w:szCs w:val="32"/>
          <w:highlight w:val="none"/>
        </w:rPr>
        <w:t>。猎捕国家重点保护野生动物应当由专业机构和人员承担；猎捕有重要生态、科学、社会价值的陆生野生动物，有条件的地方可以由专业机构有组织开展。</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rPr>
      </w:pPr>
      <w:r>
        <w:rPr>
          <w:rFonts w:hint="eastAsia" w:ascii="仿宋_GB2312" w:hAnsi="仿宋_GB2312" w:cs="仿宋_GB2312"/>
          <w:color w:val="auto"/>
          <w:szCs w:val="32"/>
        </w:rPr>
        <w:t>第二十五条　人工繁育野生动物实行分类分级管理，严格保护和科学利用野生动物资源。国家支持有关科学研究机构因物种保护目的人工繁育国家重点保护野生动物。</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rPr>
      </w:pPr>
      <w:r>
        <w:rPr>
          <w:rFonts w:hint="eastAsia" w:ascii="仿宋_GB2312" w:hAnsi="仿宋_GB2312" w:cs="仿宋_GB2312"/>
          <w:color w:val="auto"/>
          <w:szCs w:val="32"/>
        </w:rPr>
        <w:t>人工繁育国家重点保护野生动物实行许可制度。人工繁育国家重点保护野生动物的，应当经省、自治区、直辖市人民政府野生动物保护主管部门批准，取得人工繁育许可证，但国务院对批准机关另有规定的除外。</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rPr>
      </w:pPr>
      <w:r>
        <w:rPr>
          <w:rFonts w:hint="eastAsia" w:ascii="仿宋_GB2312" w:hAnsi="仿宋_GB2312" w:cs="仿宋_GB2312"/>
          <w:color w:val="auto"/>
          <w:szCs w:val="32"/>
        </w:rPr>
        <w:t>第二十六条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rPr>
      </w:pPr>
      <w:r>
        <w:rPr>
          <w:rFonts w:hint="eastAsia" w:ascii="仿宋_GB2312" w:hAnsi="仿宋_GB2312" w:cs="仿宋_GB2312"/>
          <w:color w:val="auto"/>
          <w:szCs w:val="32"/>
        </w:rPr>
        <w:t>第二十七条　人工繁育野生动物应当采取安全措施，防止野生动物伤人和逃逸。人工繁育的野生动物造成他人损害、危害公共安全或者破坏生态的，饲养人、管理人等应当依法承担法律责任。</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rPr>
      </w:pPr>
      <w:r>
        <w:rPr>
          <w:rFonts w:hint="eastAsia" w:ascii="仿宋_GB2312" w:hAnsi="仿宋_GB2312" w:cs="仿宋_GB2312"/>
          <w:color w:val="auto"/>
          <w:szCs w:val="32"/>
        </w:rPr>
        <w:t>第二十八条　禁止出售、购买、利用国家重点保护野生动物及其制品。</w:t>
      </w:r>
    </w:p>
    <w:p>
      <w:pPr>
        <w:pageBreakBefore w:val="0"/>
        <w:widowControl w:val="0"/>
        <w:kinsoku/>
        <w:wordWrap/>
        <w:overflowPunct/>
        <w:topLinePunct w:val="0"/>
        <w:autoSpaceDE/>
        <w:autoSpaceDN/>
        <w:bidi w:val="0"/>
        <w:spacing w:line="600" w:lineRule="exact"/>
        <w:ind w:firstLine="640"/>
        <w:rPr>
          <w:rFonts w:ascii="仿宋_GB2312" w:hAnsi="仿宋_GB2312" w:cs="仿宋_GB2312"/>
          <w:color w:val="auto"/>
          <w:szCs w:val="32"/>
        </w:rPr>
      </w:pPr>
      <w:r>
        <w:rPr>
          <w:rFonts w:hint="eastAsia" w:ascii="仿宋_GB2312" w:hAnsi="仿宋_GB2312" w:cs="仿宋_GB2312"/>
          <w:color w:val="auto"/>
          <w:szCs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ageBreakBefore w:val="0"/>
        <w:widowControl w:val="0"/>
        <w:kinsoku/>
        <w:wordWrap/>
        <w:overflowPunct/>
        <w:topLinePunct w:val="0"/>
        <w:autoSpaceDE/>
        <w:autoSpaceDN/>
        <w:bidi w:val="0"/>
        <w:spacing w:line="60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第三十五条　县级以上人民政府野生动物保护主管部门应当对科学研究、人工繁育、公众展示展演等利用野生动物及其制品的活动进行规范和监督管理。</w:t>
      </w:r>
    </w:p>
    <w:p>
      <w:pPr>
        <w:pStyle w:val="2"/>
      </w:pPr>
    </w:p>
    <w:p>
      <w:pPr>
        <w:pStyle w:val="11"/>
        <w:pageBreakBefore w:val="0"/>
        <w:widowControl w:val="0"/>
        <w:kinsoku/>
        <w:wordWrap/>
        <w:overflowPunct/>
        <w:topLinePunct w:val="0"/>
        <w:autoSpaceDE/>
        <w:autoSpaceDN/>
        <w:bidi w:val="0"/>
        <w:spacing w:before="280" w:after="280" w:line="600" w:lineRule="exact"/>
        <w:ind w:firstLine="0" w:firstLineChars="0"/>
        <w:jc w:val="center"/>
        <w:outlineLvl w:val="1"/>
        <w:rPr>
          <w:rFonts w:ascii="方正小标宋简体" w:hAnsi="方正小标宋简体" w:eastAsia="方正小标宋简体" w:cs="方正小标宋简体"/>
          <w:color w:val="auto"/>
          <w:sz w:val="32"/>
          <w:szCs w:val="32"/>
          <w:lang w:val="en-US"/>
        </w:rPr>
      </w:pPr>
      <w:bookmarkStart w:id="8" w:name="_Toc19984"/>
      <w:bookmarkStart w:id="9" w:name="_Toc30866"/>
      <w:r>
        <w:rPr>
          <w:rFonts w:hint="eastAsia" w:ascii="方正小标宋简体" w:hAnsi="方正小标宋简体" w:eastAsia="方正小标宋简体" w:cs="方正小标宋简体"/>
          <w:color w:val="auto"/>
          <w:sz w:val="32"/>
          <w:szCs w:val="32"/>
          <w:lang w:val="en-US"/>
        </w:rPr>
        <w:t xml:space="preserve"> 第</w:t>
      </w:r>
      <w:r>
        <w:rPr>
          <w:rFonts w:hint="eastAsia" w:ascii="方正小标宋简体" w:hAnsi="方正小标宋简体" w:eastAsia="方正小标宋简体" w:cs="方正小标宋简体"/>
          <w:color w:val="auto"/>
          <w:sz w:val="32"/>
          <w:szCs w:val="32"/>
          <w:lang w:val="en-US" w:eastAsia="zh-CN"/>
        </w:rPr>
        <w:t>四</w:t>
      </w:r>
      <w:r>
        <w:rPr>
          <w:rFonts w:hint="eastAsia" w:ascii="方正小标宋简体" w:hAnsi="方正小标宋简体" w:eastAsia="方正小标宋简体" w:cs="方正小标宋简体"/>
          <w:color w:val="auto"/>
          <w:sz w:val="32"/>
          <w:szCs w:val="32"/>
          <w:lang w:val="en-US"/>
        </w:rPr>
        <w:t>章  矿产资源勘查、开采的监督管理工作指引</w:t>
      </w:r>
      <w:bookmarkEnd w:id="8"/>
      <w:bookmarkEnd w:id="9"/>
    </w:p>
    <w:p>
      <w:pPr>
        <w:pStyle w:val="4"/>
        <w:pageBreakBefore w:val="0"/>
        <w:widowControl w:val="0"/>
        <w:kinsoku/>
        <w:wordWrap/>
        <w:overflowPunct/>
        <w:topLinePunct w:val="0"/>
        <w:autoSpaceDE/>
        <w:autoSpaceDN/>
        <w:bidi w:val="0"/>
        <w:spacing w:line="600" w:lineRule="exact"/>
        <w:ind w:firstLine="640"/>
        <w:rPr>
          <w:rFonts w:hint="default"/>
          <w:color w:val="auto"/>
        </w:rPr>
      </w:pPr>
      <w:r>
        <w:rPr>
          <w:color w:val="auto"/>
        </w:rPr>
        <w:t>一、抽查事项</w:t>
      </w:r>
    </w:p>
    <w:p>
      <w:pPr>
        <w:pStyle w:val="5"/>
        <w:pageBreakBefore w:val="0"/>
        <w:widowControl w:val="0"/>
        <w:kinsoku/>
        <w:wordWrap/>
        <w:overflowPunct/>
        <w:topLinePunct w:val="0"/>
        <w:autoSpaceDE/>
        <w:autoSpaceDN/>
        <w:bidi w:val="0"/>
        <w:spacing w:line="600" w:lineRule="exact"/>
        <w:ind w:firstLine="640"/>
        <w:rPr>
          <w:rFonts w:hint="eastAsia" w:ascii="仿宋_GB2312" w:hAnsi="仿宋_GB2312" w:eastAsia="仿宋_GB2312" w:cs="仿宋_GB2312"/>
          <w:color w:val="000000"/>
          <w:kern w:val="2"/>
          <w:sz w:val="32"/>
          <w:szCs w:val="32"/>
          <w:lang w:val="en-US" w:eastAsia="zh-CN" w:bidi="zh-CN"/>
        </w:rPr>
      </w:pPr>
      <w:r>
        <w:rPr>
          <w:rFonts w:hint="eastAsia" w:ascii="仿宋_GB2312" w:hAnsi="仿宋_GB2312" w:eastAsia="仿宋_GB2312" w:cs="仿宋_GB2312"/>
          <w:color w:val="000000"/>
          <w:kern w:val="2"/>
          <w:sz w:val="32"/>
          <w:szCs w:val="32"/>
          <w:lang w:val="en-US" w:eastAsia="zh-CN" w:bidi="zh-CN"/>
        </w:rPr>
        <w:t>（一）矿产资源勘查的监督管理</w:t>
      </w:r>
    </w:p>
    <w:p>
      <w:pPr>
        <w:pStyle w:val="5"/>
        <w:pageBreakBefore w:val="0"/>
        <w:widowControl w:val="0"/>
        <w:kinsoku/>
        <w:wordWrap/>
        <w:overflowPunct/>
        <w:topLinePunct w:val="0"/>
        <w:autoSpaceDE/>
        <w:autoSpaceDN/>
        <w:bidi w:val="0"/>
        <w:spacing w:line="600" w:lineRule="exact"/>
        <w:ind w:firstLine="640"/>
        <w:rPr>
          <w:rFonts w:hint="eastAsia" w:ascii="仿宋_GB2312" w:hAnsi="仿宋_GB2312" w:eastAsia="仿宋_GB2312" w:cs="仿宋_GB2312"/>
          <w:color w:val="000000"/>
          <w:kern w:val="2"/>
          <w:sz w:val="32"/>
          <w:szCs w:val="32"/>
          <w:lang w:val="en-US" w:eastAsia="zh-CN" w:bidi="zh-CN"/>
        </w:rPr>
      </w:pPr>
      <w:r>
        <w:rPr>
          <w:rFonts w:hint="eastAsia" w:ascii="仿宋_GB2312" w:hAnsi="仿宋_GB2312" w:eastAsia="仿宋_GB2312" w:cs="仿宋_GB2312"/>
          <w:color w:val="000000"/>
          <w:kern w:val="2"/>
          <w:sz w:val="32"/>
          <w:szCs w:val="32"/>
          <w:lang w:val="en-US" w:eastAsia="zh-CN" w:bidi="zh-CN"/>
        </w:rPr>
        <w:t>（二）矿产资源开发利用监督管理</w:t>
      </w:r>
    </w:p>
    <w:p>
      <w:pPr>
        <w:pStyle w:val="4"/>
        <w:pageBreakBefore w:val="0"/>
        <w:widowControl w:val="0"/>
        <w:kinsoku/>
        <w:wordWrap/>
        <w:overflowPunct/>
        <w:topLinePunct w:val="0"/>
        <w:autoSpaceDE/>
        <w:autoSpaceDN/>
        <w:bidi w:val="0"/>
        <w:spacing w:line="600" w:lineRule="exact"/>
        <w:ind w:firstLine="640"/>
      </w:pPr>
      <w:r>
        <w:t>二、检查内容和方法</w:t>
      </w:r>
    </w:p>
    <w:p>
      <w:pPr>
        <w:pStyle w:val="4"/>
        <w:pageBreakBefore w:val="0"/>
        <w:widowControl w:val="0"/>
        <w:kinsoku/>
        <w:wordWrap/>
        <w:overflowPunct/>
        <w:topLinePunct w:val="0"/>
        <w:autoSpaceDE/>
        <w:autoSpaceDN/>
        <w:bidi w:val="0"/>
        <w:spacing w:line="600" w:lineRule="exact"/>
        <w:ind w:firstLine="640"/>
        <w:rPr>
          <w:rFonts w:hint="eastAsia" w:ascii="楷体" w:hAnsi="楷体" w:eastAsia="楷体" w:cs="楷体"/>
        </w:rPr>
      </w:pPr>
      <w:r>
        <w:rPr>
          <w:rFonts w:hint="eastAsia" w:ascii="楷体" w:hAnsi="楷体" w:eastAsia="楷体" w:cs="楷体"/>
        </w:rPr>
        <w:t>（一）矿产资源勘查的监督管理</w:t>
      </w:r>
    </w:p>
    <w:p>
      <w:pPr>
        <w:pStyle w:val="6"/>
        <w:pageBreakBefore w:val="0"/>
        <w:widowControl w:val="0"/>
        <w:kinsoku/>
        <w:wordWrap/>
        <w:overflowPunct/>
        <w:topLinePunct w:val="0"/>
        <w:autoSpaceDE/>
        <w:autoSpaceDN/>
        <w:bidi w:val="0"/>
        <w:spacing w:line="600" w:lineRule="exact"/>
        <w:ind w:firstLine="643"/>
        <w:rPr>
          <w:rFonts w:ascii="仿宋_GB2312"/>
          <w:b w:val="0"/>
          <w:bCs/>
        </w:rPr>
      </w:pPr>
      <w:r>
        <w:rPr>
          <w:rFonts w:hint="eastAsia" w:ascii="仿宋_GB2312"/>
          <w:b w:val="0"/>
          <w:bCs/>
        </w:rPr>
        <w:t>1.检查内容</w:t>
      </w:r>
    </w:p>
    <w:p>
      <w:pPr>
        <w:pStyle w:val="11"/>
        <w:pageBreakBefore w:val="0"/>
        <w:widowControl w:val="0"/>
        <w:kinsoku/>
        <w:wordWrap/>
        <w:overflowPunct/>
        <w:topLinePunct w:val="0"/>
        <w:autoSpaceDE/>
        <w:autoSpaceDN/>
        <w:bidi w:val="0"/>
        <w:snapToGrid w:val="0"/>
        <w:spacing w:line="600" w:lineRule="exact"/>
        <w:ind w:firstLine="640"/>
        <w:textAlignment w:val="baseline"/>
        <w:rPr>
          <w:rFonts w:ascii="仿宋_GB2312" w:hAnsi="仿宋_GB2312" w:cs="仿宋_GB2312"/>
          <w:color w:val="000000"/>
          <w:sz w:val="32"/>
          <w:szCs w:val="32"/>
          <w:lang w:val="en-US"/>
        </w:rPr>
      </w:pPr>
      <w:r>
        <w:rPr>
          <w:rFonts w:hint="eastAsia" w:ascii="仿宋_GB2312" w:hAnsi="仿宋_GB2312" w:cs="仿宋_GB2312"/>
          <w:sz w:val="32"/>
          <w:szCs w:val="32"/>
          <w:lang w:val="en-US"/>
        </w:rPr>
        <w:t>（1）</w:t>
      </w:r>
      <w:r>
        <w:rPr>
          <w:rFonts w:hint="eastAsia" w:ascii="仿宋_GB2312" w:hAnsi="仿宋_GB2312" w:cs="仿宋_GB2312"/>
          <w:color w:val="000000"/>
          <w:sz w:val="32"/>
          <w:szCs w:val="32"/>
          <w:lang w:val="en-US"/>
        </w:rPr>
        <w:t>基本信息。重点检查勘查许可证合法有效性，提交办理探矿权延续手续初审情况。</w:t>
      </w:r>
    </w:p>
    <w:p>
      <w:pPr>
        <w:pStyle w:val="11"/>
        <w:pageBreakBefore w:val="0"/>
        <w:widowControl w:val="0"/>
        <w:kinsoku/>
        <w:wordWrap/>
        <w:overflowPunct/>
        <w:topLinePunct w:val="0"/>
        <w:autoSpaceDE/>
        <w:autoSpaceDN/>
        <w:bidi w:val="0"/>
        <w:snapToGrid w:val="0"/>
        <w:spacing w:line="600" w:lineRule="exact"/>
        <w:ind w:firstLine="640"/>
        <w:textAlignment w:val="baseline"/>
        <w:rPr>
          <w:rFonts w:ascii="仿宋_GB2312" w:hAnsi="仿宋_GB2312" w:cs="仿宋_GB2312"/>
          <w:color w:val="000000"/>
          <w:sz w:val="32"/>
          <w:szCs w:val="32"/>
          <w:lang w:val="en-US"/>
        </w:rPr>
      </w:pPr>
      <w:r>
        <w:rPr>
          <w:rFonts w:hint="eastAsia" w:ascii="仿宋_GB2312" w:hAnsi="仿宋_GB2312" w:cs="仿宋_GB2312"/>
          <w:sz w:val="32"/>
          <w:szCs w:val="32"/>
          <w:lang w:val="en-US"/>
        </w:rPr>
        <w:t>（2）</w:t>
      </w:r>
      <w:r>
        <w:rPr>
          <w:rFonts w:hint="eastAsia" w:ascii="仿宋_GB2312" w:hAnsi="仿宋_GB2312" w:cs="仿宋_GB2312"/>
          <w:color w:val="000000"/>
          <w:sz w:val="32"/>
          <w:szCs w:val="32"/>
          <w:lang w:val="en-US"/>
        </w:rPr>
        <w:t>勘查实施方案。检查勘查实施方案编制、调整情况，对比勘查年度工作计划与完成情况；查阅年度勘查工作总结或者勘查地质报告、审查意见，查阅调查登记勘查矿种、发现具有资源储量矿种、是否对共伴生矿产综合勘查和综合评价；完成勘查工作的，查阅地质资料汇交凭证，调查是否依法汇交地质资料。</w:t>
      </w:r>
    </w:p>
    <w:p>
      <w:pPr>
        <w:pStyle w:val="11"/>
        <w:pageBreakBefore w:val="0"/>
        <w:widowControl w:val="0"/>
        <w:kinsoku/>
        <w:wordWrap/>
        <w:overflowPunct/>
        <w:topLinePunct w:val="0"/>
        <w:autoSpaceDE/>
        <w:autoSpaceDN/>
        <w:bidi w:val="0"/>
        <w:snapToGrid w:val="0"/>
        <w:spacing w:line="600" w:lineRule="exact"/>
        <w:ind w:firstLine="640"/>
        <w:textAlignment w:val="baseline"/>
        <w:rPr>
          <w:rFonts w:ascii="仿宋_GB2312" w:hAnsi="仿宋_GB2312" w:cs="仿宋_GB2312"/>
          <w:color w:val="000000"/>
          <w:sz w:val="32"/>
          <w:szCs w:val="32"/>
          <w:lang w:val="en-US"/>
        </w:rPr>
      </w:pPr>
      <w:r>
        <w:rPr>
          <w:rFonts w:hint="eastAsia" w:ascii="仿宋_GB2312" w:hAnsi="仿宋_GB2312" w:cs="仿宋_GB2312"/>
          <w:sz w:val="32"/>
          <w:szCs w:val="32"/>
          <w:lang w:val="en-US"/>
        </w:rPr>
        <w:t>（3）勘查工程抽查。包括钻探、浅井、坑探、槽探等。抽查的工程均需对现场查阅的实物资</w:t>
      </w:r>
      <w:r>
        <w:rPr>
          <w:rFonts w:hint="eastAsia" w:ascii="仿宋_GB2312" w:hAnsi="仿宋_GB2312" w:cs="仿宋_GB2312"/>
          <w:color w:val="000000"/>
          <w:sz w:val="32"/>
          <w:szCs w:val="32"/>
          <w:lang w:val="en-US"/>
        </w:rPr>
        <w:t>料名称进行登记，并对实物资料代表性现场或资料等拍照取证。通过抽查的探矿工程验证施工的真实性，对比填报信息和原始资料，验证填报的准确性。</w:t>
      </w:r>
    </w:p>
    <w:p>
      <w:pPr>
        <w:pStyle w:val="11"/>
        <w:pageBreakBefore w:val="0"/>
        <w:widowControl w:val="0"/>
        <w:kinsoku/>
        <w:wordWrap/>
        <w:overflowPunct/>
        <w:topLinePunct w:val="0"/>
        <w:autoSpaceDE/>
        <w:autoSpaceDN/>
        <w:bidi w:val="0"/>
        <w:snapToGrid w:val="0"/>
        <w:spacing w:line="600" w:lineRule="exact"/>
        <w:ind w:firstLine="640"/>
        <w:textAlignment w:val="baseline"/>
        <w:rPr>
          <w:rFonts w:ascii="仿宋_GB2312" w:hAnsi="仿宋_GB2312" w:cs="仿宋_GB2312"/>
          <w:color w:val="000000"/>
          <w:sz w:val="32"/>
          <w:szCs w:val="32"/>
          <w:lang w:val="en-US"/>
        </w:rPr>
      </w:pPr>
      <w:r>
        <w:rPr>
          <w:rFonts w:hint="eastAsia" w:ascii="仿宋_GB2312" w:hAnsi="仿宋_GB2312" w:cs="仿宋_GB2312"/>
          <w:sz w:val="32"/>
          <w:szCs w:val="32"/>
          <w:lang w:val="en-US"/>
        </w:rPr>
        <w:t>（4）开工或者项目备案</w:t>
      </w:r>
      <w:r>
        <w:rPr>
          <w:rFonts w:hint="eastAsia" w:ascii="仿宋_GB2312" w:hAnsi="仿宋_GB2312" w:cs="仿宋_GB2312"/>
          <w:color w:val="000000"/>
          <w:sz w:val="32"/>
          <w:szCs w:val="32"/>
          <w:lang w:val="en-US"/>
        </w:rPr>
        <w:t>情况。查验项目开工或备案证明。</w:t>
      </w:r>
    </w:p>
    <w:p>
      <w:pPr>
        <w:pageBreakBefore w:val="0"/>
        <w:widowControl w:val="0"/>
        <w:kinsoku/>
        <w:wordWrap/>
        <w:overflowPunct/>
        <w:topLinePunct w:val="0"/>
        <w:autoSpaceDE/>
        <w:autoSpaceDN/>
        <w:bidi w:val="0"/>
        <w:spacing w:line="600" w:lineRule="exact"/>
        <w:ind w:firstLine="640"/>
        <w:rPr>
          <w:rFonts w:ascii="仿宋_GB2312" w:hAnsi="仿宋_GB2312" w:cs="仿宋_GB2312"/>
          <w:szCs w:val="32"/>
        </w:rPr>
      </w:pPr>
      <w:r>
        <w:rPr>
          <w:rFonts w:hint="eastAsia" w:ascii="仿宋_GB2312" w:hAnsi="仿宋_GB2312" w:cs="仿宋_GB2312"/>
          <w:szCs w:val="32"/>
        </w:rPr>
        <w:t>（5）在批准范围内勘查情况。查阅勘查实施方案、实际材料图和探矿工程编录材料，重点抽查探矿权边界附近的探矿工程，采用手持GPS检查已开展探矿工程位置信息，并与批准的探矿范围比对。</w:t>
      </w:r>
    </w:p>
    <w:p>
      <w:pPr>
        <w:pageBreakBefore w:val="0"/>
        <w:widowControl w:val="0"/>
        <w:kinsoku/>
        <w:wordWrap/>
        <w:overflowPunct/>
        <w:topLinePunct w:val="0"/>
        <w:autoSpaceDE/>
        <w:autoSpaceDN/>
        <w:bidi w:val="0"/>
        <w:spacing w:line="600" w:lineRule="exact"/>
        <w:ind w:firstLine="640"/>
        <w:rPr>
          <w:rFonts w:ascii="仿宋_GB2312" w:hAnsi="仿宋_GB2312" w:cs="仿宋_GB2312"/>
          <w:szCs w:val="32"/>
        </w:rPr>
      </w:pPr>
      <w:r>
        <w:rPr>
          <w:rFonts w:hint="eastAsia" w:ascii="仿宋_GB2312" w:hAnsi="仿宋_GB2312" w:cs="仿宋_GB2312"/>
          <w:szCs w:val="32"/>
        </w:rPr>
        <w:t>（6）封井（填）、地质环境保护与土地复垦情况。查验相关部门出具的地质环境保护与恢复治理相关验收材料，现场检查至少1个探矿工程（钻孔（井）、浅井、坑探、槽探等），查看封井（填）及环境恢复状况。</w:t>
      </w:r>
    </w:p>
    <w:p>
      <w:pPr>
        <w:pageBreakBefore w:val="0"/>
        <w:widowControl w:val="0"/>
        <w:kinsoku/>
        <w:wordWrap/>
        <w:overflowPunct/>
        <w:topLinePunct w:val="0"/>
        <w:autoSpaceDE/>
        <w:autoSpaceDN/>
        <w:bidi w:val="0"/>
        <w:spacing w:line="600" w:lineRule="exact"/>
        <w:ind w:firstLine="640"/>
        <w:rPr>
          <w:rFonts w:ascii="仿宋_GB2312" w:hAnsi="仿宋_GB2312" w:cs="仿宋_GB2312"/>
          <w:szCs w:val="32"/>
        </w:rPr>
      </w:pPr>
      <w:r>
        <w:rPr>
          <w:rFonts w:hint="eastAsia" w:ascii="仿宋_GB2312" w:hAnsi="仿宋_GB2312" w:cs="仿宋_GB2312"/>
          <w:szCs w:val="32"/>
        </w:rPr>
        <w:t>（7）费金缴纳情况。查阅矿业权占用费缴纳凭证单据等材料，比对是否与信息公示填报金额一致。</w:t>
      </w:r>
    </w:p>
    <w:p>
      <w:pPr>
        <w:pageBreakBefore w:val="0"/>
        <w:widowControl w:val="0"/>
        <w:kinsoku/>
        <w:wordWrap/>
        <w:overflowPunct/>
        <w:topLinePunct w:val="0"/>
        <w:autoSpaceDE/>
        <w:autoSpaceDN/>
        <w:bidi w:val="0"/>
        <w:spacing w:line="600" w:lineRule="exact"/>
        <w:ind w:firstLine="640"/>
      </w:pPr>
      <w:r>
        <w:rPr>
          <w:rFonts w:hint="eastAsia" w:ascii="仿宋_GB2312" w:hAnsi="仿宋_GB2312" w:cs="仿宋_GB2312"/>
          <w:szCs w:val="32"/>
        </w:rPr>
        <w:t>（8）自然资源主管部门行政处罚和整改情况。检查受到自然资源主管部门行政</w:t>
      </w:r>
      <w:r>
        <w:rPr>
          <w:rFonts w:hint="eastAsia"/>
        </w:rPr>
        <w:t>处罚及整改情况，是否与信息公示填报内容一致。</w:t>
      </w:r>
    </w:p>
    <w:p>
      <w:pPr>
        <w:pStyle w:val="6"/>
        <w:pageBreakBefore w:val="0"/>
        <w:widowControl w:val="0"/>
        <w:kinsoku/>
        <w:wordWrap/>
        <w:overflowPunct/>
        <w:topLinePunct w:val="0"/>
        <w:autoSpaceDE/>
        <w:autoSpaceDN/>
        <w:bidi w:val="0"/>
        <w:spacing w:line="600" w:lineRule="exact"/>
        <w:ind w:firstLine="643"/>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2.检查方法</w:t>
      </w:r>
      <w:r>
        <w:rPr>
          <w:rFonts w:hint="eastAsia" w:ascii="仿宋_GB2312" w:hAnsi="仿宋_GB2312" w:eastAsia="仿宋_GB2312" w:cs="仿宋_GB2312"/>
          <w:b w:val="0"/>
          <w:kern w:val="2"/>
          <w:sz w:val="32"/>
          <w:szCs w:val="32"/>
          <w:lang w:val="en-US" w:eastAsia="zh-CN" w:bidi="ar-SA"/>
        </w:rPr>
        <w:tab/>
      </w:r>
    </w:p>
    <w:p>
      <w:pPr>
        <w:pageBreakBefore w:val="0"/>
        <w:widowControl w:val="0"/>
        <w:kinsoku/>
        <w:wordWrap/>
        <w:overflowPunct/>
        <w:topLinePunct w:val="0"/>
        <w:autoSpaceDE/>
        <w:autoSpaceDN/>
        <w:bidi w:val="0"/>
        <w:spacing w:line="600" w:lineRule="exact"/>
        <w:ind w:firstLine="640"/>
        <w:rPr>
          <w:rFonts w:ascii="仿宋_GB2312"/>
        </w:rPr>
      </w:pPr>
      <w:r>
        <w:rPr>
          <w:rFonts w:hint="eastAsia" w:ascii="仿宋_GB2312"/>
        </w:rPr>
        <w:t>按照不少于5%的比例抽取检查对象，针对矿业权人提供的资料以及矿业权人的作业现场，可进行矿业权人自查、资料查阅、凭证比对、调查询问、现场核查等核查工作，如实记录核查情况。</w:t>
      </w:r>
    </w:p>
    <w:p>
      <w:pPr>
        <w:pageBreakBefore w:val="0"/>
        <w:widowControl w:val="0"/>
        <w:kinsoku/>
        <w:wordWrap/>
        <w:overflowPunct/>
        <w:topLinePunct w:val="0"/>
        <w:autoSpaceDE/>
        <w:autoSpaceDN/>
        <w:bidi w:val="0"/>
        <w:spacing w:line="600" w:lineRule="exact"/>
        <w:ind w:firstLine="640"/>
      </w:pPr>
      <w:r>
        <w:rPr>
          <w:rFonts w:hint="eastAsia" w:ascii="仿宋_GB2312"/>
        </w:rPr>
        <w:t>（1）</w:t>
      </w:r>
      <w:r>
        <w:rPr>
          <w:rFonts w:hint="eastAsia"/>
        </w:rPr>
        <w:t>矿业权人自查。矿业权人对照公示信息、核查技术要求和自然资源主管部门实地核查通知要求进行自查，自查内容包</w:t>
      </w:r>
      <w:r>
        <w:rPr>
          <w:rFonts w:hint="eastAsia"/>
          <w:highlight w:val="none"/>
        </w:rPr>
        <w:t>括</w:t>
      </w:r>
      <w:r>
        <w:rPr>
          <w:rFonts w:hint="eastAsia"/>
          <w:highlight w:val="none"/>
          <w:lang w:eastAsia="zh-CN"/>
        </w:rPr>
        <w:t>：</w:t>
      </w:r>
      <w:r>
        <w:rPr>
          <w:rFonts w:hint="eastAsia"/>
          <w:highlight w:val="none"/>
        </w:rPr>
        <w:t>核查</w:t>
      </w:r>
      <w:r>
        <w:rPr>
          <w:rFonts w:hint="eastAsia"/>
        </w:rPr>
        <w:t>项目的基本情况、公示信息自查情况、履行法定义务、矿产资源合理开发利用信息、矿产资源储量年度变化情况、矿山生态修复履行义务信息和自然资源主管部门要求报告的其他事项等情况。</w:t>
      </w:r>
    </w:p>
    <w:p>
      <w:pPr>
        <w:pageBreakBefore w:val="0"/>
        <w:widowControl w:val="0"/>
        <w:kinsoku/>
        <w:wordWrap/>
        <w:overflowPunct/>
        <w:topLinePunct w:val="0"/>
        <w:autoSpaceDE/>
        <w:autoSpaceDN/>
        <w:bidi w:val="0"/>
        <w:spacing w:line="600" w:lineRule="exact"/>
        <w:ind w:firstLine="640"/>
      </w:pPr>
      <w:r>
        <w:rPr>
          <w:rFonts w:hint="eastAsia" w:ascii="仿宋_GB2312"/>
        </w:rPr>
        <w:t>（2）</w:t>
      </w:r>
      <w:r>
        <w:rPr>
          <w:rFonts w:hint="eastAsia"/>
        </w:rPr>
        <w:t>资料查阅。核查组比对矿业权人填报信息与矿业权登记统计信息，核实公示信息的真实性、准确性、时效性；对矿产资源开发利用指标采取逻辑性检查。</w:t>
      </w:r>
    </w:p>
    <w:p>
      <w:pPr>
        <w:pageBreakBefore w:val="0"/>
        <w:widowControl w:val="0"/>
        <w:kinsoku/>
        <w:wordWrap/>
        <w:overflowPunct/>
        <w:topLinePunct w:val="0"/>
        <w:autoSpaceDE/>
        <w:autoSpaceDN/>
        <w:bidi w:val="0"/>
        <w:spacing w:line="600" w:lineRule="exact"/>
        <w:ind w:firstLine="640"/>
      </w:pPr>
      <w:r>
        <w:rPr>
          <w:rFonts w:hint="eastAsia" w:ascii="仿宋_GB2312"/>
        </w:rPr>
        <w:t>（3）</w:t>
      </w:r>
      <w:r>
        <w:rPr>
          <w:rFonts w:hint="eastAsia"/>
        </w:rPr>
        <w:t>凭证比对。根据探矿权人提供的勘查许可证、矿产资源勘查实施方案、地质勘查阶段性成果报告或采矿权人提供的采矿许可</w:t>
      </w:r>
      <w:r>
        <w:rPr>
          <w:rFonts w:hint="eastAsia"/>
          <w:highlight w:val="none"/>
        </w:rPr>
        <w:t>证</w:t>
      </w:r>
      <w:r>
        <w:rPr>
          <w:rFonts w:hint="eastAsia"/>
          <w:highlight w:val="none"/>
          <w:lang w:eastAsia="zh-CN"/>
        </w:rPr>
        <w:t>、</w:t>
      </w:r>
      <w:r>
        <w:rPr>
          <w:rFonts w:hint="eastAsia"/>
          <w:highlight w:val="none"/>
        </w:rPr>
        <w:t>矿产资源开发利用方案</w:t>
      </w:r>
      <w:r>
        <w:rPr>
          <w:rFonts w:hint="eastAsia"/>
          <w:highlight w:val="none"/>
          <w:lang w:eastAsia="zh-CN"/>
        </w:rPr>
        <w:t>、</w:t>
      </w:r>
      <w:r>
        <w:rPr>
          <w:rFonts w:hint="eastAsia"/>
          <w:highlight w:val="none"/>
        </w:rPr>
        <w:t>矿山地质环境保护和土地复垦方案</w:t>
      </w:r>
      <w:r>
        <w:rPr>
          <w:rFonts w:hint="eastAsia"/>
          <w:highlight w:val="none"/>
          <w:lang w:eastAsia="zh-CN"/>
        </w:rPr>
        <w:t>、</w:t>
      </w:r>
      <w:r>
        <w:rPr>
          <w:rFonts w:hint="eastAsia"/>
          <w:highlight w:val="none"/>
        </w:rPr>
        <w:t>储量年报</w:t>
      </w:r>
      <w:r>
        <w:rPr>
          <w:rFonts w:hint="eastAsia"/>
          <w:highlight w:val="none"/>
          <w:lang w:eastAsia="zh-CN"/>
        </w:rPr>
        <w:t>、</w:t>
      </w:r>
      <w:r>
        <w:rPr>
          <w:rFonts w:hint="eastAsia"/>
          <w:highlight w:val="none"/>
        </w:rPr>
        <w:t>财务凭证</w:t>
      </w:r>
      <w:r>
        <w:rPr>
          <w:rFonts w:hint="eastAsia"/>
          <w:highlight w:val="none"/>
          <w:lang w:eastAsia="zh-CN"/>
        </w:rPr>
        <w:t>、</w:t>
      </w:r>
      <w:r>
        <w:rPr>
          <w:rFonts w:hint="eastAsia"/>
          <w:highlight w:val="none"/>
        </w:rPr>
        <w:t>行政处罚信息及整改材料等，以及抽查工作所需的其他相关凭证，核查组比</w:t>
      </w:r>
      <w:r>
        <w:rPr>
          <w:rFonts w:hint="eastAsia"/>
        </w:rPr>
        <w:t>对公示信息真实性、准确性、时效性，梳理疑点和可能存在的问题。</w:t>
      </w:r>
    </w:p>
    <w:p>
      <w:pPr>
        <w:pageBreakBefore w:val="0"/>
        <w:widowControl w:val="0"/>
        <w:kinsoku/>
        <w:wordWrap/>
        <w:overflowPunct/>
        <w:topLinePunct w:val="0"/>
        <w:autoSpaceDE/>
        <w:autoSpaceDN/>
        <w:bidi w:val="0"/>
        <w:spacing w:line="600" w:lineRule="exact"/>
        <w:ind w:firstLine="640"/>
      </w:pPr>
      <w:r>
        <w:rPr>
          <w:rFonts w:hint="eastAsia" w:ascii="仿宋_GB2312"/>
        </w:rPr>
        <w:t>（4）</w:t>
      </w:r>
      <w:r>
        <w:rPr>
          <w:rFonts w:hint="eastAsia"/>
        </w:rPr>
        <w:t>调查询问。核查组针对内业整理、资料查阅和矿业权人自查中发现的疑点和问题，对勘查相关情况进行调查询问，了解公示信息的真实性和准确性。矿业权人应积极配合，如实反映情况，补充提供相关材料。</w:t>
      </w:r>
    </w:p>
    <w:p>
      <w:pPr>
        <w:pageBreakBefore w:val="0"/>
        <w:widowControl w:val="0"/>
        <w:kinsoku/>
        <w:wordWrap/>
        <w:overflowPunct/>
        <w:topLinePunct w:val="0"/>
        <w:autoSpaceDE/>
        <w:autoSpaceDN/>
        <w:bidi w:val="0"/>
        <w:spacing w:line="600" w:lineRule="exact"/>
        <w:ind w:firstLine="640"/>
      </w:pPr>
      <w:r>
        <w:rPr>
          <w:rFonts w:hint="eastAsia" w:ascii="仿宋_GB2312"/>
        </w:rPr>
        <w:t>（5）</w:t>
      </w:r>
      <w:r>
        <w:rPr>
          <w:rFonts w:hint="eastAsia"/>
        </w:rPr>
        <w:t>现场查看。抽取一定比例探矿工程（钻孔（井）、浅井、坑探、槽探等）和综合利用等设施进行实</w:t>
      </w:r>
      <w:r>
        <w:rPr>
          <w:rFonts w:hint="eastAsia"/>
          <w:highlight w:val="none"/>
        </w:rPr>
        <w:t>地踏勘，对</w:t>
      </w:r>
      <w:r>
        <w:rPr>
          <w:rFonts w:hint="eastAsia"/>
        </w:rPr>
        <w:t>勘查情况进行询问、记录、拍照、录像，了解勘查进展及重点设施的运行情况，并进行相关取证。</w:t>
      </w:r>
    </w:p>
    <w:p>
      <w:pPr>
        <w:pStyle w:val="5"/>
        <w:pageBreakBefore w:val="0"/>
        <w:widowControl w:val="0"/>
        <w:kinsoku/>
        <w:wordWrap/>
        <w:overflowPunct/>
        <w:topLinePunct w:val="0"/>
        <w:autoSpaceDE/>
        <w:autoSpaceDN/>
        <w:bidi w:val="0"/>
        <w:spacing w:line="600" w:lineRule="exact"/>
        <w:ind w:firstLine="640"/>
        <w:rPr>
          <w:rFonts w:hAnsi="Times New Roman"/>
        </w:rPr>
      </w:pPr>
      <w:r>
        <w:rPr>
          <w:rFonts w:hint="eastAsia" w:hAnsi="Times New Roman"/>
        </w:rPr>
        <w:t>（二）矿产资源开发利用监督管理</w:t>
      </w:r>
    </w:p>
    <w:p>
      <w:pPr>
        <w:pStyle w:val="6"/>
        <w:pageBreakBefore w:val="0"/>
        <w:widowControl w:val="0"/>
        <w:kinsoku/>
        <w:wordWrap/>
        <w:overflowPunct/>
        <w:topLinePunct w:val="0"/>
        <w:autoSpaceDE/>
        <w:autoSpaceDN/>
        <w:bidi w:val="0"/>
        <w:spacing w:line="600" w:lineRule="exact"/>
        <w:ind w:firstLine="643"/>
        <w:rPr>
          <w:rFonts w:ascii="仿宋_GB2312"/>
          <w:b w:val="0"/>
          <w:bCs/>
        </w:rPr>
      </w:pPr>
      <w:r>
        <w:rPr>
          <w:rFonts w:hint="eastAsia" w:ascii="仿宋_GB2312"/>
          <w:b w:val="0"/>
          <w:bCs/>
        </w:rPr>
        <w:t>1.检查内容</w:t>
      </w:r>
    </w:p>
    <w:p>
      <w:pPr>
        <w:pageBreakBefore w:val="0"/>
        <w:widowControl w:val="0"/>
        <w:kinsoku/>
        <w:wordWrap/>
        <w:overflowPunct/>
        <w:topLinePunct w:val="0"/>
        <w:autoSpaceDE/>
        <w:autoSpaceDN/>
        <w:bidi w:val="0"/>
        <w:spacing w:line="600" w:lineRule="exact"/>
        <w:ind w:firstLine="640"/>
      </w:pPr>
      <w:r>
        <w:rPr>
          <w:rFonts w:hint="eastAsia" w:ascii="仿宋_GB2312"/>
        </w:rPr>
        <w:t>（1）</w:t>
      </w:r>
      <w:r>
        <w:rPr>
          <w:rFonts w:hint="eastAsia"/>
        </w:rPr>
        <w:t>采矿权公示基本信息检查</w:t>
      </w:r>
    </w:p>
    <w:p>
      <w:pPr>
        <w:pageBreakBefore w:val="0"/>
        <w:widowControl w:val="0"/>
        <w:kinsoku/>
        <w:wordWrap/>
        <w:overflowPunct/>
        <w:topLinePunct w:val="0"/>
        <w:autoSpaceDE/>
        <w:autoSpaceDN/>
        <w:bidi w:val="0"/>
        <w:spacing w:line="600" w:lineRule="exact"/>
        <w:ind w:firstLine="640"/>
        <w:rPr>
          <w:rFonts w:ascii="仿宋_GB2312"/>
          <w:szCs w:val="32"/>
        </w:rPr>
      </w:pPr>
      <w:bookmarkStart w:id="10" w:name="bookmark2437"/>
      <w:bookmarkEnd w:id="10"/>
      <w:r>
        <w:rPr>
          <w:rFonts w:hint="eastAsia"/>
        </w:rPr>
        <w:t>①</w:t>
      </w:r>
      <w:r>
        <w:rPr>
          <w:rFonts w:hint="eastAsia" w:ascii="仿宋_GB2312"/>
          <w:color w:val="000000"/>
          <w:szCs w:val="32"/>
        </w:rPr>
        <w:t>采矿权许可证号：与《采矿权许可证》上载明的证号是否一致。</w:t>
      </w:r>
    </w:p>
    <w:p>
      <w:pPr>
        <w:pStyle w:val="11"/>
        <w:pageBreakBefore w:val="0"/>
        <w:widowControl w:val="0"/>
        <w:tabs>
          <w:tab w:val="left" w:pos="734"/>
        </w:tabs>
        <w:kinsoku/>
        <w:wordWrap/>
        <w:overflowPunct/>
        <w:topLinePunct w:val="0"/>
        <w:autoSpaceDE/>
        <w:autoSpaceDN/>
        <w:bidi w:val="0"/>
        <w:adjustRightInd w:val="0"/>
        <w:snapToGrid w:val="0"/>
        <w:spacing w:line="600" w:lineRule="exact"/>
        <w:ind w:firstLine="640"/>
        <w:rPr>
          <w:rFonts w:ascii="仿宋_GB2312"/>
          <w:sz w:val="32"/>
          <w:szCs w:val="32"/>
        </w:rPr>
      </w:pPr>
      <w:bookmarkStart w:id="11" w:name="bookmark2438"/>
      <w:bookmarkEnd w:id="11"/>
      <w:r>
        <w:rPr>
          <w:rFonts w:hint="eastAsia" w:ascii="Times New Roman" w:hAnsi="Times New Roman" w:cs="Times New Roman"/>
          <w:sz w:val="32"/>
          <w:szCs w:val="24"/>
          <w:lang w:val="en-US" w:bidi="ar-SA"/>
        </w:rPr>
        <w:t>②</w:t>
      </w:r>
      <w:r>
        <w:rPr>
          <w:rFonts w:hint="eastAsia" w:ascii="仿宋_GB2312"/>
          <w:color w:val="000000"/>
          <w:sz w:val="32"/>
          <w:szCs w:val="32"/>
        </w:rPr>
        <w:t>采矿权人：与《采矿许可证》上载明的采矿权人名称全称是否一致。</w:t>
      </w:r>
    </w:p>
    <w:p>
      <w:pPr>
        <w:pStyle w:val="11"/>
        <w:pageBreakBefore w:val="0"/>
        <w:widowControl w:val="0"/>
        <w:tabs>
          <w:tab w:val="left" w:pos="723"/>
        </w:tabs>
        <w:kinsoku/>
        <w:wordWrap/>
        <w:overflowPunct/>
        <w:topLinePunct w:val="0"/>
        <w:autoSpaceDE/>
        <w:autoSpaceDN/>
        <w:bidi w:val="0"/>
        <w:adjustRightInd w:val="0"/>
        <w:snapToGrid w:val="0"/>
        <w:spacing w:line="600" w:lineRule="exact"/>
        <w:ind w:firstLine="640"/>
        <w:rPr>
          <w:rFonts w:ascii="仿宋_GB2312"/>
          <w:sz w:val="32"/>
          <w:szCs w:val="32"/>
        </w:rPr>
      </w:pPr>
      <w:bookmarkStart w:id="12" w:name="bookmark2439"/>
      <w:bookmarkEnd w:id="12"/>
      <w:r>
        <w:rPr>
          <w:rFonts w:hint="eastAsia" w:ascii="Times New Roman" w:hAnsi="Times New Roman" w:cs="Times New Roman"/>
          <w:sz w:val="32"/>
          <w:szCs w:val="24"/>
          <w:lang w:val="en-US" w:bidi="ar-SA"/>
        </w:rPr>
        <w:t>③组织机构代码：应为组织机构代码或统一社会信用代码，如果矿业权人为自然人</w:t>
      </w:r>
      <w:r>
        <w:rPr>
          <w:rFonts w:hint="eastAsia" w:ascii="仿宋_GB2312"/>
          <w:color w:val="000000"/>
          <w:sz w:val="32"/>
          <w:szCs w:val="32"/>
        </w:rPr>
        <w:t>，须填写营业执照编码或税务登记证编码。</w:t>
      </w:r>
    </w:p>
    <w:p>
      <w:pPr>
        <w:pStyle w:val="11"/>
        <w:pageBreakBefore w:val="0"/>
        <w:widowControl w:val="0"/>
        <w:tabs>
          <w:tab w:val="left" w:pos="739"/>
        </w:tabs>
        <w:kinsoku/>
        <w:wordWrap/>
        <w:overflowPunct/>
        <w:topLinePunct w:val="0"/>
        <w:autoSpaceDE/>
        <w:autoSpaceDN/>
        <w:bidi w:val="0"/>
        <w:adjustRightInd w:val="0"/>
        <w:snapToGrid w:val="0"/>
        <w:spacing w:line="600" w:lineRule="exact"/>
        <w:ind w:firstLine="640"/>
        <w:rPr>
          <w:rFonts w:ascii="仿宋_GB2312"/>
          <w:color w:val="000000"/>
          <w:sz w:val="32"/>
          <w:szCs w:val="32"/>
        </w:rPr>
      </w:pPr>
      <w:bookmarkStart w:id="13" w:name="bookmark2440"/>
      <w:bookmarkEnd w:id="13"/>
      <w:r>
        <w:rPr>
          <w:rFonts w:hint="eastAsia" w:ascii="Times New Roman" w:hAnsi="Times New Roman" w:cs="Times New Roman"/>
          <w:sz w:val="32"/>
          <w:szCs w:val="24"/>
          <w:lang w:val="en-US" w:bidi="ar-SA"/>
        </w:rPr>
        <w:t>④</w:t>
      </w:r>
      <w:r>
        <w:rPr>
          <w:rFonts w:hint="eastAsia" w:ascii="仿宋_GB2312"/>
          <w:color w:val="000000"/>
          <w:sz w:val="32"/>
          <w:szCs w:val="32"/>
        </w:rPr>
        <w:t>矿山名称：与《采矿许可证》上所载明的矿山名称全称是否一致。</w:t>
      </w:r>
      <w:bookmarkStart w:id="14" w:name="bookmark2445"/>
      <w:bookmarkEnd w:id="14"/>
    </w:p>
    <w:p>
      <w:pPr>
        <w:pStyle w:val="11"/>
        <w:pageBreakBefore w:val="0"/>
        <w:widowControl w:val="0"/>
        <w:tabs>
          <w:tab w:val="left" w:pos="739"/>
        </w:tabs>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Times New Roman" w:hAnsi="Times New Roman" w:cs="Times New Roman"/>
          <w:sz w:val="32"/>
          <w:szCs w:val="24"/>
          <w:lang w:val="en-US" w:bidi="ar-SA"/>
        </w:rPr>
        <w:t>⑤</w:t>
      </w:r>
      <w:r>
        <w:rPr>
          <w:rFonts w:hint="eastAsia" w:ascii="仿宋_GB2312"/>
          <w:color w:val="000000"/>
          <w:sz w:val="32"/>
          <w:szCs w:val="32"/>
        </w:rPr>
        <w:t>经济类型：与填写《采矿许可证》上载明的经济类型。（国有经济、集体经济、私营经济、个体经济、联营经济、股份制、外商投资、港澳台投资与其他经济类是否一致。）</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Times New Roman" w:hAnsi="Times New Roman" w:cs="Times New Roman"/>
          <w:sz w:val="32"/>
          <w:szCs w:val="24"/>
          <w:lang w:val="en-US" w:bidi="ar-SA"/>
        </w:rPr>
        <w:t>⑥</w:t>
      </w:r>
      <w:r>
        <w:rPr>
          <w:rFonts w:hint="eastAsia" w:ascii="仿宋_GB2312"/>
          <w:color w:val="000000"/>
          <w:sz w:val="32"/>
          <w:szCs w:val="32"/>
        </w:rPr>
        <w:t>开采矿种：与《采矿许可证》上载明的开采主矿种是否一致。</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Times New Roman" w:hAnsi="Times New Roman" w:cs="Times New Roman"/>
          <w:sz w:val="32"/>
          <w:szCs w:val="24"/>
          <w:lang w:val="en-US" w:bidi="ar-SA"/>
        </w:rPr>
        <w:t>⑦</w:t>
      </w:r>
      <w:r>
        <w:rPr>
          <w:rFonts w:hint="eastAsia" w:ascii="仿宋_GB2312"/>
          <w:color w:val="000000"/>
          <w:sz w:val="32"/>
          <w:szCs w:val="32"/>
        </w:rPr>
        <w:t>开采方式：与《采矿许可证》上载明的开采方式是否一致。</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sz w:val="32"/>
          <w:szCs w:val="32"/>
        </w:rPr>
      </w:pPr>
      <w:r>
        <w:rPr>
          <w:rFonts w:hint="eastAsia" w:ascii="Times New Roman" w:hAnsi="Times New Roman" w:cs="Times New Roman"/>
          <w:sz w:val="32"/>
          <w:szCs w:val="24"/>
          <w:lang w:val="en-US" w:bidi="ar-SA"/>
        </w:rPr>
        <w:t>⑧</w:t>
      </w:r>
      <w:r>
        <w:rPr>
          <w:rFonts w:hint="eastAsia" w:ascii="仿宋_GB2312"/>
          <w:sz w:val="32"/>
          <w:szCs w:val="32"/>
        </w:rPr>
        <w:t>生产规模：与《采矿许可证》上载明的生产规模是否一致。</w:t>
      </w:r>
    </w:p>
    <w:p>
      <w:pPr>
        <w:pStyle w:val="11"/>
        <w:pageBreakBefore w:val="0"/>
        <w:widowControl w:val="0"/>
        <w:kinsoku/>
        <w:wordWrap/>
        <w:overflowPunct/>
        <w:topLinePunct w:val="0"/>
        <w:autoSpaceDE/>
        <w:autoSpaceDN/>
        <w:bidi w:val="0"/>
        <w:adjustRightInd w:val="0"/>
        <w:snapToGrid w:val="0"/>
        <w:spacing w:line="600" w:lineRule="exact"/>
        <w:ind w:firstLine="640"/>
        <w:rPr>
          <w:rFonts w:ascii="Times New Roman" w:hAnsi="Times New Roman" w:cs="Times New Roman"/>
          <w:sz w:val="32"/>
          <w:szCs w:val="24"/>
          <w:lang w:val="en-US" w:bidi="ar-SA"/>
        </w:rPr>
      </w:pPr>
      <w:r>
        <w:rPr>
          <w:rFonts w:hint="eastAsia" w:ascii="Times New Roman" w:hAnsi="Times New Roman" w:cs="Times New Roman"/>
          <w:sz w:val="32"/>
          <w:szCs w:val="24"/>
          <w:lang w:val="en-US" w:bidi="ar-SA"/>
        </w:rPr>
        <w:t>⑨矿区面积：与《采矿许可证》上载明的矿区面积是否一致。</w:t>
      </w:r>
    </w:p>
    <w:p>
      <w:pPr>
        <w:pStyle w:val="11"/>
        <w:pageBreakBefore w:val="0"/>
        <w:widowControl w:val="0"/>
        <w:tabs>
          <w:tab w:val="left" w:pos="803"/>
        </w:tabs>
        <w:kinsoku/>
        <w:wordWrap/>
        <w:overflowPunct/>
        <w:topLinePunct w:val="0"/>
        <w:autoSpaceDE/>
        <w:autoSpaceDN/>
        <w:bidi w:val="0"/>
        <w:adjustRightInd w:val="0"/>
        <w:snapToGrid w:val="0"/>
        <w:spacing w:line="600" w:lineRule="exact"/>
        <w:ind w:firstLine="640"/>
        <w:rPr>
          <w:rFonts w:ascii="仿宋_GB2312"/>
          <w:sz w:val="32"/>
          <w:szCs w:val="32"/>
        </w:rPr>
      </w:pPr>
      <w:bookmarkStart w:id="15" w:name="bookmark2446"/>
      <w:bookmarkEnd w:id="15"/>
      <w:r>
        <w:rPr>
          <w:rFonts w:hint="eastAsia" w:ascii="Times New Roman" w:hAnsi="Times New Roman" w:cs="Times New Roman"/>
          <w:sz w:val="32"/>
          <w:szCs w:val="24"/>
          <w:lang w:val="en-US" w:bidi="ar-SA"/>
        </w:rPr>
        <w:t>⑩</w:t>
      </w:r>
      <w:r>
        <w:rPr>
          <w:rFonts w:hint="eastAsia" w:ascii="仿宋_GB2312"/>
          <w:color w:val="000000"/>
          <w:sz w:val="32"/>
          <w:szCs w:val="32"/>
        </w:rPr>
        <w:t>有效期限：与《采矿许可证》上载明的有效期限是否一致；《采矿许可证》是否过期。</w:t>
      </w:r>
    </w:p>
    <w:p>
      <w:pPr>
        <w:pStyle w:val="11"/>
        <w:pageBreakBefore w:val="0"/>
        <w:widowControl w:val="0"/>
        <w:tabs>
          <w:tab w:val="left" w:pos="803"/>
        </w:tabs>
        <w:kinsoku/>
        <w:wordWrap/>
        <w:overflowPunct/>
        <w:topLinePunct w:val="0"/>
        <w:autoSpaceDE/>
        <w:autoSpaceDN/>
        <w:bidi w:val="0"/>
        <w:adjustRightInd w:val="0"/>
        <w:snapToGrid w:val="0"/>
        <w:spacing w:line="600" w:lineRule="exact"/>
        <w:ind w:firstLine="638" w:firstLineChars="228"/>
        <w:rPr>
          <w:rFonts w:ascii="仿宋_GB2312"/>
          <w:sz w:val="32"/>
          <w:szCs w:val="32"/>
          <w:highlight w:val="none"/>
        </w:rPr>
      </w:pPr>
      <w:bookmarkStart w:id="16" w:name="bookmark2447"/>
      <w:bookmarkEnd w:id="16"/>
      <w:r>
        <w:rPr>
          <w:rFonts w:hint="eastAsia" w:ascii="仿宋_GB2312" w:hAnsi="仿宋_GB2312" w:cs="仿宋_GB2312"/>
          <w:sz w:val="28"/>
          <w:szCs w:val="28"/>
          <w:highlight w:val="none"/>
          <w:lang w:val="en-US"/>
        </w:rPr>
        <w:t>⑪</w:t>
      </w:r>
      <w:r>
        <w:rPr>
          <w:rFonts w:hint="eastAsia" w:ascii="仿宋_GB2312"/>
          <w:color w:val="000000"/>
          <w:sz w:val="32"/>
          <w:szCs w:val="32"/>
          <w:highlight w:val="none"/>
        </w:rPr>
        <w:t>发证机关：与颁发《采矿许可证》的自然资源主管部门名称是否一致。</w:t>
      </w:r>
    </w:p>
    <w:p>
      <w:pPr>
        <w:pStyle w:val="11"/>
        <w:pageBreakBefore w:val="0"/>
        <w:widowControl w:val="0"/>
        <w:tabs>
          <w:tab w:val="left" w:pos="803"/>
        </w:tabs>
        <w:kinsoku/>
        <w:wordWrap/>
        <w:overflowPunct/>
        <w:topLinePunct w:val="0"/>
        <w:autoSpaceDE/>
        <w:autoSpaceDN/>
        <w:bidi w:val="0"/>
        <w:adjustRightInd w:val="0"/>
        <w:snapToGrid w:val="0"/>
        <w:spacing w:line="600" w:lineRule="exact"/>
        <w:ind w:firstLine="638" w:firstLineChars="228"/>
        <w:rPr>
          <w:rFonts w:ascii="仿宋_GB2312"/>
          <w:sz w:val="32"/>
          <w:szCs w:val="32"/>
          <w:highlight w:val="none"/>
        </w:rPr>
      </w:pPr>
      <w:bookmarkStart w:id="17" w:name="bookmark2448"/>
      <w:bookmarkEnd w:id="17"/>
      <w:r>
        <w:rPr>
          <w:rFonts w:hint="eastAsia" w:ascii="仿宋_GB2312"/>
          <w:color w:val="000000"/>
          <w:sz w:val="28"/>
          <w:szCs w:val="28"/>
          <w:highlight w:val="none"/>
        </w:rPr>
        <w:t>⑫</w:t>
      </w:r>
      <w:r>
        <w:rPr>
          <w:rFonts w:hint="eastAsia" w:ascii="仿宋_GB2312"/>
          <w:color w:val="000000"/>
          <w:sz w:val="32"/>
          <w:szCs w:val="32"/>
          <w:highlight w:val="none"/>
        </w:rPr>
        <w:t>发证时间：与《采矿许可证》上的发证日期是否一致。</w:t>
      </w:r>
    </w:p>
    <w:p>
      <w:pPr>
        <w:pStyle w:val="11"/>
        <w:pageBreakBefore w:val="0"/>
        <w:widowControl w:val="0"/>
        <w:tabs>
          <w:tab w:val="left" w:pos="803"/>
        </w:tabs>
        <w:kinsoku/>
        <w:wordWrap/>
        <w:overflowPunct/>
        <w:topLinePunct w:val="0"/>
        <w:autoSpaceDE/>
        <w:autoSpaceDN/>
        <w:bidi w:val="0"/>
        <w:adjustRightInd w:val="0"/>
        <w:snapToGrid w:val="0"/>
        <w:spacing w:line="600" w:lineRule="exact"/>
        <w:ind w:firstLine="638" w:firstLineChars="228"/>
        <w:rPr>
          <w:rFonts w:ascii="仿宋_GB2312"/>
          <w:sz w:val="32"/>
          <w:szCs w:val="32"/>
          <w:highlight w:val="none"/>
        </w:rPr>
      </w:pPr>
      <w:bookmarkStart w:id="18" w:name="bookmark2449"/>
      <w:bookmarkEnd w:id="18"/>
      <w:r>
        <w:rPr>
          <w:rFonts w:hint="eastAsia" w:ascii="仿宋_GB2312"/>
          <w:color w:val="000000"/>
          <w:sz w:val="28"/>
          <w:szCs w:val="28"/>
          <w:highlight w:val="none"/>
        </w:rPr>
        <w:t>⑬</w:t>
      </w:r>
      <w:r>
        <w:rPr>
          <w:rFonts w:hint="eastAsia" w:ascii="仿宋_GB2312"/>
          <w:color w:val="000000"/>
          <w:sz w:val="32"/>
          <w:szCs w:val="32"/>
          <w:highlight w:val="none"/>
        </w:rPr>
        <w:t>开采深度：与《采矿许可证》上的开采深度是否一致。</w:t>
      </w:r>
    </w:p>
    <w:p>
      <w:pPr>
        <w:pStyle w:val="11"/>
        <w:pageBreakBefore w:val="0"/>
        <w:widowControl w:val="0"/>
        <w:tabs>
          <w:tab w:val="left" w:pos="803"/>
        </w:tabs>
        <w:kinsoku/>
        <w:wordWrap/>
        <w:overflowPunct/>
        <w:topLinePunct w:val="0"/>
        <w:autoSpaceDE/>
        <w:autoSpaceDN/>
        <w:bidi w:val="0"/>
        <w:adjustRightInd w:val="0"/>
        <w:snapToGrid w:val="0"/>
        <w:spacing w:line="600" w:lineRule="exact"/>
        <w:ind w:firstLine="638" w:firstLineChars="228"/>
        <w:rPr>
          <w:rFonts w:ascii="仿宋_GB2312"/>
          <w:sz w:val="32"/>
          <w:szCs w:val="32"/>
        </w:rPr>
      </w:pPr>
      <w:bookmarkStart w:id="19" w:name="bookmark2450"/>
      <w:bookmarkEnd w:id="19"/>
      <w:r>
        <w:rPr>
          <w:rFonts w:hint="eastAsia" w:ascii="仿宋_GB2312"/>
          <w:color w:val="000000"/>
          <w:sz w:val="28"/>
          <w:szCs w:val="28"/>
          <w:highlight w:val="none"/>
        </w:rPr>
        <w:t>⑭</w:t>
      </w:r>
      <w:r>
        <w:rPr>
          <w:rFonts w:hint="eastAsia" w:ascii="仿宋_GB2312"/>
          <w:color w:val="000000"/>
          <w:sz w:val="32"/>
          <w:szCs w:val="32"/>
          <w:highlight w:val="none"/>
        </w:rPr>
        <w:t>拐点</w:t>
      </w:r>
      <w:r>
        <w:rPr>
          <w:rFonts w:hint="eastAsia" w:ascii="仿宋_GB2312"/>
          <w:color w:val="000000"/>
          <w:sz w:val="32"/>
          <w:szCs w:val="32"/>
        </w:rPr>
        <w:t>坐标：与登记管理机关确定的矿区范围的拐点坐标是否一致。</w:t>
      </w:r>
    </w:p>
    <w:p>
      <w:pPr>
        <w:pStyle w:val="11"/>
        <w:pageBreakBefore w:val="0"/>
        <w:widowControl w:val="0"/>
        <w:tabs>
          <w:tab w:val="left" w:pos="954"/>
        </w:tabs>
        <w:kinsoku/>
        <w:wordWrap/>
        <w:overflowPunct/>
        <w:topLinePunct w:val="0"/>
        <w:autoSpaceDE/>
        <w:autoSpaceDN/>
        <w:bidi w:val="0"/>
        <w:adjustRightInd w:val="0"/>
        <w:snapToGrid w:val="0"/>
        <w:spacing w:line="600" w:lineRule="exact"/>
        <w:ind w:firstLine="640"/>
        <w:rPr>
          <w:rFonts w:ascii="楷体_GB2312" w:eastAsia="楷体_GB2312"/>
          <w:color w:val="000000"/>
          <w:sz w:val="32"/>
          <w:szCs w:val="32"/>
        </w:rPr>
      </w:pPr>
      <w:r>
        <w:rPr>
          <w:rFonts w:hint="eastAsia" w:ascii="仿宋_GB2312" w:hAnsi="Times New Roman" w:cs="Times New Roman"/>
          <w:sz w:val="32"/>
          <w:szCs w:val="24"/>
          <w:lang w:val="en-US" w:bidi="ar-SA"/>
        </w:rPr>
        <w:t>（2）</w:t>
      </w:r>
      <w:r>
        <w:rPr>
          <w:rFonts w:hint="eastAsia" w:ascii="楷体_GB2312" w:eastAsia="楷体_GB2312"/>
          <w:color w:val="000000"/>
          <w:sz w:val="32"/>
          <w:szCs w:val="32"/>
        </w:rPr>
        <w:t>采矿权公示履行义务信息核查</w:t>
      </w:r>
      <w:bookmarkStart w:id="20" w:name="_Toc64533269"/>
    </w:p>
    <w:p>
      <w:pPr>
        <w:pStyle w:val="11"/>
        <w:pageBreakBefore w:val="0"/>
        <w:widowControl w:val="0"/>
        <w:kinsoku/>
        <w:wordWrap/>
        <w:overflowPunct/>
        <w:topLinePunct w:val="0"/>
        <w:autoSpaceDE/>
        <w:autoSpaceDN/>
        <w:bidi w:val="0"/>
        <w:adjustRightInd w:val="0"/>
        <w:snapToGrid w:val="0"/>
        <w:spacing w:line="600" w:lineRule="exact"/>
        <w:ind w:firstLine="640"/>
        <w:rPr>
          <w:rStyle w:val="12"/>
          <w:b w:val="0"/>
          <w:bCs w:val="0"/>
          <w:sz w:val="32"/>
          <w:szCs w:val="32"/>
        </w:rPr>
      </w:pPr>
      <w:r>
        <w:rPr>
          <w:rFonts w:hint="eastAsia" w:ascii="仿宋_GB2312" w:hAnsi="仿宋"/>
          <w:sz w:val="32"/>
          <w:szCs w:val="32"/>
          <w:lang w:val="en-US"/>
        </w:rPr>
        <w:t>①</w:t>
      </w:r>
      <w:r>
        <w:rPr>
          <w:rStyle w:val="12"/>
          <w:rFonts w:hint="eastAsia" w:hAnsi="仿宋"/>
          <w:b w:val="0"/>
          <w:bCs w:val="0"/>
          <w:sz w:val="32"/>
          <w:szCs w:val="32"/>
        </w:rPr>
        <w:t>开发利用方案编制与执行情况</w:t>
      </w:r>
      <w:bookmarkEnd w:id="20"/>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1）查阅开发利用方案编制、调整情况。查阅是否采用了国家禁止使用的开采方法（开发方式）和选矿工艺。</w:t>
      </w:r>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2）属于开采总量控制矿种的，查阅生产台账和储量年报，通过与允许开采总量对比，核查是否与信息公示填报内容存在明显差异。</w:t>
      </w:r>
      <w:bookmarkStart w:id="21" w:name="_Toc64533270"/>
    </w:p>
    <w:p>
      <w:pPr>
        <w:pageBreakBefore w:val="0"/>
        <w:widowControl w:val="0"/>
        <w:kinsoku/>
        <w:wordWrap/>
        <w:overflowPunct/>
        <w:topLinePunct w:val="0"/>
        <w:autoSpaceDE/>
        <w:autoSpaceDN/>
        <w:bidi w:val="0"/>
        <w:spacing w:line="600" w:lineRule="exact"/>
        <w:ind w:firstLine="640"/>
        <w:rPr>
          <w:rStyle w:val="12"/>
          <w:rFonts w:hAnsi="仿宋"/>
          <w:b w:val="0"/>
          <w:bCs w:val="0"/>
          <w:sz w:val="32"/>
          <w:szCs w:val="32"/>
        </w:rPr>
      </w:pPr>
      <w:r>
        <w:rPr>
          <w:rFonts w:hint="eastAsia" w:ascii="仿宋_GB2312" w:hAnsi="仿宋_GB2312" w:cs="仿宋_GB2312"/>
          <w:szCs w:val="32"/>
        </w:rPr>
        <w:t>②</w:t>
      </w:r>
      <w:r>
        <w:rPr>
          <w:rStyle w:val="12"/>
          <w:rFonts w:hint="eastAsia" w:hAnsi="仿宋_GB2312" w:cs="仿宋_GB2312"/>
          <w:b w:val="0"/>
          <w:bCs w:val="0"/>
          <w:sz w:val="32"/>
          <w:szCs w:val="32"/>
        </w:rPr>
        <w:t>标识制度落实情况</w:t>
      </w:r>
      <w:bookmarkEnd w:id="21"/>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进行现场实地调查，核查采矿权标识牌设置情况，露天矿山现场随机抽查至少2根界桩。</w:t>
      </w:r>
      <w:bookmarkStart w:id="22" w:name="_Toc64533271"/>
    </w:p>
    <w:p>
      <w:pPr>
        <w:pStyle w:val="11"/>
        <w:pageBreakBefore w:val="0"/>
        <w:widowControl w:val="0"/>
        <w:kinsoku/>
        <w:wordWrap/>
        <w:overflowPunct/>
        <w:topLinePunct w:val="0"/>
        <w:autoSpaceDE/>
        <w:autoSpaceDN/>
        <w:bidi w:val="0"/>
        <w:adjustRightInd w:val="0"/>
        <w:snapToGrid w:val="0"/>
        <w:spacing w:line="600" w:lineRule="exact"/>
        <w:ind w:firstLine="640"/>
        <w:rPr>
          <w:rStyle w:val="12"/>
          <w:rFonts w:hAnsi="仿宋_GB2312" w:cs="仿宋_GB2312"/>
          <w:b w:val="0"/>
          <w:bCs w:val="0"/>
          <w:sz w:val="32"/>
          <w:szCs w:val="32"/>
        </w:rPr>
      </w:pPr>
      <w:r>
        <w:rPr>
          <w:rStyle w:val="12"/>
          <w:rFonts w:hint="eastAsia" w:hAnsi="仿宋_GB2312" w:cs="仿宋_GB2312"/>
          <w:b w:val="0"/>
          <w:bCs w:val="0"/>
          <w:sz w:val="32"/>
          <w:szCs w:val="32"/>
        </w:rPr>
        <w:t>③资源合理利用情况</w:t>
      </w:r>
      <w:bookmarkEnd w:id="22"/>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1）开采指标</w:t>
      </w:r>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通过查阅生产台账、储量年报、销售记录等资料，核查采矿方法（开发方式）、剩余服务年限、年开采资源储量（年动用地质储量）、年损失资源储量、年采出矿石量（年采出油气量）、应达到最低开采（采区）回采率（采收率）、设计开采（采区）回采率（采收率）、实际开采（采区）回采率（采收率）等指标是否与信息公示填报内容一致。</w:t>
      </w:r>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2）综合利用指标</w:t>
      </w:r>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通过查阅资料、现场调查，核查共伴生矿产及尾矿、废石综合利用情况是否与信息公示填报内容一致，现场核查综合利用相关设备运行情况。</w:t>
      </w:r>
      <w:bookmarkStart w:id="23" w:name="_Toc64533272"/>
      <w:bookmarkStart w:id="24" w:name="_Toc58334731"/>
    </w:p>
    <w:p>
      <w:pPr>
        <w:pageBreakBefore w:val="0"/>
        <w:widowControl w:val="0"/>
        <w:kinsoku/>
        <w:wordWrap/>
        <w:overflowPunct/>
        <w:topLinePunct w:val="0"/>
        <w:autoSpaceDE/>
        <w:autoSpaceDN/>
        <w:bidi w:val="0"/>
        <w:spacing w:line="600" w:lineRule="exact"/>
        <w:ind w:firstLine="640"/>
        <w:rPr>
          <w:rStyle w:val="12"/>
          <w:rFonts w:hAnsi="仿宋"/>
          <w:b w:val="0"/>
          <w:bCs w:val="0"/>
          <w:sz w:val="32"/>
          <w:szCs w:val="32"/>
        </w:rPr>
      </w:pPr>
      <w:r>
        <w:rPr>
          <w:rFonts w:hint="eastAsia" w:ascii="仿宋_GB2312" w:hAnsi="仿宋"/>
          <w:szCs w:val="32"/>
        </w:rPr>
        <w:t>3）</w:t>
      </w:r>
      <w:r>
        <w:rPr>
          <w:rStyle w:val="12"/>
          <w:rFonts w:hint="eastAsia" w:hAnsi="仿宋"/>
          <w:b w:val="0"/>
          <w:bCs w:val="0"/>
          <w:sz w:val="32"/>
          <w:szCs w:val="32"/>
        </w:rPr>
        <w:t>批准范围内开采情况</w:t>
      </w:r>
      <w:bookmarkEnd w:id="23"/>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查阅井下井上工程对照图、矿山储量年报等资料，抽查采矿工程（井、巷、硐等）最远控制点地面投影的位置信息，或利用矿山生产安全系统中的人员历史活动轨迹投影到地面的位置信息，至少查阅2个位置信息，并与批准的采矿范围比对，对于明显超越批准范围开采的情况及时查证，并客观记录。</w:t>
      </w:r>
      <w:bookmarkEnd w:id="24"/>
      <w:bookmarkStart w:id="25" w:name="_Toc64533273"/>
    </w:p>
    <w:p>
      <w:pPr>
        <w:pageBreakBefore w:val="0"/>
        <w:widowControl w:val="0"/>
        <w:kinsoku/>
        <w:wordWrap/>
        <w:overflowPunct/>
        <w:topLinePunct w:val="0"/>
        <w:autoSpaceDE/>
        <w:autoSpaceDN/>
        <w:bidi w:val="0"/>
        <w:spacing w:line="600" w:lineRule="exact"/>
        <w:ind w:firstLine="640"/>
        <w:rPr>
          <w:rStyle w:val="12"/>
          <w:rFonts w:hAnsi="仿宋"/>
          <w:b w:val="0"/>
          <w:bCs w:val="0"/>
          <w:sz w:val="32"/>
          <w:szCs w:val="32"/>
        </w:rPr>
      </w:pPr>
      <w:r>
        <w:rPr>
          <w:rFonts w:hint="eastAsia" w:ascii="仿宋_GB2312" w:hAnsi="仿宋"/>
          <w:szCs w:val="32"/>
        </w:rPr>
        <w:t>5）</w:t>
      </w:r>
      <w:r>
        <w:rPr>
          <w:rStyle w:val="12"/>
          <w:rFonts w:hint="eastAsia" w:hAnsi="仿宋"/>
          <w:b w:val="0"/>
          <w:bCs w:val="0"/>
          <w:sz w:val="32"/>
          <w:szCs w:val="32"/>
        </w:rPr>
        <w:t>矿山储量年度管理制度落实情况</w:t>
      </w:r>
      <w:bookmarkEnd w:id="25"/>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查阅矿山资源</w:t>
      </w:r>
      <w:r>
        <w:rPr>
          <w:rFonts w:hint="eastAsia" w:ascii="仿宋_GB2312" w:cs="Calibri"/>
          <w:szCs w:val="32"/>
        </w:rPr>
        <w:t>储量台账及生产设计图件等有关资料，核查年度矿山动用资源储量估算表和资源储量平衡表编制情况；动用的资源储量是否</w:t>
      </w:r>
      <w:r>
        <w:rPr>
          <w:rFonts w:hint="eastAsia" w:ascii="仿宋_GB2312" w:cs="Calibri"/>
          <w:szCs w:val="32"/>
          <w:highlight w:val="none"/>
        </w:rPr>
        <w:t>估算了证实或可信储量类型</w:t>
      </w:r>
      <w:r>
        <w:rPr>
          <w:rFonts w:hint="eastAsia" w:ascii="仿宋_GB2312" w:cs="Calibri"/>
          <w:szCs w:val="32"/>
        </w:rPr>
        <w:t>；是否按要求编制矿山储量年度报告，内容是否完整，是否按期在公示系统提交，</w:t>
      </w:r>
      <w:r>
        <w:rPr>
          <w:rFonts w:hint="eastAsia" w:ascii="仿宋_GB2312" w:hAnsi="仿宋"/>
          <w:szCs w:val="32"/>
        </w:rPr>
        <w:t>矿山资源储量年度变化表与矿山储量年报是否一致。</w:t>
      </w:r>
      <w:bookmarkStart w:id="26" w:name="_Toc64533274"/>
    </w:p>
    <w:p>
      <w:pPr>
        <w:pStyle w:val="11"/>
        <w:pageBreakBefore w:val="0"/>
        <w:widowControl w:val="0"/>
        <w:kinsoku/>
        <w:wordWrap/>
        <w:overflowPunct/>
        <w:topLinePunct w:val="0"/>
        <w:autoSpaceDE/>
        <w:autoSpaceDN/>
        <w:bidi w:val="0"/>
        <w:adjustRightInd w:val="0"/>
        <w:snapToGrid w:val="0"/>
        <w:spacing w:line="600" w:lineRule="exact"/>
        <w:ind w:firstLine="640"/>
        <w:rPr>
          <w:rStyle w:val="12"/>
          <w:rFonts w:hAnsi="仿宋"/>
          <w:b w:val="0"/>
          <w:bCs w:val="0"/>
          <w:sz w:val="32"/>
          <w:szCs w:val="32"/>
        </w:rPr>
      </w:pPr>
      <w:r>
        <w:rPr>
          <w:rStyle w:val="12"/>
          <w:rFonts w:hint="eastAsia"/>
          <w:b w:val="0"/>
          <w:bCs w:val="0"/>
          <w:sz w:val="32"/>
          <w:szCs w:val="32"/>
        </w:rPr>
        <w:t>6）矿山</w:t>
      </w:r>
      <w:r>
        <w:rPr>
          <w:rStyle w:val="12"/>
          <w:rFonts w:hint="eastAsia" w:hAnsi="仿宋"/>
          <w:b w:val="0"/>
          <w:bCs w:val="0"/>
          <w:sz w:val="32"/>
          <w:szCs w:val="32"/>
        </w:rPr>
        <w:t>地质环境保护与土地复垦情况</w:t>
      </w:r>
      <w:bookmarkEnd w:id="26"/>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查阅矿山地质环境治理恢复和土地复垦年度工作计划和验收意见，实地核查生产现场及环境恢复状况。</w:t>
      </w:r>
      <w:bookmarkStart w:id="27" w:name="_Toc64533275"/>
      <w:bookmarkStart w:id="28" w:name="_Hlk58401739"/>
    </w:p>
    <w:p>
      <w:pPr>
        <w:pageBreakBefore w:val="0"/>
        <w:widowControl w:val="0"/>
        <w:kinsoku/>
        <w:wordWrap/>
        <w:overflowPunct/>
        <w:topLinePunct w:val="0"/>
        <w:autoSpaceDE/>
        <w:autoSpaceDN/>
        <w:bidi w:val="0"/>
        <w:spacing w:line="600" w:lineRule="exact"/>
        <w:ind w:firstLine="640"/>
        <w:rPr>
          <w:rStyle w:val="12"/>
          <w:rFonts w:hAnsi="仿宋"/>
          <w:b w:val="0"/>
          <w:bCs w:val="0"/>
          <w:sz w:val="32"/>
          <w:szCs w:val="32"/>
        </w:rPr>
      </w:pPr>
      <w:r>
        <w:rPr>
          <w:rStyle w:val="12"/>
          <w:rFonts w:hint="eastAsia" w:hAnsi="仿宋"/>
          <w:b w:val="0"/>
          <w:bCs w:val="0"/>
          <w:sz w:val="32"/>
          <w:szCs w:val="32"/>
        </w:rPr>
        <w:t>7）费金缴纳情况</w:t>
      </w:r>
      <w:bookmarkEnd w:id="27"/>
    </w:p>
    <w:p>
      <w:pPr>
        <w:pageBreakBefore w:val="0"/>
        <w:widowControl w:val="0"/>
        <w:kinsoku/>
        <w:wordWrap/>
        <w:overflowPunct/>
        <w:topLinePunct w:val="0"/>
        <w:autoSpaceDE/>
        <w:autoSpaceDN/>
        <w:bidi w:val="0"/>
        <w:spacing w:line="600" w:lineRule="exact"/>
        <w:ind w:firstLine="640"/>
        <w:rPr>
          <w:rStyle w:val="12"/>
          <w:rFonts w:hAnsi="仿宋"/>
          <w:b w:val="0"/>
          <w:bCs w:val="0"/>
          <w:sz w:val="32"/>
          <w:szCs w:val="32"/>
        </w:rPr>
      </w:pPr>
      <w:r>
        <w:rPr>
          <w:rFonts w:hint="eastAsia" w:ascii="仿宋_GB2312" w:hAnsi="仿宋"/>
          <w:szCs w:val="32"/>
        </w:rPr>
        <w:t>查阅采矿权使用费缴纳凭证单据等材料，比对是否与信息公示填报金额一致。</w:t>
      </w:r>
    </w:p>
    <w:bookmarkEnd w:id="28"/>
    <w:p>
      <w:pPr>
        <w:pageBreakBefore w:val="0"/>
        <w:widowControl w:val="0"/>
        <w:kinsoku/>
        <w:wordWrap/>
        <w:overflowPunct/>
        <w:topLinePunct w:val="0"/>
        <w:autoSpaceDE/>
        <w:autoSpaceDN/>
        <w:bidi w:val="0"/>
        <w:spacing w:line="600" w:lineRule="exact"/>
        <w:ind w:firstLine="640"/>
        <w:rPr>
          <w:rStyle w:val="12"/>
          <w:rFonts w:hAnsi="仿宋"/>
          <w:b w:val="0"/>
          <w:bCs w:val="0"/>
          <w:sz w:val="32"/>
          <w:szCs w:val="32"/>
        </w:rPr>
      </w:pPr>
      <w:bookmarkStart w:id="29" w:name="_Toc64533276"/>
      <w:r>
        <w:rPr>
          <w:rStyle w:val="12"/>
          <w:rFonts w:hint="eastAsia" w:hAnsi="仿宋"/>
          <w:b w:val="0"/>
          <w:bCs w:val="0"/>
          <w:sz w:val="32"/>
          <w:szCs w:val="32"/>
        </w:rPr>
        <w:t>8）自然资源主管部门行政处罚和整改</w:t>
      </w:r>
      <w:bookmarkEnd w:id="29"/>
      <w:r>
        <w:rPr>
          <w:rStyle w:val="12"/>
          <w:rFonts w:hint="eastAsia" w:hAnsi="仿宋"/>
          <w:b w:val="0"/>
          <w:bCs w:val="0"/>
          <w:sz w:val="32"/>
          <w:szCs w:val="32"/>
        </w:rPr>
        <w:t>情况</w:t>
      </w:r>
    </w:p>
    <w:p>
      <w:pPr>
        <w:pageBreakBefore w:val="0"/>
        <w:widowControl w:val="0"/>
        <w:kinsoku/>
        <w:wordWrap/>
        <w:overflowPunct/>
        <w:topLinePunct w:val="0"/>
        <w:autoSpaceDE/>
        <w:autoSpaceDN/>
        <w:bidi w:val="0"/>
        <w:spacing w:line="600" w:lineRule="exact"/>
        <w:ind w:firstLine="640"/>
        <w:rPr>
          <w:rFonts w:ascii="仿宋_GB2312" w:hAnsi="仿宋"/>
          <w:szCs w:val="32"/>
        </w:rPr>
      </w:pPr>
      <w:r>
        <w:rPr>
          <w:rFonts w:hint="eastAsia" w:ascii="仿宋_GB2312" w:hAnsi="仿宋"/>
          <w:szCs w:val="32"/>
        </w:rPr>
        <w:t>检查受到</w:t>
      </w:r>
      <w:r>
        <w:rPr>
          <w:rStyle w:val="12"/>
          <w:rFonts w:hint="eastAsia" w:hAnsi="仿宋"/>
          <w:b w:val="0"/>
          <w:bCs w:val="0"/>
          <w:sz w:val="32"/>
          <w:szCs w:val="32"/>
        </w:rPr>
        <w:t>自然资源主管部门</w:t>
      </w:r>
      <w:r>
        <w:rPr>
          <w:rFonts w:hint="eastAsia" w:ascii="仿宋_GB2312" w:hAnsi="仿宋"/>
          <w:szCs w:val="32"/>
        </w:rPr>
        <w:t>行政处罚及整改情况，是否与信息公示填报内容一致。</w:t>
      </w:r>
    </w:p>
    <w:p>
      <w:pPr>
        <w:pStyle w:val="6"/>
        <w:pageBreakBefore w:val="0"/>
        <w:widowControl w:val="0"/>
        <w:kinsoku/>
        <w:wordWrap/>
        <w:overflowPunct/>
        <w:topLinePunct w:val="0"/>
        <w:autoSpaceDE/>
        <w:autoSpaceDN/>
        <w:bidi w:val="0"/>
        <w:spacing w:line="600" w:lineRule="exact"/>
        <w:ind w:firstLine="643"/>
        <w:rPr>
          <w:rFonts w:ascii="仿宋_GB2312"/>
          <w:b w:val="0"/>
          <w:bCs/>
        </w:rPr>
      </w:pPr>
      <w:r>
        <w:rPr>
          <w:rFonts w:hint="eastAsia" w:ascii="仿宋_GB2312"/>
          <w:b w:val="0"/>
          <w:bCs/>
        </w:rPr>
        <w:t>2.检查方法</w:t>
      </w:r>
    </w:p>
    <w:p>
      <w:pPr>
        <w:pageBreakBefore w:val="0"/>
        <w:widowControl w:val="0"/>
        <w:kinsoku/>
        <w:wordWrap/>
        <w:overflowPunct/>
        <w:topLinePunct w:val="0"/>
        <w:autoSpaceDE/>
        <w:autoSpaceDN/>
        <w:bidi w:val="0"/>
        <w:spacing w:line="600" w:lineRule="exact"/>
        <w:ind w:firstLine="640"/>
      </w:pPr>
      <w:r>
        <w:rPr>
          <w:rFonts w:hint="eastAsia"/>
        </w:rPr>
        <w:t>核查组对采矿权人提供的资料以及采矿权人权人的作业现场，可进行采矿权人自查、资料查阅、凭证比对、调查询问、现场核查等核查工作，如实记录核查情况。</w:t>
      </w:r>
    </w:p>
    <w:p>
      <w:pPr>
        <w:pageBreakBefore w:val="0"/>
        <w:widowControl w:val="0"/>
        <w:kinsoku/>
        <w:wordWrap/>
        <w:overflowPunct/>
        <w:topLinePunct w:val="0"/>
        <w:autoSpaceDE/>
        <w:autoSpaceDN/>
        <w:bidi w:val="0"/>
        <w:spacing w:line="600" w:lineRule="exact"/>
        <w:ind w:firstLine="640"/>
      </w:pPr>
      <w:r>
        <w:rPr>
          <w:rFonts w:hint="eastAsia" w:ascii="仿宋_GB2312"/>
        </w:rPr>
        <w:t>（1）</w:t>
      </w:r>
      <w:r>
        <w:rPr>
          <w:rFonts w:hint="eastAsia"/>
        </w:rPr>
        <w:t>采矿权人自查。采矿权人对照公示信息、核查技术要求和自然资源主管部门实地核查通知要求进行自查，自查内容包</w:t>
      </w:r>
      <w:r>
        <w:rPr>
          <w:rFonts w:hint="eastAsia"/>
          <w:highlight w:val="none"/>
        </w:rPr>
        <w:t>括</w:t>
      </w:r>
      <w:r>
        <w:rPr>
          <w:rFonts w:hint="eastAsia"/>
          <w:highlight w:val="none"/>
          <w:lang w:eastAsia="zh-CN"/>
        </w:rPr>
        <w:t>：</w:t>
      </w:r>
      <w:r>
        <w:rPr>
          <w:rFonts w:hint="eastAsia"/>
          <w:highlight w:val="none"/>
        </w:rPr>
        <w:t>核查</w:t>
      </w:r>
      <w:r>
        <w:rPr>
          <w:rFonts w:hint="eastAsia"/>
        </w:rPr>
        <w:t>项目的基本情况、公示信息自查情况、履行法定义务、矿产资源合理开发利用信息、矿产资源储量年度变化情况、矿山生态修复履行义务信息和自然资源主管部门要求报告的其他事项等情况。</w:t>
      </w:r>
    </w:p>
    <w:p>
      <w:pPr>
        <w:pageBreakBefore w:val="0"/>
        <w:widowControl w:val="0"/>
        <w:kinsoku/>
        <w:wordWrap/>
        <w:overflowPunct/>
        <w:topLinePunct w:val="0"/>
        <w:autoSpaceDE/>
        <w:autoSpaceDN/>
        <w:bidi w:val="0"/>
        <w:spacing w:line="600" w:lineRule="exact"/>
        <w:ind w:firstLine="640"/>
      </w:pPr>
      <w:r>
        <w:rPr>
          <w:rFonts w:hint="eastAsia" w:ascii="仿宋_GB2312"/>
        </w:rPr>
        <w:t>（2）</w:t>
      </w:r>
      <w:r>
        <w:rPr>
          <w:rFonts w:hint="eastAsia"/>
        </w:rPr>
        <w:t>资料查阅。核查组比对采矿权人填报信息与矿业权登记统计信息，核实公示信息的真实性、准确性、时效性；对矿产资源开发利用指标采取逻辑性检查。</w:t>
      </w:r>
    </w:p>
    <w:p>
      <w:pPr>
        <w:pageBreakBefore w:val="0"/>
        <w:widowControl w:val="0"/>
        <w:kinsoku/>
        <w:wordWrap/>
        <w:overflowPunct/>
        <w:topLinePunct w:val="0"/>
        <w:autoSpaceDE/>
        <w:autoSpaceDN/>
        <w:bidi w:val="0"/>
        <w:spacing w:line="600" w:lineRule="exact"/>
        <w:ind w:firstLine="640"/>
      </w:pPr>
      <w:r>
        <w:rPr>
          <w:rFonts w:hint="eastAsia" w:ascii="仿宋_GB2312"/>
        </w:rPr>
        <w:t>（3）</w:t>
      </w:r>
      <w:r>
        <w:rPr>
          <w:rFonts w:hint="eastAsia"/>
        </w:rPr>
        <w:t>凭证比对。根据采矿权人提供的采矿</w:t>
      </w:r>
      <w:r>
        <w:rPr>
          <w:rFonts w:hint="eastAsia"/>
          <w:highlight w:val="none"/>
        </w:rPr>
        <w:t>许可证</w:t>
      </w:r>
      <w:r>
        <w:rPr>
          <w:rFonts w:hint="eastAsia"/>
          <w:highlight w:val="none"/>
          <w:lang w:eastAsia="zh-CN"/>
        </w:rPr>
        <w:t>、</w:t>
      </w:r>
      <w:r>
        <w:rPr>
          <w:rFonts w:hint="eastAsia"/>
          <w:highlight w:val="none"/>
        </w:rPr>
        <w:t>矿产资源开发利用方案</w:t>
      </w:r>
      <w:r>
        <w:rPr>
          <w:rFonts w:hint="eastAsia"/>
          <w:highlight w:val="none"/>
          <w:lang w:eastAsia="zh-CN"/>
        </w:rPr>
        <w:t>、</w:t>
      </w:r>
      <w:r>
        <w:rPr>
          <w:rFonts w:hint="eastAsia"/>
          <w:highlight w:val="none"/>
        </w:rPr>
        <w:t>矿山地质环境保护和土地复垦方案</w:t>
      </w:r>
      <w:r>
        <w:rPr>
          <w:rFonts w:hint="eastAsia"/>
          <w:highlight w:val="none"/>
          <w:lang w:eastAsia="zh-CN"/>
        </w:rPr>
        <w:t>、</w:t>
      </w:r>
      <w:r>
        <w:rPr>
          <w:rFonts w:hint="eastAsia"/>
          <w:highlight w:val="none"/>
        </w:rPr>
        <w:t>储量年报</w:t>
      </w:r>
      <w:r>
        <w:rPr>
          <w:rFonts w:hint="eastAsia"/>
          <w:highlight w:val="none"/>
          <w:lang w:eastAsia="zh-CN"/>
        </w:rPr>
        <w:t>、</w:t>
      </w:r>
      <w:r>
        <w:rPr>
          <w:rFonts w:hint="eastAsia"/>
          <w:highlight w:val="none"/>
        </w:rPr>
        <w:t>财务凭证</w:t>
      </w:r>
      <w:r>
        <w:rPr>
          <w:rFonts w:hint="eastAsia"/>
          <w:highlight w:val="none"/>
          <w:lang w:eastAsia="zh-CN"/>
        </w:rPr>
        <w:t>、</w:t>
      </w:r>
      <w:r>
        <w:rPr>
          <w:rFonts w:hint="eastAsia"/>
          <w:highlight w:val="none"/>
        </w:rPr>
        <w:t>行政处罚信息及整改材料等，以及抽查工作</w:t>
      </w:r>
      <w:r>
        <w:rPr>
          <w:rFonts w:hint="eastAsia"/>
        </w:rPr>
        <w:t>所需的其他相关凭证，比对公示信息真实性、准确性、时效性，梳理疑点和可能存在的问题。</w:t>
      </w:r>
    </w:p>
    <w:p>
      <w:pPr>
        <w:pageBreakBefore w:val="0"/>
        <w:widowControl w:val="0"/>
        <w:kinsoku/>
        <w:wordWrap/>
        <w:overflowPunct/>
        <w:topLinePunct w:val="0"/>
        <w:autoSpaceDE/>
        <w:autoSpaceDN/>
        <w:bidi w:val="0"/>
        <w:spacing w:line="600" w:lineRule="exact"/>
        <w:ind w:firstLine="640"/>
      </w:pPr>
      <w:r>
        <w:rPr>
          <w:rFonts w:hint="eastAsia" w:ascii="仿宋_GB2312"/>
        </w:rPr>
        <w:t>（4）</w:t>
      </w:r>
      <w:r>
        <w:rPr>
          <w:rFonts w:hint="eastAsia"/>
        </w:rPr>
        <w:t>调查询问。针对内业整理、资料查阅和采矿权人自查中发现的疑点和问题，对勘查开采相关情况进行调查询问，了解公示信息的真实性和准确性。矿业权人应积极配合，如实反映情况，补充提供相关材料。</w:t>
      </w:r>
    </w:p>
    <w:p>
      <w:pPr>
        <w:pageBreakBefore w:val="0"/>
        <w:widowControl w:val="0"/>
        <w:kinsoku/>
        <w:wordWrap/>
        <w:overflowPunct/>
        <w:topLinePunct w:val="0"/>
        <w:autoSpaceDE/>
        <w:autoSpaceDN/>
        <w:bidi w:val="0"/>
        <w:spacing w:line="600" w:lineRule="exact"/>
        <w:ind w:firstLine="640"/>
        <w:rPr>
          <w:rFonts w:ascii="黑体" w:hAnsi="黑体" w:eastAsia="黑体" w:cs="黑体"/>
          <w:szCs w:val="32"/>
        </w:rPr>
      </w:pPr>
      <w:r>
        <w:rPr>
          <w:rFonts w:hint="eastAsia" w:ascii="仿宋_GB2312"/>
        </w:rPr>
        <w:t>（5）</w:t>
      </w:r>
      <w:r>
        <w:rPr>
          <w:rFonts w:hint="eastAsia"/>
        </w:rPr>
        <w:t>现场查看。抽取一定比例综合利用等设施进行实</w:t>
      </w:r>
      <w:r>
        <w:rPr>
          <w:rFonts w:hint="eastAsia"/>
          <w:highlight w:val="none"/>
        </w:rPr>
        <w:t>地踏勘，对开采情况进行询问、记录、拍照、录像，了解开采进展</w:t>
      </w:r>
      <w:r>
        <w:rPr>
          <w:rFonts w:hint="eastAsia"/>
        </w:rPr>
        <w:t>及重点设施的运行情况，并进行相关取证。根据现场检查情况，条件允许的可创新核查手段，使用无人机、视频在线、卫星影像等方法进行检查。</w:t>
      </w:r>
    </w:p>
    <w:p>
      <w:pPr>
        <w:pStyle w:val="4"/>
        <w:pageBreakBefore w:val="0"/>
        <w:widowControl w:val="0"/>
        <w:kinsoku/>
        <w:wordWrap/>
        <w:overflowPunct/>
        <w:topLinePunct w:val="0"/>
        <w:autoSpaceDE/>
        <w:autoSpaceDN/>
        <w:bidi w:val="0"/>
        <w:spacing w:line="600" w:lineRule="exact"/>
        <w:ind w:firstLine="640"/>
        <w:rPr>
          <w:rFonts w:hint="default"/>
        </w:rPr>
      </w:pPr>
      <w:r>
        <w:t>三、检查依据</w:t>
      </w:r>
    </w:p>
    <w:p>
      <w:pPr>
        <w:pStyle w:val="5"/>
        <w:pageBreakBefore w:val="0"/>
        <w:widowControl w:val="0"/>
        <w:kinsoku/>
        <w:wordWrap/>
        <w:overflowPunct/>
        <w:topLinePunct w:val="0"/>
        <w:autoSpaceDE/>
        <w:autoSpaceDN/>
        <w:bidi w:val="0"/>
        <w:spacing w:line="600" w:lineRule="exact"/>
        <w:ind w:firstLine="640"/>
        <w:rPr>
          <w:rFonts w:ascii="楷体_GB2312"/>
        </w:rPr>
      </w:pPr>
      <w:r>
        <w:rPr>
          <w:rFonts w:hint="eastAsia" w:ascii="楷体_GB2312"/>
        </w:rPr>
        <w:t>（一）《矿业权人勘查开采信息公示实地核查工作技术要求（试用）》（自然资办函〔2021〕1000号）</w:t>
      </w:r>
    </w:p>
    <w:p>
      <w:pPr>
        <w:pStyle w:val="5"/>
        <w:pageBreakBefore w:val="0"/>
        <w:widowControl w:val="0"/>
        <w:kinsoku/>
        <w:wordWrap/>
        <w:overflowPunct/>
        <w:topLinePunct w:val="0"/>
        <w:autoSpaceDE/>
        <w:autoSpaceDN/>
        <w:bidi w:val="0"/>
        <w:spacing w:line="600" w:lineRule="exact"/>
        <w:ind w:firstLine="640"/>
        <w:rPr>
          <w:rFonts w:ascii="楷体_GB2312"/>
        </w:rPr>
      </w:pPr>
      <w:r>
        <w:rPr>
          <w:rFonts w:hint="eastAsia" w:ascii="楷体_GB2312"/>
        </w:rPr>
        <w:t>（二）《矿业权人勘查开采信息公示办法（试行）》（国土资规〔2015〕6号）</w:t>
      </w:r>
    </w:p>
    <w:p>
      <w:pPr>
        <w:pStyle w:val="5"/>
        <w:pageBreakBefore w:val="0"/>
        <w:widowControl w:val="0"/>
        <w:kinsoku/>
        <w:wordWrap/>
        <w:overflowPunct/>
        <w:topLinePunct w:val="0"/>
        <w:autoSpaceDE/>
        <w:autoSpaceDN/>
        <w:bidi w:val="0"/>
        <w:spacing w:line="600" w:lineRule="exact"/>
        <w:ind w:firstLine="640"/>
        <w:rPr>
          <w:rFonts w:ascii="楷体_GB2312" w:eastAsia="仿宋_GB2312"/>
          <w:b/>
          <w:bCs/>
        </w:rPr>
      </w:pPr>
      <w:r>
        <w:rPr>
          <w:rFonts w:hint="eastAsia" w:ascii="楷体_GB2312" w:hAnsi="楷体_GB2312" w:cs="楷体_GB2312"/>
        </w:rPr>
        <w:t>（三）《中华人民共和国矿产资源法》（2009年修正）</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第四十条 超越批准的矿区范围采矿的，责令退回本矿区范围内开采、赔偿损失，没收越界开采的矿产品和违法所得，可以并处罚款；拒不退回本矿区范围内开</w:t>
      </w:r>
      <w:r>
        <w:rPr>
          <w:rFonts w:hint="eastAsia" w:ascii="仿宋_GB2312"/>
          <w:color w:val="000000"/>
          <w:sz w:val="32"/>
          <w:szCs w:val="32"/>
          <w:highlight w:val="none"/>
        </w:rPr>
        <w:t>采</w:t>
      </w:r>
      <w:r>
        <w:rPr>
          <w:rFonts w:hint="eastAsia" w:ascii="仿宋_GB2312"/>
          <w:color w:val="000000"/>
          <w:sz w:val="32"/>
          <w:szCs w:val="32"/>
          <w:highlight w:val="none"/>
          <w:lang w:eastAsia="zh-CN"/>
        </w:rPr>
        <w:t>、</w:t>
      </w:r>
      <w:r>
        <w:rPr>
          <w:rFonts w:hint="eastAsia" w:ascii="仿宋_GB2312"/>
          <w:color w:val="000000"/>
          <w:sz w:val="32"/>
          <w:szCs w:val="32"/>
          <w:highlight w:val="none"/>
        </w:rPr>
        <w:t>造</w:t>
      </w:r>
      <w:r>
        <w:rPr>
          <w:rFonts w:hint="eastAsia" w:ascii="仿宋_GB2312"/>
          <w:color w:val="000000"/>
          <w:sz w:val="32"/>
          <w:szCs w:val="32"/>
        </w:rPr>
        <w:t>成矿产资源破坏的，吊销采矿许可证，依照刑法有关规定对直接责任人员追究刑事责任。</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第四十四条 违反本法规定，采取破坏性的开采方法开采矿产资源的，处以罚款，可以吊销采矿许可证；造成矿产资源严重破坏的，依照刑法有关规定对直接责任人员追究刑事责任。</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sz w:val="32"/>
          <w:szCs w:val="32"/>
        </w:rPr>
      </w:pPr>
      <w:r>
        <w:rPr>
          <w:rFonts w:hint="eastAsia" w:ascii="仿宋_GB2312"/>
          <w:color w:val="000000"/>
          <w:sz w:val="32"/>
          <w:szCs w:val="32"/>
        </w:rPr>
        <w:t>第四十八条 以暴力、威胁方法阻碍从事矿产资源勘查、开采监督管理工作的国家工作人员依法执行职务的，依照刑法有关规定追究刑事责任；拒绝、阻碍从事矿产资源勘查、开采监督管理工作的国家工作人员依法执行职务未使用暴力、威胁方法的，由公安机关依照治安管理处罚法的规定处罚。</w:t>
      </w:r>
    </w:p>
    <w:p>
      <w:pPr>
        <w:pStyle w:val="5"/>
        <w:pageBreakBefore w:val="0"/>
        <w:widowControl w:val="0"/>
        <w:tabs>
          <w:tab w:val="left" w:pos="7738"/>
        </w:tabs>
        <w:kinsoku/>
        <w:wordWrap/>
        <w:overflowPunct/>
        <w:topLinePunct w:val="0"/>
        <w:autoSpaceDE/>
        <w:autoSpaceDN/>
        <w:bidi w:val="0"/>
        <w:spacing w:line="600" w:lineRule="exact"/>
        <w:ind w:firstLine="640"/>
      </w:pPr>
      <w:r>
        <w:rPr>
          <w:rFonts w:hint="eastAsia"/>
        </w:rPr>
        <w:t>（四）《中华人民共和国矿产资源法实施细则》</w:t>
      </w:r>
      <w:r>
        <w:tab/>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第三十一条 采矿权人应当履行下列义务：（二）有效保护、合理开采、综合利用矿产资源；</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sz w:val="32"/>
          <w:szCs w:val="32"/>
        </w:rPr>
      </w:pPr>
      <w:r>
        <w:rPr>
          <w:rFonts w:hint="eastAsia" w:ascii="仿宋_GB2312"/>
          <w:color w:val="000000"/>
          <w:sz w:val="32"/>
          <w:szCs w:val="32"/>
        </w:rPr>
        <w:t>第三十二条 采矿权人在采矿许可证有效期满或者在有效期内，停办矿山而矿产资源尚未采完的，必须采取措施将资源保持在能够继续开采的状态，并事先完成下列工作：（三）按照原设计实际完成相应的有关劳动安全、水土保持、土地复垦和环境保护工作，或者缴清土地复垦和环境保护的有关费用。</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b/>
          <w:bCs/>
          <w:color w:val="000000"/>
          <w:sz w:val="32"/>
          <w:szCs w:val="32"/>
        </w:rPr>
      </w:pPr>
      <w:r>
        <w:rPr>
          <w:rFonts w:hint="eastAsia" w:ascii="仿宋_GB2312"/>
          <w:color w:val="000000"/>
          <w:sz w:val="32"/>
          <w:szCs w:val="32"/>
        </w:rPr>
        <w:t>第四十二条 依照《矿产资源法》第三十九条、第四十条、第四十二条、第四十三条、第四十四条规定，处以罚款的，分别按照下列规定执行：</w:t>
      </w:r>
      <w:bookmarkStart w:id="30" w:name="bookmark2488"/>
      <w:r>
        <w:rPr>
          <w:rFonts w:hint="eastAsia" w:ascii="仿宋_GB2312"/>
          <w:color w:val="000000"/>
          <w:sz w:val="32"/>
          <w:szCs w:val="32"/>
        </w:rPr>
        <w:t>（</w:t>
      </w:r>
      <w:bookmarkEnd w:id="30"/>
      <w:r>
        <w:rPr>
          <w:rFonts w:hint="eastAsia" w:ascii="仿宋_GB2312"/>
          <w:color w:val="000000"/>
          <w:sz w:val="32"/>
          <w:szCs w:val="32"/>
        </w:rPr>
        <w:t>二）超越批准的矿区范围采矿的，处以违法所得</w:t>
      </w:r>
      <w:r>
        <w:rPr>
          <w:rFonts w:hint="eastAsia" w:ascii="仿宋_GB2312" w:hAnsi="Times New Roman" w:cs="Times New Roman"/>
          <w:color w:val="000000"/>
          <w:sz w:val="32"/>
          <w:szCs w:val="32"/>
        </w:rPr>
        <w:t>30%</w:t>
      </w:r>
      <w:r>
        <w:rPr>
          <w:rFonts w:hint="eastAsia" w:ascii="仿宋_GB2312"/>
          <w:color w:val="000000"/>
          <w:sz w:val="32"/>
          <w:szCs w:val="32"/>
        </w:rPr>
        <w:t>以下的罚款。（六）采取破坏性的开采方法开采矿产资源，造成矿产资源严重破坏的，处以相当于矿产资源损失价值</w:t>
      </w:r>
      <w:r>
        <w:rPr>
          <w:rFonts w:hint="eastAsia" w:ascii="仿宋_GB2312" w:hAnsi="Times New Roman" w:cs="Times New Roman"/>
          <w:color w:val="000000"/>
          <w:sz w:val="32"/>
          <w:szCs w:val="32"/>
        </w:rPr>
        <w:t>50%</w:t>
      </w:r>
      <w:r>
        <w:rPr>
          <w:rFonts w:hint="eastAsia" w:ascii="仿宋_GB2312"/>
          <w:color w:val="000000"/>
          <w:sz w:val="32"/>
          <w:szCs w:val="32"/>
        </w:rPr>
        <w:t>以下的罚款。</w:t>
      </w:r>
    </w:p>
    <w:p>
      <w:pPr>
        <w:pStyle w:val="5"/>
        <w:pageBreakBefore w:val="0"/>
        <w:widowControl w:val="0"/>
        <w:kinsoku/>
        <w:wordWrap/>
        <w:overflowPunct/>
        <w:topLinePunct w:val="0"/>
        <w:autoSpaceDE/>
        <w:autoSpaceDN/>
        <w:bidi w:val="0"/>
        <w:spacing w:line="600" w:lineRule="exact"/>
        <w:ind w:firstLine="640"/>
        <w:rPr>
          <w:rFonts w:ascii="楷体_GB2312"/>
        </w:rPr>
      </w:pPr>
      <w:r>
        <w:rPr>
          <w:rFonts w:hint="eastAsia" w:ascii="楷体_GB2312"/>
        </w:rPr>
        <w:t>（五）《矿产资源开采登记管理办法》（2014年7月29日修正版）</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hAnsi="Times New Roman" w:cs="Times New Roman"/>
          <w:color w:val="000000"/>
          <w:sz w:val="32"/>
          <w:szCs w:val="32"/>
          <w:lang w:val="en-US"/>
        </w:rPr>
        <w:t xml:space="preserve">第八条 </w:t>
      </w:r>
      <w:r>
        <w:rPr>
          <w:rFonts w:hint="eastAsia" w:ascii="仿宋_GB2312"/>
          <w:color w:val="000000"/>
          <w:sz w:val="32"/>
          <w:szCs w:val="32"/>
        </w:rPr>
        <w:t>登记管理机关在颁发采矿许可证后，应当通知矿区范围所在地的有关县级人民政府。有关县级人民政府应当自收到通知之日起90日内，对矿区范围予以公告，并可以根据采矿权人的申请，组织埋设界桩或者设置地面标志。</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sz w:val="32"/>
          <w:szCs w:val="32"/>
        </w:rPr>
      </w:pPr>
      <w:r>
        <w:rPr>
          <w:rFonts w:hint="eastAsia" w:ascii="仿宋_GB2312"/>
          <w:color w:val="000000"/>
          <w:sz w:val="32"/>
          <w:szCs w:val="32"/>
        </w:rPr>
        <w:t>第九条 国家实行采矿权有偿取得的制度。采矿权使用费,按照矿区范围的面积逐年缴纳，标准为每平方公里每年</w:t>
      </w:r>
      <w:r>
        <w:rPr>
          <w:rFonts w:hint="eastAsia" w:ascii="仿宋_GB2312" w:hAnsi="Times New Roman" w:cs="Times New Roman"/>
          <w:bCs/>
          <w:color w:val="000000"/>
          <w:sz w:val="32"/>
          <w:szCs w:val="32"/>
        </w:rPr>
        <w:t>1000</w:t>
      </w:r>
      <w:r>
        <w:rPr>
          <w:rFonts w:hint="eastAsia" w:ascii="仿宋_GB2312"/>
          <w:color w:val="000000"/>
          <w:sz w:val="32"/>
          <w:szCs w:val="32"/>
        </w:rPr>
        <w:t>元。</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第十条 申请国家出资勘查并已经探明矿产地的采矿权的，采矿权申请人除依照本办法第九条的规定缴纳采矿权使用费外，还应当缴纳国家出资勘查形成的采矿权价款；采矿权价款按照国家有关规定，可以一次缴纳，也可以分期缴纳。</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第十七条 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pStyle w:val="11"/>
        <w:pageBreakBefore w:val="0"/>
        <w:widowControl w:val="0"/>
        <w:tabs>
          <w:tab w:val="left" w:pos="780"/>
        </w:tabs>
        <w:kinsoku/>
        <w:wordWrap/>
        <w:overflowPunct/>
        <w:topLinePunct w:val="0"/>
        <w:autoSpaceDE/>
        <w:autoSpaceDN/>
        <w:bidi w:val="0"/>
        <w:adjustRightInd w:val="0"/>
        <w:snapToGrid w:val="0"/>
        <w:spacing w:line="600" w:lineRule="exact"/>
        <w:ind w:firstLine="640"/>
        <w:rPr>
          <w:rFonts w:ascii="仿宋_GB2312" w:hAnsi="Times New Roman" w:cs="Times New Roman"/>
          <w:color w:val="000000"/>
          <w:sz w:val="32"/>
          <w:szCs w:val="32"/>
          <w:lang w:val="en-US"/>
        </w:rPr>
      </w:pPr>
      <w:r>
        <w:rPr>
          <w:rFonts w:hint="eastAsia" w:ascii="仿宋_GB2312"/>
          <w:color w:val="000000"/>
          <w:sz w:val="32"/>
          <w:szCs w:val="32"/>
        </w:rPr>
        <w:t>第十八条 不依照本办法规定提交年度报告、拒绝接受监督检查或者弄虚作假的，由县级以上人民政府负责地质矿产管理工作的部门按照国务院地质矿产主管部门规定的权限，责令停止违法行为，予以警告，可以并处</w:t>
      </w:r>
      <w:r>
        <w:rPr>
          <w:rFonts w:hint="eastAsia" w:ascii="仿宋_GB2312" w:hAnsi="Times New Roman" w:cs="Times New Roman"/>
          <w:b/>
          <w:bCs/>
          <w:color w:val="000000"/>
          <w:sz w:val="32"/>
          <w:szCs w:val="32"/>
        </w:rPr>
        <w:t>5</w:t>
      </w:r>
      <w:r>
        <w:rPr>
          <w:rFonts w:hint="eastAsia" w:ascii="仿宋_GB2312"/>
          <w:color w:val="000000"/>
          <w:sz w:val="32"/>
          <w:szCs w:val="32"/>
        </w:rPr>
        <w:t>万元以下的罚款；情节严重的，由原发证机关吊销采矿许可证。</w:t>
      </w:r>
    </w:p>
    <w:p>
      <w:pPr>
        <w:pStyle w:val="11"/>
        <w:pageBreakBefore w:val="0"/>
        <w:widowControl w:val="0"/>
        <w:tabs>
          <w:tab w:val="left" w:pos="780"/>
        </w:tabs>
        <w:kinsoku/>
        <w:wordWrap/>
        <w:overflowPunct/>
        <w:topLinePunct w:val="0"/>
        <w:autoSpaceDE/>
        <w:autoSpaceDN/>
        <w:bidi w:val="0"/>
        <w:adjustRightInd w:val="0"/>
        <w:snapToGrid w:val="0"/>
        <w:spacing w:line="600" w:lineRule="exact"/>
        <w:ind w:firstLine="640"/>
        <w:rPr>
          <w:rFonts w:ascii="仿宋_GB2312" w:hAnsi="Times New Roman" w:cs="Times New Roman"/>
          <w:color w:val="000000"/>
          <w:sz w:val="32"/>
          <w:szCs w:val="32"/>
          <w:lang w:val="en-US"/>
        </w:rPr>
      </w:pPr>
      <w:r>
        <w:rPr>
          <w:rFonts w:hint="eastAsia" w:ascii="仿宋_GB2312" w:hAnsi="Times New Roman" w:cs="Times New Roman"/>
          <w:color w:val="000000"/>
          <w:sz w:val="32"/>
          <w:szCs w:val="32"/>
          <w:lang w:val="en-US"/>
        </w:rPr>
        <w:t>第十九条 破坏或者擅自移动矿区范围界桩或者地面标志的，由县级以上人民政府负责地质矿产管理工作的部门按照国务院地质矿产主管部门规定的权限，责令限期恢复；情节严重的，处3万元以下的罚款。</w:t>
      </w:r>
    </w:p>
    <w:p>
      <w:pPr>
        <w:pStyle w:val="11"/>
        <w:pageBreakBefore w:val="0"/>
        <w:widowControl w:val="0"/>
        <w:tabs>
          <w:tab w:val="left" w:pos="780"/>
        </w:tabs>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第二十一条 违反本办法规定，不按期缴纳本办法规定应当缴纳的费用的，由登记管理机关责令限期缴纳，并从滞纳之日起每日加收千分之二的滞纳金；逾期仍不缴纳的，由原发证机关吊销采矿许可证。</w:t>
      </w:r>
    </w:p>
    <w:p>
      <w:pPr>
        <w:pStyle w:val="5"/>
        <w:pageBreakBefore w:val="0"/>
        <w:widowControl w:val="0"/>
        <w:kinsoku/>
        <w:wordWrap/>
        <w:overflowPunct/>
        <w:topLinePunct w:val="0"/>
        <w:autoSpaceDE/>
        <w:autoSpaceDN/>
        <w:bidi w:val="0"/>
        <w:spacing w:line="600" w:lineRule="exact"/>
        <w:ind w:firstLine="640"/>
      </w:pPr>
      <w:r>
        <w:rPr>
          <w:rFonts w:hint="eastAsia"/>
        </w:rPr>
        <w:t>（六）《矿山地质环境保护规定》</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第十二条 采矿权申请人申请办理采矿许可证时，应当编制矿山地质环境保护与治理恢复方案，报有批准权的国土资源行政主管部门批准。</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rPr>
        <w:t>第十六条 采矿权人应当严格执行经批准的矿山地质环境保护与治理恢复方案。矿山地质环境保护与治理恢复工程的设计和施工，应当与矿产资源开采活动同步进行。</w:t>
      </w:r>
    </w:p>
    <w:p>
      <w:pPr>
        <w:pStyle w:val="11"/>
        <w:pageBreakBefore w:val="0"/>
        <w:widowControl w:val="0"/>
        <w:kinsoku/>
        <w:wordWrap/>
        <w:overflowPunct/>
        <w:topLinePunct w:val="0"/>
        <w:autoSpaceDE/>
        <w:autoSpaceDN/>
        <w:bidi w:val="0"/>
        <w:adjustRightInd w:val="0"/>
        <w:snapToGrid w:val="0"/>
        <w:spacing w:line="600" w:lineRule="exact"/>
        <w:ind w:firstLine="640"/>
        <w:rPr>
          <w:rFonts w:ascii="仿宋_GB2312"/>
          <w:color w:val="000000"/>
          <w:sz w:val="32"/>
          <w:szCs w:val="32"/>
          <w:lang w:val="en-US"/>
        </w:rPr>
      </w:pPr>
      <w:r>
        <w:rPr>
          <w:rFonts w:hint="eastAsia" w:ascii="仿宋_GB2312"/>
          <w:color w:val="000000"/>
          <w:sz w:val="32"/>
          <w:szCs w:val="32"/>
        </w:rPr>
        <w:t>第二十六条 县级以上国土资源行政主管部门对采矿权人履行矿山地质环境保护与治理恢复义务的情况进行监督检查。</w:t>
      </w:r>
    </w:p>
    <w:p>
      <w:pPr>
        <w:pStyle w:val="5"/>
        <w:pageBreakBefore w:val="0"/>
        <w:widowControl w:val="0"/>
        <w:kinsoku/>
        <w:wordWrap/>
        <w:overflowPunct/>
        <w:topLinePunct w:val="0"/>
        <w:autoSpaceDE/>
        <w:autoSpaceDN/>
        <w:bidi w:val="0"/>
        <w:spacing w:line="600" w:lineRule="exact"/>
        <w:ind w:firstLine="640"/>
        <w:rPr>
          <w:rFonts w:ascii="楷体_GB2312"/>
        </w:rPr>
      </w:pPr>
      <w:bookmarkStart w:id="31" w:name="bookmark2483"/>
      <w:r>
        <w:rPr>
          <w:rFonts w:hint="eastAsia" w:ascii="楷体_GB2312"/>
        </w:rPr>
        <w:t>（七）《国土资源部关于健全完善矿产资源勘查开采监督管理和执法监察长效机制的通知》（国土资发〔2009〕148号）</w:t>
      </w:r>
    </w:p>
    <w:p>
      <w:pPr>
        <w:pStyle w:val="11"/>
        <w:pageBreakBefore w:val="0"/>
        <w:widowControl w:val="0"/>
        <w:tabs>
          <w:tab w:val="left" w:pos="780"/>
        </w:tabs>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lang w:val="en-US"/>
        </w:rPr>
        <w:t>1.</w:t>
      </w:r>
      <w:r>
        <w:rPr>
          <w:rFonts w:hint="eastAsia" w:ascii="仿宋_GB2312"/>
          <w:color w:val="000000"/>
          <w:sz w:val="32"/>
          <w:szCs w:val="32"/>
        </w:rPr>
        <w:t>严格矿业权人勘查开采活动的监管（一）建立采矿权标识制度。……采矿权人必须在开采作业场所的明显位置设立采矿权标识牌，接受国土资源行政主管部门和社会的监督。</w:t>
      </w:r>
    </w:p>
    <w:p>
      <w:pPr>
        <w:pStyle w:val="11"/>
        <w:pageBreakBefore w:val="0"/>
        <w:widowControl w:val="0"/>
        <w:tabs>
          <w:tab w:val="left" w:pos="780"/>
        </w:tabs>
        <w:kinsoku/>
        <w:wordWrap/>
        <w:overflowPunct/>
        <w:topLinePunct w:val="0"/>
        <w:autoSpaceDE/>
        <w:autoSpaceDN/>
        <w:bidi w:val="0"/>
        <w:adjustRightInd w:val="0"/>
        <w:snapToGrid w:val="0"/>
        <w:spacing w:line="600" w:lineRule="exact"/>
        <w:ind w:firstLine="640"/>
        <w:rPr>
          <w:rFonts w:ascii="仿宋_GB2312"/>
          <w:color w:val="000000"/>
          <w:sz w:val="32"/>
          <w:szCs w:val="32"/>
        </w:rPr>
      </w:pPr>
      <w:r>
        <w:rPr>
          <w:rFonts w:hint="eastAsia" w:ascii="仿宋_GB2312"/>
          <w:color w:val="000000"/>
          <w:sz w:val="32"/>
          <w:szCs w:val="32"/>
          <w:lang w:val="en-US"/>
        </w:rPr>
        <w:t>2.</w:t>
      </w:r>
      <w:r>
        <w:rPr>
          <w:rFonts w:hint="eastAsia" w:ascii="仿宋_GB2312"/>
          <w:color w:val="000000"/>
          <w:sz w:val="32"/>
          <w:szCs w:val="32"/>
        </w:rPr>
        <w:t>加强矿产资源合理开发利用的监管（</w:t>
      </w:r>
      <w:r>
        <w:rPr>
          <w:rFonts w:hint="eastAsia" w:ascii="仿宋_GB2312"/>
          <w:color w:val="000000"/>
          <w:sz w:val="32"/>
          <w:szCs w:val="32"/>
          <w:lang w:val="en-US"/>
        </w:rPr>
        <w:t>一</w:t>
      </w:r>
      <w:r>
        <w:rPr>
          <w:rFonts w:hint="eastAsia" w:ascii="仿宋_GB2312"/>
          <w:color w:val="000000"/>
          <w:sz w:val="32"/>
          <w:szCs w:val="32"/>
        </w:rPr>
        <w:t>）严格矿产资源开发利用方案的管理。……地方各级国土资源行政主管部门要按照开发利用方案加强矿山企业合理开发利用矿产资源的监管。（三）加强矿山企业矿产资源回收利用指标的管理。</w:t>
      </w:r>
    </w:p>
    <w:p>
      <w:pPr>
        <w:pStyle w:val="5"/>
        <w:pageBreakBefore w:val="0"/>
        <w:widowControl w:val="0"/>
        <w:kinsoku/>
        <w:wordWrap/>
        <w:overflowPunct/>
        <w:topLinePunct w:val="0"/>
        <w:autoSpaceDE/>
        <w:autoSpaceDN/>
        <w:bidi w:val="0"/>
        <w:spacing w:line="600" w:lineRule="exact"/>
        <w:ind w:firstLine="640"/>
        <w:rPr>
          <w:rFonts w:ascii="楷体_GB2312"/>
        </w:rPr>
      </w:pPr>
      <w:r>
        <w:rPr>
          <w:rFonts w:hint="eastAsia" w:ascii="楷体_GB2312"/>
        </w:rPr>
        <w:t>（八）《关于全面开展矿山储量动态监督管理的通知》（国土资发〔2006〕87号）</w:t>
      </w:r>
    </w:p>
    <w:bookmarkEnd w:id="31"/>
    <w:p>
      <w:pPr>
        <w:pStyle w:val="5"/>
        <w:pageBreakBefore w:val="0"/>
        <w:widowControl w:val="0"/>
        <w:kinsoku/>
        <w:wordWrap/>
        <w:overflowPunct/>
        <w:topLinePunct w:val="0"/>
        <w:autoSpaceDE/>
        <w:autoSpaceDN/>
        <w:bidi w:val="0"/>
        <w:spacing w:line="600" w:lineRule="exact"/>
        <w:ind w:firstLine="640"/>
        <w:rPr>
          <w:rFonts w:ascii="楷体_GB2312"/>
        </w:rPr>
      </w:pPr>
      <w:r>
        <w:rPr>
          <w:rFonts w:hint="eastAsia" w:ascii="楷体_GB2312"/>
        </w:rPr>
        <w:t>（九）《国土资源部关于印发〈矿山储量动态管理要求〉的通知》（国土资发〔2008〕163号）</w:t>
      </w:r>
    </w:p>
    <w:p>
      <w:pPr>
        <w:pStyle w:val="5"/>
        <w:pageBreakBefore w:val="0"/>
        <w:widowControl w:val="0"/>
        <w:kinsoku/>
        <w:wordWrap/>
        <w:overflowPunct/>
        <w:topLinePunct w:val="0"/>
        <w:autoSpaceDE/>
        <w:autoSpaceDN/>
        <w:bidi w:val="0"/>
        <w:spacing w:line="600" w:lineRule="exact"/>
        <w:ind w:firstLine="640"/>
        <w:rPr>
          <w:rFonts w:ascii="楷体_GB2312"/>
        </w:rPr>
      </w:pPr>
      <w:r>
        <w:rPr>
          <w:rFonts w:hint="eastAsia" w:ascii="楷体_GB2312"/>
        </w:rPr>
        <w:t>（十）《财政部自然资源部税务总局关于印发〈矿业权出让收益征收办法〉的通知》（财综〔2023〕10号）</w:t>
      </w:r>
      <w:bookmarkStart w:id="32" w:name="_Toc32584"/>
      <w:bookmarkStart w:id="33" w:name="_Toc16596"/>
    </w:p>
    <w:p>
      <w:pPr>
        <w:pStyle w:val="11"/>
        <w:pageBreakBefore w:val="0"/>
        <w:widowControl w:val="0"/>
        <w:kinsoku/>
        <w:wordWrap/>
        <w:overflowPunct/>
        <w:topLinePunct w:val="0"/>
        <w:autoSpaceDE/>
        <w:autoSpaceDN/>
        <w:bidi w:val="0"/>
        <w:snapToGrid w:val="0"/>
        <w:spacing w:before="280" w:after="280" w:line="600" w:lineRule="exact"/>
        <w:ind w:firstLine="0" w:firstLineChars="0"/>
        <w:jc w:val="center"/>
        <w:outlineLvl w:val="1"/>
        <w:rPr>
          <w:rFonts w:hint="eastAsia" w:ascii="方正小标宋简体" w:hAnsi="方正小标宋简体" w:eastAsia="方正小标宋简体" w:cs="方正小标宋简体"/>
          <w:color w:val="000000"/>
          <w:sz w:val="32"/>
          <w:szCs w:val="32"/>
          <w:lang w:val="en-US"/>
        </w:rPr>
      </w:pPr>
    </w:p>
    <w:p>
      <w:pPr>
        <w:pStyle w:val="11"/>
        <w:pageBreakBefore w:val="0"/>
        <w:widowControl w:val="0"/>
        <w:numPr>
          <w:ilvl w:val="0"/>
          <w:numId w:val="1"/>
        </w:numPr>
        <w:kinsoku/>
        <w:wordWrap/>
        <w:overflowPunct/>
        <w:topLinePunct w:val="0"/>
        <w:autoSpaceDE/>
        <w:autoSpaceDN/>
        <w:bidi w:val="0"/>
        <w:snapToGrid w:val="0"/>
        <w:spacing w:before="280" w:after="280" w:line="600" w:lineRule="exact"/>
        <w:jc w:val="center"/>
        <w:outlineLvl w:val="1"/>
        <w:rPr>
          <w:rFonts w:ascii="方正小标宋简体" w:hAnsi="方正小标宋简体" w:eastAsia="方正小标宋简体" w:cs="方正小标宋简体"/>
          <w:color w:val="000000"/>
          <w:sz w:val="32"/>
          <w:szCs w:val="32"/>
          <w:lang w:val="en-US"/>
        </w:rPr>
      </w:pP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rPr>
        <w:t>矿山地质环境保护与治理恢复义务情况的监督检查工作指引</w:t>
      </w:r>
      <w:bookmarkEnd w:id="32"/>
      <w:bookmarkEnd w:id="33"/>
    </w:p>
    <w:p>
      <w:pPr>
        <w:pStyle w:val="4"/>
        <w:pageBreakBefore w:val="0"/>
        <w:widowControl w:val="0"/>
        <w:kinsoku/>
        <w:wordWrap/>
        <w:overflowPunct/>
        <w:topLinePunct w:val="0"/>
        <w:autoSpaceDE/>
        <w:autoSpaceDN/>
        <w:bidi w:val="0"/>
        <w:spacing w:line="600" w:lineRule="exact"/>
        <w:ind w:firstLine="640"/>
        <w:rPr>
          <w:rFonts w:hint="default"/>
        </w:rPr>
      </w:pPr>
      <w:r>
        <w:t>一、抽查事项</w:t>
      </w:r>
    </w:p>
    <w:p>
      <w:pPr>
        <w:pageBreakBefore w:val="0"/>
        <w:widowControl w:val="0"/>
        <w:kinsoku/>
        <w:wordWrap/>
        <w:overflowPunct/>
        <w:topLinePunct w:val="0"/>
        <w:autoSpaceDE/>
        <w:autoSpaceDN/>
        <w:bidi w:val="0"/>
        <w:spacing w:line="600" w:lineRule="exact"/>
        <w:ind w:firstLine="640"/>
      </w:pPr>
      <w:r>
        <w:rPr>
          <w:rFonts w:hint="eastAsia"/>
        </w:rPr>
        <w:t>对矿山地质环境保护与土地复垦义务履行情况的检查</w:t>
      </w:r>
    </w:p>
    <w:p>
      <w:pPr>
        <w:pStyle w:val="4"/>
        <w:pageBreakBefore w:val="0"/>
        <w:widowControl w:val="0"/>
        <w:kinsoku/>
        <w:wordWrap/>
        <w:overflowPunct/>
        <w:topLinePunct w:val="0"/>
        <w:autoSpaceDE/>
        <w:autoSpaceDN/>
        <w:bidi w:val="0"/>
        <w:spacing w:line="600" w:lineRule="exact"/>
        <w:ind w:firstLine="640"/>
        <w:rPr>
          <w:rFonts w:hint="default"/>
        </w:rPr>
      </w:pPr>
      <w:r>
        <w:t>二、检查内容和方法</w:t>
      </w:r>
    </w:p>
    <w:p>
      <w:pPr>
        <w:pStyle w:val="6"/>
        <w:pageBreakBefore w:val="0"/>
        <w:widowControl w:val="0"/>
        <w:kinsoku/>
        <w:wordWrap/>
        <w:overflowPunct/>
        <w:topLinePunct w:val="0"/>
        <w:autoSpaceDE/>
        <w:autoSpaceDN/>
        <w:bidi w:val="0"/>
        <w:spacing w:line="600" w:lineRule="exact"/>
        <w:ind w:firstLine="643"/>
        <w:rPr>
          <w:rFonts w:hint="eastAsia" w:ascii="楷体" w:hAnsi="楷体" w:eastAsia="楷体" w:cs="楷体"/>
          <w:b w:val="0"/>
          <w:bCs/>
        </w:rPr>
      </w:pPr>
      <w:r>
        <w:rPr>
          <w:rFonts w:hint="eastAsia" w:ascii="楷体" w:hAnsi="楷体" w:eastAsia="楷体" w:cs="楷体"/>
          <w:b w:val="0"/>
          <w:bCs/>
        </w:rPr>
        <w:t>（一）检查内容</w:t>
      </w:r>
    </w:p>
    <w:p>
      <w:pPr>
        <w:pageBreakBefore w:val="0"/>
        <w:widowControl w:val="0"/>
        <w:kinsoku/>
        <w:wordWrap/>
        <w:overflowPunct/>
        <w:topLinePunct w:val="0"/>
        <w:autoSpaceDE/>
        <w:autoSpaceDN/>
        <w:bidi w:val="0"/>
        <w:spacing w:line="600" w:lineRule="exact"/>
        <w:ind w:firstLine="640"/>
      </w:pPr>
      <w:r>
        <w:rPr>
          <w:rFonts w:hint="eastAsia" w:ascii="仿宋_GB2312"/>
        </w:rPr>
        <w:t>1.</w:t>
      </w:r>
      <w:r>
        <w:rPr>
          <w:rFonts w:hint="eastAsia"/>
        </w:rPr>
        <w:t>《矿山地质环境保护与土地复垦方案》编制情况。</w:t>
      </w:r>
    </w:p>
    <w:p>
      <w:pPr>
        <w:pageBreakBefore w:val="0"/>
        <w:widowControl w:val="0"/>
        <w:kinsoku/>
        <w:wordWrap/>
        <w:overflowPunct/>
        <w:topLinePunct w:val="0"/>
        <w:autoSpaceDE/>
        <w:autoSpaceDN/>
        <w:bidi w:val="0"/>
        <w:spacing w:line="600" w:lineRule="exact"/>
        <w:ind w:firstLine="640"/>
      </w:pPr>
      <w:r>
        <w:rPr>
          <w:rFonts w:hint="eastAsia"/>
        </w:rPr>
        <w:t>矿山企业是否编制方案，方案是否在有效使用期内等。</w:t>
      </w:r>
    </w:p>
    <w:p>
      <w:pPr>
        <w:pageBreakBefore w:val="0"/>
        <w:widowControl w:val="0"/>
        <w:kinsoku/>
        <w:wordWrap/>
        <w:overflowPunct/>
        <w:topLinePunct w:val="0"/>
        <w:autoSpaceDE/>
        <w:autoSpaceDN/>
        <w:bidi w:val="0"/>
        <w:spacing w:line="600" w:lineRule="exact"/>
        <w:ind w:firstLine="640"/>
      </w:pPr>
      <w:r>
        <w:rPr>
          <w:rFonts w:hint="eastAsia" w:ascii="仿宋_GB2312"/>
        </w:rPr>
        <w:t>2.</w:t>
      </w:r>
      <w:r>
        <w:rPr>
          <w:rFonts w:hint="eastAsia"/>
        </w:rPr>
        <w:t>矿山地质环境保护与恢复治理义务、土地复垦义务履行情况。</w:t>
      </w:r>
    </w:p>
    <w:p>
      <w:pPr>
        <w:pageBreakBefore w:val="0"/>
        <w:widowControl w:val="0"/>
        <w:kinsoku/>
        <w:wordWrap/>
        <w:overflowPunct/>
        <w:topLinePunct w:val="0"/>
        <w:autoSpaceDE/>
        <w:autoSpaceDN/>
        <w:bidi w:val="0"/>
        <w:spacing w:line="600" w:lineRule="exact"/>
        <w:ind w:firstLine="640"/>
      </w:pPr>
      <w:r>
        <w:rPr>
          <w:rFonts w:hint="eastAsia"/>
        </w:rPr>
        <w:t>矿山企业是否按照方案开展地质环境恢复治理工作，是否开展地质环境监测，是否建立基金账户、足额缴存矿山地质环境恢复治理基金、足额预存土地复垦费用，并签订矿山地质环境治理恢复与土地复垦基金监管协议，是否完成方案确定的复垦任务等。</w:t>
      </w:r>
    </w:p>
    <w:p>
      <w:pPr>
        <w:pStyle w:val="6"/>
        <w:pageBreakBefore w:val="0"/>
        <w:widowControl w:val="0"/>
        <w:kinsoku/>
        <w:wordWrap/>
        <w:overflowPunct/>
        <w:topLinePunct w:val="0"/>
        <w:autoSpaceDE/>
        <w:autoSpaceDN/>
        <w:bidi w:val="0"/>
        <w:spacing w:line="600" w:lineRule="exact"/>
        <w:ind w:firstLine="643"/>
        <w:rPr>
          <w:rFonts w:hint="eastAsia" w:ascii="楷体" w:hAnsi="楷体" w:eastAsia="楷体" w:cs="楷体"/>
          <w:b w:val="0"/>
          <w:bCs/>
        </w:rPr>
      </w:pPr>
      <w:r>
        <w:rPr>
          <w:rFonts w:hint="eastAsia" w:ascii="楷体" w:hAnsi="楷体" w:eastAsia="楷体" w:cs="楷体"/>
          <w:b w:val="0"/>
          <w:bCs/>
        </w:rPr>
        <w:t>（二）检查方法</w:t>
      </w:r>
    </w:p>
    <w:p>
      <w:pPr>
        <w:pageBreakBefore w:val="0"/>
        <w:widowControl w:val="0"/>
        <w:kinsoku/>
        <w:wordWrap/>
        <w:overflowPunct/>
        <w:topLinePunct w:val="0"/>
        <w:autoSpaceDE/>
        <w:autoSpaceDN/>
        <w:bidi w:val="0"/>
        <w:spacing w:line="600" w:lineRule="exact"/>
        <w:ind w:firstLine="640"/>
      </w:pPr>
      <w:r>
        <w:rPr>
          <w:rFonts w:hint="eastAsia" w:ascii="仿宋_GB2312"/>
        </w:rPr>
        <w:t>1.</w:t>
      </w:r>
      <w:r>
        <w:rPr>
          <w:rFonts w:hint="eastAsia"/>
        </w:rPr>
        <w:t>按一定比例随机抽取检查对象。</w:t>
      </w:r>
    </w:p>
    <w:p>
      <w:pPr>
        <w:pageBreakBefore w:val="0"/>
        <w:widowControl w:val="0"/>
        <w:kinsoku/>
        <w:wordWrap/>
        <w:overflowPunct/>
        <w:topLinePunct w:val="0"/>
        <w:autoSpaceDE/>
        <w:autoSpaceDN/>
        <w:bidi w:val="0"/>
        <w:spacing w:line="600" w:lineRule="exact"/>
        <w:ind w:firstLine="640"/>
        <w:rPr>
          <w:rFonts w:ascii="仿宋_GB2312"/>
        </w:rPr>
      </w:pPr>
      <w:r>
        <w:rPr>
          <w:rFonts w:hint="eastAsia" w:ascii="仿宋_GB2312"/>
        </w:rPr>
        <w:t>2.下发检查通知，将检查计划告知被检查对象。</w:t>
      </w:r>
    </w:p>
    <w:p>
      <w:pPr>
        <w:pageBreakBefore w:val="0"/>
        <w:widowControl w:val="0"/>
        <w:kinsoku/>
        <w:wordWrap/>
        <w:overflowPunct/>
        <w:topLinePunct w:val="0"/>
        <w:autoSpaceDE/>
        <w:autoSpaceDN/>
        <w:bidi w:val="0"/>
        <w:spacing w:line="600" w:lineRule="exact"/>
        <w:ind w:firstLine="640"/>
        <w:rPr>
          <w:rFonts w:ascii="仿宋_GB2312"/>
        </w:rPr>
      </w:pPr>
      <w:r>
        <w:rPr>
          <w:rFonts w:hint="eastAsia" w:ascii="仿宋_GB2312"/>
        </w:rPr>
        <w:t>3.组织人员进入现场检查企业复垦活动情况、查阅相关资料、听取汇报等。</w:t>
      </w:r>
    </w:p>
    <w:p>
      <w:pPr>
        <w:pageBreakBefore w:val="0"/>
        <w:widowControl w:val="0"/>
        <w:kinsoku/>
        <w:wordWrap/>
        <w:overflowPunct/>
        <w:topLinePunct w:val="0"/>
        <w:autoSpaceDE/>
        <w:autoSpaceDN/>
        <w:bidi w:val="0"/>
        <w:spacing w:line="600" w:lineRule="exact"/>
        <w:ind w:firstLine="640"/>
      </w:pPr>
      <w:r>
        <w:rPr>
          <w:rFonts w:hint="eastAsia" w:ascii="仿宋_GB2312"/>
        </w:rPr>
        <w:t>4.对</w:t>
      </w:r>
      <w:r>
        <w:rPr>
          <w:rFonts w:hint="eastAsia"/>
        </w:rPr>
        <w:t>检查结果作出结论，将结果告知被检查对象，</w:t>
      </w:r>
      <w:r>
        <w:rPr>
          <w:rFonts w:hint="eastAsia" w:ascii="仿宋_GB2312"/>
        </w:rPr>
        <w:t>对检查出的问题明确整改时限</w:t>
      </w:r>
      <w:r>
        <w:rPr>
          <w:rFonts w:hint="eastAsia"/>
        </w:rPr>
        <w:t>，责令整改。</w:t>
      </w:r>
    </w:p>
    <w:p>
      <w:pPr>
        <w:pStyle w:val="4"/>
        <w:pageBreakBefore w:val="0"/>
        <w:widowControl w:val="0"/>
        <w:kinsoku/>
        <w:wordWrap/>
        <w:overflowPunct/>
        <w:topLinePunct w:val="0"/>
        <w:autoSpaceDE/>
        <w:autoSpaceDN/>
        <w:bidi w:val="0"/>
        <w:spacing w:line="600" w:lineRule="exact"/>
        <w:ind w:firstLine="640"/>
        <w:rPr>
          <w:rFonts w:hint="default"/>
        </w:rPr>
      </w:pPr>
      <w:r>
        <w:t>三、检查依据</w:t>
      </w:r>
    </w:p>
    <w:p>
      <w:pPr>
        <w:pStyle w:val="5"/>
        <w:pageBreakBefore w:val="0"/>
        <w:widowControl w:val="0"/>
        <w:kinsoku/>
        <w:wordWrap/>
        <w:overflowPunct/>
        <w:topLinePunct w:val="0"/>
        <w:autoSpaceDE/>
        <w:autoSpaceDN/>
        <w:bidi w:val="0"/>
        <w:spacing w:line="600" w:lineRule="exact"/>
        <w:ind w:firstLine="640"/>
      </w:pPr>
      <w:r>
        <w:rPr>
          <w:rFonts w:hint="eastAsia"/>
        </w:rPr>
        <w:t>（一）《矿山地质环境保护规定》</w:t>
      </w:r>
    </w:p>
    <w:p>
      <w:pPr>
        <w:pageBreakBefore w:val="0"/>
        <w:widowControl w:val="0"/>
        <w:kinsoku/>
        <w:wordWrap/>
        <w:overflowPunct/>
        <w:topLinePunct w:val="0"/>
        <w:autoSpaceDE/>
        <w:autoSpaceDN/>
        <w:bidi w:val="0"/>
        <w:spacing w:line="600" w:lineRule="exact"/>
        <w:ind w:firstLine="640"/>
      </w:pPr>
      <w:r>
        <w:rPr>
          <w:rFonts w:hint="eastAsia"/>
        </w:rPr>
        <w:t>第二十二条 县级以上自然资源主管部门对采矿权人履行矿山地质环境保护与土地复垦义务的情况进行监督检查。相关责任人应当配合县级以上自然资源主管部门的监督检查，并提供必要的资料，如实反映情况。</w:t>
      </w:r>
    </w:p>
    <w:p>
      <w:pPr>
        <w:pStyle w:val="5"/>
        <w:pageBreakBefore w:val="0"/>
        <w:widowControl w:val="0"/>
        <w:numPr>
          <w:ilvl w:val="0"/>
          <w:numId w:val="2"/>
        </w:numPr>
        <w:kinsoku/>
        <w:wordWrap/>
        <w:overflowPunct/>
        <w:topLinePunct w:val="0"/>
        <w:autoSpaceDE/>
        <w:autoSpaceDN/>
        <w:bidi w:val="0"/>
        <w:spacing w:line="600" w:lineRule="exact"/>
        <w:ind w:firstLine="640"/>
        <w:rPr>
          <w:rFonts w:hint="eastAsia" w:ascii="楷体_GB2312"/>
        </w:rPr>
      </w:pPr>
      <w:r>
        <w:rPr>
          <w:rFonts w:hint="eastAsia" w:ascii="楷体_GB2312"/>
        </w:rPr>
        <w:t>《国土资源部办公厅关于做好矿山地质环境保护与土地复垦方案编报有关工作的通知》（国土资规〔2016〕21号）</w:t>
      </w:r>
    </w:p>
    <w:p>
      <w:pPr>
        <w:numPr>
          <w:ilvl w:val="0"/>
          <w:numId w:val="0"/>
        </w:numPr>
      </w:pPr>
    </w:p>
    <w:p>
      <w:pPr>
        <w:pStyle w:val="11"/>
        <w:pageBreakBefore w:val="0"/>
        <w:widowControl w:val="0"/>
        <w:kinsoku/>
        <w:wordWrap/>
        <w:overflowPunct/>
        <w:topLinePunct w:val="0"/>
        <w:autoSpaceDE/>
        <w:autoSpaceDN/>
        <w:bidi w:val="0"/>
        <w:snapToGrid w:val="0"/>
        <w:spacing w:before="280" w:after="280" w:line="600" w:lineRule="exact"/>
        <w:ind w:firstLine="0" w:firstLineChars="0"/>
        <w:jc w:val="center"/>
        <w:outlineLvl w:val="1"/>
        <w:rPr>
          <w:rFonts w:ascii="方正小标宋简体" w:hAnsi="方正小标宋简体" w:eastAsia="方正小标宋简体" w:cs="方正小标宋简体"/>
          <w:color w:val="000000"/>
          <w:sz w:val="32"/>
          <w:szCs w:val="32"/>
          <w:lang w:val="en-US"/>
        </w:rPr>
      </w:pPr>
      <w:bookmarkStart w:id="34" w:name="_Toc25929"/>
      <w:bookmarkStart w:id="35" w:name="_Toc7993"/>
      <w:r>
        <w:rPr>
          <w:rFonts w:hint="eastAsia" w:ascii="方正小标宋简体" w:hAnsi="方正小标宋简体" w:eastAsia="方正小标宋简体" w:cs="方正小标宋简体"/>
          <w:color w:val="000000"/>
          <w:sz w:val="32"/>
          <w:szCs w:val="32"/>
          <w:lang w:val="en-US"/>
        </w:rPr>
        <w:t>第</w:t>
      </w:r>
      <w:r>
        <w:rPr>
          <w:rFonts w:hint="eastAsia" w:ascii="方正小标宋简体" w:hAnsi="方正小标宋简体" w:eastAsia="方正小标宋简体" w:cs="方正小标宋简体"/>
          <w:color w:val="000000"/>
          <w:sz w:val="32"/>
          <w:szCs w:val="32"/>
          <w:lang w:val="en-US" w:eastAsia="zh-CN"/>
        </w:rPr>
        <w:t>六</w:t>
      </w:r>
      <w:r>
        <w:rPr>
          <w:rFonts w:hint="eastAsia" w:ascii="方正小标宋简体" w:hAnsi="方正小标宋简体" w:eastAsia="方正小标宋简体" w:cs="方正小标宋简体"/>
          <w:color w:val="000000"/>
          <w:sz w:val="32"/>
          <w:szCs w:val="32"/>
          <w:lang w:val="en-US"/>
        </w:rPr>
        <w:t xml:space="preserve">章  </w:t>
      </w:r>
      <w:bookmarkEnd w:id="34"/>
      <w:bookmarkEnd w:id="35"/>
      <w:r>
        <w:rPr>
          <w:rFonts w:hint="eastAsia" w:ascii="方正小标宋简体" w:hAnsi="方正小标宋简体" w:eastAsia="方正小标宋简体" w:cs="方正小标宋简体"/>
          <w:color w:val="000000"/>
          <w:sz w:val="32"/>
          <w:szCs w:val="32"/>
          <w:lang w:val="en-US"/>
        </w:rPr>
        <w:t>对风景名胜区的规划实施情况、资源保护状况进行监督检查和评估工作指引</w:t>
      </w:r>
    </w:p>
    <w:p>
      <w:pPr>
        <w:pStyle w:val="4"/>
        <w:pageBreakBefore w:val="0"/>
        <w:widowControl w:val="0"/>
        <w:kinsoku/>
        <w:wordWrap/>
        <w:overflowPunct/>
        <w:topLinePunct w:val="0"/>
        <w:autoSpaceDE/>
        <w:autoSpaceDN/>
        <w:bidi w:val="0"/>
        <w:spacing w:line="600" w:lineRule="exact"/>
        <w:ind w:firstLine="640"/>
        <w:jc w:val="both"/>
        <w:rPr>
          <w:rFonts w:hint="default"/>
        </w:rPr>
      </w:pPr>
      <w:r>
        <w:t>一、抽查事项</w:t>
      </w:r>
    </w:p>
    <w:p>
      <w:pPr>
        <w:pageBreakBefore w:val="0"/>
        <w:widowControl w:val="0"/>
        <w:kinsoku/>
        <w:wordWrap/>
        <w:overflowPunct/>
        <w:topLinePunct w:val="0"/>
        <w:autoSpaceDE/>
        <w:autoSpaceDN/>
        <w:bidi w:val="0"/>
        <w:snapToGrid w:val="0"/>
        <w:spacing w:line="600" w:lineRule="exact"/>
        <w:ind w:firstLine="64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对风景名胜区的规划实施情况、资源保护状况进行监督检查和评估</w:t>
      </w:r>
    </w:p>
    <w:p>
      <w:pPr>
        <w:pStyle w:val="4"/>
        <w:pageBreakBefore w:val="0"/>
        <w:widowControl w:val="0"/>
        <w:kinsoku/>
        <w:wordWrap/>
        <w:overflowPunct/>
        <w:topLinePunct w:val="0"/>
        <w:autoSpaceDE/>
        <w:autoSpaceDN/>
        <w:bidi w:val="0"/>
        <w:spacing w:line="600" w:lineRule="exact"/>
        <w:ind w:firstLine="640"/>
        <w:jc w:val="both"/>
        <w:rPr>
          <w:rFonts w:hint="default"/>
        </w:rPr>
      </w:pPr>
      <w:r>
        <w:t>二、检查内容和方法</w:t>
      </w:r>
    </w:p>
    <w:p>
      <w:pPr>
        <w:pStyle w:val="5"/>
        <w:pageBreakBefore w:val="0"/>
        <w:widowControl w:val="0"/>
        <w:kinsoku/>
        <w:wordWrap/>
        <w:overflowPunct/>
        <w:topLinePunct w:val="0"/>
        <w:autoSpaceDE/>
        <w:autoSpaceDN/>
        <w:bidi w:val="0"/>
        <w:spacing w:line="600" w:lineRule="exact"/>
        <w:ind w:firstLine="640"/>
      </w:pPr>
      <w:r>
        <w:rPr>
          <w:rFonts w:hint="eastAsia"/>
        </w:rPr>
        <w:t>（一）检查内容</w:t>
      </w:r>
    </w:p>
    <w:p>
      <w:pPr>
        <w:pageBreakBefore w:val="0"/>
        <w:widowControl w:val="0"/>
        <w:kinsoku/>
        <w:wordWrap/>
        <w:overflowPunct/>
        <w:topLinePunct w:val="0"/>
        <w:autoSpaceDE/>
        <w:autoSpaceDN/>
        <w:bidi w:val="0"/>
        <w:spacing w:line="600" w:lineRule="exact"/>
        <w:ind w:firstLine="640"/>
      </w:pPr>
      <w:r>
        <w:rPr>
          <w:rFonts w:hint="eastAsia"/>
        </w:rPr>
        <w:t>风景名胜区的规划实施情况、资源保护状况。</w:t>
      </w:r>
    </w:p>
    <w:p>
      <w:pPr>
        <w:pStyle w:val="5"/>
        <w:pageBreakBefore w:val="0"/>
        <w:widowControl w:val="0"/>
        <w:kinsoku/>
        <w:wordWrap/>
        <w:overflowPunct/>
        <w:topLinePunct w:val="0"/>
        <w:autoSpaceDE/>
        <w:autoSpaceDN/>
        <w:bidi w:val="0"/>
        <w:spacing w:line="600" w:lineRule="exact"/>
        <w:ind w:firstLine="640"/>
        <w:rPr>
          <w:lang w:bidi="zh-CN"/>
        </w:rPr>
      </w:pPr>
      <w:r>
        <w:rPr>
          <w:rFonts w:hint="eastAsia"/>
          <w:lang w:bidi="zh-CN"/>
        </w:rPr>
        <w:t>（二）检查方法</w:t>
      </w:r>
    </w:p>
    <w:p>
      <w:pPr>
        <w:pageBreakBefore w:val="0"/>
        <w:widowControl w:val="0"/>
        <w:kinsoku/>
        <w:wordWrap/>
        <w:overflowPunct/>
        <w:topLinePunct w:val="0"/>
        <w:autoSpaceDE/>
        <w:autoSpaceDN/>
        <w:bidi w:val="0"/>
        <w:snapToGrid w:val="0"/>
        <w:spacing w:line="600" w:lineRule="exact"/>
        <w:ind w:firstLine="640"/>
        <w:rPr>
          <w:rFonts w:ascii="仿宋_GB2312" w:hAnsi="楷体_GB2312" w:cs="楷体_GB2312"/>
          <w:szCs w:val="32"/>
        </w:rPr>
      </w:pPr>
      <w:r>
        <w:rPr>
          <w:rFonts w:hint="eastAsia" w:ascii="仿宋_GB2312" w:hAnsi="仿宋_GB2312" w:cs="仿宋_GB2312"/>
          <w:color w:val="000000"/>
          <w:szCs w:val="32"/>
          <w:lang w:bidi="zh-CN"/>
        </w:rPr>
        <w:t>1.座</w:t>
      </w:r>
      <w:r>
        <w:rPr>
          <w:rFonts w:hint="eastAsia" w:ascii="仿宋_GB2312" w:hAnsi="楷体_GB2312" w:cs="楷体_GB2312"/>
          <w:szCs w:val="32"/>
        </w:rPr>
        <w:t>谈会听取汇报。采用座谈会的形式，听取有关市级林业主管部门汇报对风景名胜区总体规划、详细规划等有关规划的实施情况；</w:t>
      </w:r>
    </w:p>
    <w:p>
      <w:pPr>
        <w:pageBreakBefore w:val="0"/>
        <w:widowControl w:val="0"/>
        <w:kinsoku/>
        <w:wordWrap/>
        <w:overflowPunct/>
        <w:topLinePunct w:val="0"/>
        <w:autoSpaceDE/>
        <w:autoSpaceDN/>
        <w:bidi w:val="0"/>
        <w:snapToGrid w:val="0"/>
        <w:spacing w:line="600" w:lineRule="exact"/>
        <w:ind w:firstLine="640"/>
        <w:rPr>
          <w:rFonts w:ascii="仿宋_GB2312" w:hAnsi="楷体_GB2312" w:cs="楷体_GB2312"/>
          <w:szCs w:val="32"/>
        </w:rPr>
      </w:pPr>
      <w:r>
        <w:rPr>
          <w:rFonts w:hint="eastAsia" w:ascii="仿宋_GB2312" w:hAnsi="楷体_GB2312" w:cs="楷体_GB2312"/>
          <w:szCs w:val="32"/>
        </w:rPr>
        <w:t>2.现场检查。采用现场检查的形式，对风景名胜区内资源保护状况进行监督检查和评估。</w:t>
      </w:r>
    </w:p>
    <w:p>
      <w:pPr>
        <w:pStyle w:val="4"/>
        <w:pageBreakBefore w:val="0"/>
        <w:widowControl w:val="0"/>
        <w:kinsoku/>
        <w:wordWrap/>
        <w:overflowPunct/>
        <w:topLinePunct w:val="0"/>
        <w:autoSpaceDE/>
        <w:autoSpaceDN/>
        <w:bidi w:val="0"/>
        <w:spacing w:line="600" w:lineRule="exact"/>
        <w:ind w:firstLine="640"/>
        <w:jc w:val="both"/>
        <w:rPr>
          <w:rFonts w:hint="default"/>
        </w:rPr>
      </w:pPr>
      <w:r>
        <w:t>三、检查依据</w:t>
      </w:r>
    </w:p>
    <w:p>
      <w:pPr>
        <w:pStyle w:val="5"/>
        <w:pageBreakBefore w:val="0"/>
        <w:widowControl w:val="0"/>
        <w:kinsoku/>
        <w:wordWrap/>
        <w:overflowPunct/>
        <w:topLinePunct w:val="0"/>
        <w:autoSpaceDE/>
        <w:autoSpaceDN/>
        <w:bidi w:val="0"/>
        <w:spacing w:line="600" w:lineRule="exact"/>
        <w:ind w:firstLine="640"/>
      </w:pPr>
      <w:r>
        <w:rPr>
          <w:rFonts w:hint="eastAsia"/>
        </w:rPr>
        <w:t>（一）《风景名胜区条例》</w:t>
      </w:r>
    </w:p>
    <w:p>
      <w:pPr>
        <w:pageBreakBefore w:val="0"/>
        <w:widowControl w:val="0"/>
        <w:kinsoku/>
        <w:wordWrap/>
        <w:overflowPunct/>
        <w:topLinePunct w:val="0"/>
        <w:autoSpaceDE/>
        <w:autoSpaceDN/>
        <w:bidi w:val="0"/>
        <w:snapToGrid w:val="0"/>
        <w:spacing w:line="600" w:lineRule="exact"/>
        <w:ind w:firstLine="640"/>
        <w:rPr>
          <w:rFonts w:ascii="仿宋_GB2312" w:hAnsi="楷体_GB2312" w:cs="楷体_GB2312"/>
          <w:szCs w:val="32"/>
        </w:rPr>
      </w:pPr>
      <w:r>
        <w:rPr>
          <w:rFonts w:hint="eastAsia" w:ascii="仿宋_GB2312" w:hAnsi="楷体_GB2312" w:cs="楷体_GB2312"/>
          <w:szCs w:val="32"/>
        </w:rPr>
        <w:t>第三十五条 国务院林业主管部门应当对国家级风景名胜区的规划实施情况、资源保护状况进行监督检查和评估。对发现的问题，应当及时纠正、处理。</w:t>
      </w:r>
    </w:p>
    <w:p>
      <w:pPr>
        <w:pStyle w:val="5"/>
        <w:pageBreakBefore w:val="0"/>
        <w:widowControl w:val="0"/>
        <w:kinsoku/>
        <w:wordWrap/>
        <w:overflowPunct/>
        <w:topLinePunct w:val="0"/>
        <w:autoSpaceDE/>
        <w:autoSpaceDN/>
        <w:bidi w:val="0"/>
        <w:spacing w:line="600" w:lineRule="exact"/>
        <w:ind w:firstLine="640"/>
      </w:pPr>
      <w:r>
        <w:rPr>
          <w:rFonts w:hint="eastAsia"/>
        </w:rPr>
        <w:t>（二）《山东省风景名胜区条例》</w:t>
      </w:r>
    </w:p>
    <w:p>
      <w:pPr>
        <w:pageBreakBefore w:val="0"/>
        <w:widowControl w:val="0"/>
        <w:kinsoku/>
        <w:wordWrap/>
        <w:overflowPunct/>
        <w:topLinePunct w:val="0"/>
        <w:autoSpaceDE/>
        <w:autoSpaceDN/>
        <w:bidi w:val="0"/>
        <w:snapToGrid w:val="0"/>
        <w:spacing w:line="600" w:lineRule="exact"/>
        <w:ind w:firstLine="640"/>
        <w:rPr>
          <w:rFonts w:ascii="仿宋_GB2312" w:hAnsi="楷体_GB2312" w:cs="楷体_GB2312"/>
          <w:szCs w:val="32"/>
        </w:rPr>
      </w:pPr>
      <w:r>
        <w:rPr>
          <w:rFonts w:hint="eastAsia" w:ascii="仿宋_GB2312" w:hAnsi="楷体_GB2312" w:cs="楷体_GB2312"/>
          <w:szCs w:val="32"/>
        </w:rPr>
        <w:t>第四十三条 风景名胜区主管部门应当对风景名胜区的规划实施情况、资源保护状况等进行监督检查和评估，对发现的问题，应当及时纠正、处理。</w:t>
      </w:r>
    </w:p>
    <w:p>
      <w:pPr>
        <w:pStyle w:val="11"/>
        <w:pageBreakBefore w:val="0"/>
        <w:widowControl w:val="0"/>
        <w:kinsoku/>
        <w:wordWrap/>
        <w:overflowPunct/>
        <w:topLinePunct w:val="0"/>
        <w:autoSpaceDE/>
        <w:autoSpaceDN/>
        <w:bidi w:val="0"/>
        <w:snapToGrid w:val="0"/>
        <w:spacing w:line="600" w:lineRule="exact"/>
        <w:ind w:firstLine="640"/>
        <w:jc w:val="center"/>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spacing w:line="600" w:lineRule="exact"/>
        <w:ind w:firstLine="0" w:firstLineChars="0"/>
        <w:rPr>
          <w:rFonts w:hint="eastAsia" w:ascii="仿宋_GB2312" w:hAnsi="仿宋_GB2312" w:eastAsia="仿宋_GB2312" w:cs="仿宋_GB2312"/>
        </w:rPr>
      </w:pPr>
    </w:p>
    <w:p>
      <w:pPr>
        <w:pageBreakBefore w:val="0"/>
        <w:widowControl w:val="0"/>
        <w:kinsoku/>
        <w:wordWrap/>
        <w:overflowPunct/>
        <w:topLinePunct w:val="0"/>
        <w:autoSpaceDE/>
        <w:autoSpaceDN/>
        <w:bidi w:val="0"/>
        <w:spacing w:line="6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sectPr>
      <w:footerReference r:id="rId3" w:type="default"/>
      <w:pgSz w:w="11906" w:h="16838"/>
      <w:pgMar w:top="2098"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73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AEF34"/>
    <w:multiLevelType w:val="singleLevel"/>
    <w:tmpl w:val="B7FAEF34"/>
    <w:lvl w:ilvl="0" w:tentative="0">
      <w:start w:val="2"/>
      <w:numFmt w:val="chineseCounting"/>
      <w:suff w:val="nothing"/>
      <w:lvlText w:val="（%1）"/>
      <w:lvlJc w:val="left"/>
      <w:rPr>
        <w:rFonts w:hint="eastAsia"/>
      </w:rPr>
    </w:lvl>
  </w:abstractNum>
  <w:abstractNum w:abstractNumId="1">
    <w:nsid w:val="FA0D8179"/>
    <w:multiLevelType w:val="singleLevel"/>
    <w:tmpl w:val="FA0D8179"/>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89"/>
    <w:rsid w:val="0005781F"/>
    <w:rsid w:val="000B3A2E"/>
    <w:rsid w:val="002C0D89"/>
    <w:rsid w:val="002E3911"/>
    <w:rsid w:val="002F3F0C"/>
    <w:rsid w:val="00365004"/>
    <w:rsid w:val="00411EBD"/>
    <w:rsid w:val="005428F4"/>
    <w:rsid w:val="00545305"/>
    <w:rsid w:val="005578BF"/>
    <w:rsid w:val="00586C62"/>
    <w:rsid w:val="006471A1"/>
    <w:rsid w:val="006D2948"/>
    <w:rsid w:val="00740C89"/>
    <w:rsid w:val="007D1C1D"/>
    <w:rsid w:val="007F774C"/>
    <w:rsid w:val="00894163"/>
    <w:rsid w:val="00974798"/>
    <w:rsid w:val="00977205"/>
    <w:rsid w:val="00CE5240"/>
    <w:rsid w:val="00D9238A"/>
    <w:rsid w:val="00D96C4F"/>
    <w:rsid w:val="00DF199E"/>
    <w:rsid w:val="00F157C3"/>
    <w:rsid w:val="01B50C56"/>
    <w:rsid w:val="050A1E4B"/>
    <w:rsid w:val="08C552C8"/>
    <w:rsid w:val="08D37DBD"/>
    <w:rsid w:val="0A0318C2"/>
    <w:rsid w:val="0BB4059A"/>
    <w:rsid w:val="10E01CA3"/>
    <w:rsid w:val="12AC183D"/>
    <w:rsid w:val="13A72D47"/>
    <w:rsid w:val="2DDB0AD7"/>
    <w:rsid w:val="30BF1619"/>
    <w:rsid w:val="31B670F6"/>
    <w:rsid w:val="3F9839A6"/>
    <w:rsid w:val="41E64625"/>
    <w:rsid w:val="44DD6E44"/>
    <w:rsid w:val="4A070A02"/>
    <w:rsid w:val="57C94B4F"/>
    <w:rsid w:val="72CD3063"/>
    <w:rsid w:val="78F34E11"/>
    <w:rsid w:val="79206CD2"/>
    <w:rsid w:val="792C2467"/>
    <w:rsid w:val="7BA5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100" w:beforeLines="100"/>
      <w:ind w:firstLine="0" w:firstLineChars="0"/>
      <w:jc w:val="center"/>
      <w:outlineLvl w:val="0"/>
    </w:pPr>
    <w:rPr>
      <w:rFonts w:ascii="方正小标宋简体" w:hAnsi="方正小标宋简体" w:eastAsia="方正小标宋简体" w:cs="方正小标宋简体"/>
      <w:kern w:val="44"/>
      <w:sz w:val="44"/>
      <w:szCs w:val="22"/>
    </w:rPr>
  </w:style>
  <w:style w:type="paragraph" w:styleId="4">
    <w:name w:val="heading 2"/>
    <w:basedOn w:val="1"/>
    <w:next w:val="1"/>
    <w:qFormat/>
    <w:uiPriority w:val="0"/>
    <w:pPr>
      <w:jc w:val="left"/>
      <w:outlineLvl w:val="1"/>
    </w:pPr>
    <w:rPr>
      <w:rFonts w:hint="eastAsia" w:ascii="宋体" w:hAnsi="宋体" w:eastAsia="黑体"/>
      <w:kern w:val="0"/>
      <w:szCs w:val="36"/>
    </w:rPr>
  </w:style>
  <w:style w:type="paragraph" w:styleId="5">
    <w:name w:val="heading 3"/>
    <w:basedOn w:val="1"/>
    <w:next w:val="1"/>
    <w:qFormat/>
    <w:uiPriority w:val="0"/>
    <w:pPr>
      <w:keepNext/>
      <w:keepLines/>
      <w:outlineLvl w:val="2"/>
    </w:pPr>
    <w:rPr>
      <w:rFonts w:ascii="Calibri" w:hAnsi="Calibri" w:eastAsia="楷体_GB2312"/>
    </w:rPr>
  </w:style>
  <w:style w:type="paragraph" w:styleId="6">
    <w:name w:val="heading 4"/>
    <w:basedOn w:val="1"/>
    <w:next w:val="1"/>
    <w:qFormat/>
    <w:uiPriority w:val="0"/>
    <w:pPr>
      <w:keepNext/>
      <w:keepLines/>
      <w:outlineLvl w:val="3"/>
    </w:pPr>
    <w:rPr>
      <w:rFonts w:ascii="Arial" w:hAnsi="Arial"/>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1">
    <w:name w:val="Body text|1"/>
    <w:basedOn w:val="1"/>
    <w:qFormat/>
    <w:uiPriority w:val="0"/>
    <w:pPr>
      <w:spacing w:line="319" w:lineRule="auto"/>
      <w:ind w:firstLine="400"/>
    </w:pPr>
    <w:rPr>
      <w:rFonts w:ascii="宋体" w:hAnsi="宋体" w:cs="宋体"/>
      <w:sz w:val="20"/>
      <w:szCs w:val="20"/>
      <w:lang w:val="zh-CN" w:bidi="zh-CN"/>
    </w:rPr>
  </w:style>
  <w:style w:type="character" w:customStyle="1" w:styleId="12">
    <w:name w:val="标题 3 字符"/>
    <w:qFormat/>
    <w:uiPriority w:val="0"/>
    <w:rPr>
      <w:rFonts w:ascii="仿宋_GB2312" w:hAnsi="Times New Roman" w:eastAsia="仿宋_GB2312" w:cs="Times New Roman"/>
      <w:b/>
      <w:bCs/>
      <w:sz w:val="30"/>
      <w:szCs w:val="30"/>
      <w:lang w:val="en-US" w:eastAsia="zh-CN" w:bidi="ar-SA"/>
    </w:rPr>
  </w:style>
  <w:style w:type="paragraph" w:customStyle="1" w:styleId="13">
    <w:name w:val="样式 首行缩进:  2 字符"/>
    <w:basedOn w:val="1"/>
    <w:qFormat/>
    <w:uiPriority w:val="99"/>
    <w:pPr>
      <w:adjustRightInd w:val="0"/>
      <w:snapToGrid w:val="0"/>
      <w:spacing w:line="520" w:lineRule="exact"/>
      <w:ind w:firstLine="560"/>
    </w:pPr>
    <w:rPr>
      <w:rFonts w:ascii="Calibri" w:hAnsi="Calibri"/>
      <w:color w:val="00000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1727</Words>
  <Characters>9844</Characters>
  <Lines>82</Lines>
  <Paragraphs>23</Paragraphs>
  <TotalTime>213</TotalTime>
  <ScaleCrop>false</ScaleCrop>
  <LinksUpToDate>false</LinksUpToDate>
  <CharactersWithSpaces>11548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2023-07-26T02:14:00Z</dcterms:created>
  <dc:creator>Administrator</dc:creator>
  <cp:lastModifiedBy>Administrator</cp:lastModifiedBy>
  <cp:lastPrinted>2024-11-05T03:24:00Z</cp:lastPrinted>
  <dcterms:modified xsi:type="dcterms:W3CDTF">2024-11-14T02:23:42Z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