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val="en-US" w:eastAsia="zh-CN"/>
          <w14:textFill>
            <w14:solidFill>
              <w14:schemeClr w14:val="tx1"/>
            </w14:solidFill>
          </w14:textFill>
        </w:rPr>
        <w:t>临淄区自然资源局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val="0"/>
          <w:bCs/>
          <w:i w:val="0"/>
          <w:caps w:val="0"/>
          <w:color w:val="000000" w:themeColor="text1"/>
          <w:spacing w:val="0"/>
          <w:sz w:val="24"/>
          <w:szCs w:val="2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val="en-US" w:eastAsia="zh-CN"/>
          <w14:textFill>
            <w14:solidFill>
              <w14:schemeClr w14:val="tx1"/>
            </w14:solidFill>
          </w14:textFill>
        </w:rPr>
        <w:t>2022年</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宋体" w:hAnsi="宋体" w:eastAsia="仿宋_GB2312" w:cs="宋体"/>
          <w:i w:val="0"/>
          <w:caps w:val="0"/>
          <w:color w:val="000000" w:themeColor="text1"/>
          <w:spacing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w:t>
      </w:r>
      <w:r>
        <w:rPr>
          <w:rFonts w:hint="eastAsia" w:ascii="仿宋_GB2312" w:hAnsi="仿宋_GB2312" w:eastAsia="仿宋_GB2312" w:cs="仿宋_GB2312"/>
          <w:color w:val="000000" w:themeColor="text1"/>
          <w:sz w:val="32"/>
          <w:szCs w:val="32"/>
          <w:lang w:eastAsia="zh-CN"/>
          <w14:textFill>
            <w14:solidFill>
              <w14:schemeClr w14:val="tx1"/>
            </w14:solidFill>
          </w14:textFill>
        </w:rPr>
        <w:t>自</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年1月1日</w:t>
      </w:r>
      <w:r>
        <w:rPr>
          <w:rFonts w:hint="eastAsia" w:ascii="仿宋_GB2312" w:hAnsi="仿宋_GB2312" w:eastAsia="仿宋_GB2312" w:cs="仿宋_GB2312"/>
          <w:color w:val="000000" w:themeColor="text1"/>
          <w:sz w:val="32"/>
          <w:szCs w:val="32"/>
          <w:lang w:eastAsia="zh-CN"/>
          <w14:textFill>
            <w14:solidFill>
              <w14:schemeClr w14:val="tx1"/>
            </w14:solidFill>
          </w14:textFill>
        </w:rPr>
        <w:t>起，</w:t>
      </w:r>
      <w:r>
        <w:rPr>
          <w:rFonts w:hint="eastAsia" w:ascii="仿宋_GB2312" w:hAnsi="仿宋_GB2312" w:eastAsia="仿宋_GB2312" w:cs="仿宋_GB2312"/>
          <w:color w:val="000000" w:themeColor="text1"/>
          <w:sz w:val="32"/>
          <w:szCs w:val="32"/>
          <w14:textFill>
            <w14:solidFill>
              <w14:schemeClr w14:val="tx1"/>
            </w14:solidFill>
          </w14:textFill>
        </w:rPr>
        <w:t>到12月31日止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。如对本报告内容有疑问，请与临淄区自然资源局联系（地址：临淄区雪宫路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354号；</w:t>
      </w:r>
      <w:r>
        <w:rPr>
          <w:rFonts w:ascii="仿宋_GB2312" w:hAnsi="宋体" w:eastAsia="仿宋_GB2312" w:cs="仿宋_GB2312"/>
          <w:i w:val="0"/>
          <w:iCs w:val="0"/>
          <w:caps w:val="0"/>
          <w:color w:val="000000"/>
          <w:spacing w:val="0"/>
          <w:sz w:val="31"/>
          <w:szCs w:val="31"/>
          <w:shd w:val="clear" w:fill="FFFFFF"/>
        </w:rPr>
        <w:t>邮政编码：255400</w:t>
      </w:r>
      <w:r>
        <w:rPr>
          <w:rFonts w:hint="eastAsia" w:ascii="仿宋_GB2312" w:hAnsi="宋体" w:eastAsia="仿宋_GB2312" w:cs="仿宋_GB2312"/>
          <w:i w:val="0"/>
          <w:iCs w:val="0"/>
          <w:caps w:val="0"/>
          <w:color w:val="000000"/>
          <w:spacing w:val="0"/>
          <w:sz w:val="31"/>
          <w:szCs w:val="31"/>
          <w:shd w:val="clear" w:fill="FFFFFF"/>
          <w:lang w:eastAsia="zh-CN"/>
        </w:rPr>
        <w:t>；电话：</w:t>
      </w:r>
      <w:r>
        <w:rPr>
          <w:rFonts w:hint="eastAsia" w:ascii="仿宋_GB2312" w:hAnsi="宋体" w:eastAsia="仿宋_GB2312" w:cs="仿宋_GB2312"/>
          <w:i w:val="0"/>
          <w:iCs w:val="0"/>
          <w:caps w:val="0"/>
          <w:color w:val="000000"/>
          <w:spacing w:val="0"/>
          <w:sz w:val="31"/>
          <w:szCs w:val="31"/>
          <w:shd w:val="clear" w:fill="FFFFFF"/>
          <w:lang w:val="en-US" w:eastAsia="zh-CN"/>
        </w:rPr>
        <w:t>0533-7190156；邮箱：lzgtfjjcs@zb.shandong.cn）。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年，在区委</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区政府和市局的正确领导下，</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我</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局认真贯彻落实《中华人民共和国政府信息公开条例》的有关规定，</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进一步加强组织领导，强化责任意识，明确任务分工，加大督导力度，</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坚持“以公开为常态，以不公开为例外”的原则，</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不</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断</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提高</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政务服务</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质量</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spacing w:val="0"/>
          <w:sz w:val="32"/>
          <w:szCs w:val="32"/>
          <w:shd w:val="clear" w:fill="FFFFFF"/>
        </w:rPr>
        <w:t>保障政府信息公开工作依法、及时、有序地开展，</w:t>
      </w:r>
      <w:r>
        <w:rPr>
          <w:rFonts w:hint="eastAsia" w:ascii="仿宋_GB2312" w:hAnsi="仿宋_GB2312" w:eastAsia="仿宋_GB2312" w:cs="仿宋_GB2312"/>
          <w:i w:val="0"/>
          <w:iCs w:val="0"/>
          <w:caps w:val="0"/>
          <w:color w:val="000000"/>
          <w:spacing w:val="0"/>
          <w:sz w:val="32"/>
          <w:szCs w:val="32"/>
          <w:shd w:val="clear" w:fill="FFFFFF"/>
          <w:lang w:eastAsia="zh-CN"/>
        </w:rPr>
        <w:t>保障了人民群众的知情权，也促进了政府公信力的提升。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（一）主动公开情况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2022年，</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在临淄区人民政府网站公开信息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440</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余条，</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其中机构职能类</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3条、法规公文类2条、政府会议类10条、规划计划类8条、重大建设项目类2条、民生公益类11条、财政信息5条、公共资源配置类306条、管理和服务公开25条、公共监管类6条、业务工作类54条、政务公开保障机制类8条、主动公开基本目录1条、基层政务公开标准化目录3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在微信公众号发布信息140余条；在山东省征地信息公开管理系统发布信息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130</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余条；在山东省“互联网+监管”系统发布信息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50</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余条。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ascii="微软雅黑" w:hAnsi="微软雅黑" w:eastAsia="微软雅黑" w:cs="微软雅黑"/>
          <w:i w:val="0"/>
          <w:caps w:val="0"/>
          <w:color w:val="000000" w:themeColor="text1"/>
          <w:spacing w:val="0"/>
          <w:sz w:val="24"/>
          <w:szCs w:val="24"/>
          <w14:textFill>
            <w14:solidFill>
              <w14:schemeClr w14:val="tx1"/>
            </w14:solidFill>
          </w14:textFill>
        </w:rPr>
      </w:pPr>
      <w:r>
        <w:rPr>
          <w:rFonts w:ascii="楷体_GB2312" w:hAnsi="微软雅黑" w:eastAsia="楷体_GB2312" w:cs="楷体_GB2312"/>
          <w:i w:val="0"/>
          <w:caps w:val="0"/>
          <w:color w:val="000000" w:themeColor="text1"/>
          <w:spacing w:val="0"/>
          <w:sz w:val="32"/>
          <w:szCs w:val="32"/>
          <w:shd w:val="clear" w:fill="FFFFFF"/>
          <w14:textFill>
            <w14:solidFill>
              <w14:schemeClr w14:val="tx1"/>
            </w14:solidFill>
          </w14:textFill>
        </w:rPr>
        <w:t>(</w:t>
      </w:r>
      <w:r>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t>二</w:t>
      </w:r>
      <w:r>
        <w:rPr>
          <w:rFonts w:ascii="楷体_GB2312" w:hAnsi="微软雅黑" w:eastAsia="楷体_GB2312" w:cs="楷体_GB2312"/>
          <w:i w:val="0"/>
          <w:caps w:val="0"/>
          <w:color w:val="000000" w:themeColor="text1"/>
          <w:spacing w:val="0"/>
          <w:sz w:val="32"/>
          <w:szCs w:val="32"/>
          <w:shd w:val="clear" w:fill="FFFFFF"/>
          <w14:textFill>
            <w14:solidFill>
              <w14:schemeClr w14:val="tx1"/>
            </w14:solidFill>
          </w14:textFill>
        </w:rPr>
        <w:t>)依申请公开办理情况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仿宋_GB2312" w:hAnsi="微软雅黑" w:eastAsia="仿宋_GB2312" w:cs="仿宋_GB2312"/>
          <w:i w:val="0"/>
          <w:caps w:val="0"/>
          <w:color w:val="000000" w:themeColor="text1"/>
          <w:spacing w:val="0"/>
          <w:sz w:val="32"/>
          <w:szCs w:val="32"/>
          <w:shd w:val="clear" w:fill="FFFFFF"/>
          <w:lang w:val="en-US" w:eastAsia="zh-CN"/>
          <w14:textFill>
            <w14:solidFill>
              <w14:schemeClr w14:val="tx1"/>
            </w14:solidFill>
          </w14:textFill>
        </w:rPr>
        <w:t>坚持依申请公开政府信息工作机制，畅通申请渠道，目前我局受理政府信息公开申请以当面为主，邮寄及网络申请为辅，方便申请人选择适合自己的方法申请公开政府信息。</w:t>
      </w:r>
      <w:r>
        <w:rPr>
          <w:rFonts w:ascii="仿宋_GB2312" w:hAnsi="微软雅黑" w:eastAsia="仿宋_GB2312" w:cs="仿宋_GB2312"/>
          <w:i w:val="0"/>
          <w:caps w:val="0"/>
          <w:color w:val="000000" w:themeColor="text1"/>
          <w:spacing w:val="0"/>
          <w:sz w:val="32"/>
          <w:szCs w:val="32"/>
          <w:shd w:val="clear" w:fill="FFFFFF"/>
          <w14:textFill>
            <w14:solidFill>
              <w14:schemeClr w14:val="tx1"/>
            </w14:solidFill>
          </w14:textFill>
        </w:rPr>
        <w:t>202</w:t>
      </w:r>
      <w:r>
        <w:rPr>
          <w:rFonts w:hint="eastAsia" w:ascii="仿宋_GB2312" w:hAnsi="微软雅黑" w:eastAsia="仿宋_GB2312" w:cs="仿宋_GB2312"/>
          <w:i w:val="0"/>
          <w:caps w:val="0"/>
          <w:color w:val="000000" w:themeColor="text1"/>
          <w:spacing w:val="0"/>
          <w:sz w:val="32"/>
          <w:szCs w:val="32"/>
          <w:shd w:val="clear" w:fill="FFFFFF"/>
          <w:lang w:val="en-US" w:eastAsia="zh-CN"/>
          <w14:textFill>
            <w14:solidFill>
              <w14:schemeClr w14:val="tx1"/>
            </w14:solidFill>
          </w14:textFill>
        </w:rPr>
        <w:t>2</w:t>
      </w:r>
      <w:r>
        <w:rPr>
          <w:rFonts w:ascii="仿宋_GB2312" w:hAnsi="微软雅黑" w:eastAsia="仿宋_GB2312" w:cs="仿宋_GB2312"/>
          <w:i w:val="0"/>
          <w:caps w:val="0"/>
          <w:color w:val="000000" w:themeColor="text1"/>
          <w:spacing w:val="0"/>
          <w:sz w:val="32"/>
          <w:szCs w:val="32"/>
          <w:shd w:val="clear" w:fill="FFFFFF"/>
          <w14:textFill>
            <w14:solidFill>
              <w14:schemeClr w14:val="tx1"/>
            </w14:solidFill>
          </w14:textFill>
        </w:rPr>
        <w:t>年度接收公民和法人政府信息公开</w:t>
      </w:r>
      <w:r>
        <w:rPr>
          <w:rFonts w:ascii="仿宋_GB2312" w:hAnsi="微软雅黑" w:eastAsia="仿宋_GB2312" w:cs="仿宋_GB2312"/>
          <w:i w:val="0"/>
          <w:caps w:val="0"/>
          <w:color w:val="000000" w:themeColor="text1"/>
          <w:spacing w:val="0"/>
          <w:sz w:val="32"/>
          <w:szCs w:val="32"/>
          <w:highlight w:val="none"/>
          <w:shd w:val="clear" w:fill="FFFFFF"/>
          <w14:textFill>
            <w14:solidFill>
              <w14:schemeClr w14:val="tx1"/>
            </w14:solidFill>
          </w14:textFill>
        </w:rPr>
        <w:t>申请</w:t>
      </w:r>
      <w:r>
        <w:rPr>
          <w:rFonts w:hint="eastAsia" w:ascii="仿宋_GB2312" w:hAnsi="微软雅黑"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54</w:t>
      </w:r>
      <w:r>
        <w:rPr>
          <w:rFonts w:ascii="仿宋_GB2312" w:hAnsi="微软雅黑" w:eastAsia="仿宋_GB2312" w:cs="仿宋_GB2312"/>
          <w:i w:val="0"/>
          <w:caps w:val="0"/>
          <w:color w:val="000000" w:themeColor="text1"/>
          <w:spacing w:val="0"/>
          <w:sz w:val="32"/>
          <w:szCs w:val="32"/>
          <w:highlight w:val="none"/>
          <w:shd w:val="clear" w:fill="FFFFFF"/>
          <w14:textFill>
            <w14:solidFill>
              <w14:schemeClr w14:val="tx1"/>
            </w14:solidFill>
          </w14:textFill>
        </w:rPr>
        <w:t>件</w:t>
      </w:r>
      <w:r>
        <w:rPr>
          <w:rFonts w:ascii="仿宋_GB2312" w:hAnsi="微软雅黑"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32"/>
          <w:szCs w:val="32"/>
          <w:shd w:val="clear" w:fill="FFFFFF"/>
          <w:lang w:val="en-US" w:eastAsia="zh-CN"/>
          <w14:textFill>
            <w14:solidFill>
              <w14:schemeClr w14:val="tx1"/>
            </w14:solidFill>
          </w14:textFill>
        </w:rPr>
        <w:t>按时办</w:t>
      </w:r>
      <w:r>
        <w:rPr>
          <w:rFonts w:hint="eastAsia" w:ascii="仿宋_GB2312" w:hAnsi="微软雅黑"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结54件</w:t>
      </w:r>
      <w:r>
        <w:rPr>
          <w:rFonts w:hint="eastAsia" w:ascii="仿宋_GB2312" w:hAnsi="微软雅黑" w:eastAsia="仿宋_GB2312" w:cs="仿宋_GB2312"/>
          <w:i w:val="0"/>
          <w:caps w:val="0"/>
          <w:color w:val="000000" w:themeColor="text1"/>
          <w:spacing w:val="0"/>
          <w:sz w:val="32"/>
          <w:szCs w:val="32"/>
          <w:shd w:val="clear" w:fill="FFFFFF"/>
          <w:lang w:val="en-US" w:eastAsia="zh-CN"/>
          <w14:textFill>
            <w14:solidFill>
              <w14:schemeClr w14:val="tx1"/>
            </w14:solidFill>
          </w14:textFill>
        </w:rPr>
        <w:t>，对收到的所有申请均按照规定认真办理</w:t>
      </w:r>
      <w:r>
        <w:rPr>
          <w:rFonts w:ascii="仿宋_GB2312" w:hAnsi="微软雅黑" w:eastAsia="仿宋_GB2312" w:cs="仿宋_GB2312"/>
          <w:i w:val="0"/>
          <w:caps w:val="0"/>
          <w:color w:val="000000" w:themeColor="text1"/>
          <w:spacing w:val="0"/>
          <w:sz w:val="32"/>
          <w:szCs w:val="32"/>
          <w:shd w:val="clear" w:fill="FFFFFF"/>
          <w14:textFill>
            <w14:solidFill>
              <w14:schemeClr w14:val="tx1"/>
            </w14:solidFill>
          </w14:textFill>
        </w:rPr>
        <w:t>并留存归档。</w:t>
      </w:r>
      <w:r>
        <w:rPr>
          <w:rFonts w:hint="eastAsia" w:ascii="仿宋_GB2312" w:hAnsi="微软雅黑" w:eastAsia="仿宋_GB2312" w:cs="仿宋_GB2312"/>
          <w:i w:val="0"/>
          <w:caps w:val="0"/>
          <w:color w:val="000000" w:themeColor="text1"/>
          <w:spacing w:val="0"/>
          <w:sz w:val="32"/>
          <w:szCs w:val="32"/>
          <w:shd w:val="clear" w:fill="FFFFFF"/>
          <w:lang w:val="en-US" w:eastAsia="zh-CN"/>
          <w14:textFill>
            <w14:solidFill>
              <w14:schemeClr w14:val="tx1"/>
            </w14:solidFill>
          </w14:textFill>
        </w:rPr>
        <w:t>同时</w:t>
      </w:r>
      <w:r>
        <w:rPr>
          <w:rFonts w:ascii="仿宋_GB2312" w:hAnsi="宋体" w:eastAsia="仿宋_GB2312" w:cs="仿宋_GB2312"/>
          <w:i w:val="0"/>
          <w:caps w:val="0"/>
          <w:color w:val="000000" w:themeColor="text1"/>
          <w:spacing w:val="0"/>
          <w:sz w:val="32"/>
          <w:szCs w:val="32"/>
          <w:shd w:val="clear" w:fill="FFFFFF"/>
          <w14:textFill>
            <w14:solidFill>
              <w14:schemeClr w14:val="tx1"/>
            </w14:solidFill>
          </w14:textFill>
        </w:rPr>
        <w:t>严格执行政府信息公开前保密审查制度，制作保密审查单并由分管领导签字，规范政府信息公开的审查程序，202</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2</w:t>
      </w:r>
      <w:r>
        <w:rPr>
          <w:rFonts w:ascii="仿宋_GB2312" w:hAnsi="宋体" w:eastAsia="仿宋_GB2312" w:cs="仿宋_GB2312"/>
          <w:i w:val="0"/>
          <w:caps w:val="0"/>
          <w:color w:val="000000" w:themeColor="text1"/>
          <w:spacing w:val="0"/>
          <w:sz w:val="32"/>
          <w:szCs w:val="32"/>
          <w:shd w:val="clear" w:fill="FFFFFF"/>
          <w14:textFill>
            <w14:solidFill>
              <w14:schemeClr w14:val="tx1"/>
            </w14:solidFill>
          </w14:textFill>
        </w:rPr>
        <w:t>年未发生泄密事件。</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t>政府信息管理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楷体_GB2312" w:hAnsi="微软雅黑" w:eastAsia="仿宋_GB2312" w:cs="楷体_GB2312"/>
          <w:i w:val="0"/>
          <w:caps w:val="0"/>
          <w:color w:val="000000" w:themeColor="text1"/>
          <w:spacing w:val="0"/>
          <w:sz w:val="32"/>
          <w:szCs w:val="32"/>
          <w:shd w:val="clear" w:fill="FFFFFF"/>
          <w:lang w:val="en-US" w:eastAsia="zh-CN"/>
          <w14:textFill>
            <w14:solidFill>
              <w14:schemeClr w14:val="tx1"/>
            </w14:solidFill>
          </w14:textFill>
        </w:rPr>
      </w:pPr>
      <w:r>
        <w:rPr>
          <w:rFonts w:ascii="仿宋_GB2312" w:hAnsi="宋体" w:eastAsia="仿宋_GB2312" w:cs="仿宋_GB2312"/>
          <w:i w:val="0"/>
          <w:caps w:val="0"/>
          <w:color w:val="000000"/>
          <w:spacing w:val="0"/>
          <w:sz w:val="32"/>
          <w:szCs w:val="32"/>
          <w:shd w:val="clear" w:fill="FFFFFF"/>
        </w:rPr>
        <w:t>局办公室负责单位政务公开工作，确定专人负责政务公开工作，严格执行政务公开</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i w:val="0"/>
          <w:caps w:val="0"/>
          <w:color w:val="000000"/>
          <w:spacing w:val="0"/>
          <w:sz w:val="32"/>
          <w:szCs w:val="32"/>
          <w:shd w:val="clear" w:fill="FFFFFF"/>
          <w:lang w:val="en-US" w:eastAsia="zh-CN"/>
        </w:rPr>
        <w:t>先审查、后公开</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保密审查制度</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i w:val="0"/>
          <w:caps w:val="0"/>
          <w:color w:val="000000"/>
          <w:spacing w:val="0"/>
          <w:sz w:val="32"/>
          <w:szCs w:val="32"/>
          <w:shd w:val="clear" w:fill="FFFFFF"/>
          <w:lang w:val="en-US" w:eastAsia="zh-CN"/>
        </w:rPr>
        <w:t>确保公开信息不泄密。</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t>（四）政府信息公开平台建设</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caps w:val="0"/>
          <w:color w:val="000000" w:themeColor="text1"/>
          <w:spacing w:val="0"/>
          <w:sz w:val="32"/>
          <w:szCs w:val="32"/>
          <w:shd w:val="clear" w:fill="FFFFFF"/>
          <w:lang w:eastAsia="zh-CN"/>
          <w14:textFill>
            <w14:solidFill>
              <w14:schemeClr w14:val="tx1"/>
            </w14:solidFill>
          </w14:textFill>
        </w:rPr>
        <w:t>为进一步强化政务公开工作，最大程度方便群众获取政府信息，我局不断加强政府信息公开平台建设，一是</w:t>
      </w:r>
      <w:r>
        <w:rPr>
          <w:rFonts w:ascii="仿宋_GB2312" w:hAnsi="宋体" w:eastAsia="仿宋_GB2312" w:cs="仿宋_GB2312"/>
          <w:i w:val="0"/>
          <w:caps w:val="0"/>
          <w:color w:val="000000" w:themeColor="text1"/>
          <w:spacing w:val="0"/>
          <w:sz w:val="32"/>
          <w:szCs w:val="32"/>
          <w:shd w:val="clear" w:fill="FFFFFF"/>
          <w14:textFill>
            <w14:solidFill>
              <w14:schemeClr w14:val="tx1"/>
            </w14:solidFill>
          </w14:textFill>
        </w:rPr>
        <w:t>在临淄区政府网站设立临淄区</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自然资源</w:t>
      </w:r>
      <w:r>
        <w:rPr>
          <w:rFonts w:ascii="仿宋_GB2312" w:hAnsi="宋体" w:eastAsia="仿宋_GB2312" w:cs="仿宋_GB2312"/>
          <w:i w:val="0"/>
          <w:caps w:val="0"/>
          <w:color w:val="000000" w:themeColor="text1"/>
          <w:spacing w:val="0"/>
          <w:sz w:val="32"/>
          <w:szCs w:val="32"/>
          <w:shd w:val="clear" w:fill="FFFFFF"/>
          <w14:textFill>
            <w14:solidFill>
              <w14:schemeClr w14:val="tx1"/>
            </w14:solidFill>
          </w14:textFill>
        </w:rPr>
        <w:t>局政府信息公开专栏</w:t>
      </w:r>
      <w:r>
        <w:rPr>
          <w:rFonts w:hint="eastAsia" w:ascii="仿宋_GB2312" w:hAnsi="宋体" w:eastAsia="仿宋_GB2312" w:cs="仿宋_GB2312"/>
          <w:i w:val="0"/>
          <w:caps w:val="0"/>
          <w:color w:val="000000" w:themeColor="text1"/>
          <w:spacing w:val="0"/>
          <w:sz w:val="32"/>
          <w:szCs w:val="32"/>
          <w:shd w:val="clear" w:fill="FFFFFF"/>
          <w:lang w:eastAsia="zh-CN"/>
          <w14:textFill>
            <w14:solidFill>
              <w14:schemeClr w14:val="tx1"/>
            </w14:solidFill>
          </w14:textFill>
        </w:rPr>
        <w:t>，年内共发布信息</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440余条</w:t>
      </w:r>
      <w:r>
        <w:rPr>
          <w:rFonts w:hint="eastAsia" w:ascii="仿宋_GB2312" w:hAnsi="宋体" w:eastAsia="仿宋_GB2312" w:cs="仿宋_GB2312"/>
          <w:i w:val="0"/>
          <w:caps w:val="0"/>
          <w:color w:val="000000" w:themeColor="text1"/>
          <w:spacing w:val="0"/>
          <w:sz w:val="32"/>
          <w:szCs w:val="32"/>
          <w:shd w:val="clear" w:fill="FFFFFF"/>
          <w:lang w:eastAsia="zh-CN"/>
          <w14:textFill>
            <w14:solidFill>
              <w14:schemeClr w14:val="tx1"/>
            </w14:solidFill>
          </w14:textFill>
        </w:rPr>
        <w:t>；二是充分利用新媒体开展信息公开工作，年内</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在“临淄自然资源”微信公众号上发布政府信息140余条。传统门户网站与新媒体公众号相互补充的公开方式有利于提高政府信息公开工作的全面性、有效性，保障政务公开工作的高质量落实。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drawing>
          <wp:inline distT="0" distB="0" distL="114300" distR="114300">
            <wp:extent cx="5272405" cy="4674235"/>
            <wp:effectExtent l="0" t="0" r="4445" b="1206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4"/>
                    <a:stretch>
                      <a:fillRect/>
                    </a:stretch>
                  </pic:blipFill>
                  <pic:spPr>
                    <a:xfrm>
                      <a:off x="0" y="0"/>
                      <a:ext cx="5272405" cy="4674235"/>
                    </a:xfrm>
                    <a:prstGeom prst="rect">
                      <a:avLst/>
                    </a:prstGeom>
                  </pic:spPr>
                </pic:pic>
              </a:graphicData>
            </a:graphic>
          </wp:inline>
        </w:drawing>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center"/>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图1、区政府网站业务信息截图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center"/>
        <w:textAlignment w:val="auto"/>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drawing>
          <wp:inline distT="0" distB="0" distL="114300" distR="114300">
            <wp:extent cx="3048635" cy="5181600"/>
            <wp:effectExtent l="0" t="0" r="18415" b="0"/>
            <wp:docPr id="5" name="图片 5" descr="微信图片_2023011115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111151504"/>
                    <pic:cNvPicPr>
                      <a:picLocks noChangeAspect="1"/>
                    </pic:cNvPicPr>
                  </pic:nvPicPr>
                  <pic:blipFill>
                    <a:blip r:embed="rId5"/>
                    <a:stretch>
                      <a:fillRect/>
                    </a:stretch>
                  </pic:blipFill>
                  <pic:spPr>
                    <a:xfrm>
                      <a:off x="0" y="0"/>
                      <a:ext cx="3048635" cy="518160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center"/>
        <w:textAlignment w:val="auto"/>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t>图2、微信公众号工作信息截图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楷体_GB2312" w:hAnsi="微软雅黑" w:eastAsia="楷体_GB2312" w:cs="楷体_GB2312"/>
          <w:i w:val="0"/>
          <w:caps w:val="0"/>
          <w:color w:val="000000" w:themeColor="text1"/>
          <w:spacing w:val="0"/>
          <w:sz w:val="32"/>
          <w:szCs w:val="32"/>
          <w:shd w:val="clear" w:fill="FFFFFF"/>
          <w14:textFill>
            <w14:solidFill>
              <w14:schemeClr w14:val="tx1"/>
            </w14:solidFill>
          </w14:textFill>
        </w:rPr>
      </w:pPr>
      <w:r>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t>（五）</w:t>
      </w:r>
      <w:r>
        <w:rPr>
          <w:rFonts w:hint="eastAsia" w:ascii="楷体_GB2312" w:hAnsi="微软雅黑" w:eastAsia="楷体_GB2312" w:cs="楷体_GB2312"/>
          <w:i w:val="0"/>
          <w:caps w:val="0"/>
          <w:color w:val="000000" w:themeColor="text1"/>
          <w:spacing w:val="0"/>
          <w:sz w:val="32"/>
          <w:szCs w:val="32"/>
          <w:shd w:val="clear" w:fill="FFFFFF"/>
          <w14:textFill>
            <w14:solidFill>
              <w14:schemeClr w14:val="tx1"/>
            </w14:solidFill>
          </w14:textFill>
        </w:rPr>
        <w:t>监督保障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一是高度重视政务公开工作，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我局由局长任组长，全体局党组成员任副组长，各部门负责人为成员的局政府信息公开领导小组</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对政府信息公开工作负总责</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局办公室</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具体负责政府信息公开工作的开展</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。同时根据实际工作情况适时调整小组成员名单，保障工作有序开展；二是积极开展政务公开工作培训班，深入学习上级关于</w:t>
      </w:r>
      <w:r>
        <w:rPr>
          <w:rFonts w:ascii="仿宋_GB2312" w:hAnsi="宋体" w:eastAsia="仿宋_GB2312" w:cs="仿宋_GB2312"/>
          <w:i w:val="0"/>
          <w:iCs w:val="0"/>
          <w:caps w:val="0"/>
          <w:color w:val="000000"/>
          <w:spacing w:val="0"/>
          <w:sz w:val="32"/>
          <w:szCs w:val="32"/>
          <w:shd w:val="clear" w:fill="FFFFFF"/>
        </w:rPr>
        <w:t>政务信息公开工作</w:t>
      </w:r>
      <w:r>
        <w:rPr>
          <w:rFonts w:hint="eastAsia" w:ascii="仿宋_GB2312" w:hAnsi="宋体" w:eastAsia="仿宋_GB2312" w:cs="仿宋_GB2312"/>
          <w:i w:val="0"/>
          <w:iCs w:val="0"/>
          <w:caps w:val="0"/>
          <w:color w:val="000000"/>
          <w:spacing w:val="0"/>
          <w:sz w:val="32"/>
          <w:szCs w:val="32"/>
          <w:shd w:val="clear" w:fill="FFFFFF"/>
          <w:lang w:eastAsia="zh-CN"/>
        </w:rPr>
        <w:t>的</w:t>
      </w:r>
      <w:r>
        <w:rPr>
          <w:rFonts w:ascii="仿宋_GB2312" w:hAnsi="宋体" w:eastAsia="仿宋_GB2312" w:cs="仿宋_GB2312"/>
          <w:i w:val="0"/>
          <w:iCs w:val="0"/>
          <w:caps w:val="0"/>
          <w:color w:val="000000"/>
          <w:spacing w:val="0"/>
          <w:sz w:val="32"/>
          <w:szCs w:val="32"/>
          <w:shd w:val="clear" w:fill="FFFFFF"/>
        </w:rPr>
        <w:t>要点</w:t>
      </w:r>
      <w:r>
        <w:rPr>
          <w:rFonts w:hint="eastAsia" w:ascii="仿宋_GB2312" w:hAnsi="宋体" w:eastAsia="仿宋_GB2312" w:cs="仿宋_GB2312"/>
          <w:i w:val="0"/>
          <w:iCs w:val="0"/>
          <w:caps w:val="0"/>
          <w:color w:val="000000"/>
          <w:spacing w:val="0"/>
          <w:sz w:val="32"/>
          <w:szCs w:val="32"/>
          <w:shd w:val="clear" w:fill="FFFFFF"/>
          <w:lang w:eastAsia="zh-CN"/>
        </w:rPr>
        <w:t>精神；三是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将政府信息公开工作纳入年底考核，根据公开情况及应诉复议结果对各科室综合打分，保障政府信息公开工作落地落实。</w:t>
      </w:r>
    </w:p>
    <w:p>
      <w:pPr>
        <w:ind w:firstLine="648"/>
        <w:rPr>
          <w:rFonts w:ascii="黑体" w:hAnsi="黑体" w:eastAsia="黑体"/>
          <w:sz w:val="32"/>
          <w:szCs w:val="32"/>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二、主动公开政府信息情况</w:t>
      </w:r>
    </w:p>
    <w:p>
      <w:pPr>
        <w:spacing w:before="9"/>
        <w:jc w:val="left"/>
        <w:rPr>
          <w:rFonts w:ascii="宋体" w:hAnsi="宋体" w:eastAsia="宋体" w:cs="宋体"/>
          <w:kern w:val="0"/>
          <w:szCs w:val="21"/>
        </w:rPr>
      </w:pPr>
    </w:p>
    <w:tbl>
      <w:tblPr>
        <w:tblStyle w:val="7"/>
        <w:tblW w:w="8787" w:type="dxa"/>
        <w:jc w:val="center"/>
        <w:tblLayout w:type="fixed"/>
        <w:tblCellMar>
          <w:top w:w="0" w:type="dxa"/>
          <w:left w:w="0" w:type="dxa"/>
          <w:bottom w:w="0" w:type="dxa"/>
          <w:right w:w="0" w:type="dxa"/>
        </w:tblCellMar>
      </w:tblPr>
      <w:tblGrid>
        <w:gridCol w:w="3450"/>
        <w:gridCol w:w="1686"/>
        <w:gridCol w:w="1803"/>
        <w:gridCol w:w="1848"/>
      </w:tblGrid>
      <w:tr>
        <w:tblPrEx>
          <w:tblCellMar>
            <w:top w:w="0" w:type="dxa"/>
            <w:left w:w="0" w:type="dxa"/>
            <w:bottom w:w="0" w:type="dxa"/>
            <w:right w:w="0" w:type="dxa"/>
          </w:tblCellMar>
        </w:tblPrEx>
        <w:trPr>
          <w:trHeight w:val="621" w:hRule="exact"/>
          <w:jc w:val="center"/>
        </w:trPr>
        <w:tc>
          <w:tcPr>
            <w:tcW w:w="8787"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第二十条</w:t>
            </w:r>
            <w:r>
              <w:rPr>
                <w:rFonts w:hint="eastAsia" w:ascii="宋体" w:hAnsi="宋体" w:eastAsia="宋体" w:cs="宋体"/>
                <w:sz w:val="20"/>
                <w:szCs w:val="20"/>
                <w:lang w:eastAsia="zh-CN"/>
              </w:rPr>
              <w:tab/>
            </w:r>
            <w:r>
              <w:rPr>
                <w:rFonts w:hint="eastAsia" w:ascii="宋体" w:hAnsi="宋体" w:eastAsia="宋体" w:cs="宋体"/>
                <w:sz w:val="20"/>
                <w:szCs w:val="20"/>
                <w:lang w:eastAsia="zh-CN"/>
              </w:rPr>
              <w:t>第 （一） 项</w:t>
            </w:r>
          </w:p>
        </w:tc>
      </w:tr>
      <w:tr>
        <w:tblPrEx>
          <w:tblCellMar>
            <w:top w:w="0" w:type="dxa"/>
            <w:left w:w="0" w:type="dxa"/>
            <w:bottom w:w="0" w:type="dxa"/>
            <w:right w:w="0" w:type="dxa"/>
          </w:tblCellMar>
        </w:tblPrEx>
        <w:trPr>
          <w:trHeight w:val="616" w:hRule="exact"/>
          <w:jc w:val="center"/>
        </w:trPr>
        <w:tc>
          <w:tcPr>
            <w:tcW w:w="3450" w:type="dxa"/>
            <w:tcBorders>
              <w:top w:val="single" w:color="64647C" w:sz="4" w:space="0"/>
              <w:left w:val="single" w:color="3B3B44" w:sz="6" w:space="0"/>
              <w:bottom w:val="single" w:color="707790" w:sz="4" w:space="0"/>
              <w:right w:val="single" w:color="7C7C83" w:sz="4" w:space="0"/>
            </w:tcBorders>
          </w:tcPr>
          <w:p>
            <w:pPr>
              <w:spacing w:before="135"/>
              <w:ind w:right="27"/>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本年废止件数</w:t>
            </w:r>
          </w:p>
        </w:tc>
        <w:tc>
          <w:tcPr>
            <w:tcW w:w="1848" w:type="dxa"/>
            <w:tcBorders>
              <w:top w:val="single" w:color="64647C" w:sz="4" w:space="0"/>
              <w:left w:val="single" w:color="606064" w:sz="2" w:space="0"/>
              <w:bottom w:val="single" w:color="835B67" w:sz="4" w:space="0"/>
              <w:right w:val="single" w:color="3B3B44" w:sz="8" w:space="0"/>
            </w:tcBorders>
          </w:tcPr>
          <w:p>
            <w:pPr>
              <w:spacing w:before="13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现行有效件数</w:t>
            </w:r>
          </w:p>
        </w:tc>
      </w:tr>
      <w:tr>
        <w:tblPrEx>
          <w:tblCellMar>
            <w:top w:w="0" w:type="dxa"/>
            <w:left w:w="0" w:type="dxa"/>
            <w:bottom w:w="0" w:type="dxa"/>
            <w:right w:w="0" w:type="dxa"/>
          </w:tblCellMar>
        </w:tblPrEx>
        <w:trPr>
          <w:trHeight w:val="628" w:hRule="exact"/>
          <w:jc w:val="center"/>
        </w:trPr>
        <w:tc>
          <w:tcPr>
            <w:tcW w:w="3450" w:type="dxa"/>
            <w:tcBorders>
              <w:top w:val="single" w:color="707790" w:sz="4" w:space="0"/>
              <w:left w:val="single" w:color="3B3B44" w:sz="6" w:space="0"/>
              <w:bottom w:val="single" w:color="747487" w:sz="4" w:space="0"/>
              <w:right w:val="single" w:color="97979C" w:sz="4" w:space="0"/>
            </w:tcBorders>
          </w:tcPr>
          <w:p>
            <w:pPr>
              <w:spacing w:before="147"/>
              <w:ind w:left="93"/>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0</w:t>
            </w:r>
          </w:p>
        </w:tc>
        <w:tc>
          <w:tcPr>
            <w:tcW w:w="1848" w:type="dxa"/>
            <w:tcBorders>
              <w:top w:val="single" w:color="835B67" w:sz="4" w:space="0"/>
              <w:left w:val="single" w:color="97939C" w:sz="4" w:space="0"/>
              <w:bottom w:val="single" w:color="74778C" w:sz="4" w:space="0"/>
              <w:right w:val="single" w:color="3B3B3F" w:sz="8"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0</w:t>
            </w:r>
          </w:p>
        </w:tc>
      </w:tr>
      <w:tr>
        <w:tblPrEx>
          <w:tblCellMar>
            <w:top w:w="0" w:type="dxa"/>
            <w:left w:w="0" w:type="dxa"/>
            <w:bottom w:w="0" w:type="dxa"/>
            <w:right w:w="0" w:type="dxa"/>
          </w:tblCellMar>
        </w:tblPrEx>
        <w:trPr>
          <w:trHeight w:val="621" w:hRule="exact"/>
          <w:jc w:val="center"/>
        </w:trPr>
        <w:tc>
          <w:tcPr>
            <w:tcW w:w="3450" w:type="dxa"/>
            <w:tcBorders>
              <w:top w:val="single" w:color="747487" w:sz="4" w:space="0"/>
              <w:left w:val="single" w:color="3B3B44" w:sz="6" w:space="0"/>
              <w:bottom w:val="single" w:color="5B6080" w:sz="4" w:space="0"/>
              <w:right w:val="single" w:color="97979C" w:sz="4" w:space="0"/>
            </w:tcBorders>
          </w:tcPr>
          <w:p>
            <w:pPr>
              <w:spacing w:before="138"/>
              <w:ind w:left="93"/>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0</w:t>
            </w:r>
          </w:p>
        </w:tc>
        <w:tc>
          <w:tcPr>
            <w:tcW w:w="1848" w:type="dxa"/>
            <w:tcBorders>
              <w:top w:val="single" w:color="74778C" w:sz="4" w:space="0"/>
              <w:left w:val="single" w:color="97939C" w:sz="4" w:space="0"/>
              <w:bottom w:val="single" w:color="5B6080" w:sz="4" w:space="0"/>
              <w:right w:val="single" w:color="3B3B3F" w:sz="8" w:space="0"/>
            </w:tcBorders>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highlight w:val="none"/>
                <w:lang w:val="en-US" w:eastAsia="zh-CN"/>
              </w:rPr>
              <w:t>0</w:t>
            </w:r>
          </w:p>
        </w:tc>
      </w:tr>
      <w:tr>
        <w:tblPrEx>
          <w:tblCellMar>
            <w:top w:w="0" w:type="dxa"/>
            <w:left w:w="0" w:type="dxa"/>
            <w:bottom w:w="0" w:type="dxa"/>
            <w:right w:w="0" w:type="dxa"/>
          </w:tblCellMar>
        </w:tblPrEx>
        <w:trPr>
          <w:trHeight w:val="621" w:hRule="exact"/>
          <w:jc w:val="center"/>
        </w:trPr>
        <w:tc>
          <w:tcPr>
            <w:tcW w:w="8787"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第二十条</w:t>
            </w:r>
            <w:r>
              <w:rPr>
                <w:rFonts w:hint="eastAsia" w:ascii="宋体" w:hAnsi="宋体" w:eastAsia="宋体" w:cs="宋体"/>
                <w:sz w:val="20"/>
                <w:szCs w:val="20"/>
                <w:lang w:eastAsia="zh-CN"/>
              </w:rPr>
              <w:tab/>
            </w:r>
            <w:r>
              <w:rPr>
                <w:rFonts w:hint="eastAsia" w:ascii="宋体" w:hAnsi="宋体" w:eastAsia="宋体" w:cs="宋体"/>
                <w:sz w:val="20"/>
                <w:szCs w:val="20"/>
                <w:lang w:eastAsia="zh-CN"/>
              </w:rPr>
              <w:t>第 （五） 项</w:t>
            </w:r>
            <w:r>
              <w:drawing>
                <wp:inline distT="0" distB="0" distL="114300" distR="114300">
                  <wp:extent cx="5559425" cy="2409190"/>
                  <wp:effectExtent l="0" t="0" r="317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559425" cy="240919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621" w:hRule="exact"/>
          <w:jc w:val="center"/>
        </w:trPr>
        <w:tc>
          <w:tcPr>
            <w:tcW w:w="3450" w:type="dxa"/>
            <w:tcBorders>
              <w:top w:val="single" w:color="646B80" w:sz="4" w:space="0"/>
              <w:left w:val="single" w:color="3B3B44" w:sz="6" w:space="0"/>
              <w:bottom w:val="single" w:color="80676B" w:sz="4" w:space="0"/>
              <w:right w:val="single" w:color="878787" w:sz="4" w:space="0"/>
            </w:tcBorders>
          </w:tcPr>
          <w:p>
            <w:pPr>
              <w:spacing w:before="138"/>
              <w:ind w:right="17"/>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信息内容</w:t>
            </w:r>
          </w:p>
        </w:tc>
        <w:tc>
          <w:tcPr>
            <w:tcW w:w="5337"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本年处理决定数量</w:t>
            </w:r>
          </w:p>
        </w:tc>
      </w:tr>
      <w:tr>
        <w:tblPrEx>
          <w:tblCellMar>
            <w:top w:w="0" w:type="dxa"/>
            <w:left w:w="0" w:type="dxa"/>
            <w:bottom w:w="0" w:type="dxa"/>
            <w:right w:w="0" w:type="dxa"/>
          </w:tblCellMar>
        </w:tblPrEx>
        <w:trPr>
          <w:trHeight w:val="621" w:hRule="exact"/>
          <w:jc w:val="center"/>
        </w:trPr>
        <w:tc>
          <w:tcPr>
            <w:tcW w:w="3450" w:type="dxa"/>
            <w:tcBorders>
              <w:top w:val="single" w:color="80676B" w:sz="4" w:space="0"/>
              <w:left w:val="single" w:color="3B3B44" w:sz="6" w:space="0"/>
              <w:bottom w:val="single" w:color="646487" w:sz="4" w:space="0"/>
              <w:right w:val="single" w:color="878787" w:sz="4" w:space="0"/>
            </w:tcBorders>
          </w:tcPr>
          <w:p>
            <w:pPr>
              <w:spacing w:before="140"/>
              <w:ind w:left="98"/>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行政许可</w:t>
            </w:r>
          </w:p>
        </w:tc>
        <w:tc>
          <w:tcPr>
            <w:tcW w:w="5337" w:type="dxa"/>
            <w:gridSpan w:val="3"/>
            <w:tcBorders>
              <w:top w:val="single" w:color="7C7474" w:sz="4" w:space="0"/>
              <w:left w:val="single" w:color="878787" w:sz="4" w:space="0"/>
              <w:bottom w:val="single" w:color="646487" w:sz="4" w:space="0"/>
              <w:right w:val="single" w:color="3B3B3F" w:sz="8" w:space="0"/>
            </w:tcBorders>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31</w:t>
            </w:r>
          </w:p>
        </w:tc>
      </w:tr>
      <w:tr>
        <w:tblPrEx>
          <w:tblCellMar>
            <w:top w:w="0" w:type="dxa"/>
            <w:left w:w="0" w:type="dxa"/>
            <w:bottom w:w="0" w:type="dxa"/>
            <w:right w:w="0" w:type="dxa"/>
          </w:tblCellMar>
        </w:tblPrEx>
        <w:trPr>
          <w:trHeight w:val="623" w:hRule="exact"/>
          <w:jc w:val="center"/>
        </w:trPr>
        <w:tc>
          <w:tcPr>
            <w:tcW w:w="8787"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第二十条</w:t>
            </w:r>
            <w:r>
              <w:rPr>
                <w:rFonts w:hint="eastAsia" w:ascii="宋体" w:hAnsi="宋体" w:eastAsia="宋体" w:cs="宋体"/>
                <w:sz w:val="20"/>
                <w:szCs w:val="20"/>
                <w:lang w:eastAsia="zh-CN"/>
              </w:rPr>
              <w:tab/>
            </w:r>
            <w:r>
              <w:rPr>
                <w:rFonts w:hint="eastAsia" w:ascii="宋体" w:hAnsi="宋体" w:eastAsia="宋体" w:cs="宋体"/>
                <w:sz w:val="20"/>
                <w:szCs w:val="20"/>
                <w:lang w:eastAsia="zh-CN"/>
              </w:rPr>
              <w:t>第 （六） 项</w:t>
            </w:r>
          </w:p>
        </w:tc>
      </w:tr>
      <w:tr>
        <w:tblPrEx>
          <w:tblCellMar>
            <w:top w:w="0" w:type="dxa"/>
            <w:left w:w="0" w:type="dxa"/>
            <w:bottom w:w="0" w:type="dxa"/>
            <w:right w:w="0" w:type="dxa"/>
          </w:tblCellMar>
        </w:tblPrEx>
        <w:trPr>
          <w:trHeight w:val="627" w:hRule="exact"/>
          <w:jc w:val="center"/>
        </w:trPr>
        <w:tc>
          <w:tcPr>
            <w:tcW w:w="3450" w:type="dxa"/>
            <w:tcBorders>
              <w:top w:val="single" w:color="607087" w:sz="4" w:space="0"/>
              <w:left w:val="single" w:color="3B3B44" w:sz="6" w:space="0"/>
              <w:bottom w:val="single" w:color="8C7774" w:sz="4" w:space="0"/>
              <w:right w:val="single" w:color="909093" w:sz="4" w:space="0"/>
            </w:tcBorders>
          </w:tcPr>
          <w:p>
            <w:pPr>
              <w:spacing w:before="142"/>
              <w:ind w:right="8"/>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信息内容</w:t>
            </w:r>
          </w:p>
        </w:tc>
        <w:tc>
          <w:tcPr>
            <w:tcW w:w="5337"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本年处理决定数量</w:t>
            </w:r>
          </w:p>
        </w:tc>
      </w:tr>
      <w:tr>
        <w:tblPrEx>
          <w:tblCellMar>
            <w:top w:w="0" w:type="dxa"/>
            <w:left w:w="0" w:type="dxa"/>
            <w:bottom w:w="0" w:type="dxa"/>
            <w:right w:w="0" w:type="dxa"/>
          </w:tblCellMar>
        </w:tblPrEx>
        <w:trPr>
          <w:trHeight w:val="624" w:hRule="exact"/>
          <w:jc w:val="center"/>
        </w:trPr>
        <w:tc>
          <w:tcPr>
            <w:tcW w:w="3450" w:type="dxa"/>
            <w:tcBorders>
              <w:top w:val="single" w:color="8C7774" w:sz="4" w:space="0"/>
              <w:left w:val="single" w:color="3B3B44" w:sz="6" w:space="0"/>
              <w:bottom w:val="single" w:color="7C6B74" w:sz="4" w:space="0"/>
              <w:right w:val="single" w:color="909093" w:sz="4" w:space="0"/>
            </w:tcBorders>
          </w:tcPr>
          <w:p>
            <w:pPr>
              <w:spacing w:before="139"/>
              <w:ind w:left="102"/>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行政处罚</w:t>
            </w:r>
          </w:p>
        </w:tc>
        <w:tc>
          <w:tcPr>
            <w:tcW w:w="5337" w:type="dxa"/>
            <w:gridSpan w:val="3"/>
            <w:tcBorders>
              <w:top w:val="single" w:color="747074" w:sz="4" w:space="0"/>
              <w:left w:val="single" w:color="909093" w:sz="4" w:space="0"/>
              <w:bottom w:val="single" w:color="7C6B74" w:sz="4" w:space="0"/>
              <w:right w:val="single" w:color="3B3B3F" w:sz="8" w:space="0"/>
            </w:tcBorders>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highlight w:val="none"/>
                <w:lang w:val="en-US" w:eastAsia="zh-CN"/>
              </w:rPr>
              <w:t>10</w:t>
            </w:r>
          </w:p>
        </w:tc>
      </w:tr>
      <w:tr>
        <w:tblPrEx>
          <w:tblCellMar>
            <w:top w:w="0" w:type="dxa"/>
            <w:left w:w="0" w:type="dxa"/>
            <w:bottom w:w="0" w:type="dxa"/>
            <w:right w:w="0" w:type="dxa"/>
          </w:tblCellMar>
        </w:tblPrEx>
        <w:trPr>
          <w:trHeight w:val="618" w:hRule="exact"/>
          <w:jc w:val="center"/>
        </w:trPr>
        <w:tc>
          <w:tcPr>
            <w:tcW w:w="3450" w:type="dxa"/>
            <w:tcBorders>
              <w:top w:val="single" w:color="7C6B74" w:sz="4" w:space="0"/>
              <w:left w:val="single" w:color="3B3B44" w:sz="6" w:space="0"/>
              <w:bottom w:val="single" w:color="646080" w:sz="4" w:space="0"/>
              <w:right w:val="single" w:color="909093" w:sz="4" w:space="0"/>
            </w:tcBorders>
          </w:tcPr>
          <w:p>
            <w:pPr>
              <w:spacing w:before="138"/>
              <w:ind w:left="107"/>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行政强制</w:t>
            </w:r>
          </w:p>
        </w:tc>
        <w:tc>
          <w:tcPr>
            <w:tcW w:w="5337" w:type="dxa"/>
            <w:gridSpan w:val="3"/>
            <w:tcBorders>
              <w:top w:val="single" w:color="7C6B74" w:sz="4" w:space="0"/>
              <w:left w:val="single" w:color="909093" w:sz="4" w:space="0"/>
              <w:bottom w:val="single" w:color="646080" w:sz="4" w:space="0"/>
              <w:right w:val="single" w:color="3B3B3F" w:sz="8"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0</w:t>
            </w:r>
          </w:p>
        </w:tc>
      </w:tr>
      <w:tr>
        <w:tblPrEx>
          <w:tblCellMar>
            <w:top w:w="0" w:type="dxa"/>
            <w:left w:w="0" w:type="dxa"/>
            <w:bottom w:w="0" w:type="dxa"/>
            <w:right w:w="0" w:type="dxa"/>
          </w:tblCellMar>
        </w:tblPrEx>
        <w:trPr>
          <w:trHeight w:val="626" w:hRule="exact"/>
          <w:jc w:val="center"/>
        </w:trPr>
        <w:tc>
          <w:tcPr>
            <w:tcW w:w="8787"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第二十条</w:t>
            </w:r>
            <w:r>
              <w:rPr>
                <w:rFonts w:hint="eastAsia" w:ascii="宋体" w:hAnsi="宋体" w:eastAsia="宋体" w:cs="宋体"/>
                <w:sz w:val="20"/>
                <w:szCs w:val="20"/>
                <w:lang w:eastAsia="zh-CN"/>
              </w:rPr>
              <w:tab/>
            </w:r>
            <w:r>
              <w:rPr>
                <w:rFonts w:hint="eastAsia" w:ascii="宋体" w:hAnsi="宋体" w:eastAsia="宋体" w:cs="宋体"/>
                <w:sz w:val="20"/>
                <w:szCs w:val="20"/>
                <w:lang w:eastAsia="zh-CN"/>
              </w:rPr>
              <w:t>第 （八） 项</w:t>
            </w:r>
          </w:p>
        </w:tc>
      </w:tr>
      <w:tr>
        <w:tblPrEx>
          <w:tblCellMar>
            <w:top w:w="0" w:type="dxa"/>
            <w:left w:w="0" w:type="dxa"/>
            <w:bottom w:w="0" w:type="dxa"/>
            <w:right w:w="0" w:type="dxa"/>
          </w:tblCellMar>
        </w:tblPrEx>
        <w:trPr>
          <w:trHeight w:val="621" w:hRule="exact"/>
          <w:jc w:val="center"/>
        </w:trPr>
        <w:tc>
          <w:tcPr>
            <w:tcW w:w="3450" w:type="dxa"/>
            <w:tcBorders>
              <w:top w:val="single" w:color="6B747C" w:sz="4" w:space="0"/>
              <w:left w:val="single" w:color="5B5B60" w:sz="6" w:space="0"/>
              <w:bottom w:val="single" w:color="77778C" w:sz="4" w:space="0"/>
              <w:right w:val="single" w:color="auto" w:sz="4" w:space="0"/>
            </w:tcBorders>
          </w:tcPr>
          <w:p>
            <w:pPr>
              <w:spacing w:before="135"/>
              <w:ind w:right="1"/>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信息内容</w:t>
            </w:r>
          </w:p>
        </w:tc>
        <w:tc>
          <w:tcPr>
            <w:tcW w:w="5337"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本年收费金额  （单位 ：万元）</w:t>
            </w:r>
          </w:p>
        </w:tc>
      </w:tr>
      <w:tr>
        <w:tblPrEx>
          <w:tblCellMar>
            <w:top w:w="0" w:type="dxa"/>
            <w:left w:w="0" w:type="dxa"/>
            <w:bottom w:w="0" w:type="dxa"/>
            <w:right w:w="0" w:type="dxa"/>
          </w:tblCellMar>
        </w:tblPrEx>
        <w:trPr>
          <w:trHeight w:val="626" w:hRule="exact"/>
          <w:jc w:val="center"/>
        </w:trPr>
        <w:tc>
          <w:tcPr>
            <w:tcW w:w="3450" w:type="dxa"/>
            <w:tcBorders>
              <w:top w:val="single" w:color="77778C" w:sz="4" w:space="0"/>
              <w:left w:val="single" w:color="5B5B60" w:sz="6" w:space="0"/>
              <w:bottom w:val="single" w:color="3B383F" w:sz="8" w:space="0"/>
              <w:right w:val="single" w:color="8C8C93" w:sz="2" w:space="0"/>
            </w:tcBorders>
          </w:tcPr>
          <w:p>
            <w:pPr>
              <w:spacing w:before="138"/>
              <w:ind w:left="107"/>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行政事业性收费</w:t>
            </w:r>
          </w:p>
        </w:tc>
        <w:tc>
          <w:tcPr>
            <w:tcW w:w="5337" w:type="dxa"/>
            <w:gridSpan w:val="3"/>
            <w:tcBorders>
              <w:top w:val="single" w:color="77778C" w:sz="4" w:space="0"/>
              <w:left w:val="single" w:color="8C8C93" w:sz="2" w:space="0"/>
              <w:bottom w:val="single" w:color="3B383F" w:sz="8" w:space="0"/>
              <w:right w:val="single" w:color="3B3B44" w:sz="8" w:space="0"/>
            </w:tcBorders>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175.826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三、收到和处理政府信息公开申请情况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黑体" w:hAnsi="黑体" w:eastAsia="黑体" w:cs="黑体"/>
          <w:i w:val="0"/>
          <w:caps w:val="0"/>
          <w:color w:val="000000" w:themeColor="text1"/>
          <w:spacing w:val="0"/>
          <w:sz w:val="32"/>
          <w:szCs w:val="32"/>
          <w14:textFill>
            <w14:solidFill>
              <w14:schemeClr w14:val="tx1"/>
            </w14:solidFill>
          </w14:textFill>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6"/>
        <w:gridCol w:w="943"/>
        <w:gridCol w:w="3217"/>
        <w:gridCol w:w="691"/>
        <w:gridCol w:w="688"/>
        <w:gridCol w:w="688"/>
        <w:gridCol w:w="688"/>
        <w:gridCol w:w="688"/>
        <w:gridCol w:w="688"/>
        <w:gridCol w:w="6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ascii="楷体" w:hAnsi="楷体" w:eastAsia="楷体" w:cs="楷体"/>
                <w:color w:val="000000" w:themeColor="text1"/>
                <w:kern w:val="0"/>
                <w:sz w:val="20"/>
                <w:szCs w:val="20"/>
                <w:lang w:val="en-US" w:eastAsia="zh-CN" w:bidi="ar"/>
                <w14:textFill>
                  <w14:solidFill>
                    <w14:schemeClr w14:val="tx1"/>
                  </w14:solidFill>
                </w14:textFill>
              </w:rPr>
              <w:t>（本列数据的勾稽关系为：第一项加第二项之和，等于第三项加第四项之和）</w:t>
            </w:r>
          </w:p>
        </w:tc>
        <w:tc>
          <w:tcPr>
            <w:tcW w:w="4822"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91"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法人或其他组织</w:t>
            </w:r>
          </w:p>
        </w:tc>
        <w:tc>
          <w:tcPr>
            <w:tcW w:w="69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91"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p>
        </w:tc>
        <w:tc>
          <w:tcPr>
            <w:tcW w:w="69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一、本年新收政府信息公开申请数量</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二、上年结转政府信息公开申请数量</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三、本年度办理结果</w:t>
            </w:r>
          </w:p>
        </w:tc>
        <w:tc>
          <w:tcPr>
            <w:tcW w:w="416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（一）予以公开</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18</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416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（二）部分公开</w:t>
            </w:r>
            <w:r>
              <w:rPr>
                <w:rFonts w:hint="eastAsia" w:ascii="楷体" w:hAnsi="楷体" w:eastAsia="楷体" w:cs="楷体"/>
                <w:color w:val="000000" w:themeColor="text1"/>
                <w:kern w:val="0"/>
                <w:sz w:val="20"/>
                <w:szCs w:val="20"/>
                <w:lang w:val="en-US" w:eastAsia="zh-CN" w:bidi="ar"/>
                <w14:textFill>
                  <w14:solidFill>
                    <w14:schemeClr w14:val="tx1"/>
                  </w14:solidFill>
                </w14:textFill>
              </w:rPr>
              <w:t>（区分处理的，只计这一情形，不计其他情形）</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（三）不予公开</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1.属于国家秘密</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2.其他法律行政法规禁止公开</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3.危及“三安全一稳定”</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4.保护第三方合法权益</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5.属于三类内部事务信息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6.属于四类过程性信息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7.属于行政执法案卷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8.属于行政查询事项</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6</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（四）无法提供</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1.本机关不掌握相关政府信息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17</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2.没有现成信息需要另行制作</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3.补正后申请内容仍不明确</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（五）不予处理</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1.信访举报投诉类申请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2.重复申请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3.要求提供公开出版物</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4.无正当理由大量反复申请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5.要求行政机关确认或重新出具已获取信息</w:t>
            </w:r>
          </w:p>
        </w:tc>
        <w:tc>
          <w:tcPr>
            <w:tcW w:w="69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（六）其他处理</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1.申请人无正当理由逾期不补正、行政机关不再处理其政府信息公开申请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3.其他</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416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（七）总计</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43</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6</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四、结转下年度继续办理</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6</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themeColor="text1"/>
          <w:spacing w:val="0"/>
          <w:sz w:val="24"/>
          <w:szCs w:val="24"/>
          <w14:textFill>
            <w14:solidFill>
              <w14:schemeClr w14:val="tx1"/>
            </w14:solidFill>
          </w14:textFill>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bl>
    <w:p>
      <w:pPr>
        <w:keepNext w:val="0"/>
        <w:keepLines w:val="0"/>
        <w:widowControl/>
        <w:suppressLineNumbers w:val="0"/>
        <w:jc w:val="left"/>
        <w:rPr>
          <w:color w:val="000000" w:themeColor="text1"/>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(一)存在的主要问题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我局政府信息公开工作虽然取得了一定的成效，但仍然存在一定的问题：一是主动公开政府信息力度不够，公开信息不够及时，内容不够细化，重点信息不突出；二是部分工作人员对政务公开工作的重要性认识不足；三是政策解读的力度不足，形式较为单一，不能满足群众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(二)改进措施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1.加强主动公开工作力度。抓好人民群众普遍关注、涉及人民群众切身利益的信息公开工作，做到应公开尽公开，提高主动公开的及时性。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2.加强政务公开培训。不断增强工作人员的政务公开意识，健全工作机制，创新工作方法，加强业务交流，不断提高业务能力和水平。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3.强化政策解读力度。健全信息发布和解读机制，尽可能丰富政策解读的内容及形式，及时、准确解读政府出台的政策文件，不断增强政策解读的全面性、详尽性和权威性。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1.收取信息处理费情况。2022年政府信息公开未</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收取信息处理费</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人大代表建议和政协提案办理结果情况。2022年度我局共办理人大代表建议9件、政协提案1件。</w:t>
      </w:r>
    </w:p>
    <w:p>
      <w:pPr>
        <w:ind w:firstLine="640" w:firstLineChars="200"/>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3.年度工作要点落实情况。围绕部门职责，主动公开征地信息、不动产登记数量信息、矿山治理、国土绿化等重点领域民生信息。主动公开执法人员名单、</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instrText xml:space="preserve"> HYPERLINK "http://www.linzi.gov.cn/gongkai/site_lzqzrzyj/channel_c_5f9f6cdc1ebfe2f7fcddefd0_n_1605681613.689/doc_61f4f8d30a87fc0d3282fe9e.html" \t "http://www.linzi.gov.cn/gongkai/site_lzqzrzyj/channel_c_5f9f6cdc1ebfe2f7fcddefd0_n_1605681613.689/_blank" </w:instrTex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土地违法案件情况统计表</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fldChar w:fldCharType="end"/>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等行政执法信息，有力打击自然资源违法行为。持续推进“双随机、一公开”和信用“双公示”有关工作，及时发布2022年度《淄博市临淄区自然资源局</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instrText xml:space="preserve"> HYPERLINK "http://www.linzi.gov.cn/gongkai/site_lzqzrzyj/channel_618dde586005c619aac00495/doc_638604210e5665f34969a3b9.html" \t "http://www.linzi.gov.cn/gongkai/site_lzqzrzyj/channel_c_5f9f6cdc1ebfe2f7fcddefd0_n_1605681603.5979/_blank" </w:instrTex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“双随机、一公开”监管工作实施方案</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fldChar w:fldCharType="end"/>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》和《</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instrText xml:space="preserve"> HYPERLINK "http://www.linzi.gov.cn/gongkai/site_lzqzrzyj/channel_618dde586005c619aac00495/doc_6385cd60b953bb40805412e1.html" \t "http://www.linzi.gov.cn/gongkai/site_lzqzrzyj/channel_c_5f9f6cdc1ebfe2f7fcddefd0_n_1605681603.5979/_blank" </w:instrTex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淄博市临淄区自然资源局“双随机、一公开”监管工作指引</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fldChar w:fldCharType="end"/>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》，及时制定并公布年度抽查计划，发布抽查事项清单，公开抽查情况结果信息17条。</w:t>
      </w:r>
    </w:p>
    <w:p>
      <w:pPr>
        <w:ind w:firstLine="640" w:firstLineChars="200"/>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4.2022年，政务公开工作无创新举措及其他仍需要报告的事项。</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1CED3"/>
    <w:multiLevelType w:val="singleLevel"/>
    <w:tmpl w:val="2341CE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2I1NDgwYjQxZTU2ODgwMjVmMGI1Yjk4YmNmZDcifQ=="/>
  </w:docVars>
  <w:rsids>
    <w:rsidRoot w:val="13770A91"/>
    <w:rsid w:val="0021463D"/>
    <w:rsid w:val="00313CA9"/>
    <w:rsid w:val="00B931C0"/>
    <w:rsid w:val="028F35CC"/>
    <w:rsid w:val="02AF506E"/>
    <w:rsid w:val="03A1233D"/>
    <w:rsid w:val="03B61A6C"/>
    <w:rsid w:val="058577DF"/>
    <w:rsid w:val="076C70AA"/>
    <w:rsid w:val="077224E3"/>
    <w:rsid w:val="085B350C"/>
    <w:rsid w:val="090D6C18"/>
    <w:rsid w:val="09E860A3"/>
    <w:rsid w:val="0BBF0389"/>
    <w:rsid w:val="0BD96187"/>
    <w:rsid w:val="0E625C55"/>
    <w:rsid w:val="10D20745"/>
    <w:rsid w:val="11466EF6"/>
    <w:rsid w:val="11C70769"/>
    <w:rsid w:val="12B24C82"/>
    <w:rsid w:val="12C64289"/>
    <w:rsid w:val="12DE2340"/>
    <w:rsid w:val="13770A91"/>
    <w:rsid w:val="140942B6"/>
    <w:rsid w:val="146B50E8"/>
    <w:rsid w:val="150047CE"/>
    <w:rsid w:val="15FA4015"/>
    <w:rsid w:val="16EF2001"/>
    <w:rsid w:val="17550370"/>
    <w:rsid w:val="17742506"/>
    <w:rsid w:val="17A90603"/>
    <w:rsid w:val="184B5D2E"/>
    <w:rsid w:val="185E4A9A"/>
    <w:rsid w:val="19353F17"/>
    <w:rsid w:val="1A2E1A2C"/>
    <w:rsid w:val="1A921751"/>
    <w:rsid w:val="1B321A97"/>
    <w:rsid w:val="1B3F107D"/>
    <w:rsid w:val="1CE2755A"/>
    <w:rsid w:val="21C81A9C"/>
    <w:rsid w:val="220816D9"/>
    <w:rsid w:val="220D67E1"/>
    <w:rsid w:val="22CE26BD"/>
    <w:rsid w:val="238C3E5A"/>
    <w:rsid w:val="24981726"/>
    <w:rsid w:val="24D97E4C"/>
    <w:rsid w:val="24DF0F76"/>
    <w:rsid w:val="25124302"/>
    <w:rsid w:val="25F264AB"/>
    <w:rsid w:val="270A2899"/>
    <w:rsid w:val="28497617"/>
    <w:rsid w:val="2A531C67"/>
    <w:rsid w:val="2BCC7F6B"/>
    <w:rsid w:val="2EFA7322"/>
    <w:rsid w:val="2F2E1FCB"/>
    <w:rsid w:val="34796F56"/>
    <w:rsid w:val="34C90C47"/>
    <w:rsid w:val="353C4E50"/>
    <w:rsid w:val="37960A1C"/>
    <w:rsid w:val="37CE0C48"/>
    <w:rsid w:val="381C620F"/>
    <w:rsid w:val="3AEA4709"/>
    <w:rsid w:val="400224F5"/>
    <w:rsid w:val="410151DB"/>
    <w:rsid w:val="412502FC"/>
    <w:rsid w:val="414B6DC0"/>
    <w:rsid w:val="41E446D2"/>
    <w:rsid w:val="42546669"/>
    <w:rsid w:val="427D492C"/>
    <w:rsid w:val="429C453B"/>
    <w:rsid w:val="47830BD2"/>
    <w:rsid w:val="489B7D00"/>
    <w:rsid w:val="48BB76E5"/>
    <w:rsid w:val="4974541F"/>
    <w:rsid w:val="4B0E5CB8"/>
    <w:rsid w:val="4B1C7F64"/>
    <w:rsid w:val="4D4E1018"/>
    <w:rsid w:val="500656EA"/>
    <w:rsid w:val="505C7C3B"/>
    <w:rsid w:val="55320D2F"/>
    <w:rsid w:val="55A751B5"/>
    <w:rsid w:val="58AF62B7"/>
    <w:rsid w:val="5D9E5396"/>
    <w:rsid w:val="5EEB267A"/>
    <w:rsid w:val="5F491F46"/>
    <w:rsid w:val="60956D42"/>
    <w:rsid w:val="61EF4230"/>
    <w:rsid w:val="62603C76"/>
    <w:rsid w:val="64EE1F53"/>
    <w:rsid w:val="65262D07"/>
    <w:rsid w:val="65896761"/>
    <w:rsid w:val="67B35CFF"/>
    <w:rsid w:val="687A4A6F"/>
    <w:rsid w:val="69B95123"/>
    <w:rsid w:val="6BF45990"/>
    <w:rsid w:val="6C94667A"/>
    <w:rsid w:val="6D922C12"/>
    <w:rsid w:val="6DE515C5"/>
    <w:rsid w:val="6E233C18"/>
    <w:rsid w:val="6EAB3BD4"/>
    <w:rsid w:val="6F3911E0"/>
    <w:rsid w:val="70F55638"/>
    <w:rsid w:val="714B6C39"/>
    <w:rsid w:val="7179763D"/>
    <w:rsid w:val="718F158B"/>
    <w:rsid w:val="72581099"/>
    <w:rsid w:val="729643FB"/>
    <w:rsid w:val="72BC1F11"/>
    <w:rsid w:val="74732A9E"/>
    <w:rsid w:val="757A169D"/>
    <w:rsid w:val="757C1E26"/>
    <w:rsid w:val="794623DE"/>
    <w:rsid w:val="79C72EF3"/>
    <w:rsid w:val="7B3F28F4"/>
    <w:rsid w:val="7BA77978"/>
    <w:rsid w:val="7BF80084"/>
    <w:rsid w:val="7C107445"/>
    <w:rsid w:val="7D034419"/>
    <w:rsid w:val="7F531E4A"/>
    <w:rsid w:val="7F7B5B1B"/>
    <w:rsid w:val="7FA2692E"/>
    <w:rsid w:val="7FE96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table" w:customStyle="1" w:styleId="7">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2960</Words>
  <Characters>3100</Characters>
  <Lines>0</Lines>
  <Paragraphs>0</Paragraphs>
  <TotalTime>37</TotalTime>
  <ScaleCrop>false</ScaleCrop>
  <LinksUpToDate>false</LinksUpToDate>
  <CharactersWithSpaces>3115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2022-01-04T06:02:00Z</dcterms:created>
  <dc:creator>Administrator</dc:creator>
  <cp:lastModifiedBy>18875048717</cp:lastModifiedBy>
  <cp:lastPrinted>2022-01-06T02:12:00Z</cp:lastPrinted>
  <dcterms:modified xsi:type="dcterms:W3CDTF">2023-02-08T07:37:17Z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8DABCEE63E4642CDB635ED1A944F66EB</vt:lpwstr>
  </property>
</Properties>
</file>