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t>临淄区自然资源局2023年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val="0"/>
          <w:bCs/>
          <w:i w:val="0"/>
          <w:caps w:val="0"/>
          <w:color w:val="000000" w:themeColor="text1"/>
          <w:spacing w:val="0"/>
          <w:sz w:val="24"/>
          <w:szCs w:val="24"/>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t>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000000" w:themeColor="text1"/>
          <w:spacing w:val="0"/>
          <w:sz w:val="24"/>
          <w:szCs w:val="24"/>
          <w14:textFill>
            <w14:solidFill>
              <w14:schemeClr w14:val="tx1"/>
            </w14:solidFill>
          </w14:textFill>
        </w:rPr>
      </w:pPr>
    </w:p>
    <w:p>
      <w:pPr>
        <w:keepNext w:val="0"/>
        <w:keepLines w:val="0"/>
        <w:widowControl/>
        <w:suppressLineNumbers w:val="0"/>
        <w:ind w:firstLine="640" w:firstLineChars="200"/>
        <w:jc w:val="left"/>
        <w:rPr>
          <w:rFonts w:hint="default" w:ascii="宋体" w:hAnsi="宋体" w:eastAsia="仿宋_GB2312" w:cs="宋体"/>
          <w:i w:val="0"/>
          <w:caps w:val="0"/>
          <w:color w:val="000000" w:themeColor="text1"/>
          <w:spacing w:val="0"/>
          <w:sz w:val="24"/>
          <w:szCs w:val="24"/>
          <w:lang w:val="en-US" w:eastAsia="zh-CN"/>
          <w14:textFill>
            <w14:solidFill>
              <w14:schemeClr w14:val="tx1"/>
            </w14:solidFill>
          </w14:textFill>
        </w:rPr>
      </w:pPr>
      <w:r>
        <w:rPr>
          <w:rFonts w:ascii="仿宋_GB2312" w:hAnsi="宋体" w:eastAsia="仿宋_GB2312" w:cs="仿宋_GB2312"/>
          <w:i w:val="0"/>
          <w:caps w:val="0"/>
          <w:color w:val="000000"/>
          <w:spacing w:val="0"/>
          <w:kern w:val="0"/>
          <w:sz w:val="32"/>
          <w:szCs w:val="32"/>
          <w:shd w:val="clear" w:fill="FFFFFF"/>
          <w:lang w:val="en-US" w:eastAsia="zh-CN" w:bidi="ar"/>
        </w:rPr>
        <w:t>本报告按照《国务院办公厅政府信息与政务公开办公室关于印发</w:t>
      </w:r>
      <w:r>
        <w:rPr>
          <w:rFonts w:hint="default" w:ascii="仿宋_GB2312" w:hAnsi="宋体" w:eastAsia="仿宋_GB2312" w:cs="仿宋_GB2312"/>
          <w:i w:val="0"/>
          <w:caps w:val="0"/>
          <w:color w:val="000000"/>
          <w:spacing w:val="0"/>
          <w:kern w:val="0"/>
          <w:sz w:val="32"/>
          <w:szCs w:val="32"/>
          <w:shd w:val="clear" w:fill="FFFFFF"/>
          <w:lang w:val="en-US" w:eastAsia="zh-CN" w:bidi="ar"/>
        </w:rPr>
        <w:t>&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w:t>
      </w: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年度</w:t>
      </w:r>
      <w:r>
        <w:rPr>
          <w:rFonts w:hint="eastAsia" w:ascii="仿宋_GB2312" w:hAnsi="仿宋_GB2312" w:eastAsia="仿宋_GB2312" w:cs="仿宋_GB2312"/>
          <w:color w:val="000000" w:themeColor="text1"/>
          <w:sz w:val="32"/>
          <w:szCs w:val="32"/>
          <w14:textFill>
            <w14:solidFill>
              <w14:schemeClr w14:val="tx1"/>
            </w14:solidFill>
          </w14:textFill>
        </w:rPr>
        <w:t>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中所列数据的统计期限自2023年1月1日起，至2023年12月31日止。如对报告内容有疑问，请与淄博市临淄区自然资源局联系（地址：临淄区雪宫路354号；邮编：255400；电话：0533-7190156；电子邮箱：</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instrText xml:space="preserve"> HYPERLINK "mailto:lzgtfjjcs@zb.shandong" </w:instrTex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fldChar w:fldCharType="separate"/>
      </w:r>
      <w:r>
        <w:rPr>
          <w:rStyle w:val="6"/>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lzgtfjjcs@zb.shandong</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.cn</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淄博市临淄区自然资源局全面贯彻落实党的二十大精神，以《</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2023年淄博市政务公开工作方案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》为标准，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坚持“以公开为常态，以不公开为例外”的原则，</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紧紧围绕自然资源管理职责和人民群众关注关心关切，</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不</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断</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强化公开意识，规范信息公开流程，</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优化政务服务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夯实公开基础，加强政府信息管理和公开平台建设，切实做好依申请公开工作，提升公开质量和水平。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Style w:val="5"/>
          <w:rFonts w:hint="eastAsia" w:ascii="楷体_GB2312" w:hAnsi="楷体_GB2312" w:eastAsia="楷体_GB2312" w:cs="楷体_GB2312"/>
          <w:b w:val="0"/>
          <w:bCs/>
          <w:i w:val="0"/>
          <w:caps w:val="0"/>
          <w:color w:val="000000" w:themeColor="text1"/>
          <w:spacing w:val="0"/>
          <w:sz w:val="32"/>
          <w:szCs w:val="32"/>
          <w:shd w:val="clear" w:fill="FFFFFF"/>
          <w:lang w:val="en-US" w:eastAsia="zh-CN"/>
          <w14:textFill>
            <w14:solidFill>
              <w14:schemeClr w14:val="tx1"/>
            </w14:solidFill>
          </w14:textFill>
        </w:rPr>
        <w:t>（一）主动公开信息情况。</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2023年在临淄区人民政府网站公开信息1300余条；在微信公众号发布信息310余条；在山东省征地信息公开管理系统发布信息180余条；在山东省“互联网+监管”系统发布信息90余条。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微软雅黑"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微软雅黑" w:eastAsia="仿宋_GB2312" w:cs="仿宋_GB2312"/>
          <w:i w:val="0"/>
          <w:caps w:val="0"/>
          <w:color w:val="000000" w:themeColor="text1"/>
          <w:spacing w:val="0"/>
          <w:sz w:val="32"/>
          <w:szCs w:val="32"/>
          <w:shd w:val="clear" w:fill="FFFFFF"/>
          <w:lang w:eastAsia="zh-CN"/>
          <w14:textFill>
            <w14:solidFill>
              <w14:schemeClr w14:val="tx1"/>
            </w14:solidFill>
          </w14:textFill>
        </w:rPr>
        <w:drawing>
          <wp:inline distT="0" distB="0" distL="114300" distR="114300">
            <wp:extent cx="5271770" cy="3067050"/>
            <wp:effectExtent l="0" t="0" r="5080" b="0"/>
            <wp:docPr id="4" name="图片 4" descr="9b929ae0d993b5ee143b88dc1ac59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b929ae0d993b5ee143b88dc1ac59b8"/>
                    <pic:cNvPicPr>
                      <a:picLocks noChangeAspect="1"/>
                    </pic:cNvPicPr>
                  </pic:nvPicPr>
                  <pic:blipFill>
                    <a:blip r:embed="rId4"/>
                    <a:stretch>
                      <a:fillRect/>
                    </a:stretch>
                  </pic:blipFill>
                  <pic:spPr>
                    <a:xfrm>
                      <a:off x="0" y="0"/>
                      <a:ext cx="5271770" cy="3067050"/>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_GB2312" w:hAnsi="微软雅黑"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ascii="楷体_GB2312" w:hAnsi="宋体" w:eastAsia="楷体_GB2312" w:cs="楷体_GB2312"/>
          <w:i w:val="0"/>
          <w:caps w:val="0"/>
          <w:color w:val="000000" w:themeColor="text1"/>
          <w:spacing w:val="0"/>
          <w:sz w:val="24"/>
          <w:szCs w:val="24"/>
          <w:shd w:val="clear" w:fill="FFFFFF"/>
          <w14:textFill>
            <w14:solidFill>
              <w14:schemeClr w14:val="tx1"/>
            </w14:solidFill>
          </w14:textFill>
        </w:rPr>
        <w:t>图1.业务工作信息截图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drawing>
          <wp:inline distT="0" distB="0" distL="114300" distR="114300">
            <wp:extent cx="4257675" cy="5060315"/>
            <wp:effectExtent l="0" t="0" r="9525" b="6985"/>
            <wp:docPr id="5" name="图片 5" descr="ae7d4ed4ee3102f0ea5805572355b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e7d4ed4ee3102f0ea5805572355b7e"/>
                    <pic:cNvPicPr>
                      <a:picLocks noChangeAspect="1"/>
                    </pic:cNvPicPr>
                  </pic:nvPicPr>
                  <pic:blipFill>
                    <a:blip r:embed="rId5"/>
                    <a:stretch>
                      <a:fillRect/>
                    </a:stretch>
                  </pic:blipFill>
                  <pic:spPr>
                    <a:xfrm>
                      <a:off x="0" y="0"/>
                      <a:ext cx="4257675" cy="5060315"/>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_GB2312" w:hAnsi="宋体" w:eastAsia="仿宋_GB2312" w:cs="仿宋_GB2312"/>
          <w:i w:val="0"/>
          <w:caps w:val="0"/>
          <w:color w:val="000000" w:themeColor="text1"/>
          <w:spacing w:val="0"/>
          <w:sz w:val="32"/>
          <w:szCs w:val="32"/>
          <w:shd w:val="clear" w:fill="FFFFFF"/>
          <w14:textFill>
            <w14:solidFill>
              <w14:schemeClr w14:val="tx1"/>
            </w14:solidFill>
          </w14:textFill>
        </w:rPr>
      </w:pPr>
      <w:r>
        <w:rPr>
          <w:rFonts w:ascii="楷体_GB2312" w:hAnsi="宋体" w:eastAsia="楷体_GB2312" w:cs="楷体_GB2312"/>
          <w:i w:val="0"/>
          <w:caps w:val="0"/>
          <w:color w:val="000000" w:themeColor="text1"/>
          <w:spacing w:val="0"/>
          <w:sz w:val="24"/>
          <w:szCs w:val="24"/>
          <w:shd w:val="clear" w:fill="FFFFFF"/>
          <w14:textFill>
            <w14:solidFill>
              <w14:schemeClr w14:val="tx1"/>
            </w14:solidFill>
          </w14:textFill>
        </w:rPr>
        <w:t>图2.微信公众号工作信息截图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宋体" w:hAnsi="宋体" w:eastAsia="宋体" w:cs="宋体"/>
          <w:i w:val="0"/>
          <w:caps w:val="0"/>
          <w:color w:val="FF0000"/>
          <w:spacing w:val="0"/>
          <w:sz w:val="24"/>
          <w:szCs w:val="24"/>
          <w:shd w:val="clear" w:fill="FFFFFF"/>
          <w:lang w:val="en-US"/>
        </w:rPr>
      </w:pPr>
      <w:r>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t>（二）</w:t>
      </w:r>
      <w:r>
        <w:rPr>
          <w:rFonts w:ascii="楷体_GB2312" w:hAnsi="微软雅黑" w:eastAsia="楷体_GB2312" w:cs="楷体_GB2312"/>
          <w:i w:val="0"/>
          <w:caps w:val="0"/>
          <w:color w:val="000000" w:themeColor="text1"/>
          <w:spacing w:val="0"/>
          <w:sz w:val="32"/>
          <w:szCs w:val="32"/>
          <w:shd w:val="clear" w:fill="FFFFFF"/>
          <w14:textFill>
            <w14:solidFill>
              <w14:schemeClr w14:val="tx1"/>
            </w14:solidFill>
          </w14:textFill>
        </w:rPr>
        <w:t>依申请公开</w:t>
      </w:r>
      <w:r>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t>工作情况。</w:t>
      </w:r>
      <w:r>
        <w:rPr>
          <w:rFonts w:hint="eastAsia" w:ascii="仿宋_GB2312" w:hAnsi="微软雅黑" w:eastAsia="仿宋_GB2312" w:cs="仿宋_GB2312"/>
          <w:i w:val="0"/>
          <w:caps w:val="0"/>
          <w:color w:val="000000" w:themeColor="text1"/>
          <w:spacing w:val="0"/>
          <w:sz w:val="32"/>
          <w:szCs w:val="32"/>
          <w:shd w:val="clear" w:fill="FFFFFF"/>
          <w:lang w:val="en-US" w:eastAsia="zh-CN"/>
          <w14:textFill>
            <w14:solidFill>
              <w14:schemeClr w14:val="tx1"/>
            </w14:solidFill>
          </w14:textFill>
        </w:rPr>
        <w:t>2023年，收到政府信息公开申请65件，同比增长20.4％，除结转下一年办理外，剩余部分全部依法依规办理</w:t>
      </w:r>
      <w:r>
        <w:rPr>
          <w:rFonts w:ascii="仿宋_GB2312" w:hAnsi="微软雅黑" w:eastAsia="仿宋_GB2312" w:cs="仿宋_GB2312"/>
          <w:i w:val="0"/>
          <w:caps w:val="0"/>
          <w:color w:val="000000" w:themeColor="text1"/>
          <w:spacing w:val="0"/>
          <w:sz w:val="32"/>
          <w:szCs w:val="32"/>
          <w:shd w:val="clear" w:fill="FFFFFF"/>
          <w14:textFill>
            <w14:solidFill>
              <w14:schemeClr w14:val="tx1"/>
            </w14:solidFill>
          </w14:textFill>
        </w:rPr>
        <w:t>并留存归档</w:t>
      </w:r>
      <w:r>
        <w:rPr>
          <w:rFonts w:hint="eastAsia" w:ascii="仿宋_GB2312" w:hAnsi="微软雅黑" w:eastAsia="仿宋_GB2312" w:cs="仿宋_GB2312"/>
          <w:i w:val="0"/>
          <w:caps w:val="0"/>
          <w:color w:val="000000" w:themeColor="text1"/>
          <w:spacing w:val="0"/>
          <w:sz w:val="32"/>
          <w:szCs w:val="32"/>
          <w:shd w:val="clear" w:fill="FFFFFF"/>
          <w:lang w:val="en-US" w:eastAsia="zh-CN"/>
          <w14:textFill>
            <w14:solidFill>
              <w14:schemeClr w14:val="tx1"/>
            </w14:solidFill>
          </w14:textFill>
        </w:rPr>
        <w:t>。同时</w:t>
      </w:r>
      <w:r>
        <w:rPr>
          <w:rFonts w:ascii="仿宋_GB2312" w:hAnsi="宋体" w:eastAsia="仿宋_GB2312" w:cs="仿宋_GB2312"/>
          <w:i w:val="0"/>
          <w:caps w:val="0"/>
          <w:color w:val="000000" w:themeColor="text1"/>
          <w:spacing w:val="0"/>
          <w:sz w:val="32"/>
          <w:szCs w:val="32"/>
          <w:shd w:val="clear" w:fill="FFFFFF"/>
          <w14:textFill>
            <w14:solidFill>
              <w14:schemeClr w14:val="tx1"/>
            </w14:solidFill>
          </w14:textFill>
        </w:rPr>
        <w:t>严格执行政府信息公开前保密审查制度，制作保密审查单并由分管领导签字，规范政府信息公开的审查程序，202</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ascii="仿宋_GB2312" w:hAnsi="宋体" w:eastAsia="仿宋_GB2312" w:cs="仿宋_GB2312"/>
          <w:i w:val="0"/>
          <w:caps w:val="0"/>
          <w:color w:val="000000" w:themeColor="text1"/>
          <w:spacing w:val="0"/>
          <w:sz w:val="32"/>
          <w:szCs w:val="32"/>
          <w:shd w:val="clear" w:fill="FFFFFF"/>
          <w14:textFill>
            <w14:solidFill>
              <w14:schemeClr w14:val="tx1"/>
            </w14:solidFill>
          </w14:textFill>
        </w:rPr>
        <w:t>年未发生泄密事件。</w:t>
      </w:r>
      <w:r>
        <w:rPr>
          <w:rFonts w:hint="eastAsia" w:ascii="仿宋_GB2312" w:hAnsi="微软雅黑" w:eastAsia="仿宋_GB2312" w:cs="仿宋_GB2312"/>
          <w:i w:val="0"/>
          <w:caps w:val="0"/>
          <w:color w:val="000000" w:themeColor="text1"/>
          <w:spacing w:val="0"/>
          <w:sz w:val="32"/>
          <w:szCs w:val="32"/>
          <w:shd w:val="clear" w:fill="FFFFFF"/>
          <w:lang w:val="en-US" w:eastAsia="zh-CN"/>
          <w14:textFill>
            <w14:solidFill>
              <w14:schemeClr w14:val="tx1"/>
            </w14:solidFill>
          </w14:textFill>
        </w:rPr>
        <w:t>因依申请公开引发的行政诉讼案件1件，所有案件均按照法定程序进行了办理，案件均以原告撤诉结案。</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楷体_GB2312" w:hAnsi="微软雅黑" w:eastAsia="仿宋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t>（三）政府信息管理情况。</w:t>
      </w:r>
      <w:r>
        <w:rPr>
          <w:rFonts w:ascii="仿宋_GB2312" w:hAnsi="宋体" w:eastAsia="仿宋_GB2312" w:cs="仿宋_GB2312"/>
          <w:i w:val="0"/>
          <w:caps w:val="0"/>
          <w:color w:val="000000"/>
          <w:spacing w:val="0"/>
          <w:sz w:val="32"/>
          <w:szCs w:val="32"/>
          <w:shd w:val="clear" w:fill="FFFFFF"/>
        </w:rPr>
        <w:t>局办公室负责单位政务公开工作，</w:t>
      </w:r>
      <w:r>
        <w:rPr>
          <w:rFonts w:hint="eastAsia" w:ascii="仿宋_GB2312" w:hAnsi="宋体" w:eastAsia="仿宋_GB2312" w:cs="仿宋_GB2312"/>
          <w:i w:val="0"/>
          <w:caps w:val="0"/>
          <w:color w:val="000000"/>
          <w:spacing w:val="0"/>
          <w:sz w:val="32"/>
          <w:szCs w:val="32"/>
          <w:shd w:val="clear" w:fill="FFFFFF"/>
          <w:lang w:val="en-US" w:eastAsia="zh-CN"/>
        </w:rPr>
        <w:t>进一步完善更新《信息公开指南》</w:t>
      </w:r>
      <w:r>
        <w:rPr>
          <w:rFonts w:ascii="仿宋_GB2312" w:hAnsi="宋体" w:eastAsia="仿宋_GB2312" w:cs="仿宋_GB2312"/>
          <w:i w:val="0"/>
          <w:caps w:val="0"/>
          <w:color w:val="000000"/>
          <w:spacing w:val="0"/>
          <w:sz w:val="32"/>
          <w:szCs w:val="32"/>
          <w:shd w:val="clear" w:fill="FFFFFF"/>
        </w:rPr>
        <w:t>，</w:t>
      </w:r>
      <w:r>
        <w:rPr>
          <w:rFonts w:hint="eastAsia" w:ascii="仿宋_GB2312" w:hAnsi="宋体" w:eastAsia="仿宋_GB2312" w:cs="仿宋_GB2312"/>
          <w:i w:val="0"/>
          <w:caps w:val="0"/>
          <w:color w:val="000000"/>
          <w:spacing w:val="0"/>
          <w:sz w:val="32"/>
          <w:szCs w:val="32"/>
          <w:shd w:val="clear" w:fill="FFFFFF"/>
          <w:lang w:val="en-US" w:eastAsia="zh-CN"/>
        </w:rPr>
        <w:t>明确信息公开范围、公开方式等。坚持“涉密不上网、上网不涉密”，</w:t>
      </w:r>
      <w:r>
        <w:rPr>
          <w:rFonts w:ascii="仿宋_GB2312" w:hAnsi="宋体" w:eastAsia="仿宋_GB2312" w:cs="仿宋_GB2312"/>
          <w:i w:val="0"/>
          <w:caps w:val="0"/>
          <w:color w:val="000000"/>
          <w:spacing w:val="0"/>
          <w:sz w:val="32"/>
          <w:szCs w:val="32"/>
          <w:shd w:val="clear" w:fill="FFFFFF"/>
        </w:rPr>
        <w:t>严格执行政务公开</w:t>
      </w:r>
      <w:r>
        <w:rPr>
          <w:rFonts w:hint="eastAsia" w:ascii="仿宋_GB2312" w:hAnsi="宋体" w:eastAsia="仿宋_GB2312" w:cs="仿宋_GB2312"/>
          <w:i w:val="0"/>
          <w:caps w:val="0"/>
          <w:color w:val="000000"/>
          <w:spacing w:val="0"/>
          <w:sz w:val="32"/>
          <w:szCs w:val="32"/>
          <w:shd w:val="clear" w:fill="FFFFFF"/>
          <w:lang w:eastAsia="zh-CN"/>
        </w:rPr>
        <w:t>“</w:t>
      </w:r>
      <w:r>
        <w:rPr>
          <w:rFonts w:hint="eastAsia" w:ascii="仿宋_GB2312" w:hAnsi="宋体" w:eastAsia="仿宋_GB2312" w:cs="仿宋_GB2312"/>
          <w:i w:val="0"/>
          <w:caps w:val="0"/>
          <w:color w:val="000000"/>
          <w:spacing w:val="0"/>
          <w:sz w:val="32"/>
          <w:szCs w:val="32"/>
          <w:shd w:val="clear" w:fill="FFFFFF"/>
          <w:lang w:val="en-US" w:eastAsia="zh-CN"/>
        </w:rPr>
        <w:t>先审查、后公开</w:t>
      </w:r>
      <w:r>
        <w:rPr>
          <w:rFonts w:hint="eastAsia" w:ascii="仿宋_GB2312" w:hAnsi="宋体" w:eastAsia="仿宋_GB2312" w:cs="仿宋_GB2312"/>
          <w:i w:val="0"/>
          <w:caps w:val="0"/>
          <w:color w:val="000000"/>
          <w:spacing w:val="0"/>
          <w:sz w:val="32"/>
          <w:szCs w:val="32"/>
          <w:shd w:val="clear" w:fill="FFFFFF"/>
          <w:lang w:eastAsia="zh-CN"/>
        </w:rPr>
        <w:t>”</w:t>
      </w:r>
      <w:r>
        <w:rPr>
          <w:rFonts w:ascii="仿宋_GB2312" w:hAnsi="宋体" w:eastAsia="仿宋_GB2312" w:cs="仿宋_GB2312"/>
          <w:i w:val="0"/>
          <w:caps w:val="0"/>
          <w:color w:val="000000"/>
          <w:spacing w:val="0"/>
          <w:sz w:val="32"/>
          <w:szCs w:val="32"/>
          <w:shd w:val="clear" w:fill="FFFFFF"/>
        </w:rPr>
        <w:t>保密审查制度</w:t>
      </w:r>
      <w:r>
        <w:rPr>
          <w:rFonts w:hint="eastAsia" w:ascii="仿宋_GB2312" w:hAnsi="宋体" w:eastAsia="仿宋_GB2312" w:cs="仿宋_GB2312"/>
          <w:i w:val="0"/>
          <w:caps w:val="0"/>
          <w:color w:val="000000"/>
          <w:spacing w:val="0"/>
          <w:sz w:val="32"/>
          <w:szCs w:val="32"/>
          <w:shd w:val="clear" w:fill="FFFFFF"/>
          <w:lang w:eastAsia="zh-CN"/>
        </w:rPr>
        <w:t>，</w:t>
      </w:r>
      <w:r>
        <w:rPr>
          <w:rFonts w:hint="eastAsia" w:ascii="仿宋_GB2312" w:hAnsi="宋体" w:eastAsia="仿宋_GB2312" w:cs="仿宋_GB2312"/>
          <w:i w:val="0"/>
          <w:caps w:val="0"/>
          <w:color w:val="000000"/>
          <w:spacing w:val="0"/>
          <w:sz w:val="32"/>
          <w:szCs w:val="32"/>
          <w:shd w:val="clear" w:fill="FFFFFF"/>
          <w:lang w:val="en-US" w:eastAsia="zh-CN"/>
        </w:rPr>
        <w:t>由起草人、科室负责人、分管领导逐级审核校对，保证公开信息权威、准确、及时，确保不泄密。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t>（四）政府信息公开平台建设情况。</w:t>
      </w: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t>一是</w:t>
      </w:r>
      <w:r>
        <w:rPr>
          <w:rFonts w:ascii="仿宋_GB2312" w:hAnsi="宋体" w:eastAsia="仿宋_GB2312" w:cs="仿宋_GB2312"/>
          <w:i w:val="0"/>
          <w:caps w:val="0"/>
          <w:color w:val="000000" w:themeColor="text1"/>
          <w:spacing w:val="0"/>
          <w:sz w:val="32"/>
          <w:szCs w:val="32"/>
          <w:shd w:val="clear" w:fill="FFFFFF"/>
          <w14:textFill>
            <w14:solidFill>
              <w14:schemeClr w14:val="tx1"/>
            </w14:solidFill>
          </w14:textFill>
        </w:rPr>
        <w:t>在临淄区政府网站设立临淄区</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自然资源</w:t>
      </w:r>
      <w:r>
        <w:rPr>
          <w:rFonts w:ascii="仿宋_GB2312" w:hAnsi="宋体" w:eastAsia="仿宋_GB2312" w:cs="仿宋_GB2312"/>
          <w:i w:val="0"/>
          <w:caps w:val="0"/>
          <w:color w:val="000000" w:themeColor="text1"/>
          <w:spacing w:val="0"/>
          <w:sz w:val="32"/>
          <w:szCs w:val="32"/>
          <w:shd w:val="clear" w:fill="FFFFFF"/>
          <w14:textFill>
            <w14:solidFill>
              <w14:schemeClr w14:val="tx1"/>
            </w14:solidFill>
          </w14:textFill>
        </w:rPr>
        <w:t>局政府信息公开专栏</w:t>
      </w: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t>，年内共发布信息</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1300余条</w:t>
      </w: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t>；二是充分利用新媒体开展信息公开工作</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。截至2023年底，局微信公众号“临淄自然资源”关注人数1600余人，共发布317条内容，其中原创信息153条，原创视频6条，</w:t>
      </w:r>
      <w:r>
        <w:rPr>
          <w:rFonts w:hint="eastAsia" w:ascii="仿宋_GB2312" w:hAnsi="仿宋_GB2312" w:eastAsia="仿宋_GB2312" w:cs="仿宋_GB2312"/>
          <w:sz w:val="32"/>
          <w:szCs w:val="32"/>
          <w:lang w:val="en-US" w:eastAsia="zh-CN"/>
        </w:rPr>
        <w:t>为用户提供最新的</w:t>
      </w:r>
      <w:r>
        <w:rPr>
          <w:rFonts w:hint="eastAsia" w:ascii="仿宋_GB2312" w:hAnsi="仿宋_GB2312" w:eastAsia="仿宋_GB2312" w:cs="仿宋_GB2312"/>
          <w:sz w:val="32"/>
          <w:szCs w:val="32"/>
          <w:lang w:eastAsia="zh-CN"/>
        </w:rPr>
        <w:t>自然资源咨询、行业动态，宣传普及自然资源法律法规及政策解读、便民服务等内容，让群众了解、关注、支持自然资源管理工作。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t>（五）政府信息公开</w:t>
      </w:r>
      <w:r>
        <w:rPr>
          <w:rFonts w:hint="eastAsia" w:ascii="楷体_GB2312" w:hAnsi="微软雅黑" w:eastAsia="楷体_GB2312" w:cs="楷体_GB2312"/>
          <w:i w:val="0"/>
          <w:caps w:val="0"/>
          <w:color w:val="000000" w:themeColor="text1"/>
          <w:spacing w:val="0"/>
          <w:sz w:val="32"/>
          <w:szCs w:val="32"/>
          <w:shd w:val="clear" w:fill="FFFFFF"/>
          <w14:textFill>
            <w14:solidFill>
              <w14:schemeClr w14:val="tx1"/>
            </w14:solidFill>
          </w14:textFill>
        </w:rPr>
        <w:t>监督保障</w:t>
      </w:r>
      <w:r>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t>情况。</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调整</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局政府信息公开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工作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领导小组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形成一把手负总责、分管领导具体抓，各科室积极配合的工作领导机制。同时将政府信息公开工作纳入年底考核，根据公开情况及应诉复议结果对各科室综合打分，保障政府信息公开工作落地落实。</w:t>
      </w:r>
    </w:p>
    <w:p>
      <w:pPr>
        <w:numPr>
          <w:ilvl w:val="0"/>
          <w:numId w:val="0"/>
        </w:numPr>
        <w:ind w:firstLine="640" w:firstLineChars="200"/>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二、</w:t>
      </w: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主动公开政府信息情况</w:t>
      </w:r>
    </w:p>
    <w:tbl>
      <w:tblPr>
        <w:tblStyle w:val="7"/>
        <w:tblW w:w="8787" w:type="dxa"/>
        <w:jc w:val="center"/>
        <w:tblLayout w:type="fixed"/>
        <w:tblCellMar>
          <w:top w:w="0" w:type="dxa"/>
          <w:left w:w="0" w:type="dxa"/>
          <w:bottom w:w="0" w:type="dxa"/>
          <w:right w:w="0" w:type="dxa"/>
        </w:tblCellMar>
      </w:tblPr>
      <w:tblGrid>
        <w:gridCol w:w="3450"/>
        <w:gridCol w:w="1686"/>
        <w:gridCol w:w="1803"/>
        <w:gridCol w:w="1848"/>
      </w:tblGrid>
      <w:tr>
        <w:tblPrEx>
          <w:tblCellMar>
            <w:top w:w="0" w:type="dxa"/>
            <w:left w:w="0" w:type="dxa"/>
            <w:bottom w:w="0" w:type="dxa"/>
            <w:right w:w="0" w:type="dxa"/>
          </w:tblCellMar>
        </w:tblPrEx>
        <w:trPr>
          <w:trHeight w:val="621" w:hRule="exact"/>
          <w:jc w:val="center"/>
        </w:trPr>
        <w:tc>
          <w:tcPr>
            <w:tcW w:w="8787"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第二十条</w:t>
            </w:r>
            <w:r>
              <w:rPr>
                <w:rFonts w:hint="eastAsia" w:ascii="宋体" w:hAnsi="宋体" w:eastAsia="宋体" w:cs="宋体"/>
                <w:sz w:val="20"/>
                <w:szCs w:val="20"/>
                <w:lang w:eastAsia="zh-CN"/>
              </w:rPr>
              <w:tab/>
            </w:r>
            <w:r>
              <w:rPr>
                <w:rFonts w:hint="eastAsia" w:ascii="宋体" w:hAnsi="宋体" w:eastAsia="宋体" w:cs="宋体"/>
                <w:sz w:val="20"/>
                <w:szCs w:val="20"/>
                <w:lang w:eastAsia="zh-CN"/>
              </w:rPr>
              <w:t>第 （一） 项</w:t>
            </w:r>
          </w:p>
        </w:tc>
      </w:tr>
      <w:tr>
        <w:tblPrEx>
          <w:tblCellMar>
            <w:top w:w="0" w:type="dxa"/>
            <w:left w:w="0" w:type="dxa"/>
            <w:bottom w:w="0" w:type="dxa"/>
            <w:right w:w="0" w:type="dxa"/>
          </w:tblCellMar>
        </w:tblPrEx>
        <w:trPr>
          <w:trHeight w:val="616" w:hRule="exact"/>
          <w:jc w:val="center"/>
        </w:trPr>
        <w:tc>
          <w:tcPr>
            <w:tcW w:w="3450" w:type="dxa"/>
            <w:tcBorders>
              <w:top w:val="single" w:color="64647C" w:sz="4" w:space="0"/>
              <w:left w:val="single" w:color="3B3B44" w:sz="6" w:space="0"/>
              <w:bottom w:val="single" w:color="707790" w:sz="4" w:space="0"/>
              <w:right w:val="single" w:color="7C7C83" w:sz="4" w:space="0"/>
            </w:tcBorders>
          </w:tcPr>
          <w:p>
            <w:pPr>
              <w:spacing w:before="135"/>
              <w:ind w:right="27"/>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本年废止件数</w:t>
            </w:r>
          </w:p>
        </w:tc>
        <w:tc>
          <w:tcPr>
            <w:tcW w:w="1848" w:type="dxa"/>
            <w:tcBorders>
              <w:top w:val="single" w:color="64647C" w:sz="4" w:space="0"/>
              <w:left w:val="single" w:color="606064" w:sz="2" w:space="0"/>
              <w:bottom w:val="single" w:color="835B67" w:sz="4" w:space="0"/>
              <w:right w:val="single" w:color="3B3B44" w:sz="8" w:space="0"/>
            </w:tcBorders>
          </w:tcPr>
          <w:p>
            <w:pPr>
              <w:spacing w:before="13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现行有效件数</w:t>
            </w:r>
          </w:p>
        </w:tc>
      </w:tr>
      <w:tr>
        <w:tblPrEx>
          <w:tblCellMar>
            <w:top w:w="0" w:type="dxa"/>
            <w:left w:w="0" w:type="dxa"/>
            <w:bottom w:w="0" w:type="dxa"/>
            <w:right w:w="0" w:type="dxa"/>
          </w:tblCellMar>
        </w:tblPrEx>
        <w:trPr>
          <w:trHeight w:val="628" w:hRule="exact"/>
          <w:jc w:val="center"/>
        </w:trPr>
        <w:tc>
          <w:tcPr>
            <w:tcW w:w="3450" w:type="dxa"/>
            <w:tcBorders>
              <w:top w:val="single" w:color="707790" w:sz="4" w:space="0"/>
              <w:left w:val="single" w:color="3B3B44" w:sz="6" w:space="0"/>
              <w:bottom w:val="single" w:color="747487" w:sz="4" w:space="0"/>
              <w:right w:val="single" w:color="97979C" w:sz="4" w:space="0"/>
            </w:tcBorders>
          </w:tcPr>
          <w:p>
            <w:pPr>
              <w:spacing w:before="147"/>
              <w:ind w:left="93"/>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0</w:t>
            </w:r>
          </w:p>
        </w:tc>
        <w:tc>
          <w:tcPr>
            <w:tcW w:w="1848" w:type="dxa"/>
            <w:tcBorders>
              <w:top w:val="single" w:color="835B67" w:sz="4" w:space="0"/>
              <w:left w:val="single" w:color="97939C" w:sz="4" w:space="0"/>
              <w:bottom w:val="single" w:color="74778C" w:sz="4" w:space="0"/>
              <w:right w:val="single" w:color="3B3B3F" w:sz="8" w:space="0"/>
            </w:tcBorders>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0</w:t>
            </w:r>
          </w:p>
        </w:tc>
      </w:tr>
      <w:tr>
        <w:tblPrEx>
          <w:tblCellMar>
            <w:top w:w="0" w:type="dxa"/>
            <w:left w:w="0" w:type="dxa"/>
            <w:bottom w:w="0" w:type="dxa"/>
            <w:right w:w="0" w:type="dxa"/>
          </w:tblCellMar>
        </w:tblPrEx>
        <w:trPr>
          <w:trHeight w:val="621" w:hRule="exact"/>
          <w:jc w:val="center"/>
        </w:trPr>
        <w:tc>
          <w:tcPr>
            <w:tcW w:w="3450" w:type="dxa"/>
            <w:tcBorders>
              <w:top w:val="single" w:color="747487" w:sz="4" w:space="0"/>
              <w:left w:val="single" w:color="3B3B44" w:sz="6" w:space="0"/>
              <w:bottom w:val="single" w:color="5B6080" w:sz="4" w:space="0"/>
              <w:right w:val="single" w:color="97979C" w:sz="4" w:space="0"/>
            </w:tcBorders>
          </w:tcPr>
          <w:p>
            <w:pPr>
              <w:spacing w:before="138"/>
              <w:ind w:left="93"/>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0</w:t>
            </w:r>
          </w:p>
        </w:tc>
        <w:tc>
          <w:tcPr>
            <w:tcW w:w="1848" w:type="dxa"/>
            <w:tcBorders>
              <w:top w:val="single" w:color="74778C" w:sz="4" w:space="0"/>
              <w:left w:val="single" w:color="97939C" w:sz="4" w:space="0"/>
              <w:bottom w:val="single" w:color="5B6080" w:sz="4" w:space="0"/>
              <w:right w:val="single" w:color="3B3B3F" w:sz="8" w:space="0"/>
            </w:tcBorders>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highlight w:val="none"/>
                <w:lang w:val="en-US" w:eastAsia="zh-CN"/>
              </w:rPr>
              <w:t>0</w:t>
            </w:r>
          </w:p>
        </w:tc>
      </w:tr>
      <w:tr>
        <w:tblPrEx>
          <w:tblCellMar>
            <w:top w:w="0" w:type="dxa"/>
            <w:left w:w="0" w:type="dxa"/>
            <w:bottom w:w="0" w:type="dxa"/>
            <w:right w:w="0" w:type="dxa"/>
          </w:tblCellMar>
        </w:tblPrEx>
        <w:trPr>
          <w:trHeight w:val="621" w:hRule="exact"/>
          <w:jc w:val="center"/>
        </w:trPr>
        <w:tc>
          <w:tcPr>
            <w:tcW w:w="8787"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第二十条</w:t>
            </w:r>
            <w:r>
              <w:rPr>
                <w:rFonts w:hint="eastAsia" w:ascii="宋体" w:hAnsi="宋体" w:eastAsia="宋体" w:cs="宋体"/>
                <w:sz w:val="20"/>
                <w:szCs w:val="20"/>
                <w:lang w:eastAsia="zh-CN"/>
              </w:rPr>
              <w:tab/>
            </w:r>
            <w:r>
              <w:rPr>
                <w:rFonts w:hint="eastAsia" w:ascii="宋体" w:hAnsi="宋体" w:eastAsia="宋体" w:cs="宋体"/>
                <w:sz w:val="20"/>
                <w:szCs w:val="20"/>
                <w:lang w:eastAsia="zh-CN"/>
              </w:rPr>
              <w:t>第 （五） 项</w:t>
            </w:r>
            <w:r>
              <w:drawing>
                <wp:inline distT="0" distB="0" distL="114300" distR="114300">
                  <wp:extent cx="5559425" cy="2409190"/>
                  <wp:effectExtent l="0" t="0" r="317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559425" cy="240919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621" w:hRule="exact"/>
          <w:jc w:val="center"/>
        </w:trPr>
        <w:tc>
          <w:tcPr>
            <w:tcW w:w="3450" w:type="dxa"/>
            <w:tcBorders>
              <w:top w:val="single" w:color="646B80" w:sz="4" w:space="0"/>
              <w:left w:val="single" w:color="3B3B44" w:sz="6" w:space="0"/>
              <w:bottom w:val="single" w:color="80676B" w:sz="4" w:space="0"/>
              <w:right w:val="single" w:color="878787" w:sz="4" w:space="0"/>
            </w:tcBorders>
          </w:tcPr>
          <w:p>
            <w:pPr>
              <w:spacing w:before="138"/>
              <w:ind w:right="17"/>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信息内容</w:t>
            </w:r>
          </w:p>
        </w:tc>
        <w:tc>
          <w:tcPr>
            <w:tcW w:w="5337"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本年处理决定数量</w:t>
            </w:r>
          </w:p>
        </w:tc>
      </w:tr>
      <w:tr>
        <w:tblPrEx>
          <w:tblCellMar>
            <w:top w:w="0" w:type="dxa"/>
            <w:left w:w="0" w:type="dxa"/>
            <w:bottom w:w="0" w:type="dxa"/>
            <w:right w:w="0" w:type="dxa"/>
          </w:tblCellMar>
        </w:tblPrEx>
        <w:trPr>
          <w:trHeight w:val="621" w:hRule="exact"/>
          <w:jc w:val="center"/>
        </w:trPr>
        <w:tc>
          <w:tcPr>
            <w:tcW w:w="3450" w:type="dxa"/>
            <w:tcBorders>
              <w:top w:val="single" w:color="80676B" w:sz="4" w:space="0"/>
              <w:left w:val="single" w:color="3B3B44" w:sz="6" w:space="0"/>
              <w:bottom w:val="single" w:color="646487" w:sz="4" w:space="0"/>
              <w:right w:val="single" w:color="878787" w:sz="4" w:space="0"/>
            </w:tcBorders>
          </w:tcPr>
          <w:p>
            <w:pPr>
              <w:spacing w:before="140"/>
              <w:ind w:left="98"/>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行政许可</w:t>
            </w:r>
          </w:p>
        </w:tc>
        <w:tc>
          <w:tcPr>
            <w:tcW w:w="5337" w:type="dxa"/>
            <w:gridSpan w:val="3"/>
            <w:tcBorders>
              <w:top w:val="single" w:color="7C7474" w:sz="4" w:space="0"/>
              <w:left w:val="single" w:color="878787" w:sz="4" w:space="0"/>
              <w:bottom w:val="single" w:color="646487" w:sz="4" w:space="0"/>
              <w:right w:val="single" w:color="3B3B3F" w:sz="8" w:space="0"/>
            </w:tcBorders>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89</w:t>
            </w:r>
          </w:p>
        </w:tc>
      </w:tr>
      <w:tr>
        <w:tblPrEx>
          <w:tblCellMar>
            <w:top w:w="0" w:type="dxa"/>
            <w:left w:w="0" w:type="dxa"/>
            <w:bottom w:w="0" w:type="dxa"/>
            <w:right w:w="0" w:type="dxa"/>
          </w:tblCellMar>
        </w:tblPrEx>
        <w:trPr>
          <w:trHeight w:val="623" w:hRule="exact"/>
          <w:jc w:val="center"/>
        </w:trPr>
        <w:tc>
          <w:tcPr>
            <w:tcW w:w="8787"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第二十条</w:t>
            </w:r>
            <w:r>
              <w:rPr>
                <w:rFonts w:hint="eastAsia" w:ascii="宋体" w:hAnsi="宋体" w:eastAsia="宋体" w:cs="宋体"/>
                <w:sz w:val="20"/>
                <w:szCs w:val="20"/>
                <w:lang w:eastAsia="zh-CN"/>
              </w:rPr>
              <w:tab/>
            </w:r>
            <w:r>
              <w:rPr>
                <w:rFonts w:hint="eastAsia" w:ascii="宋体" w:hAnsi="宋体" w:eastAsia="宋体" w:cs="宋体"/>
                <w:sz w:val="20"/>
                <w:szCs w:val="20"/>
                <w:lang w:eastAsia="zh-CN"/>
              </w:rPr>
              <w:t>第 （六） 项</w:t>
            </w:r>
          </w:p>
        </w:tc>
      </w:tr>
      <w:tr>
        <w:tblPrEx>
          <w:tblCellMar>
            <w:top w:w="0" w:type="dxa"/>
            <w:left w:w="0" w:type="dxa"/>
            <w:bottom w:w="0" w:type="dxa"/>
            <w:right w:w="0" w:type="dxa"/>
          </w:tblCellMar>
        </w:tblPrEx>
        <w:trPr>
          <w:trHeight w:val="627" w:hRule="exact"/>
          <w:jc w:val="center"/>
        </w:trPr>
        <w:tc>
          <w:tcPr>
            <w:tcW w:w="3450" w:type="dxa"/>
            <w:tcBorders>
              <w:top w:val="single" w:color="607087" w:sz="4" w:space="0"/>
              <w:left w:val="single" w:color="3B3B44" w:sz="6" w:space="0"/>
              <w:bottom w:val="single" w:color="8C7774" w:sz="4" w:space="0"/>
              <w:right w:val="single" w:color="909093" w:sz="4" w:space="0"/>
            </w:tcBorders>
          </w:tcPr>
          <w:p>
            <w:pPr>
              <w:spacing w:before="142"/>
              <w:ind w:right="8"/>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信息内容</w:t>
            </w:r>
          </w:p>
        </w:tc>
        <w:tc>
          <w:tcPr>
            <w:tcW w:w="5337"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本年处理决定数量</w:t>
            </w:r>
          </w:p>
        </w:tc>
      </w:tr>
      <w:tr>
        <w:tblPrEx>
          <w:tblCellMar>
            <w:top w:w="0" w:type="dxa"/>
            <w:left w:w="0" w:type="dxa"/>
            <w:bottom w:w="0" w:type="dxa"/>
            <w:right w:w="0" w:type="dxa"/>
          </w:tblCellMar>
        </w:tblPrEx>
        <w:trPr>
          <w:trHeight w:val="624" w:hRule="exact"/>
          <w:jc w:val="center"/>
        </w:trPr>
        <w:tc>
          <w:tcPr>
            <w:tcW w:w="3450" w:type="dxa"/>
            <w:tcBorders>
              <w:top w:val="single" w:color="8C7774" w:sz="4" w:space="0"/>
              <w:left w:val="single" w:color="3B3B44" w:sz="6" w:space="0"/>
              <w:bottom w:val="single" w:color="7C6B74" w:sz="4" w:space="0"/>
              <w:right w:val="single" w:color="909093" w:sz="4" w:space="0"/>
            </w:tcBorders>
          </w:tcPr>
          <w:p>
            <w:pPr>
              <w:spacing w:before="139"/>
              <w:ind w:left="102"/>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行政处罚</w:t>
            </w:r>
          </w:p>
        </w:tc>
        <w:tc>
          <w:tcPr>
            <w:tcW w:w="5337" w:type="dxa"/>
            <w:gridSpan w:val="3"/>
            <w:tcBorders>
              <w:top w:val="single" w:color="747074" w:sz="4" w:space="0"/>
              <w:left w:val="single" w:color="909093" w:sz="4" w:space="0"/>
              <w:bottom w:val="single" w:color="7C6B74" w:sz="4" w:space="0"/>
              <w:right w:val="single" w:color="3B3B3F" w:sz="8" w:space="0"/>
            </w:tcBorders>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highlight w:val="none"/>
                <w:lang w:val="en-US" w:eastAsia="zh-CN"/>
              </w:rPr>
              <w:t>48</w:t>
            </w:r>
          </w:p>
        </w:tc>
      </w:tr>
      <w:tr>
        <w:tblPrEx>
          <w:tblCellMar>
            <w:top w:w="0" w:type="dxa"/>
            <w:left w:w="0" w:type="dxa"/>
            <w:bottom w:w="0" w:type="dxa"/>
            <w:right w:w="0" w:type="dxa"/>
          </w:tblCellMar>
        </w:tblPrEx>
        <w:trPr>
          <w:trHeight w:val="618" w:hRule="exact"/>
          <w:jc w:val="center"/>
        </w:trPr>
        <w:tc>
          <w:tcPr>
            <w:tcW w:w="3450" w:type="dxa"/>
            <w:tcBorders>
              <w:top w:val="single" w:color="7C6B74" w:sz="4" w:space="0"/>
              <w:left w:val="single" w:color="3B3B44" w:sz="6" w:space="0"/>
              <w:bottom w:val="single" w:color="646080" w:sz="4" w:space="0"/>
              <w:right w:val="single" w:color="909093" w:sz="4" w:space="0"/>
            </w:tcBorders>
          </w:tcPr>
          <w:p>
            <w:pPr>
              <w:spacing w:before="138"/>
              <w:ind w:left="107"/>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行政强制</w:t>
            </w:r>
          </w:p>
        </w:tc>
        <w:tc>
          <w:tcPr>
            <w:tcW w:w="5337" w:type="dxa"/>
            <w:gridSpan w:val="3"/>
            <w:tcBorders>
              <w:top w:val="single" w:color="7C6B74" w:sz="4" w:space="0"/>
              <w:left w:val="single" w:color="909093" w:sz="4" w:space="0"/>
              <w:bottom w:val="single" w:color="646080" w:sz="4" w:space="0"/>
              <w:right w:val="single" w:color="3B3B3F" w:sz="8" w:space="0"/>
            </w:tcBorders>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r>
      <w:tr>
        <w:tblPrEx>
          <w:tblCellMar>
            <w:top w:w="0" w:type="dxa"/>
            <w:left w:w="0" w:type="dxa"/>
            <w:bottom w:w="0" w:type="dxa"/>
            <w:right w:w="0" w:type="dxa"/>
          </w:tblCellMar>
        </w:tblPrEx>
        <w:trPr>
          <w:trHeight w:val="626" w:hRule="exact"/>
          <w:jc w:val="center"/>
        </w:trPr>
        <w:tc>
          <w:tcPr>
            <w:tcW w:w="8787"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第二十条</w:t>
            </w:r>
            <w:r>
              <w:rPr>
                <w:rFonts w:hint="eastAsia" w:ascii="宋体" w:hAnsi="宋体" w:eastAsia="宋体" w:cs="宋体"/>
                <w:sz w:val="20"/>
                <w:szCs w:val="20"/>
                <w:lang w:eastAsia="zh-CN"/>
              </w:rPr>
              <w:tab/>
            </w:r>
            <w:r>
              <w:rPr>
                <w:rFonts w:hint="eastAsia" w:ascii="宋体" w:hAnsi="宋体" w:eastAsia="宋体" w:cs="宋体"/>
                <w:sz w:val="20"/>
                <w:szCs w:val="20"/>
                <w:lang w:eastAsia="zh-CN"/>
              </w:rPr>
              <w:t>第 （八） 项</w:t>
            </w:r>
          </w:p>
        </w:tc>
      </w:tr>
      <w:tr>
        <w:tblPrEx>
          <w:tblCellMar>
            <w:top w:w="0" w:type="dxa"/>
            <w:left w:w="0" w:type="dxa"/>
            <w:bottom w:w="0" w:type="dxa"/>
            <w:right w:w="0" w:type="dxa"/>
          </w:tblCellMar>
        </w:tblPrEx>
        <w:trPr>
          <w:trHeight w:val="621" w:hRule="exact"/>
          <w:jc w:val="center"/>
        </w:trPr>
        <w:tc>
          <w:tcPr>
            <w:tcW w:w="3450" w:type="dxa"/>
            <w:tcBorders>
              <w:top w:val="single" w:color="6B747C" w:sz="4" w:space="0"/>
              <w:left w:val="single" w:color="5B5B60" w:sz="6" w:space="0"/>
              <w:bottom w:val="single" w:color="77778C" w:sz="4" w:space="0"/>
              <w:right w:val="single" w:color="auto" w:sz="4" w:space="0"/>
            </w:tcBorders>
          </w:tcPr>
          <w:p>
            <w:pPr>
              <w:spacing w:before="135"/>
              <w:ind w:right="1"/>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信息内容</w:t>
            </w:r>
          </w:p>
        </w:tc>
        <w:tc>
          <w:tcPr>
            <w:tcW w:w="5337"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本年收费金额  （单位 ：万元）</w:t>
            </w:r>
          </w:p>
        </w:tc>
      </w:tr>
      <w:tr>
        <w:tblPrEx>
          <w:tblCellMar>
            <w:top w:w="0" w:type="dxa"/>
            <w:left w:w="0" w:type="dxa"/>
            <w:bottom w:w="0" w:type="dxa"/>
            <w:right w:w="0" w:type="dxa"/>
          </w:tblCellMar>
        </w:tblPrEx>
        <w:trPr>
          <w:trHeight w:val="626" w:hRule="exact"/>
          <w:jc w:val="center"/>
        </w:trPr>
        <w:tc>
          <w:tcPr>
            <w:tcW w:w="3450" w:type="dxa"/>
            <w:tcBorders>
              <w:top w:val="single" w:color="77778C" w:sz="4" w:space="0"/>
              <w:left w:val="single" w:color="5B5B60" w:sz="6" w:space="0"/>
              <w:bottom w:val="single" w:color="3B383F" w:sz="8" w:space="0"/>
              <w:right w:val="single" w:color="8C8C93" w:sz="2" w:space="0"/>
            </w:tcBorders>
          </w:tcPr>
          <w:p>
            <w:pPr>
              <w:spacing w:before="138"/>
              <w:ind w:left="107"/>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行政事业性收费</w:t>
            </w:r>
          </w:p>
        </w:tc>
        <w:tc>
          <w:tcPr>
            <w:tcW w:w="5337" w:type="dxa"/>
            <w:gridSpan w:val="3"/>
            <w:tcBorders>
              <w:top w:val="single" w:color="77778C" w:sz="4" w:space="0"/>
              <w:left w:val="single" w:color="8C8C93" w:sz="2" w:space="0"/>
              <w:bottom w:val="single" w:color="3B383F" w:sz="8" w:space="0"/>
              <w:right w:val="single" w:color="3B3B44" w:sz="8" w:space="0"/>
            </w:tcBorders>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188.2810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三、收到和处理政府信息公开申请情况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ascii="楷体" w:hAnsi="楷体" w:eastAsia="楷体" w:cs="楷体"/>
                <w:color w:val="000000" w:themeColor="text1"/>
                <w:kern w:val="0"/>
                <w:sz w:val="20"/>
                <w:szCs w:val="20"/>
                <w:lang w:val="en-US" w:eastAsia="zh-CN" w:bidi="ar"/>
                <w14:textFill>
                  <w14:solidFill>
                    <w14:schemeClr w14:val="tx1"/>
                  </w14:solidFill>
                </w14:textFill>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91"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法人或其他组织</w:t>
            </w:r>
          </w:p>
        </w:tc>
        <w:tc>
          <w:tcPr>
            <w:tcW w:w="691"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91"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p>
        </w:tc>
        <w:tc>
          <w:tcPr>
            <w:tcW w:w="691"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一、本年新收政府信息公开申请数量</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65</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二、上年结转政府信息公开申请数量</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三、本年度办理结果</w:t>
            </w:r>
          </w:p>
        </w:tc>
        <w:tc>
          <w:tcPr>
            <w:tcW w:w="416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（一）予以公开</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416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（二）部分公开</w:t>
            </w:r>
            <w:r>
              <w:rPr>
                <w:rFonts w:hint="eastAsia" w:ascii="楷体" w:hAnsi="楷体" w:eastAsia="楷体" w:cs="楷体"/>
                <w:color w:val="000000" w:themeColor="text1"/>
                <w:kern w:val="0"/>
                <w:sz w:val="20"/>
                <w:szCs w:val="20"/>
                <w:lang w:val="en-US" w:eastAsia="zh-CN" w:bidi="ar"/>
                <w14:textFill>
                  <w14:solidFill>
                    <w14:schemeClr w14:val="tx1"/>
                  </w14:solidFill>
                </w14:textFill>
              </w:rPr>
              <w:t>（区分处理的，只计这一情形，不计其他情形）</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（三）不予公开</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1.属于国家秘密</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2.其他法律行政法规禁止公开</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3.危及“三安全一稳定”</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4.保护第三方合法权益</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5.属于三类内部事务信息</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6.属于四类过程性信息</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7.属于行政执法案卷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8.属于行政查询事项</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（四）无法提供</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1.本机关不掌握相关政府信息</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22</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2.没有现成信息需要另行制作</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3.补正后申请内容仍不明确</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（五）不予处理</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1.信访举报投诉类申请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2.重复申请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3.要求提供公开出版物</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4.无正当理由大量反复申请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5.要求行政机关确认或重新出具已获取信息</w:t>
            </w:r>
          </w:p>
        </w:tc>
        <w:tc>
          <w:tcPr>
            <w:tcW w:w="691"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（六）其他处理</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1.申请人无正当理由逾期不补正、行政机关不再处理其政府信息公开申请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3.其他</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416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（七）总计</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66</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四、结转下年度继续办理</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5</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4"/>
          <w:szCs w:val="24"/>
          <w14:textFill>
            <w14:solidFill>
              <w14:schemeClr w14:val="tx1"/>
            </w14:solidFill>
          </w14:textFill>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(一)存在的主要问题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2023年政府信息公开工作虽然取得了新的进步，但与新时代政务公开工作相比，仍有不足。一是对待政务公开工作循规蹈矩、按部就班，没有创新工作方式方法；二是政策解读的力度不足、个别政策文件解读内容空乏，缺乏深度、细致的解读，解读方式有待于进一步丰富、多样化</w:t>
      </w:r>
      <w:r>
        <w:rPr>
          <w:rFonts w:hint="eastAsia" w:ascii="Times New Roman" w:hAnsi="Times New Roman" w:eastAsia="仿宋_GB2312" w:cs="Times New Roman"/>
          <w:sz w:val="32"/>
          <w:szCs w:val="32"/>
          <w:highlight w:val="none"/>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(二)改进措施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一是规范</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信息公开</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程序，加强政务公开内容的全面性。</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围绕区委区政府中心工作、单位年度重点工作以及公众关心关切的领域，</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明确职责分工，</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压实科室、有关单位责任，</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加强监督管理，</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全面展现重点事项的公开情况，</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避免遗漏信息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、不实信息</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等情况的发生</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拓宽</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宣传</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深度</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提升宣传质量。与时俱进</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加大政务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公开</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新媒体</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公开</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力度，</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与传统宣传方式相辅相成，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扩大信息覆盖面。</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三是按照</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“应解读、尽解读”</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“谁的业务谁解读”等原则，</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利用图片、图表</w:t>
      </w:r>
      <w:bookmarkStart w:id="0" w:name="_GoBack"/>
      <w:bookmarkEnd w:id="0"/>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、数据、实例</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等</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群众喜闻乐见的形式，使用深入浅出、通俗易懂的语言，提高解读材料的可读性、生动性、传播性</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1.收取信息处理费情况。2023年政府信息公开未收取信息处理费。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2.2023年度建议提案办理情况。通过做好职责分工、完善工作机制，切实保障提案建议按时答复。2023年度共办理建议7件，提案4件。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年度工作要点落实情况。一是推进信息公开工作走深走实。进一步加强对网站栏目设置的监督指导，保证栏目清晰、要素齐全、更新及时；二是加强政务公开队伍建设。通过定期培训、轮岗轮训等方式，不断提高人员素质，打造高素质、专业化的政务公开队伍；三是保障政务公开时效。通过强化工作落实，确保在部署安排业务工作的同时对相关公开事宜提出具体要求并督导落实，做到“业务工作推进到哪里，政务公开就跟进到哪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4.政务公开工作创新情况。2023年，政务公开工作无创新举措。</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D4F3B"/>
    <w:rsid w:val="005D757F"/>
    <w:rsid w:val="008057B1"/>
    <w:rsid w:val="0120770A"/>
    <w:rsid w:val="02437831"/>
    <w:rsid w:val="02D93081"/>
    <w:rsid w:val="057F38C3"/>
    <w:rsid w:val="060F0A3E"/>
    <w:rsid w:val="072C1FCC"/>
    <w:rsid w:val="08215108"/>
    <w:rsid w:val="0A080133"/>
    <w:rsid w:val="10A941A3"/>
    <w:rsid w:val="110343BB"/>
    <w:rsid w:val="11B01124"/>
    <w:rsid w:val="127C616F"/>
    <w:rsid w:val="13444E03"/>
    <w:rsid w:val="13873614"/>
    <w:rsid w:val="15CD783D"/>
    <w:rsid w:val="18A22BCE"/>
    <w:rsid w:val="19D175C9"/>
    <w:rsid w:val="1A881FCE"/>
    <w:rsid w:val="1AA47202"/>
    <w:rsid w:val="1EB12435"/>
    <w:rsid w:val="22787D7B"/>
    <w:rsid w:val="232B6D2B"/>
    <w:rsid w:val="23A35D75"/>
    <w:rsid w:val="23CA5057"/>
    <w:rsid w:val="2404094C"/>
    <w:rsid w:val="254755B8"/>
    <w:rsid w:val="256D4F3B"/>
    <w:rsid w:val="281E31F5"/>
    <w:rsid w:val="28E729AD"/>
    <w:rsid w:val="290B3AB0"/>
    <w:rsid w:val="2B752C25"/>
    <w:rsid w:val="2BE37C55"/>
    <w:rsid w:val="2D1D1249"/>
    <w:rsid w:val="2E0118B2"/>
    <w:rsid w:val="2E2A152E"/>
    <w:rsid w:val="2EEE724C"/>
    <w:rsid w:val="30B051E7"/>
    <w:rsid w:val="3148617D"/>
    <w:rsid w:val="314B0284"/>
    <w:rsid w:val="31655383"/>
    <w:rsid w:val="31E3328D"/>
    <w:rsid w:val="32E965FE"/>
    <w:rsid w:val="33BD40D5"/>
    <w:rsid w:val="33F612F7"/>
    <w:rsid w:val="376412AD"/>
    <w:rsid w:val="385863ED"/>
    <w:rsid w:val="38972E18"/>
    <w:rsid w:val="397B6C79"/>
    <w:rsid w:val="3AF554E1"/>
    <w:rsid w:val="3B0811C5"/>
    <w:rsid w:val="3C6A6E00"/>
    <w:rsid w:val="3DC45379"/>
    <w:rsid w:val="3DEE7D52"/>
    <w:rsid w:val="3E0A02B7"/>
    <w:rsid w:val="3F1C2887"/>
    <w:rsid w:val="3FCA2825"/>
    <w:rsid w:val="3FF6578E"/>
    <w:rsid w:val="40AB1F0E"/>
    <w:rsid w:val="412B4B45"/>
    <w:rsid w:val="43626246"/>
    <w:rsid w:val="44551A32"/>
    <w:rsid w:val="44E529BD"/>
    <w:rsid w:val="456637D6"/>
    <w:rsid w:val="46B4548C"/>
    <w:rsid w:val="4A3D0532"/>
    <w:rsid w:val="4A7F0923"/>
    <w:rsid w:val="4AC1201A"/>
    <w:rsid w:val="4ACB5AFA"/>
    <w:rsid w:val="4F4069E2"/>
    <w:rsid w:val="4F5B7A22"/>
    <w:rsid w:val="4FFE3499"/>
    <w:rsid w:val="503A5E5B"/>
    <w:rsid w:val="51C84049"/>
    <w:rsid w:val="540D7D9C"/>
    <w:rsid w:val="540F06AA"/>
    <w:rsid w:val="54224D0E"/>
    <w:rsid w:val="54663AEF"/>
    <w:rsid w:val="546D2E56"/>
    <w:rsid w:val="55A21388"/>
    <w:rsid w:val="56E97A9A"/>
    <w:rsid w:val="57377B64"/>
    <w:rsid w:val="579B68B3"/>
    <w:rsid w:val="5BDC215B"/>
    <w:rsid w:val="5C060339"/>
    <w:rsid w:val="5DD0149D"/>
    <w:rsid w:val="5EF332B6"/>
    <w:rsid w:val="6039371F"/>
    <w:rsid w:val="605060CD"/>
    <w:rsid w:val="60F72461"/>
    <w:rsid w:val="61816F00"/>
    <w:rsid w:val="61C52C16"/>
    <w:rsid w:val="646A7DBA"/>
    <w:rsid w:val="64ED482D"/>
    <w:rsid w:val="65ED1621"/>
    <w:rsid w:val="697064F8"/>
    <w:rsid w:val="6AA25BA6"/>
    <w:rsid w:val="6CAC3575"/>
    <w:rsid w:val="6CC85374"/>
    <w:rsid w:val="6DC76DEA"/>
    <w:rsid w:val="6EC933C0"/>
    <w:rsid w:val="707D5DD5"/>
    <w:rsid w:val="715950A3"/>
    <w:rsid w:val="717F5307"/>
    <w:rsid w:val="722A4309"/>
    <w:rsid w:val="724069E3"/>
    <w:rsid w:val="774B0F61"/>
    <w:rsid w:val="77AF74B3"/>
    <w:rsid w:val="77BD4C0C"/>
    <w:rsid w:val="78854521"/>
    <w:rsid w:val="79AF7AA5"/>
    <w:rsid w:val="7AAA061C"/>
    <w:rsid w:val="7AC33711"/>
    <w:rsid w:val="7CF956F4"/>
    <w:rsid w:val="7F3D4E9A"/>
    <w:rsid w:val="7F883E99"/>
    <w:rsid w:val="F7F9C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table" w:customStyle="1" w:styleId="7">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2024-01-08T09:53:00Z</dcterms:created>
  <dc:creator>Administrator</dc:creator>
  <cp:lastModifiedBy>Administrator</cp:lastModifiedBy>
  <dcterms:modified xsi:type="dcterms:W3CDTF">2024-01-24T01:55:08Z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