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D4ED4C">
      <w:pPr>
        <w:ind w:firstLine="720" w:firstLineChars="200"/>
        <w:jc w:val="center"/>
        <w:rPr>
          <w:rFonts w:hint="eastAsia" w:ascii="黑体" w:hAnsi="黑体" w:eastAsia="黑体" w:cs="Times New Roman"/>
          <w:color w:val="000000" w:themeColor="text1"/>
          <w:sz w:val="36"/>
          <w:szCs w:val="36"/>
          <w14:textFill>
            <w14:solidFill>
              <w14:schemeClr w14:val="tx1"/>
            </w14:solidFill>
          </w14:textFill>
        </w:rPr>
      </w:pPr>
      <w:r>
        <w:rPr>
          <w:rFonts w:hint="eastAsia" w:ascii="黑体" w:hAnsi="黑体" w:eastAsia="黑体" w:cs="Times New Roman"/>
          <w:color w:val="000000" w:themeColor="text1"/>
          <w:sz w:val="36"/>
          <w:szCs w:val="36"/>
          <w14:textFill>
            <w14:solidFill>
              <w14:schemeClr w14:val="tx1"/>
            </w14:solidFill>
          </w14:textFill>
        </w:rPr>
        <w:t>《淄博市临淄区皇城镇国土空间规划(2021-2035年)》(征求意见稿)公示</w:t>
      </w:r>
    </w:p>
    <w:p w14:paraId="55A0771E">
      <w:pPr>
        <w:ind w:firstLine="640" w:firstLineChars="200"/>
        <w:rPr>
          <w:rFonts w:ascii="仿宋_GB2312" w:hAnsi="Times New Roman" w:eastAsia="仿宋_GB2312" w:cs="Times New Roman"/>
          <w:color w:val="000000" w:themeColor="text1"/>
          <w:sz w:val="32"/>
          <w:szCs w:val="32"/>
          <w14:textFill>
            <w14:solidFill>
              <w14:schemeClr w14:val="tx1"/>
            </w14:solidFill>
          </w14:textFill>
        </w:rPr>
      </w:pPr>
      <w:r>
        <w:rPr>
          <w:rFonts w:hint="eastAsia" w:ascii="仿宋_GB2312" w:hAnsi="Times New Roman" w:eastAsia="仿宋_GB2312" w:cs="Times New Roman"/>
          <w:color w:val="000000" w:themeColor="text1"/>
          <w:sz w:val="32"/>
          <w:szCs w:val="32"/>
          <w14:textFill>
            <w14:solidFill>
              <w14:schemeClr w14:val="tx1"/>
            </w14:solidFill>
          </w14:textFill>
        </w:rPr>
        <w:t>为贯彻落实《中共中央国务院关于建立国土空间规划体系并监督实施的若干意见》等文件精神，建立责权清晰、科学高效的国</w:t>
      </w:r>
      <w:r>
        <w:rPr>
          <w:rFonts w:hint="eastAsia" w:ascii="仿宋_GB2312" w:hAnsi="Times New Roman" w:eastAsia="仿宋_GB2312" w:cs="Times New Roman"/>
          <w:color w:val="000000" w:themeColor="text1"/>
          <w:sz w:val="32"/>
          <w:szCs w:val="32"/>
          <w:lang w:eastAsia="zh-CN"/>
          <w14:textFill>
            <w14:solidFill>
              <w14:schemeClr w14:val="tx1"/>
            </w14:solidFill>
          </w14:textFill>
        </w:rPr>
        <w:t>土</w:t>
      </w:r>
      <w:r>
        <w:rPr>
          <w:rFonts w:hint="eastAsia" w:ascii="仿宋_GB2312" w:hAnsi="Times New Roman" w:eastAsia="仿宋_GB2312" w:cs="Times New Roman"/>
          <w:color w:val="000000" w:themeColor="text1"/>
          <w:sz w:val="32"/>
          <w:szCs w:val="32"/>
          <w14:textFill>
            <w14:solidFill>
              <w14:schemeClr w14:val="tx1"/>
            </w14:solidFill>
          </w14:textFill>
        </w:rPr>
        <w:t>空间规划体系，整体谋划新时代国土空间开发保护格局，按照国家和省市统一安排部署，临淄区皇城镇人民政府组织编制了《淄博市临淄区皇城镇国土空间规划(2021-2035年)》(以下简称《规划》)，本轮规划在完成现状调研、初步成果编制、意见征询等工作基础上，目前已形成《规划》公众征求意见稿。为广泛凝聚社会力量，进一步提高《规划》的科学性和操作性，现面向社会公众公开征求意见建议。</w:t>
      </w:r>
    </w:p>
    <w:p w14:paraId="08069324">
      <w:pPr>
        <w:ind w:firstLine="640" w:firstLineChars="200"/>
        <w:rPr>
          <w:rFonts w:ascii="仿宋_GB2312" w:hAnsi="Times New Roman" w:eastAsia="仿宋_GB2312" w:cs="Times New Roman"/>
          <w:color w:val="000000" w:themeColor="text1"/>
          <w:sz w:val="32"/>
          <w:szCs w:val="32"/>
          <w14:textFill>
            <w14:solidFill>
              <w14:schemeClr w14:val="tx1"/>
            </w14:solidFill>
          </w14:textFill>
        </w:rPr>
      </w:pPr>
      <w:r>
        <w:rPr>
          <w:rFonts w:hint="eastAsia" w:ascii="仿宋_GB2312" w:hAnsi="Times New Roman" w:eastAsia="仿宋_GB2312" w:cs="Times New Roman"/>
          <w:color w:val="000000" w:themeColor="text1"/>
          <w:sz w:val="32"/>
          <w:szCs w:val="32"/>
          <w14:textFill>
            <w14:solidFill>
              <w14:schemeClr w14:val="tx1"/>
            </w14:solidFill>
          </w14:textFill>
        </w:rPr>
        <w:t>公示时间:2024年</w:t>
      </w:r>
      <w:r>
        <w:rPr>
          <w:rFonts w:ascii="仿宋_GB2312" w:hAnsi="Times New Roman" w:eastAsia="仿宋_GB2312" w:cs="Times New Roman"/>
          <w:color w:val="000000" w:themeColor="text1"/>
          <w:sz w:val="32"/>
          <w:szCs w:val="32"/>
          <w14:textFill>
            <w14:solidFill>
              <w14:schemeClr w14:val="tx1"/>
            </w14:solidFill>
          </w14:textFill>
        </w:rPr>
        <w:t>9</w:t>
      </w:r>
      <w:r>
        <w:rPr>
          <w:rFonts w:hint="eastAsia" w:ascii="仿宋_GB2312" w:hAnsi="Times New Roman" w:eastAsia="仿宋_GB2312" w:cs="Times New Roman"/>
          <w:color w:val="000000" w:themeColor="text1"/>
          <w:sz w:val="32"/>
          <w:szCs w:val="32"/>
          <w14:textFill>
            <w14:solidFill>
              <w14:schemeClr w14:val="tx1"/>
            </w14:solidFill>
          </w14:textFill>
        </w:rPr>
        <w:t>月</w:t>
      </w:r>
      <w:r>
        <w:rPr>
          <w:rFonts w:ascii="仿宋_GB2312" w:hAnsi="Times New Roman" w:eastAsia="仿宋_GB2312" w:cs="Times New Roman"/>
          <w:color w:val="000000" w:themeColor="text1"/>
          <w:sz w:val="32"/>
          <w:szCs w:val="32"/>
          <w14:textFill>
            <w14:solidFill>
              <w14:schemeClr w14:val="tx1"/>
            </w14:solidFill>
          </w14:textFill>
        </w:rPr>
        <w:t>1</w:t>
      </w:r>
      <w:r>
        <w:rPr>
          <w:rFonts w:hint="eastAsia" w:ascii="仿宋_GB2312" w:hAnsi="Times New Roman" w:eastAsia="仿宋_GB2312" w:cs="Times New Roman"/>
          <w:color w:val="000000" w:themeColor="text1"/>
          <w:sz w:val="32"/>
          <w:szCs w:val="32"/>
          <w14:textFill>
            <w14:solidFill>
              <w14:schemeClr w14:val="tx1"/>
            </w14:solidFill>
          </w14:textFill>
        </w:rPr>
        <w:t>3日至2024年</w:t>
      </w:r>
      <w:r>
        <w:rPr>
          <w:rFonts w:ascii="仿宋_GB2312" w:hAnsi="Times New Roman" w:eastAsia="仿宋_GB2312" w:cs="Times New Roman"/>
          <w:color w:val="000000" w:themeColor="text1"/>
          <w:sz w:val="32"/>
          <w:szCs w:val="32"/>
          <w14:textFill>
            <w14:solidFill>
              <w14:schemeClr w14:val="tx1"/>
            </w14:solidFill>
          </w14:textFill>
        </w:rPr>
        <w:t>10</w:t>
      </w:r>
      <w:r>
        <w:rPr>
          <w:rFonts w:hint="eastAsia" w:ascii="仿宋_GB2312" w:hAnsi="Times New Roman" w:eastAsia="仿宋_GB2312" w:cs="Times New Roman"/>
          <w:color w:val="000000" w:themeColor="text1"/>
          <w:sz w:val="32"/>
          <w:szCs w:val="32"/>
          <w14:textFill>
            <w14:solidFill>
              <w14:schemeClr w14:val="tx1"/>
            </w14:solidFill>
          </w14:textFill>
        </w:rPr>
        <w:t>月</w:t>
      </w:r>
      <w:r>
        <w:rPr>
          <w:rFonts w:ascii="仿宋_GB2312" w:hAnsi="Times New Roman" w:eastAsia="仿宋_GB2312" w:cs="Times New Roman"/>
          <w:color w:val="000000" w:themeColor="text1"/>
          <w:sz w:val="32"/>
          <w:szCs w:val="32"/>
          <w14:textFill>
            <w14:solidFill>
              <w14:schemeClr w14:val="tx1"/>
            </w14:solidFill>
          </w14:textFill>
        </w:rPr>
        <w:t>1</w:t>
      </w:r>
      <w:r>
        <w:rPr>
          <w:rFonts w:hint="eastAsia" w:ascii="仿宋_GB2312" w:hAnsi="Times New Roman" w:eastAsia="仿宋_GB2312" w:cs="Times New Roman"/>
          <w:color w:val="000000" w:themeColor="text1"/>
          <w:sz w:val="32"/>
          <w:szCs w:val="32"/>
          <w14:textFill>
            <w14:solidFill>
              <w14:schemeClr w14:val="tx1"/>
            </w14:solidFill>
          </w14:textFill>
        </w:rPr>
        <w:t>2日，公示期30日</w:t>
      </w:r>
    </w:p>
    <w:p w14:paraId="7F478C5D">
      <w:pPr>
        <w:ind w:firstLine="640" w:firstLineChars="200"/>
        <w:rPr>
          <w:rFonts w:ascii="仿宋_GB2312" w:hAnsi="Times New Roman" w:eastAsia="仿宋_GB2312" w:cs="Times New Roman"/>
          <w:color w:val="000000" w:themeColor="text1"/>
          <w:sz w:val="32"/>
          <w:szCs w:val="32"/>
          <w14:textFill>
            <w14:solidFill>
              <w14:schemeClr w14:val="tx1"/>
            </w14:solidFill>
          </w14:textFill>
        </w:rPr>
      </w:pPr>
      <w:r>
        <w:rPr>
          <w:rFonts w:hint="eastAsia" w:ascii="仿宋_GB2312" w:hAnsi="Times New Roman" w:eastAsia="仿宋_GB2312" w:cs="Times New Roman"/>
          <w:color w:val="000000" w:themeColor="text1"/>
          <w:sz w:val="32"/>
          <w:szCs w:val="32"/>
          <w14:textFill>
            <w14:solidFill>
              <w14:schemeClr w14:val="tx1"/>
            </w14:solidFill>
          </w14:textFill>
        </w:rPr>
        <w:t>公示单位:淄博市临淄区皇城镇人民政府。</w:t>
      </w:r>
    </w:p>
    <w:p w14:paraId="76E0C624">
      <w:pPr>
        <w:ind w:firstLine="640" w:firstLineChars="200"/>
        <w:rPr>
          <w:rFonts w:ascii="仿宋_GB2312" w:hAnsi="Times New Roman" w:eastAsia="仿宋_GB2312" w:cs="Times New Roman"/>
          <w:color w:val="000000" w:themeColor="text1"/>
          <w:sz w:val="32"/>
          <w:szCs w:val="32"/>
          <w14:textFill>
            <w14:solidFill>
              <w14:schemeClr w14:val="tx1"/>
            </w14:solidFill>
          </w14:textFill>
        </w:rPr>
      </w:pPr>
      <w:r>
        <w:rPr>
          <w:rFonts w:hint="eastAsia" w:ascii="仿宋_GB2312" w:hAnsi="Times New Roman" w:eastAsia="仿宋_GB2312" w:cs="Times New Roman"/>
          <w:color w:val="000000" w:themeColor="text1"/>
          <w:sz w:val="32"/>
          <w:szCs w:val="32"/>
          <w14:textFill>
            <w14:solidFill>
              <w14:schemeClr w14:val="tx1"/>
            </w14:solidFill>
          </w14:textFill>
        </w:rPr>
        <w:t>三、意见反馈:公示期内，任何单位和个人均可通过邮寄信件、发送电子邮件的方式进行反馈。</w:t>
      </w:r>
    </w:p>
    <w:p w14:paraId="281E44BF">
      <w:pPr>
        <w:ind w:firstLine="640" w:firstLineChars="200"/>
        <w:rPr>
          <w:rFonts w:ascii="仿宋_GB2312" w:hAnsi="Times New Roman" w:eastAsia="仿宋_GB2312" w:cs="Times New Roman"/>
          <w:color w:val="000000" w:themeColor="text1"/>
          <w:sz w:val="32"/>
          <w:szCs w:val="32"/>
          <w14:textFill>
            <w14:solidFill>
              <w14:schemeClr w14:val="tx1"/>
            </w14:solidFill>
          </w14:textFill>
        </w:rPr>
      </w:pPr>
      <w:r>
        <w:rPr>
          <w:rFonts w:hint="eastAsia" w:ascii="仿宋_GB2312" w:hAnsi="Times New Roman" w:eastAsia="仿宋_GB2312" w:cs="Times New Roman"/>
          <w:color w:val="000000" w:themeColor="text1"/>
          <w:sz w:val="32"/>
          <w:szCs w:val="32"/>
          <w14:textFill>
            <w14:solidFill>
              <w14:schemeClr w14:val="tx1"/>
            </w14:solidFill>
          </w14:textFill>
        </w:rPr>
        <w:t>联系人:王欢欢</w:t>
      </w:r>
    </w:p>
    <w:p w14:paraId="2C401BFE">
      <w:pPr>
        <w:ind w:firstLine="640" w:firstLineChars="200"/>
        <w:rPr>
          <w:rFonts w:ascii="仿宋_GB2312" w:hAnsi="Times New Roman" w:eastAsia="仿宋_GB2312" w:cs="Times New Roman"/>
          <w:color w:val="000000" w:themeColor="text1"/>
          <w:sz w:val="32"/>
          <w:szCs w:val="32"/>
          <w14:textFill>
            <w14:solidFill>
              <w14:schemeClr w14:val="tx1"/>
            </w14:solidFill>
          </w14:textFill>
        </w:rPr>
      </w:pPr>
      <w:r>
        <w:rPr>
          <w:rFonts w:hint="eastAsia" w:ascii="仿宋_GB2312" w:hAnsi="Times New Roman" w:eastAsia="仿宋_GB2312" w:cs="Times New Roman"/>
          <w:color w:val="000000" w:themeColor="text1"/>
          <w:sz w:val="32"/>
          <w:szCs w:val="32"/>
          <w14:textFill>
            <w14:solidFill>
              <w14:schemeClr w14:val="tx1"/>
            </w14:solidFill>
          </w14:textFill>
        </w:rPr>
        <w:t>电话:</w:t>
      </w:r>
      <w:r>
        <w:rPr>
          <w:rFonts w:ascii="仿宋_GB2312" w:hAnsi="Times New Roman" w:eastAsia="仿宋_GB2312" w:cs="Times New Roman"/>
          <w:color w:val="000000" w:themeColor="text1"/>
          <w:sz w:val="32"/>
          <w:szCs w:val="32"/>
          <w14:textFill>
            <w14:solidFill>
              <w14:schemeClr w14:val="tx1"/>
            </w14:solidFill>
          </w14:textFill>
        </w:rPr>
        <w:t xml:space="preserve">0533-7880016  </w:t>
      </w:r>
      <w:r>
        <w:rPr>
          <w:rFonts w:hint="eastAsia" w:ascii="仿宋_GB2312" w:hAnsi="Times New Roman" w:eastAsia="仿宋_GB2312" w:cs="Times New Roman"/>
          <w:color w:val="000000" w:themeColor="text1"/>
          <w:sz w:val="32"/>
          <w:szCs w:val="32"/>
          <w14:textFill>
            <w14:solidFill>
              <w14:schemeClr w14:val="tx1"/>
            </w14:solidFill>
          </w14:textFill>
        </w:rPr>
        <w:t>电子邮箱:zbgh2300048@163.com</w:t>
      </w:r>
    </w:p>
    <w:p w14:paraId="327EB97D">
      <w:pPr>
        <w:ind w:firstLine="640" w:firstLineChars="200"/>
        <w:rPr>
          <w:rFonts w:ascii="仿宋_GB2312" w:hAnsi="Times New Roman" w:eastAsia="仿宋_GB2312" w:cs="Times New Roman"/>
          <w:color w:val="000000" w:themeColor="text1"/>
          <w:sz w:val="32"/>
          <w:szCs w:val="32"/>
          <w14:textFill>
            <w14:solidFill>
              <w14:schemeClr w14:val="tx1"/>
            </w14:solidFill>
          </w14:textFill>
        </w:rPr>
      </w:pPr>
      <w:r>
        <w:rPr>
          <w:rFonts w:hint="eastAsia" w:ascii="仿宋_GB2312" w:hAnsi="Times New Roman" w:eastAsia="仿宋_GB2312" w:cs="Times New Roman"/>
          <w:color w:val="000000" w:themeColor="text1"/>
          <w:sz w:val="32"/>
          <w:szCs w:val="32"/>
          <w14:textFill>
            <w14:solidFill>
              <w14:schemeClr w14:val="tx1"/>
            </w14:solidFill>
          </w14:textFill>
        </w:rPr>
        <w:t>邮寄地址:山东省淄博市临淄区皇城镇政府(邮编255</w:t>
      </w:r>
      <w:r>
        <w:rPr>
          <w:rFonts w:ascii="仿宋_GB2312" w:hAnsi="Times New Roman" w:eastAsia="仿宋_GB2312" w:cs="Times New Roman"/>
          <w:color w:val="000000" w:themeColor="text1"/>
          <w:sz w:val="32"/>
          <w:szCs w:val="32"/>
          <w14:textFill>
            <w14:solidFill>
              <w14:schemeClr w14:val="tx1"/>
            </w14:solidFill>
          </w14:textFill>
        </w:rPr>
        <w:t>424</w:t>
      </w:r>
      <w:r>
        <w:rPr>
          <w:rFonts w:hint="eastAsia" w:ascii="仿宋_GB2312" w:hAnsi="Times New Roman" w:eastAsia="仿宋_GB2312" w:cs="Times New Roman"/>
          <w:color w:val="000000" w:themeColor="text1"/>
          <w:sz w:val="32"/>
          <w:szCs w:val="32"/>
          <w14:textFill>
            <w14:solidFill>
              <w14:schemeClr w14:val="tx1"/>
            </w14:solidFill>
          </w14:textFill>
        </w:rPr>
        <w:t>，并在信封上注明“皇城镇国土空间总体规划意见建议”字样，来信请注明真实姓名和联系电话)</w:t>
      </w:r>
    </w:p>
    <w:p w14:paraId="429EBE8F">
      <w:pPr>
        <w:rPr>
          <w:rFonts w:ascii="仿宋_GB2312" w:hAnsi="Times New Roman" w:eastAsia="仿宋_GB2312" w:cs="Times New Roman"/>
          <w:color w:val="000000" w:themeColor="text1"/>
          <w:sz w:val="32"/>
          <w:szCs w:val="32"/>
          <w14:textFill>
            <w14:solidFill>
              <w14:schemeClr w14:val="tx1"/>
            </w14:solidFill>
          </w14:textFill>
        </w:rPr>
      </w:pPr>
      <w:r>
        <w:rPr>
          <w:rFonts w:ascii="仿宋_GB2312" w:hAnsi="Times New Roman" w:eastAsia="仿宋_GB2312" w:cs="Times New Roman"/>
          <w:color w:val="000000" w:themeColor="text1"/>
          <w:sz w:val="32"/>
          <w:szCs w:val="32"/>
          <w14:textFill>
            <w14:solidFill>
              <w14:schemeClr w14:val="tx1"/>
            </w14:solidFill>
          </w14:textFill>
        </w:rPr>
        <w:t>附件：</w:t>
      </w:r>
    </w:p>
    <w:p w14:paraId="5F015F18">
      <w:pPr>
        <w:spacing w:line="600" w:lineRule="exact"/>
        <w:jc w:val="center"/>
        <w:rPr>
          <w:rFonts w:hint="eastAsia" w:ascii="黑体" w:hAnsi="黑体" w:eastAsia="黑体" w:cs="Times New Roman"/>
          <w:color w:val="000000" w:themeColor="text1"/>
          <w:sz w:val="32"/>
          <w:szCs w:val="32"/>
          <w14:textFill>
            <w14:solidFill>
              <w14:schemeClr w14:val="tx1"/>
            </w14:solidFill>
          </w14:textFill>
        </w:rPr>
      </w:pPr>
      <w:r>
        <w:rPr>
          <w:rFonts w:ascii="黑体" w:hAnsi="黑体" w:eastAsia="黑体" w:cs="Times New Roman"/>
          <w:color w:val="000000" w:themeColor="text1"/>
          <w:sz w:val="32"/>
          <w:szCs w:val="32"/>
          <w14:textFill>
            <w14:solidFill>
              <w14:schemeClr w14:val="tx1"/>
            </w14:solidFill>
          </w14:textFill>
        </w:rPr>
        <w:t>淄博市</w:t>
      </w:r>
      <w:r>
        <w:rPr>
          <w:rFonts w:hint="eastAsia" w:ascii="黑体" w:hAnsi="黑体" w:eastAsia="黑体" w:cs="Times New Roman"/>
          <w:color w:val="000000" w:themeColor="text1"/>
          <w:sz w:val="32"/>
          <w:szCs w:val="32"/>
          <w14:textFill>
            <w14:solidFill>
              <w14:schemeClr w14:val="tx1"/>
            </w14:solidFill>
          </w14:textFill>
        </w:rPr>
        <w:t>临淄</w:t>
      </w:r>
      <w:r>
        <w:rPr>
          <w:rFonts w:ascii="黑体" w:hAnsi="黑体" w:eastAsia="黑体" w:cs="Times New Roman"/>
          <w:color w:val="000000" w:themeColor="text1"/>
          <w:sz w:val="32"/>
          <w:szCs w:val="32"/>
          <w14:textFill>
            <w14:solidFill>
              <w14:schemeClr w14:val="tx1"/>
            </w14:solidFill>
          </w14:textFill>
        </w:rPr>
        <w:t>区</w:t>
      </w:r>
      <w:r>
        <w:rPr>
          <w:rFonts w:hint="eastAsia" w:ascii="黑体" w:hAnsi="黑体" w:eastAsia="黑体" w:cs="Times New Roman"/>
          <w:color w:val="000000" w:themeColor="text1"/>
          <w:sz w:val="32"/>
          <w:szCs w:val="32"/>
          <w14:textFill>
            <w14:solidFill>
              <w14:schemeClr w14:val="tx1"/>
            </w14:solidFill>
          </w14:textFill>
        </w:rPr>
        <w:t>皇城</w:t>
      </w:r>
      <w:r>
        <w:rPr>
          <w:rFonts w:ascii="黑体" w:hAnsi="黑体" w:eastAsia="黑体" w:cs="Times New Roman"/>
          <w:color w:val="000000" w:themeColor="text1"/>
          <w:sz w:val="32"/>
          <w:szCs w:val="32"/>
          <w14:textFill>
            <w14:solidFill>
              <w14:schemeClr w14:val="tx1"/>
            </w14:solidFill>
          </w14:textFill>
        </w:rPr>
        <w:t>镇国土空间规划（2021-2035年）（征求意见稿）</w:t>
      </w:r>
    </w:p>
    <w:p w14:paraId="52AA122E">
      <w:pPr>
        <w:ind w:firstLine="643" w:firstLineChars="200"/>
        <w:rPr>
          <w:rFonts w:hint="eastAsia" w:ascii="黑体" w:hAnsi="黑体" w:eastAsia="黑体" w:cs="Times New Roman"/>
          <w:b/>
          <w:color w:val="000000" w:themeColor="text1"/>
          <w:sz w:val="32"/>
          <w:szCs w:val="32"/>
          <w14:textFill>
            <w14:solidFill>
              <w14:schemeClr w14:val="tx1"/>
            </w14:solidFill>
          </w14:textFill>
        </w:rPr>
      </w:pPr>
      <w:r>
        <w:rPr>
          <w:rFonts w:ascii="黑体" w:hAnsi="黑体" w:eastAsia="黑体" w:cs="Times New Roman"/>
          <w:b/>
          <w:color w:val="000000" w:themeColor="text1"/>
          <w:sz w:val="32"/>
          <w:szCs w:val="32"/>
          <w14:textFill>
            <w14:solidFill>
              <w14:schemeClr w14:val="tx1"/>
            </w14:solidFill>
          </w14:textFill>
        </w:rPr>
        <w:t>一、规划期限</w:t>
      </w:r>
    </w:p>
    <w:p w14:paraId="61884F38">
      <w:pPr>
        <w:ind w:firstLine="640" w:firstLineChars="200"/>
        <w:rPr>
          <w:rFonts w:ascii="仿宋_GB2312" w:hAnsi="Times New Roman" w:eastAsia="仿宋_GB2312" w:cs="Times New Roman"/>
          <w:color w:val="000000" w:themeColor="text1"/>
          <w:sz w:val="32"/>
          <w:szCs w:val="32"/>
          <w14:textFill>
            <w14:solidFill>
              <w14:schemeClr w14:val="tx1"/>
            </w14:solidFill>
          </w14:textFill>
        </w:rPr>
      </w:pPr>
      <w:r>
        <w:rPr>
          <w:rFonts w:hint="eastAsia" w:ascii="仿宋_GB2312" w:hAnsi="Times New Roman" w:eastAsia="仿宋_GB2312" w:cs="Times New Roman"/>
          <w:color w:val="000000" w:themeColor="text1"/>
          <w:sz w:val="32"/>
          <w:szCs w:val="32"/>
          <w14:textFill>
            <w14:solidFill>
              <w14:schemeClr w14:val="tx1"/>
            </w14:solidFill>
          </w14:textFill>
        </w:rPr>
        <w:t>规划期限为2021年至2035年，基期年为2020年，近期至2025年，远期至2035年。</w:t>
      </w:r>
    </w:p>
    <w:p w14:paraId="4553EF62">
      <w:pPr>
        <w:ind w:firstLine="643" w:firstLineChars="200"/>
        <w:rPr>
          <w:rFonts w:hint="eastAsia" w:ascii="黑体" w:hAnsi="黑体" w:eastAsia="黑体" w:cs="Times New Roman"/>
          <w:b/>
          <w:color w:val="000000" w:themeColor="text1"/>
          <w:sz w:val="32"/>
          <w:szCs w:val="32"/>
          <w14:textFill>
            <w14:solidFill>
              <w14:schemeClr w14:val="tx1"/>
            </w14:solidFill>
          </w14:textFill>
        </w:rPr>
      </w:pPr>
      <w:r>
        <w:rPr>
          <w:rFonts w:ascii="黑体" w:hAnsi="黑体" w:eastAsia="黑体" w:cs="Times New Roman"/>
          <w:b/>
          <w:color w:val="000000" w:themeColor="text1"/>
          <w:sz w:val="32"/>
          <w:szCs w:val="32"/>
          <w14:textFill>
            <w14:solidFill>
              <w14:schemeClr w14:val="tx1"/>
            </w14:solidFill>
          </w14:textFill>
        </w:rPr>
        <w:t>二、规划范围和规划层次</w:t>
      </w:r>
    </w:p>
    <w:p w14:paraId="40136CDA">
      <w:pPr>
        <w:ind w:firstLine="640" w:firstLineChars="200"/>
        <w:rPr>
          <w:rFonts w:ascii="仿宋_GB2312" w:hAnsi="Times New Roman" w:eastAsia="仿宋_GB2312" w:cs="Times New Roman"/>
          <w:color w:val="000000" w:themeColor="text1"/>
          <w:sz w:val="32"/>
          <w:szCs w:val="32"/>
          <w14:textFill>
            <w14:solidFill>
              <w14:schemeClr w14:val="tx1"/>
            </w14:solidFill>
          </w14:textFill>
        </w:rPr>
      </w:pPr>
      <w:r>
        <w:rPr>
          <w:rFonts w:hint="eastAsia" w:ascii="仿宋_GB2312" w:hAnsi="Times New Roman" w:eastAsia="仿宋_GB2312" w:cs="Times New Roman"/>
          <w:color w:val="000000" w:themeColor="text1"/>
          <w:sz w:val="32"/>
          <w:szCs w:val="32"/>
          <w14:textFill>
            <w14:solidFill>
              <w14:schemeClr w14:val="tx1"/>
            </w14:solidFill>
          </w14:textFill>
        </w:rPr>
        <w:t>（一）规划范围：皇城镇行政辖区范围全部国土空间。</w:t>
      </w:r>
    </w:p>
    <w:p w14:paraId="4443B066">
      <w:pPr>
        <w:ind w:firstLine="640" w:firstLineChars="200"/>
        <w:rPr>
          <w:rFonts w:ascii="仿宋_GB2312" w:hAnsi="Times New Roman" w:eastAsia="仿宋_GB2312" w:cs="Times New Roman"/>
          <w:color w:val="000000" w:themeColor="text1"/>
          <w:sz w:val="32"/>
          <w:szCs w:val="32"/>
          <w14:textFill>
            <w14:solidFill>
              <w14:schemeClr w14:val="tx1"/>
            </w14:solidFill>
          </w14:textFill>
        </w:rPr>
      </w:pPr>
      <w:r>
        <w:rPr>
          <w:rFonts w:hint="eastAsia" w:ascii="仿宋_GB2312" w:hAnsi="Times New Roman" w:eastAsia="仿宋_GB2312" w:cs="Times New Roman"/>
          <w:color w:val="000000" w:themeColor="text1"/>
          <w:sz w:val="32"/>
          <w:szCs w:val="32"/>
          <w14:textFill>
            <w14:solidFill>
              <w14:schemeClr w14:val="tx1"/>
            </w14:solidFill>
          </w14:textFill>
        </w:rPr>
        <w:t>（二）规划包括全域和城镇开发边界范围两个空间层次。</w:t>
      </w:r>
    </w:p>
    <w:p w14:paraId="73D324A6">
      <w:pPr>
        <w:ind w:firstLine="640" w:firstLineChars="200"/>
        <w:rPr>
          <w:rFonts w:ascii="仿宋_GB2312" w:hAnsi="Times New Roman" w:eastAsia="仿宋_GB2312" w:cs="Times New Roman"/>
          <w:color w:val="000000" w:themeColor="text1"/>
          <w:sz w:val="32"/>
          <w:szCs w:val="32"/>
          <w14:textFill>
            <w14:solidFill>
              <w14:schemeClr w14:val="tx1"/>
            </w14:solidFill>
          </w14:textFill>
        </w:rPr>
      </w:pPr>
      <w:r>
        <w:rPr>
          <w:rFonts w:hint="eastAsia" w:ascii="仿宋_GB2312" w:hAnsi="Times New Roman" w:eastAsia="仿宋_GB2312" w:cs="Times New Roman"/>
          <w:color w:val="000000" w:themeColor="text1"/>
          <w:sz w:val="32"/>
          <w:szCs w:val="32"/>
          <w14:textFill>
            <w14:solidFill>
              <w14:schemeClr w14:val="tx1"/>
            </w14:solidFill>
          </w14:textFill>
        </w:rPr>
        <w:t>第一层次：全域。皇城镇全域面积</w:t>
      </w:r>
      <w:r>
        <w:rPr>
          <w:rFonts w:ascii="仿宋_GB2312" w:hAnsi="Times New Roman" w:eastAsia="仿宋_GB2312" w:cs="Times New Roman"/>
          <w:color w:val="000000" w:themeColor="text1"/>
          <w:sz w:val="32"/>
          <w:szCs w:val="32"/>
          <w14:textFill>
            <w14:solidFill>
              <w14:schemeClr w14:val="tx1"/>
            </w14:solidFill>
          </w14:textFill>
        </w:rPr>
        <w:t>8689.43</w:t>
      </w:r>
      <w:r>
        <w:rPr>
          <w:rFonts w:hint="eastAsia" w:ascii="仿宋_GB2312" w:hAnsi="Times New Roman" w:eastAsia="仿宋_GB2312" w:cs="Times New Roman"/>
          <w:color w:val="000000" w:themeColor="text1"/>
          <w:sz w:val="32"/>
          <w:szCs w:val="32"/>
          <w14:textFill>
            <w14:solidFill>
              <w14:schemeClr w14:val="tx1"/>
            </w14:solidFill>
          </w14:textFill>
        </w:rPr>
        <w:t>公顷。重点统筹全域全要素规划管理，侧重国土空间开发保护的战略部署、总体格局、底线约束以及农业、生态和城镇空间等重要功能布局，明确乡镇级规划和相关专项规划传导要求等。</w:t>
      </w:r>
    </w:p>
    <w:p w14:paraId="0631EE38">
      <w:pPr>
        <w:ind w:firstLine="640" w:firstLineChars="200"/>
        <w:rPr>
          <w:rFonts w:ascii="仿宋_GB2312" w:hAnsi="Times New Roman" w:eastAsia="仿宋_GB2312" w:cs="Times New Roman"/>
          <w:color w:val="000000" w:themeColor="text1"/>
          <w:sz w:val="32"/>
          <w:szCs w:val="32"/>
          <w14:textFill>
            <w14:solidFill>
              <w14:schemeClr w14:val="tx1"/>
            </w14:solidFill>
          </w14:textFill>
        </w:rPr>
      </w:pPr>
      <w:r>
        <w:rPr>
          <w:rFonts w:hint="eastAsia" w:ascii="仿宋_GB2312" w:hAnsi="Times New Roman" w:eastAsia="仿宋_GB2312" w:cs="Times New Roman"/>
          <w:color w:val="000000" w:themeColor="text1"/>
          <w:sz w:val="32"/>
          <w:szCs w:val="32"/>
          <w14:textFill>
            <w14:solidFill>
              <w14:schemeClr w14:val="tx1"/>
            </w14:solidFill>
          </w14:textFill>
        </w:rPr>
        <w:t>第二层次：城镇开发边界范围。面积</w:t>
      </w:r>
      <w:r>
        <w:rPr>
          <w:rFonts w:ascii="仿宋_GB2312" w:hAnsi="Times New Roman" w:eastAsia="仿宋_GB2312" w:cs="Times New Roman"/>
          <w:color w:val="000000" w:themeColor="text1"/>
          <w:sz w:val="32"/>
          <w:szCs w:val="32"/>
          <w14:textFill>
            <w14:solidFill>
              <w14:schemeClr w14:val="tx1"/>
            </w14:solidFill>
          </w14:textFill>
        </w:rPr>
        <w:t>115.70</w:t>
      </w:r>
      <w:r>
        <w:rPr>
          <w:rFonts w:hint="eastAsia" w:ascii="仿宋_GB2312" w:hAnsi="Times New Roman" w:eastAsia="仿宋_GB2312" w:cs="Times New Roman"/>
          <w:color w:val="000000" w:themeColor="text1"/>
          <w:sz w:val="32"/>
          <w:szCs w:val="32"/>
          <w14:textFill>
            <w14:solidFill>
              <w14:schemeClr w14:val="tx1"/>
            </w14:solidFill>
          </w14:textFill>
        </w:rPr>
        <w:t>公顷。重点细化土地使用和空间布局，侧重功能完善和结构优化，明确详细规划和相关专项规划传导要求</w:t>
      </w:r>
    </w:p>
    <w:p w14:paraId="448C7BD6">
      <w:pPr>
        <w:ind w:firstLine="643" w:firstLineChars="200"/>
        <w:rPr>
          <w:rFonts w:hint="eastAsia" w:ascii="黑体" w:hAnsi="黑体" w:eastAsia="黑体" w:cs="Times New Roman"/>
          <w:b/>
          <w:color w:val="000000" w:themeColor="text1"/>
          <w:sz w:val="32"/>
          <w:szCs w:val="32"/>
          <w14:textFill>
            <w14:solidFill>
              <w14:schemeClr w14:val="tx1"/>
            </w14:solidFill>
          </w14:textFill>
        </w:rPr>
      </w:pPr>
      <w:r>
        <w:rPr>
          <w:rFonts w:ascii="黑体" w:hAnsi="黑体" w:eastAsia="黑体" w:cs="Times New Roman"/>
          <w:b/>
          <w:color w:val="000000" w:themeColor="text1"/>
          <w:sz w:val="32"/>
          <w:szCs w:val="32"/>
          <w14:textFill>
            <w14:solidFill>
              <w14:schemeClr w14:val="tx1"/>
            </w14:solidFill>
          </w14:textFill>
        </w:rPr>
        <w:t>三、城镇性质</w:t>
      </w:r>
    </w:p>
    <w:p w14:paraId="5C77A1FF">
      <w:pPr>
        <w:spacing w:line="600" w:lineRule="exact"/>
        <w:ind w:firstLine="640" w:firstLineChars="200"/>
        <w:rPr>
          <w:rFonts w:ascii="仿宋_GB2312" w:hAnsi="Times New Roman" w:eastAsia="仿宋_GB2312" w:cs="Times New Roman"/>
          <w:color w:val="000000" w:themeColor="text1"/>
          <w:sz w:val="32"/>
          <w:szCs w:val="32"/>
          <w14:textFill>
            <w14:solidFill>
              <w14:schemeClr w14:val="tx1"/>
            </w14:solidFill>
          </w14:textFill>
        </w:rPr>
      </w:pPr>
      <w:bookmarkStart w:id="0" w:name="OLE_LINK28"/>
      <w:r>
        <w:rPr>
          <w:rFonts w:hint="eastAsia" w:ascii="仿宋_GB2312" w:eastAsia="仿宋_GB2312"/>
          <w:color w:val="000000"/>
          <w:sz w:val="32"/>
          <w:szCs w:val="32"/>
        </w:rPr>
        <w:t>以生态农业、生态旅游为主的临淄东部美丽新城镇。</w:t>
      </w:r>
      <w:bookmarkEnd w:id="0"/>
      <w:r>
        <w:rPr>
          <w:rFonts w:hint="eastAsia" w:ascii="仿宋_GB2312" w:hAnsi="Times New Roman" w:eastAsia="仿宋_GB2312" w:cs="Times New Roman"/>
          <w:color w:val="000000" w:themeColor="text1"/>
          <w:sz w:val="32"/>
          <w:szCs w:val="32"/>
          <w14:textFill>
            <w14:solidFill>
              <w14:schemeClr w14:val="tx1"/>
            </w14:solidFill>
          </w14:textFill>
        </w:rPr>
        <w:t>。</w:t>
      </w:r>
    </w:p>
    <w:p w14:paraId="748EAAFF">
      <w:pPr>
        <w:ind w:firstLine="643" w:firstLineChars="200"/>
        <w:rPr>
          <w:rFonts w:hint="eastAsia" w:ascii="黑体" w:hAnsi="黑体" w:eastAsia="黑体" w:cs="Times New Roman"/>
          <w:b/>
          <w:color w:val="000000" w:themeColor="text1"/>
          <w:sz w:val="32"/>
          <w:szCs w:val="32"/>
          <w14:textFill>
            <w14:solidFill>
              <w14:schemeClr w14:val="tx1"/>
            </w14:solidFill>
          </w14:textFill>
        </w:rPr>
      </w:pPr>
      <w:r>
        <w:rPr>
          <w:rFonts w:ascii="黑体" w:hAnsi="黑体" w:eastAsia="黑体" w:cs="Times New Roman"/>
          <w:b/>
          <w:color w:val="000000" w:themeColor="text1"/>
          <w:sz w:val="32"/>
          <w:szCs w:val="32"/>
          <w14:textFill>
            <w14:solidFill>
              <w14:schemeClr w14:val="tx1"/>
            </w14:solidFill>
          </w14:textFill>
        </w:rPr>
        <w:t>四、严守国土空间安全底线</w:t>
      </w:r>
    </w:p>
    <w:p w14:paraId="2042E00A">
      <w:pPr>
        <w:ind w:firstLine="640" w:firstLineChars="200"/>
        <w:rPr>
          <w:rFonts w:ascii="仿宋_GB2312" w:hAnsi="Times New Roman" w:eastAsia="仿宋_GB2312" w:cs="Times New Roman"/>
          <w:color w:val="000000" w:themeColor="text1"/>
          <w:sz w:val="32"/>
          <w:szCs w:val="32"/>
          <w14:textFill>
            <w14:solidFill>
              <w14:schemeClr w14:val="tx1"/>
            </w14:solidFill>
          </w14:textFill>
        </w:rPr>
      </w:pPr>
      <w:r>
        <w:rPr>
          <w:rFonts w:ascii="仿宋_GB2312" w:hAnsi="Times New Roman" w:eastAsia="仿宋_GB2312" w:cs="Times New Roman"/>
          <w:color w:val="000000" w:themeColor="text1"/>
          <w:sz w:val="32"/>
          <w:szCs w:val="32"/>
          <w14:textFill>
            <w14:solidFill>
              <w14:schemeClr w14:val="tx1"/>
            </w14:solidFill>
          </w14:textFill>
        </w:rPr>
        <w:t>（一）优先划定永久基本农田</w:t>
      </w:r>
    </w:p>
    <w:p w14:paraId="4099AC96">
      <w:pPr>
        <w:ind w:firstLine="640" w:firstLineChars="200"/>
        <w:rPr>
          <w:rFonts w:ascii="仿宋_GB2312" w:hAnsi="Times New Roman" w:eastAsia="仿宋_GB2312" w:cs="Times New Roman"/>
          <w:color w:val="000000" w:themeColor="text1"/>
          <w:sz w:val="32"/>
          <w:szCs w:val="32"/>
          <w14:textFill>
            <w14:solidFill>
              <w14:schemeClr w14:val="tx1"/>
            </w14:solidFill>
          </w14:textFill>
        </w:rPr>
      </w:pPr>
      <w:r>
        <w:rPr>
          <w:rFonts w:hint="eastAsia" w:ascii="仿宋_GB2312" w:hAnsi="Times New Roman" w:eastAsia="仿宋_GB2312" w:cs="Times New Roman"/>
          <w:color w:val="000000" w:themeColor="text1"/>
          <w:sz w:val="32"/>
          <w:szCs w:val="32"/>
          <w14:textFill>
            <w14:solidFill>
              <w14:schemeClr w14:val="tx1"/>
            </w14:solidFill>
          </w14:textFill>
        </w:rPr>
        <w:t>落实耕地和永久基本农田保护任务。到2035年，镇域耕地保有量不低于</w:t>
      </w:r>
      <w:r>
        <w:rPr>
          <w:rFonts w:ascii="仿宋_GB2312" w:hAnsi="Times New Roman" w:eastAsia="仿宋_GB2312" w:cs="Times New Roman"/>
          <w:color w:val="000000" w:themeColor="text1"/>
          <w:sz w:val="32"/>
          <w:szCs w:val="32"/>
          <w14:textFill>
            <w14:solidFill>
              <w14:schemeClr w14:val="tx1"/>
            </w14:solidFill>
          </w14:textFill>
        </w:rPr>
        <w:t>6220.26</w:t>
      </w:r>
      <w:r>
        <w:rPr>
          <w:rFonts w:hint="eastAsia" w:ascii="仿宋_GB2312" w:hAnsi="Times New Roman" w:eastAsia="仿宋_GB2312" w:cs="Times New Roman"/>
          <w:color w:val="000000" w:themeColor="text1"/>
          <w:sz w:val="32"/>
          <w:szCs w:val="32"/>
          <w14:textFill>
            <w14:solidFill>
              <w14:schemeClr w14:val="tx1"/>
            </w14:solidFill>
          </w14:textFill>
        </w:rPr>
        <w:t>公顷（</w:t>
      </w:r>
      <w:r>
        <w:rPr>
          <w:rFonts w:ascii="仿宋_GB2312" w:hAnsi="Times New Roman" w:eastAsia="仿宋_GB2312" w:cs="Times New Roman"/>
          <w:color w:val="000000" w:themeColor="text1"/>
          <w:sz w:val="32"/>
          <w:szCs w:val="32"/>
          <w14:textFill>
            <w14:solidFill>
              <w14:schemeClr w14:val="tx1"/>
            </w14:solidFill>
          </w14:textFill>
        </w:rPr>
        <w:t>93303.90</w:t>
      </w:r>
      <w:r>
        <w:rPr>
          <w:rFonts w:hint="eastAsia" w:ascii="仿宋_GB2312" w:hAnsi="Times New Roman" w:eastAsia="仿宋_GB2312" w:cs="Times New Roman"/>
          <w:color w:val="000000" w:themeColor="text1"/>
          <w:sz w:val="32"/>
          <w:szCs w:val="32"/>
          <w14:textFill>
            <w14:solidFill>
              <w14:schemeClr w14:val="tx1"/>
            </w14:solidFill>
          </w14:textFill>
        </w:rPr>
        <w:t>亩），永久基本农田保护任务不低于</w:t>
      </w:r>
      <w:r>
        <w:rPr>
          <w:rFonts w:ascii="仿宋_GB2312" w:hAnsi="Times New Roman" w:eastAsia="仿宋_GB2312" w:cs="Times New Roman"/>
          <w:color w:val="000000" w:themeColor="text1"/>
          <w:sz w:val="32"/>
          <w:szCs w:val="32"/>
          <w14:textFill>
            <w14:solidFill>
              <w14:schemeClr w14:val="tx1"/>
            </w14:solidFill>
          </w14:textFill>
        </w:rPr>
        <w:t>6103.68</w:t>
      </w:r>
      <w:r>
        <w:rPr>
          <w:rFonts w:hint="eastAsia" w:ascii="仿宋_GB2312" w:hAnsi="Times New Roman" w:eastAsia="仿宋_GB2312" w:cs="Times New Roman"/>
          <w:color w:val="000000" w:themeColor="text1"/>
          <w:sz w:val="32"/>
          <w:szCs w:val="32"/>
          <w14:textFill>
            <w14:solidFill>
              <w14:schemeClr w14:val="tx1"/>
            </w14:solidFill>
          </w14:textFill>
        </w:rPr>
        <w:t>公顷（</w:t>
      </w:r>
      <w:r>
        <w:rPr>
          <w:rFonts w:ascii="仿宋_GB2312" w:hAnsi="Times New Roman" w:eastAsia="仿宋_GB2312" w:cs="Times New Roman"/>
          <w:color w:val="000000" w:themeColor="text1"/>
          <w:sz w:val="32"/>
          <w:szCs w:val="32"/>
          <w14:textFill>
            <w14:solidFill>
              <w14:schemeClr w14:val="tx1"/>
            </w14:solidFill>
          </w14:textFill>
        </w:rPr>
        <w:t>91555.20</w:t>
      </w:r>
      <w:r>
        <w:rPr>
          <w:rFonts w:hint="eastAsia" w:ascii="仿宋_GB2312" w:hAnsi="Times New Roman" w:eastAsia="仿宋_GB2312" w:cs="Times New Roman"/>
          <w:color w:val="000000" w:themeColor="text1"/>
          <w:sz w:val="32"/>
          <w:szCs w:val="32"/>
          <w14:textFill>
            <w14:solidFill>
              <w14:schemeClr w14:val="tx1"/>
            </w14:solidFill>
          </w14:textFill>
        </w:rPr>
        <w:t>亩）。</w:t>
      </w:r>
    </w:p>
    <w:p w14:paraId="627EBEDF">
      <w:pPr>
        <w:ind w:firstLine="640" w:firstLineChars="200"/>
        <w:rPr>
          <w:rFonts w:ascii="仿宋_GB2312" w:hAnsi="Times New Roman" w:eastAsia="仿宋_GB2312" w:cs="Times New Roman"/>
          <w:color w:val="000000" w:themeColor="text1"/>
          <w:sz w:val="32"/>
          <w:szCs w:val="32"/>
          <w14:textFill>
            <w14:solidFill>
              <w14:schemeClr w14:val="tx1"/>
            </w14:solidFill>
          </w14:textFill>
        </w:rPr>
      </w:pPr>
      <w:r>
        <w:rPr>
          <w:rFonts w:hint="eastAsia" w:ascii="仿宋_GB2312" w:hAnsi="Times New Roman" w:eastAsia="仿宋_GB2312" w:cs="Times New Roman"/>
          <w:color w:val="000000" w:themeColor="text1"/>
          <w:sz w:val="32"/>
          <w:szCs w:val="32"/>
          <w14:textFill>
            <w14:solidFill>
              <w14:schemeClr w14:val="tx1"/>
            </w14:solidFill>
          </w14:textFill>
        </w:rPr>
        <w:t>（二）落实生态保护红线</w:t>
      </w:r>
    </w:p>
    <w:p w14:paraId="336D5CAF">
      <w:pPr>
        <w:ind w:firstLine="640" w:firstLineChars="200"/>
        <w:rPr>
          <w:rFonts w:ascii="仿宋_GB2312" w:hAnsi="Times New Roman" w:eastAsia="仿宋_GB2312" w:cs="Times New Roman"/>
          <w:color w:val="000000" w:themeColor="text1"/>
          <w:sz w:val="32"/>
          <w:szCs w:val="32"/>
          <w14:textFill>
            <w14:solidFill>
              <w14:schemeClr w14:val="tx1"/>
            </w14:solidFill>
          </w14:textFill>
        </w:rPr>
      </w:pPr>
      <w:r>
        <w:rPr>
          <w:rFonts w:hint="eastAsia" w:ascii="仿宋_GB2312" w:hAnsi="Times New Roman" w:eastAsia="仿宋_GB2312" w:cs="Times New Roman"/>
          <w:color w:val="000000" w:themeColor="text1"/>
          <w:sz w:val="32"/>
          <w:szCs w:val="32"/>
          <w14:textFill>
            <w14:solidFill>
              <w14:schemeClr w14:val="tx1"/>
            </w14:solidFill>
          </w14:textFill>
        </w:rPr>
        <w:t>落实上位规划，皇城镇不涉及生态保护红线。</w:t>
      </w:r>
    </w:p>
    <w:p w14:paraId="05898017">
      <w:pPr>
        <w:ind w:firstLine="640" w:firstLineChars="200"/>
        <w:rPr>
          <w:rFonts w:ascii="仿宋_GB2312" w:hAnsi="Times New Roman" w:eastAsia="仿宋_GB2312" w:cs="Times New Roman"/>
          <w:color w:val="000000" w:themeColor="text1"/>
          <w:sz w:val="32"/>
          <w:szCs w:val="32"/>
          <w14:textFill>
            <w14:solidFill>
              <w14:schemeClr w14:val="tx1"/>
            </w14:solidFill>
          </w14:textFill>
        </w:rPr>
      </w:pPr>
      <w:r>
        <w:rPr>
          <w:rFonts w:ascii="仿宋_GB2312" w:hAnsi="Times New Roman" w:eastAsia="仿宋_GB2312" w:cs="Times New Roman"/>
          <w:color w:val="000000" w:themeColor="text1"/>
          <w:sz w:val="32"/>
          <w:szCs w:val="32"/>
          <w14:textFill>
            <w14:solidFill>
              <w14:schemeClr w14:val="tx1"/>
            </w14:solidFill>
          </w14:textFill>
        </w:rPr>
        <w:t>（三）合理划定城镇开发边界</w:t>
      </w:r>
    </w:p>
    <w:p w14:paraId="0703B605">
      <w:pPr>
        <w:ind w:firstLine="640" w:firstLineChars="200"/>
        <w:rPr>
          <w:rFonts w:ascii="仿宋_GB2312" w:hAnsi="Times New Roman" w:eastAsia="仿宋_GB2312" w:cs="Times New Roman"/>
          <w:color w:val="000000" w:themeColor="text1"/>
          <w:sz w:val="32"/>
          <w:szCs w:val="32"/>
          <w14:textFill>
            <w14:solidFill>
              <w14:schemeClr w14:val="tx1"/>
            </w14:solidFill>
          </w14:textFill>
        </w:rPr>
      </w:pPr>
      <w:r>
        <w:rPr>
          <w:rFonts w:hint="eastAsia" w:ascii="仿宋_GB2312" w:hAnsi="Times New Roman" w:eastAsia="仿宋_GB2312" w:cs="Times New Roman"/>
          <w:color w:val="000000" w:themeColor="text1"/>
          <w:sz w:val="32"/>
          <w:szCs w:val="32"/>
          <w14:textFill>
            <w14:solidFill>
              <w14:schemeClr w14:val="tx1"/>
            </w14:solidFill>
          </w14:textFill>
        </w:rPr>
        <w:t>落实上位规划要求，到2035年，全镇城镇开发边界面积控制在</w:t>
      </w:r>
      <w:r>
        <w:rPr>
          <w:rFonts w:ascii="仿宋_GB2312" w:hAnsi="Times New Roman" w:eastAsia="仿宋_GB2312" w:cs="Times New Roman"/>
          <w:color w:val="000000" w:themeColor="text1"/>
          <w:sz w:val="32"/>
          <w:szCs w:val="32"/>
          <w14:textFill>
            <w14:solidFill>
              <w14:schemeClr w14:val="tx1"/>
            </w14:solidFill>
          </w14:textFill>
        </w:rPr>
        <w:t>115.70</w:t>
      </w:r>
      <w:r>
        <w:rPr>
          <w:rFonts w:hint="eastAsia" w:ascii="仿宋_GB2312" w:hAnsi="Times New Roman" w:eastAsia="仿宋_GB2312" w:cs="Times New Roman"/>
          <w:color w:val="000000" w:themeColor="text1"/>
          <w:sz w:val="32"/>
          <w:szCs w:val="32"/>
          <w14:textFill>
            <w14:solidFill>
              <w14:schemeClr w14:val="tx1"/>
            </w14:solidFill>
          </w14:textFill>
        </w:rPr>
        <w:t>公顷，占全镇域面积的</w:t>
      </w:r>
      <w:r>
        <w:rPr>
          <w:rFonts w:ascii="仿宋_GB2312" w:hAnsi="Times New Roman" w:eastAsia="仿宋_GB2312" w:cs="Times New Roman"/>
          <w:color w:val="000000" w:themeColor="text1"/>
          <w:sz w:val="32"/>
          <w:szCs w:val="32"/>
          <w14:textFill>
            <w14:solidFill>
              <w14:schemeClr w14:val="tx1"/>
            </w14:solidFill>
          </w14:textFill>
        </w:rPr>
        <w:t>1.33</w:t>
      </w:r>
      <w:r>
        <w:rPr>
          <w:rFonts w:hint="eastAsia" w:ascii="仿宋_GB2312" w:hAnsi="Times New Roman" w:eastAsia="仿宋_GB2312" w:cs="Times New Roman"/>
          <w:color w:val="000000" w:themeColor="text1"/>
          <w:sz w:val="32"/>
          <w:szCs w:val="32"/>
          <w14:textFill>
            <w14:solidFill>
              <w14:schemeClr w14:val="tx1"/>
            </w14:solidFill>
          </w14:textFill>
        </w:rPr>
        <w:t>%。至2035年，边界内新增城镇建设用地面积</w:t>
      </w:r>
      <w:r>
        <w:rPr>
          <w:rFonts w:ascii="仿宋_GB2312" w:hAnsi="Times New Roman" w:eastAsia="仿宋_GB2312" w:cs="Times New Roman"/>
          <w:color w:val="000000" w:themeColor="text1"/>
          <w:sz w:val="32"/>
          <w:szCs w:val="32"/>
          <w14:textFill>
            <w14:solidFill>
              <w14:schemeClr w14:val="tx1"/>
            </w14:solidFill>
          </w14:textFill>
        </w:rPr>
        <w:t>45.28</w:t>
      </w:r>
      <w:r>
        <w:rPr>
          <w:rFonts w:hint="eastAsia" w:ascii="仿宋_GB2312" w:hAnsi="Times New Roman" w:eastAsia="仿宋_GB2312" w:cs="Times New Roman"/>
          <w:color w:val="000000" w:themeColor="text1"/>
          <w:sz w:val="32"/>
          <w:szCs w:val="32"/>
          <w14:textFill>
            <w14:solidFill>
              <w14:schemeClr w14:val="tx1"/>
            </w14:solidFill>
          </w14:textFill>
        </w:rPr>
        <w:t>公顷，城镇开发边界扩展倍数</w:t>
      </w:r>
      <w:r>
        <w:rPr>
          <w:rFonts w:ascii="仿宋_GB2312" w:hAnsi="Times New Roman" w:eastAsia="仿宋_GB2312" w:cs="Times New Roman"/>
          <w:color w:val="000000" w:themeColor="text1"/>
          <w:sz w:val="32"/>
          <w:szCs w:val="32"/>
          <w14:textFill>
            <w14:solidFill>
              <w14:schemeClr w14:val="tx1"/>
            </w14:solidFill>
          </w14:textFill>
        </w:rPr>
        <w:t>1.02</w:t>
      </w:r>
      <w:r>
        <w:rPr>
          <w:rFonts w:hint="eastAsia" w:ascii="仿宋_GB2312" w:hAnsi="Times New Roman" w:eastAsia="仿宋_GB2312" w:cs="Times New Roman"/>
          <w:color w:val="000000" w:themeColor="text1"/>
          <w:sz w:val="32"/>
          <w:szCs w:val="32"/>
          <w14:textFill>
            <w14:solidFill>
              <w14:schemeClr w14:val="tx1"/>
            </w14:solidFill>
          </w14:textFill>
        </w:rPr>
        <w:t>。在城镇开发边界内建设，实行“详细规划+规划许可”的管制方式，并加强与绿地系统线、基础设施建设控制线、历史文化保护线等控制线的协同管控。城镇开发边界外不得进行城镇集中建设,不得设立各类开发区，严格控制政府投资的城镇基础设施资金投入。</w:t>
      </w:r>
    </w:p>
    <w:p w14:paraId="346A921E">
      <w:pPr>
        <w:ind w:firstLine="643" w:firstLineChars="200"/>
        <w:rPr>
          <w:rFonts w:hint="eastAsia" w:ascii="黑体" w:hAnsi="黑体" w:eastAsia="黑体" w:cs="Times New Roman"/>
          <w:b/>
          <w:color w:val="000000" w:themeColor="text1"/>
          <w:sz w:val="32"/>
          <w:szCs w:val="32"/>
          <w14:textFill>
            <w14:solidFill>
              <w14:schemeClr w14:val="tx1"/>
            </w14:solidFill>
          </w14:textFill>
        </w:rPr>
      </w:pPr>
      <w:r>
        <w:rPr>
          <w:rFonts w:ascii="黑体" w:hAnsi="黑体" w:eastAsia="黑体" w:cs="Times New Roman"/>
          <w:b/>
          <w:color w:val="000000" w:themeColor="text1"/>
          <w:sz w:val="32"/>
          <w:szCs w:val="32"/>
          <w14:textFill>
            <w14:solidFill>
              <w14:schemeClr w14:val="tx1"/>
            </w14:solidFill>
          </w14:textFill>
        </w:rPr>
        <w:t>五、优化国土空间总体格局</w:t>
      </w:r>
    </w:p>
    <w:p w14:paraId="77745A7E">
      <w:pPr>
        <w:spacing w:line="60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以</w:t>
      </w:r>
      <w:r>
        <w:rPr>
          <w:rFonts w:ascii="仿宋_GB2312" w:eastAsia="仿宋_GB2312"/>
          <w:color w:val="000000"/>
          <w:sz w:val="32"/>
          <w:szCs w:val="32"/>
        </w:rPr>
        <w:t>创建数字农业乡村振兴“齐鲁样板”为契机</w:t>
      </w:r>
      <w:r>
        <w:rPr>
          <w:rFonts w:hint="eastAsia" w:ascii="仿宋_GB2312" w:eastAsia="仿宋_GB2312"/>
          <w:color w:val="000000"/>
          <w:sz w:val="32"/>
          <w:szCs w:val="32"/>
        </w:rPr>
        <w:t>，对接省级</w:t>
      </w:r>
      <w:r>
        <w:rPr>
          <w:rFonts w:ascii="仿宋_GB2312" w:eastAsia="仿宋_GB2312"/>
          <w:color w:val="000000"/>
          <w:sz w:val="32"/>
          <w:szCs w:val="32"/>
        </w:rPr>
        <w:t>农高区平台</w:t>
      </w:r>
      <w:r>
        <w:rPr>
          <w:rFonts w:hint="eastAsia" w:ascii="仿宋_GB2312" w:eastAsia="仿宋_GB2312"/>
          <w:color w:val="000000"/>
          <w:sz w:val="32"/>
          <w:szCs w:val="32"/>
        </w:rPr>
        <w:t>，</w:t>
      </w:r>
      <w:r>
        <w:rPr>
          <w:rFonts w:ascii="仿宋_GB2312" w:eastAsia="仿宋_GB2312"/>
          <w:color w:val="000000"/>
          <w:sz w:val="32"/>
          <w:szCs w:val="32"/>
        </w:rPr>
        <w:t>将皇城打造成国内领先、国际一流的数字化智慧化农高区</w:t>
      </w:r>
      <w:r>
        <w:rPr>
          <w:rFonts w:hint="eastAsia" w:ascii="仿宋_GB2312" w:eastAsia="仿宋_GB2312"/>
          <w:color w:val="000000"/>
          <w:sz w:val="32"/>
          <w:szCs w:val="32"/>
        </w:rPr>
        <w:t>，构筑“东农西景，一核两心两轴三带多节点”的国土空间开发保护总体格局。</w:t>
      </w:r>
    </w:p>
    <w:p w14:paraId="45C08C8F">
      <w:pPr>
        <w:spacing w:line="600" w:lineRule="exact"/>
        <w:ind w:firstLine="640" w:firstLineChars="200"/>
        <w:rPr>
          <w:rFonts w:ascii="仿宋_GB2312" w:eastAsia="仿宋_GB2312"/>
          <w:color w:val="000000"/>
          <w:sz w:val="32"/>
          <w:szCs w:val="32"/>
        </w:rPr>
      </w:pPr>
      <w:r>
        <w:rPr>
          <w:rFonts w:ascii="仿宋_GB2312" w:eastAsia="仿宋_GB2312"/>
          <w:color w:val="000000"/>
          <w:sz w:val="32"/>
          <w:szCs w:val="32"/>
        </w:rPr>
        <w:t>1.</w:t>
      </w:r>
      <w:r>
        <w:rPr>
          <w:rFonts w:hint="eastAsia" w:ascii="仿宋_GB2312" w:eastAsia="仿宋_GB2312"/>
          <w:color w:val="000000"/>
          <w:sz w:val="32"/>
          <w:szCs w:val="32"/>
        </w:rPr>
        <w:t xml:space="preserve"> 东农西景</w:t>
      </w:r>
    </w:p>
    <w:p w14:paraId="06DD1C4D">
      <w:pPr>
        <w:spacing w:line="600" w:lineRule="exact"/>
        <w:ind w:firstLine="640" w:firstLineChars="200"/>
        <w:rPr>
          <w:rFonts w:ascii="仿宋_GB2312" w:eastAsia="仿宋_GB2312"/>
          <w:color w:val="000000"/>
          <w:sz w:val="32"/>
          <w:szCs w:val="32"/>
        </w:rPr>
      </w:pPr>
      <w:bookmarkStart w:id="1" w:name="_Hlk128497182"/>
      <w:r>
        <w:rPr>
          <w:rFonts w:hint="eastAsia" w:ascii="仿宋_GB2312" w:eastAsia="仿宋_GB2312"/>
          <w:color w:val="000000"/>
          <w:sz w:val="32"/>
          <w:szCs w:val="32"/>
        </w:rPr>
        <w:t>东部农业综合发展区：对接其他地市优势产业，依托自身优势，以数字科技为引领，形成东部农业综合发展区、中部农业展示区、南北两片以一三产融合发展的都市农业片区</w:t>
      </w:r>
      <w:bookmarkEnd w:id="1"/>
      <w:r>
        <w:rPr>
          <w:rFonts w:hint="eastAsia" w:ascii="仿宋_GB2312" w:eastAsia="仿宋_GB2312"/>
          <w:color w:val="000000"/>
          <w:sz w:val="32"/>
          <w:szCs w:val="32"/>
        </w:rPr>
        <w:t>。</w:t>
      </w:r>
    </w:p>
    <w:p w14:paraId="6B935AFC">
      <w:pPr>
        <w:spacing w:line="60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西部乡村振兴产业区：以</w:t>
      </w:r>
      <w:r>
        <w:rPr>
          <w:rFonts w:ascii="仿宋_GB2312" w:eastAsia="仿宋_GB2312"/>
          <w:color w:val="000000"/>
          <w:sz w:val="32"/>
          <w:szCs w:val="32"/>
        </w:rPr>
        <w:t>乡村振兴“齐鲁样板”为目标</w:t>
      </w:r>
      <w:r>
        <w:rPr>
          <w:rFonts w:hint="eastAsia" w:ascii="仿宋_GB2312" w:eastAsia="仿宋_GB2312"/>
          <w:color w:val="000000"/>
          <w:sz w:val="32"/>
          <w:szCs w:val="32"/>
        </w:rPr>
        <w:t>，</w:t>
      </w:r>
      <w:r>
        <w:rPr>
          <w:rFonts w:ascii="仿宋_GB2312" w:eastAsia="仿宋_GB2312"/>
          <w:color w:val="000000"/>
          <w:sz w:val="32"/>
          <w:szCs w:val="32"/>
        </w:rPr>
        <w:t>依托淄河良好的自然本底</w:t>
      </w:r>
      <w:r>
        <w:rPr>
          <w:rFonts w:hint="eastAsia" w:ascii="仿宋_GB2312" w:eastAsia="仿宋_GB2312"/>
          <w:color w:val="000000"/>
          <w:sz w:val="32"/>
          <w:szCs w:val="32"/>
        </w:rPr>
        <w:t>、丰富的历史资源，将皇城西部打造成生态文化为主的齐鲁样板展示区。</w:t>
      </w:r>
    </w:p>
    <w:p w14:paraId="0F166B6A">
      <w:pPr>
        <w:spacing w:line="600" w:lineRule="exact"/>
        <w:ind w:firstLine="640" w:firstLineChars="200"/>
        <w:rPr>
          <w:rFonts w:ascii="仿宋_GB2312" w:eastAsia="仿宋_GB2312"/>
          <w:color w:val="000000"/>
          <w:sz w:val="32"/>
          <w:szCs w:val="32"/>
        </w:rPr>
      </w:pPr>
      <w:bookmarkStart w:id="2" w:name="_Hlk128497341"/>
      <w:r>
        <w:rPr>
          <w:rFonts w:ascii="仿宋_GB2312" w:eastAsia="仿宋_GB2312"/>
          <w:color w:val="000000"/>
          <w:sz w:val="32"/>
          <w:szCs w:val="32"/>
        </w:rPr>
        <w:t>2.</w:t>
      </w:r>
      <w:bookmarkEnd w:id="2"/>
      <w:r>
        <w:rPr>
          <w:rFonts w:hint="eastAsia" w:ascii="仿宋_GB2312" w:eastAsia="仿宋_GB2312"/>
          <w:color w:val="000000"/>
          <w:sz w:val="32"/>
          <w:szCs w:val="32"/>
        </w:rPr>
        <w:t xml:space="preserve"> 一核两心两轴三带多节点</w:t>
      </w:r>
    </w:p>
    <w:p w14:paraId="6A236A57">
      <w:pPr>
        <w:spacing w:line="60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（1）一核：位于镇域西南侧，皇城镇综合服务核心，集聚镇政府、医院、商业、教育等设施，是皇城镇政治经济、文化教育的综合服务核心。</w:t>
      </w:r>
    </w:p>
    <w:p w14:paraId="6BB38B95">
      <w:pPr>
        <w:tabs>
          <w:tab w:val="left" w:pos="3736"/>
        </w:tabs>
        <w:spacing w:line="60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（2）两心：</w:t>
      </w:r>
      <w:r>
        <w:rPr>
          <w:rFonts w:ascii="仿宋_GB2312" w:eastAsia="仿宋_GB2312"/>
          <w:color w:val="000000"/>
          <w:sz w:val="32"/>
          <w:szCs w:val="32"/>
        </w:rPr>
        <w:tab/>
      </w:r>
    </w:p>
    <w:p w14:paraId="61FEB642">
      <w:pPr>
        <w:spacing w:line="600" w:lineRule="exact"/>
        <w:ind w:firstLine="640" w:firstLineChars="200"/>
        <w:rPr>
          <w:rFonts w:ascii="仿宋_GB2312" w:eastAsia="仿宋_GB2312"/>
          <w:color w:val="000000"/>
          <w:sz w:val="32"/>
          <w:szCs w:val="32"/>
        </w:rPr>
      </w:pPr>
      <w:r>
        <w:rPr>
          <w:rFonts w:ascii="仿宋_GB2312" w:eastAsia="仿宋_GB2312"/>
          <w:color w:val="000000"/>
          <w:sz w:val="32"/>
          <w:szCs w:val="32"/>
        </w:rPr>
        <w:t>北羊综合服务次中心</w:t>
      </w:r>
      <w:r>
        <w:rPr>
          <w:rFonts w:hint="eastAsia" w:ascii="仿宋_GB2312" w:eastAsia="仿宋_GB2312"/>
          <w:color w:val="000000"/>
          <w:sz w:val="32"/>
          <w:szCs w:val="32"/>
        </w:rPr>
        <w:t>：靠近北部</w:t>
      </w:r>
      <w:r>
        <w:rPr>
          <w:rFonts w:ascii="仿宋_GB2312" w:eastAsia="仿宋_GB2312"/>
          <w:color w:val="000000"/>
          <w:sz w:val="32"/>
          <w:szCs w:val="32"/>
        </w:rPr>
        <w:t>308国道</w:t>
      </w:r>
      <w:r>
        <w:rPr>
          <w:rFonts w:hint="eastAsia" w:ascii="仿宋_GB2312" w:eastAsia="仿宋_GB2312"/>
          <w:color w:val="000000"/>
          <w:sz w:val="32"/>
          <w:szCs w:val="32"/>
        </w:rPr>
        <w:t>，以北羊村的商业、教育、办公等设施为基础，打造皇城镇北部服务中心。</w:t>
      </w:r>
    </w:p>
    <w:p w14:paraId="03A2E7CF">
      <w:pPr>
        <w:spacing w:line="60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淄博智慧城乡冷链仓储物流综合中心：</w:t>
      </w:r>
      <w:r>
        <w:rPr>
          <w:rFonts w:ascii="仿宋_GB2312" w:eastAsia="仿宋_GB2312"/>
          <w:color w:val="000000"/>
          <w:sz w:val="32"/>
          <w:szCs w:val="32"/>
        </w:rPr>
        <w:t>以冷链物流为切入点，遵循种养殖规律、消费规律、农产品集散规律，在</w:t>
      </w:r>
      <w:r>
        <w:rPr>
          <w:rFonts w:hint="eastAsia" w:ascii="仿宋_GB2312" w:eastAsia="仿宋_GB2312"/>
          <w:color w:val="000000"/>
          <w:sz w:val="32"/>
          <w:szCs w:val="32"/>
        </w:rPr>
        <w:t>皇城南部</w:t>
      </w:r>
      <w:r>
        <w:rPr>
          <w:rFonts w:ascii="仿宋_GB2312" w:eastAsia="仿宋_GB2312"/>
          <w:color w:val="000000"/>
          <w:sz w:val="32"/>
          <w:szCs w:val="32"/>
        </w:rPr>
        <w:t>布局，弥补产地冷链基础设施缺陷，围绕构建农业可信大数据汇集，催生安全优质农产品集散新生态。</w:t>
      </w:r>
    </w:p>
    <w:p w14:paraId="1BA39DE8">
      <w:pPr>
        <w:spacing w:line="60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（3）两轴：</w:t>
      </w:r>
    </w:p>
    <w:p w14:paraId="6EED9F7A">
      <w:pPr>
        <w:spacing w:line="600" w:lineRule="exact"/>
        <w:ind w:firstLine="640" w:firstLineChars="200"/>
        <w:rPr>
          <w:rFonts w:ascii="仿宋_GB2312" w:eastAsia="仿宋_GB2312"/>
          <w:color w:val="000000"/>
          <w:sz w:val="32"/>
          <w:szCs w:val="32"/>
        </w:rPr>
      </w:pPr>
      <w:r>
        <w:rPr>
          <w:rFonts w:ascii="仿宋_GB2312" w:eastAsia="仿宋_GB2312"/>
          <w:color w:val="000000"/>
          <w:sz w:val="32"/>
          <w:szCs w:val="32"/>
        </w:rPr>
        <w:t>北齐路快速交通发展轴和荣坡路快速</w:t>
      </w:r>
      <w:r>
        <w:rPr>
          <w:rFonts w:hint="eastAsia" w:ascii="仿宋_GB2312" w:eastAsia="仿宋_GB2312"/>
          <w:color w:val="000000"/>
          <w:sz w:val="32"/>
          <w:szCs w:val="32"/>
        </w:rPr>
        <w:t>交通发展轴，北齐路交通发展轴以皇城镇对外交通的快速通道，连接临淄城区和济青高速，荣坡路快速交通发展轴主要快速连接济青高铁临淄站。</w:t>
      </w:r>
    </w:p>
    <w:p w14:paraId="2D0BEF20">
      <w:pPr>
        <w:spacing w:line="60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（4）三带</w:t>
      </w:r>
    </w:p>
    <w:p w14:paraId="3DE1765E">
      <w:pPr>
        <w:spacing w:line="60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寿济路产业发展带，依托熹发工贸、福临石化等企业，带动沿线各企业的发展，形成寿济路的产业发展带；老北齐路生活发展带，主要以皇城镇区和北羊生活区为节点，串联沿线各类生活服务设施，形成生活发展带；淄河生态文化景观带，依托淄河自然景观和丰富的历史遗迹，形成皇城镇的生态文化景观轴。</w:t>
      </w:r>
    </w:p>
    <w:p w14:paraId="0D86C287">
      <w:pPr>
        <w:spacing w:line="60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w:t>
      </w:r>
      <w:r>
        <w:rPr>
          <w:rFonts w:ascii="仿宋_GB2312" w:eastAsia="仿宋_GB2312"/>
          <w:color w:val="000000"/>
          <w:sz w:val="32"/>
          <w:szCs w:val="32"/>
        </w:rPr>
        <w:t>5</w:t>
      </w:r>
      <w:r>
        <w:rPr>
          <w:rFonts w:hint="eastAsia" w:ascii="仿宋_GB2312" w:eastAsia="仿宋_GB2312"/>
          <w:color w:val="000000"/>
          <w:sz w:val="32"/>
          <w:szCs w:val="32"/>
        </w:rPr>
        <w:t>）多节点：包括郑辛中心居住区、西上中心居住区、曹村中心居住区和蓬科中心居住区等节点。</w:t>
      </w:r>
    </w:p>
    <w:p w14:paraId="05E1685F">
      <w:pPr>
        <w:ind w:firstLine="643" w:firstLineChars="200"/>
        <w:rPr>
          <w:rFonts w:hint="eastAsia" w:ascii="黑体" w:hAnsi="黑体" w:eastAsia="黑体" w:cs="Times New Roman"/>
          <w:b/>
          <w:color w:val="000000" w:themeColor="text1"/>
          <w:sz w:val="32"/>
          <w:szCs w:val="32"/>
          <w14:textFill>
            <w14:solidFill>
              <w14:schemeClr w14:val="tx1"/>
            </w14:solidFill>
          </w14:textFill>
        </w:rPr>
      </w:pPr>
      <w:r>
        <w:rPr>
          <w:rFonts w:ascii="黑体" w:hAnsi="黑体" w:eastAsia="黑体" w:cs="Times New Roman"/>
          <w:b/>
          <w:color w:val="000000" w:themeColor="text1"/>
          <w:sz w:val="32"/>
          <w:szCs w:val="32"/>
          <w14:textFill>
            <w14:solidFill>
              <w14:schemeClr w14:val="tx1"/>
            </w14:solidFill>
          </w14:textFill>
        </w:rPr>
        <w:t>六、国土空间规划分区与用途管制</w:t>
      </w:r>
    </w:p>
    <w:p w14:paraId="336DC83F">
      <w:pPr>
        <w:ind w:firstLine="640" w:firstLineChars="200"/>
        <w:rPr>
          <w:rFonts w:ascii="仿宋_GB2312" w:hAnsi="Times New Roman" w:eastAsia="仿宋_GB2312" w:cs="Times New Roman"/>
          <w:color w:val="000000" w:themeColor="text1"/>
          <w:sz w:val="32"/>
          <w:szCs w:val="32"/>
          <w14:textFill>
            <w14:solidFill>
              <w14:schemeClr w14:val="tx1"/>
            </w14:solidFill>
          </w14:textFill>
        </w:rPr>
      </w:pPr>
      <w:r>
        <w:rPr>
          <w:rFonts w:hint="eastAsia" w:ascii="仿宋_GB2312" w:hAnsi="Times New Roman" w:eastAsia="仿宋_GB2312" w:cs="Times New Roman"/>
          <w:color w:val="000000" w:themeColor="text1"/>
          <w:sz w:val="32"/>
          <w:szCs w:val="32"/>
          <w14:textFill>
            <w14:solidFill>
              <w14:schemeClr w14:val="tx1"/>
            </w14:solidFill>
          </w14:textFill>
        </w:rPr>
        <w:t>结合国土空间开发保护格局，按照全覆盖、不交叉、不重叠的原则，对全域进行规划分区，乡村发展区细化至二级规划分区。全域国土空间划分为生态控制区、农田保护区、城镇发展区、乡村发展区4类一级分区，乡村发展区分为村庄建设区、一般农业区和林业发展区3类二级分区，实现全域覆盖。城镇开发边界内划分为居住生活区、综合服务区、商业商务区、工业发展区、物流仓储区、绿地休闲区、</w:t>
      </w:r>
      <w:r>
        <w:rPr>
          <w:rFonts w:hint="eastAsia" w:ascii="仿宋_GB2312" w:eastAsia="仿宋_GB2312"/>
          <w:color w:val="000000"/>
          <w:sz w:val="32"/>
          <w:szCs w:val="32"/>
        </w:rPr>
        <w:t>综合枢纽区7类</w:t>
      </w:r>
      <w:r>
        <w:rPr>
          <w:rFonts w:hint="eastAsia" w:ascii="仿宋_GB2312" w:hAnsi="Times New Roman" w:eastAsia="仿宋_GB2312" w:cs="Times New Roman"/>
          <w:color w:val="000000" w:themeColor="text1"/>
          <w:sz w:val="32"/>
          <w:szCs w:val="32"/>
          <w14:textFill>
            <w14:solidFill>
              <w14:schemeClr w14:val="tx1"/>
            </w14:solidFill>
          </w14:textFill>
        </w:rPr>
        <w:t>。</w:t>
      </w:r>
    </w:p>
    <w:p w14:paraId="15A7FA85">
      <w:pPr>
        <w:ind w:firstLine="643" w:firstLineChars="200"/>
        <w:rPr>
          <w:rFonts w:hint="eastAsia" w:ascii="黑体" w:hAnsi="黑体" w:eastAsia="黑体" w:cs="Times New Roman"/>
          <w:b/>
          <w:color w:val="000000" w:themeColor="text1"/>
          <w:sz w:val="32"/>
          <w:szCs w:val="32"/>
          <w14:textFill>
            <w14:solidFill>
              <w14:schemeClr w14:val="tx1"/>
            </w14:solidFill>
          </w14:textFill>
        </w:rPr>
      </w:pPr>
      <w:r>
        <w:rPr>
          <w:rFonts w:ascii="黑体" w:hAnsi="黑体" w:eastAsia="黑体" w:cs="Times New Roman"/>
          <w:b/>
          <w:color w:val="000000" w:themeColor="text1"/>
          <w:sz w:val="32"/>
          <w:szCs w:val="32"/>
          <w14:textFill>
            <w14:solidFill>
              <w14:schemeClr w14:val="tx1"/>
            </w14:solidFill>
          </w14:textFill>
        </w:rPr>
        <w:t>七、加强自然资源保护和利用</w:t>
      </w:r>
    </w:p>
    <w:p w14:paraId="68428DCA">
      <w:pPr>
        <w:ind w:firstLine="640" w:firstLineChars="200"/>
        <w:rPr>
          <w:rFonts w:ascii="仿宋_GB2312" w:hAnsi="Times New Roman" w:eastAsia="仿宋_GB2312" w:cs="Times New Roman"/>
          <w:color w:val="000000" w:themeColor="text1"/>
          <w:sz w:val="32"/>
          <w:szCs w:val="32"/>
          <w14:textFill>
            <w14:solidFill>
              <w14:schemeClr w14:val="tx1"/>
            </w14:solidFill>
          </w14:textFill>
        </w:rPr>
      </w:pPr>
      <w:r>
        <w:rPr>
          <w:rFonts w:ascii="仿宋_GB2312" w:hAnsi="Times New Roman" w:eastAsia="仿宋_GB2312" w:cs="Times New Roman"/>
          <w:color w:val="000000" w:themeColor="text1"/>
          <w:sz w:val="32"/>
          <w:szCs w:val="32"/>
          <w14:textFill>
            <w14:solidFill>
              <w14:schemeClr w14:val="tx1"/>
            </w14:solidFill>
          </w14:textFill>
        </w:rPr>
        <w:t>（一）农业空间保护和利用</w:t>
      </w:r>
    </w:p>
    <w:p w14:paraId="5C46778A">
      <w:pPr>
        <w:ind w:firstLine="640" w:firstLineChars="200"/>
        <w:rPr>
          <w:rFonts w:ascii="仿宋_GB2312" w:hAnsi="Times New Roman" w:eastAsia="仿宋_GB2312" w:cs="Times New Roman"/>
          <w:color w:val="000000" w:themeColor="text1"/>
          <w:sz w:val="32"/>
          <w:szCs w:val="32"/>
          <w14:textFill>
            <w14:solidFill>
              <w14:schemeClr w14:val="tx1"/>
            </w14:solidFill>
          </w14:textFill>
        </w:rPr>
      </w:pPr>
      <w:r>
        <w:rPr>
          <w:rFonts w:ascii="仿宋_GB2312" w:hAnsi="Times New Roman" w:eastAsia="仿宋_GB2312" w:cs="Times New Roman"/>
          <w:color w:val="000000" w:themeColor="text1"/>
          <w:sz w:val="32"/>
          <w:szCs w:val="32"/>
          <w14:textFill>
            <w14:solidFill>
              <w14:schemeClr w14:val="tx1"/>
            </w14:solidFill>
          </w14:textFill>
        </w:rPr>
        <w:t>严守耕地数量底线，筑牢粮食安全基石，落实耕地占补平衡、进出平衡，加强质量建设，提高耕地综合生产能力，推进耕地生态建设，提高耕地安全利用率，健全保护机制创新保护方式。</w:t>
      </w:r>
      <w:r>
        <w:rPr>
          <w:rFonts w:hint="eastAsia" w:ascii="仿宋_GB2312" w:hAnsi="Times New Roman" w:eastAsia="仿宋_GB2312" w:cs="Times New Roman"/>
          <w:color w:val="000000" w:themeColor="text1"/>
          <w:sz w:val="32"/>
          <w:szCs w:val="32"/>
          <w14:textFill>
            <w14:solidFill>
              <w14:schemeClr w14:val="tx1"/>
            </w14:solidFill>
          </w14:textFill>
        </w:rPr>
        <w:t>重点保护好优质耕地，实施耕地质量提升行动。保障优质耕地，重点开展耕地综合治理、土壤肥力保护提升、建设占用耕地耕作层土壤剥离利用行动。整合零散地块，提高耕地集中连片度，推进粮食生产区域化、专业化。</w:t>
      </w:r>
    </w:p>
    <w:p w14:paraId="1664DE53">
      <w:pPr>
        <w:ind w:firstLine="640" w:firstLineChars="200"/>
        <w:rPr>
          <w:rFonts w:ascii="仿宋_GB2312" w:hAnsi="Times New Roman" w:eastAsia="仿宋_GB2312" w:cs="Times New Roman"/>
          <w:color w:val="000000" w:themeColor="text1"/>
          <w:sz w:val="32"/>
          <w:szCs w:val="32"/>
          <w14:textFill>
            <w14:solidFill>
              <w14:schemeClr w14:val="tx1"/>
            </w14:solidFill>
          </w14:textFill>
        </w:rPr>
      </w:pPr>
      <w:r>
        <w:rPr>
          <w:rFonts w:ascii="仿宋_GB2312" w:hAnsi="Times New Roman" w:eastAsia="仿宋_GB2312" w:cs="Times New Roman"/>
          <w:color w:val="000000" w:themeColor="text1"/>
          <w:sz w:val="32"/>
          <w:szCs w:val="32"/>
          <w14:textFill>
            <w14:solidFill>
              <w14:schemeClr w14:val="tx1"/>
            </w14:solidFill>
          </w14:textFill>
        </w:rPr>
        <w:t>（二）生态空间保护和利用</w:t>
      </w:r>
    </w:p>
    <w:p w14:paraId="36B1CCED">
      <w:pPr>
        <w:ind w:firstLine="640" w:firstLineChars="200"/>
        <w:rPr>
          <w:rFonts w:ascii="仿宋_GB2312" w:hAnsi="Times New Roman" w:eastAsia="仿宋_GB2312" w:cs="Times New Roman"/>
          <w:color w:val="000000" w:themeColor="text1"/>
          <w:sz w:val="32"/>
          <w:szCs w:val="32"/>
          <w14:textFill>
            <w14:solidFill>
              <w14:schemeClr w14:val="tx1"/>
            </w14:solidFill>
          </w14:textFill>
        </w:rPr>
      </w:pPr>
      <w:r>
        <w:rPr>
          <w:rFonts w:hint="eastAsia" w:ascii="仿宋_GB2312" w:hAnsi="Times New Roman" w:eastAsia="仿宋_GB2312" w:cs="Times New Roman"/>
          <w:color w:val="000000" w:themeColor="text1"/>
          <w:sz w:val="32"/>
          <w:szCs w:val="32"/>
          <w14:textFill>
            <w14:solidFill>
              <w14:schemeClr w14:val="tx1"/>
            </w14:solidFill>
          </w14:textFill>
        </w:rPr>
        <w:t>区域交通生态缓冲廊道——济青高速铁路生态缓冲廊道，集防风固沙、绿色景观等多项功能于一体，串联重要的生态源地、生态节点、景观节点。济青高速铁路两侧宽度在200—500米之间，严控新增建设用地和开发强度，腾退污染企业。</w:t>
      </w:r>
    </w:p>
    <w:p w14:paraId="5E0F7178">
      <w:pPr>
        <w:ind w:firstLine="640" w:firstLineChars="200"/>
        <w:rPr>
          <w:rFonts w:ascii="仿宋_GB2312" w:hAnsi="Times New Roman" w:eastAsia="仿宋_GB2312" w:cs="Times New Roman"/>
          <w:color w:val="000000" w:themeColor="text1"/>
          <w:sz w:val="32"/>
          <w:szCs w:val="32"/>
          <w14:textFill>
            <w14:solidFill>
              <w14:schemeClr w14:val="tx1"/>
            </w14:solidFill>
          </w14:textFill>
        </w:rPr>
      </w:pPr>
      <w:r>
        <w:rPr>
          <w:rFonts w:hint="eastAsia" w:ascii="仿宋_GB2312" w:hAnsi="Times New Roman" w:eastAsia="仿宋_GB2312" w:cs="Times New Roman"/>
          <w:color w:val="000000" w:themeColor="text1"/>
          <w:sz w:val="32"/>
          <w:szCs w:val="32"/>
          <w14:textFill>
            <w14:solidFill>
              <w14:schemeClr w14:val="tx1"/>
            </w14:solidFill>
          </w14:textFill>
        </w:rPr>
        <w:t>淄河、织女河水系生态廊道，以防洪综合治理为重点，积极开展河道生态修复、两岸绿化、水土涵养等工程，凸显河道自然景观魅力，提升生态功能。</w:t>
      </w:r>
    </w:p>
    <w:p w14:paraId="1180EC7A">
      <w:pPr>
        <w:ind w:firstLine="640" w:firstLineChars="200"/>
        <w:rPr>
          <w:rFonts w:ascii="仿宋_GB2312" w:hAnsi="Times New Roman" w:eastAsia="仿宋_GB2312" w:cs="Times New Roman"/>
          <w:color w:val="000000" w:themeColor="text1"/>
          <w:sz w:val="32"/>
          <w:szCs w:val="32"/>
          <w14:textFill>
            <w14:solidFill>
              <w14:schemeClr w14:val="tx1"/>
            </w14:solidFill>
          </w14:textFill>
        </w:rPr>
      </w:pPr>
      <w:r>
        <w:rPr>
          <w:rFonts w:ascii="仿宋_GB2312" w:hAnsi="Times New Roman" w:eastAsia="仿宋_GB2312" w:cs="Times New Roman"/>
          <w:color w:val="000000" w:themeColor="text1"/>
          <w:sz w:val="32"/>
          <w:szCs w:val="32"/>
          <w14:textFill>
            <w14:solidFill>
              <w14:schemeClr w14:val="tx1"/>
            </w14:solidFill>
          </w14:textFill>
        </w:rPr>
        <w:t>加强林地保护与管控。对林地严格实施用途管制制度，严格限制集中连片、具备较高生态价值的林地转为非林地。实行林地分级管理，严格保护生态公益林，严禁擅自改变重点生态公益林地性质，严禁随意调整重点生态公益林地范围。严格控制占用征收生态公益林地，确因需要占用征收的，应按有关规定办理用地审核审批手续。</w:t>
      </w:r>
    </w:p>
    <w:p w14:paraId="19FCBCAB">
      <w:pPr>
        <w:ind w:firstLine="643" w:firstLineChars="200"/>
        <w:rPr>
          <w:rFonts w:hint="eastAsia" w:ascii="黑体" w:hAnsi="黑体" w:eastAsia="黑体" w:cs="Times New Roman"/>
          <w:b/>
          <w:color w:val="000000" w:themeColor="text1"/>
          <w:sz w:val="32"/>
          <w:szCs w:val="32"/>
          <w14:textFill>
            <w14:solidFill>
              <w14:schemeClr w14:val="tx1"/>
            </w14:solidFill>
          </w14:textFill>
        </w:rPr>
      </w:pPr>
      <w:r>
        <w:rPr>
          <w:rFonts w:ascii="黑体" w:hAnsi="黑体" w:eastAsia="黑体" w:cs="Times New Roman"/>
          <w:b/>
          <w:color w:val="000000" w:themeColor="text1"/>
          <w:sz w:val="32"/>
          <w:szCs w:val="32"/>
          <w14:textFill>
            <w14:solidFill>
              <w14:schemeClr w14:val="tx1"/>
            </w14:solidFill>
          </w14:textFill>
        </w:rPr>
        <w:t>八、建设集约高效的镇村空间格局</w:t>
      </w:r>
    </w:p>
    <w:p w14:paraId="0FDEB661">
      <w:pPr>
        <w:ind w:firstLine="640" w:firstLineChars="200"/>
        <w:rPr>
          <w:rFonts w:ascii="仿宋_GB2312" w:hAnsi="Times New Roman" w:eastAsia="仿宋_GB2312" w:cs="Times New Roman"/>
          <w:color w:val="000000" w:themeColor="text1"/>
          <w:sz w:val="32"/>
          <w:szCs w:val="32"/>
          <w14:textFill>
            <w14:solidFill>
              <w14:schemeClr w14:val="tx1"/>
            </w14:solidFill>
          </w14:textFill>
        </w:rPr>
      </w:pPr>
      <w:r>
        <w:rPr>
          <w:rFonts w:ascii="仿宋_GB2312" w:hAnsi="Times New Roman" w:eastAsia="仿宋_GB2312" w:cs="Times New Roman"/>
          <w:color w:val="000000" w:themeColor="text1"/>
          <w:sz w:val="32"/>
          <w:szCs w:val="32"/>
          <w14:textFill>
            <w14:solidFill>
              <w14:schemeClr w14:val="tx1"/>
            </w14:solidFill>
          </w14:textFill>
        </w:rPr>
        <w:t>（一）优化镇村体系</w:t>
      </w:r>
    </w:p>
    <w:p w14:paraId="6E075AF0">
      <w:pPr>
        <w:ind w:firstLine="640" w:firstLineChars="200"/>
        <w:rPr>
          <w:rFonts w:ascii="仿宋_GB2312" w:hAnsi="Times New Roman" w:eastAsia="仿宋_GB2312" w:cs="Times New Roman"/>
          <w:color w:val="000000" w:themeColor="text1"/>
          <w:sz w:val="32"/>
          <w:szCs w:val="32"/>
          <w14:textFill>
            <w14:solidFill>
              <w14:schemeClr w14:val="tx1"/>
            </w14:solidFill>
          </w14:textFill>
        </w:rPr>
      </w:pPr>
      <w:r>
        <w:rPr>
          <w:rFonts w:hint="eastAsia" w:ascii="仿宋_GB2312" w:hAnsi="Times New Roman" w:eastAsia="仿宋_GB2312" w:cs="Times New Roman"/>
          <w:color w:val="000000" w:themeColor="text1"/>
          <w:sz w:val="32"/>
          <w:szCs w:val="32"/>
          <w14:textFill>
            <w14:solidFill>
              <w14:schemeClr w14:val="tx1"/>
            </w14:solidFill>
          </w14:textFill>
        </w:rPr>
        <w:t>构建中心强化、组团集聚的网络化镇村体系，形成“一核、五心、多点”的三级镇村体系格局。规划形成以镇政府驻地为引领的皇城镇乡镇级社区生活圈和以北羊村、曹村村、西上村、大蓬科村、郑辛村为引领的中心村生活圈和一般村级生活圈3级生活圈。</w:t>
      </w:r>
    </w:p>
    <w:p w14:paraId="1DEDC9A8">
      <w:pPr>
        <w:ind w:firstLine="640" w:firstLineChars="200"/>
        <w:rPr>
          <w:rFonts w:ascii="仿宋_GB2312" w:hAnsi="Times New Roman" w:eastAsia="仿宋_GB2312" w:cs="Times New Roman"/>
          <w:color w:val="000000" w:themeColor="text1"/>
          <w:sz w:val="32"/>
          <w:szCs w:val="32"/>
          <w14:textFill>
            <w14:solidFill>
              <w14:schemeClr w14:val="tx1"/>
            </w14:solidFill>
          </w14:textFill>
        </w:rPr>
      </w:pPr>
      <w:r>
        <w:rPr>
          <w:rFonts w:ascii="仿宋_GB2312" w:hAnsi="Times New Roman" w:eastAsia="仿宋_GB2312" w:cs="Times New Roman"/>
          <w:color w:val="000000" w:themeColor="text1"/>
          <w:sz w:val="32"/>
          <w:szCs w:val="32"/>
          <w14:textFill>
            <w14:solidFill>
              <w14:schemeClr w14:val="tx1"/>
            </w14:solidFill>
          </w14:textFill>
        </w:rPr>
        <w:t>（</w:t>
      </w:r>
      <w:r>
        <w:rPr>
          <w:rFonts w:hint="eastAsia" w:ascii="仿宋_GB2312" w:hAnsi="Times New Roman" w:eastAsia="仿宋_GB2312" w:cs="Times New Roman"/>
          <w:color w:val="000000" w:themeColor="text1"/>
          <w:sz w:val="32"/>
          <w:szCs w:val="32"/>
          <w14:textFill>
            <w14:solidFill>
              <w14:schemeClr w14:val="tx1"/>
            </w14:solidFill>
          </w14:textFill>
        </w:rPr>
        <w:t>二</w:t>
      </w:r>
      <w:r>
        <w:rPr>
          <w:rFonts w:ascii="仿宋_GB2312" w:hAnsi="Times New Roman" w:eastAsia="仿宋_GB2312" w:cs="Times New Roman"/>
          <w:color w:val="000000" w:themeColor="text1"/>
          <w:sz w:val="32"/>
          <w:szCs w:val="32"/>
          <w14:textFill>
            <w14:solidFill>
              <w14:schemeClr w14:val="tx1"/>
            </w14:solidFill>
          </w14:textFill>
        </w:rPr>
        <w:t>）镇村职能</w:t>
      </w:r>
    </w:p>
    <w:p w14:paraId="465DEF19">
      <w:pPr>
        <w:ind w:firstLine="640" w:firstLineChars="200"/>
        <w:rPr>
          <w:rFonts w:ascii="仿宋_GB2312" w:hAnsi="Times New Roman" w:eastAsia="仿宋_GB2312" w:cs="Times New Roman"/>
          <w:color w:val="000000" w:themeColor="text1"/>
          <w:sz w:val="32"/>
          <w:szCs w:val="32"/>
          <w14:textFill>
            <w14:solidFill>
              <w14:schemeClr w14:val="tx1"/>
            </w14:solidFill>
          </w14:textFill>
        </w:rPr>
      </w:pPr>
      <w:r>
        <w:rPr>
          <w:rFonts w:hint="eastAsia" w:ascii="仿宋_GB2312" w:hAnsi="Times New Roman" w:eastAsia="仿宋_GB2312" w:cs="Times New Roman"/>
          <w:color w:val="000000" w:themeColor="text1"/>
          <w:sz w:val="32"/>
          <w:szCs w:val="32"/>
          <w14:textFill>
            <w14:solidFill>
              <w14:schemeClr w14:val="tx1"/>
            </w14:solidFill>
          </w14:textFill>
        </w:rPr>
        <w:t>规划镇村职能分为综合服务型、产业示范型、农旅融合型、农业生产型四种村庄类型，打造差异化的特色乡村功能及项目产品类型。</w:t>
      </w:r>
    </w:p>
    <w:p w14:paraId="1CAA6D59">
      <w:pPr>
        <w:ind w:firstLine="640" w:firstLineChars="200"/>
        <w:rPr>
          <w:rFonts w:ascii="仿宋_GB2312" w:hAnsi="Times New Roman" w:eastAsia="仿宋_GB2312" w:cs="Times New Roman"/>
          <w:color w:val="000000" w:themeColor="text1"/>
          <w:sz w:val="32"/>
          <w:szCs w:val="32"/>
          <w14:textFill>
            <w14:solidFill>
              <w14:schemeClr w14:val="tx1"/>
            </w14:solidFill>
          </w14:textFill>
        </w:rPr>
      </w:pPr>
      <w:r>
        <w:rPr>
          <w:rFonts w:hint="eastAsia" w:ascii="仿宋_GB2312" w:hAnsi="Times New Roman" w:eastAsia="仿宋_GB2312" w:cs="Times New Roman"/>
          <w:color w:val="000000" w:themeColor="text1"/>
          <w:sz w:val="32"/>
          <w:szCs w:val="32"/>
          <w14:textFill>
            <w14:solidFill>
              <w14:schemeClr w14:val="tx1"/>
            </w14:solidFill>
          </w14:textFill>
        </w:rPr>
        <w:t>（三）产业发展规划</w:t>
      </w:r>
    </w:p>
    <w:p w14:paraId="5131ABF3">
      <w:pPr>
        <w:spacing w:line="600" w:lineRule="exact"/>
        <w:ind w:firstLine="640" w:firstLineChars="200"/>
        <w:rPr>
          <w:rFonts w:ascii="仿宋_GB2312" w:hAnsi="Times New Roman" w:eastAsia="仿宋_GB2312" w:cs="Times New Roman"/>
          <w:color w:val="000000" w:themeColor="text1"/>
          <w:sz w:val="32"/>
          <w:szCs w:val="32"/>
          <w14:textFill>
            <w14:solidFill>
              <w14:schemeClr w14:val="tx1"/>
            </w14:solidFill>
          </w14:textFill>
        </w:rPr>
      </w:pPr>
      <w:bookmarkStart w:id="3" w:name="OLE_LINK27"/>
      <w:r>
        <w:rPr>
          <w:rFonts w:hint="eastAsia" w:ascii="仿宋_GB2312" w:eastAsia="仿宋_GB2312"/>
          <w:color w:val="000000"/>
          <w:sz w:val="32"/>
          <w:szCs w:val="32"/>
        </w:rPr>
        <w:t>调精农业、调强工业、调活第三产业，推动产业优化升级，着力构筑以先进加工制造业、现代服务业、旅游业和都市农业为基本框架的现代产业体系。第一产业发展农业特色化、农业现代化策略。加快推进蔬菜产业上规模、上档次、上特色、上知名度；第二产业加快工业项目集中区建设，在“</w:t>
      </w:r>
      <w:r>
        <w:rPr>
          <w:rFonts w:ascii="仿宋_GB2312" w:eastAsia="仿宋_GB2312"/>
          <w:color w:val="000000"/>
          <w:sz w:val="32"/>
          <w:szCs w:val="32"/>
        </w:rPr>
        <w:t>308</w:t>
      </w:r>
      <w:r>
        <w:rPr>
          <w:rFonts w:hint="eastAsia" w:ascii="仿宋_GB2312" w:eastAsia="仿宋_GB2312"/>
          <w:color w:val="000000"/>
          <w:sz w:val="32"/>
          <w:szCs w:val="32"/>
        </w:rPr>
        <w:t>”国道北羊段，依托原北羊工业区，建设工业项目集中区；第三产业依托淄河景观带，打造以旅游观光为主的景观体系，扶持四官撑凳、崖头大鼓等传统产业，同时提升餐饮服务业档次和水平。</w:t>
      </w:r>
      <w:bookmarkEnd w:id="3"/>
      <w:r>
        <w:rPr>
          <w:rFonts w:hint="eastAsia" w:ascii="仿宋_GB2312" w:hAnsi="Times New Roman" w:eastAsia="仿宋_GB2312" w:cs="Times New Roman"/>
          <w:color w:val="000000" w:themeColor="text1"/>
          <w:sz w:val="32"/>
          <w:szCs w:val="32"/>
          <w14:textFill>
            <w14:solidFill>
              <w14:schemeClr w14:val="tx1"/>
            </w14:solidFill>
          </w14:textFill>
        </w:rPr>
        <w:t>为充分保障工业用地供给，皇城镇城镇开发边界范围内划定工业控制线</w:t>
      </w:r>
      <w:r>
        <w:rPr>
          <w:rFonts w:ascii="仿宋_GB2312" w:hAnsi="Times New Roman" w:eastAsia="仿宋_GB2312" w:cs="Times New Roman"/>
          <w:color w:val="000000" w:themeColor="text1"/>
          <w:sz w:val="32"/>
          <w:szCs w:val="32"/>
          <w14:textFill>
            <w14:solidFill>
              <w14:schemeClr w14:val="tx1"/>
            </w14:solidFill>
          </w14:textFill>
        </w:rPr>
        <w:t>34.18</w:t>
      </w:r>
      <w:r>
        <w:rPr>
          <w:rFonts w:hint="eastAsia" w:ascii="仿宋_GB2312" w:hAnsi="Times New Roman" w:eastAsia="仿宋_GB2312" w:cs="Times New Roman"/>
          <w:color w:val="000000" w:themeColor="text1"/>
          <w:sz w:val="32"/>
          <w:szCs w:val="32"/>
          <w14:textFill>
            <w14:solidFill>
              <w14:schemeClr w14:val="tx1"/>
            </w14:solidFill>
          </w14:textFill>
        </w:rPr>
        <w:t>公顷。</w:t>
      </w:r>
    </w:p>
    <w:p w14:paraId="799E6117">
      <w:pPr>
        <w:ind w:firstLine="643" w:firstLineChars="200"/>
        <w:rPr>
          <w:rFonts w:hint="eastAsia" w:ascii="黑体" w:hAnsi="黑体" w:eastAsia="黑体" w:cs="Times New Roman"/>
          <w:b/>
          <w:color w:val="000000" w:themeColor="text1"/>
          <w:sz w:val="32"/>
          <w:szCs w:val="32"/>
          <w14:textFill>
            <w14:solidFill>
              <w14:schemeClr w14:val="tx1"/>
            </w14:solidFill>
          </w14:textFill>
        </w:rPr>
      </w:pPr>
      <w:r>
        <w:rPr>
          <w:rFonts w:hint="eastAsia" w:ascii="黑体" w:hAnsi="黑体" w:eastAsia="黑体" w:cs="Times New Roman"/>
          <w:b/>
          <w:color w:val="000000" w:themeColor="text1"/>
          <w:sz w:val="32"/>
          <w:szCs w:val="32"/>
          <w14:textFill>
            <w14:solidFill>
              <w14:schemeClr w14:val="tx1"/>
            </w14:solidFill>
          </w14:textFill>
        </w:rPr>
        <w:t>九、城镇开发边界范围规划布局</w:t>
      </w:r>
    </w:p>
    <w:p w14:paraId="4BFFAB10">
      <w:pPr>
        <w:spacing w:line="600" w:lineRule="exact"/>
        <w:ind w:firstLine="640" w:firstLineChars="200"/>
        <w:rPr>
          <w:rFonts w:ascii="仿宋_GB2312" w:hAnsi="Times New Roman" w:eastAsia="仿宋_GB2312"/>
          <w:color w:val="000000"/>
          <w:sz w:val="32"/>
          <w:szCs w:val="32"/>
        </w:rPr>
      </w:pPr>
      <w:r>
        <w:rPr>
          <w:rFonts w:hint="eastAsia" w:ascii="仿宋_GB2312" w:eastAsia="仿宋_GB2312"/>
          <w:color w:val="000000"/>
          <w:sz w:val="32"/>
          <w:szCs w:val="32"/>
        </w:rPr>
        <w:t>结合皇城现状发展基础、旧村改造和智慧城乡冷链仓储物流发展要求，重点发展西南部智慧城乡冷链仓储物流中心和皇城旧村改造，优化公共服务设施、交通、安全设施、历史文化保护、绿地系统五大网络，提升城镇服务效能，聚焦产业协作，重点发展新材料、新能源制造重点产业链。</w:t>
      </w:r>
    </w:p>
    <w:p w14:paraId="2A525A75">
      <w:pPr>
        <w:spacing w:line="60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空间结构上主要沿张皇路，北齐路城镇开发边界范围形成“一主两片”的结构。</w:t>
      </w:r>
    </w:p>
    <w:p w14:paraId="34650595">
      <w:pPr>
        <w:spacing w:line="60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“一主”是中心镇区，形成“南配套西居住”的空间结构，“西居住”主要是皇城居住区。“南配套”以镇政府、教育、商业为主，保留老北齐路以东的工业、仓储用地形成产业园区。</w:t>
      </w:r>
    </w:p>
    <w:p w14:paraId="2293FF1F">
      <w:pPr>
        <w:spacing w:line="600" w:lineRule="exact"/>
        <w:ind w:firstLine="640" w:firstLineChars="200"/>
        <w:rPr>
          <w:rFonts w:ascii="仿宋_GB2312" w:hAnsi="Times New Roman" w:eastAsia="仿宋_GB2312"/>
          <w:color w:val="000000"/>
          <w:sz w:val="32"/>
          <w:szCs w:val="32"/>
        </w:rPr>
      </w:pPr>
      <w:r>
        <w:rPr>
          <w:rFonts w:hint="eastAsia" w:ascii="仿宋_GB2312" w:eastAsia="仿宋_GB2312"/>
          <w:color w:val="000000"/>
          <w:sz w:val="32"/>
          <w:szCs w:val="32"/>
        </w:rPr>
        <w:t>“两片”分别是智慧城乡冷链仓储物流综合中心和配套污水处理设施片。</w:t>
      </w:r>
    </w:p>
    <w:p w14:paraId="22AF0182">
      <w:pPr>
        <w:ind w:firstLine="640" w:firstLineChars="200"/>
        <w:rPr>
          <w:rFonts w:ascii="仿宋_GB2312" w:hAnsi="Times New Roman" w:eastAsia="仿宋_GB2312" w:cs="Times New Roman"/>
          <w:color w:val="000000" w:themeColor="text1"/>
          <w:sz w:val="32"/>
          <w:szCs w:val="32"/>
          <w14:textFill>
            <w14:solidFill>
              <w14:schemeClr w14:val="tx1"/>
            </w14:solidFill>
          </w14:textFill>
        </w:rPr>
      </w:pPr>
      <w:r>
        <w:rPr>
          <w:rFonts w:hint="eastAsia" w:ascii="仿宋_GB2312" w:hAnsi="Times New Roman" w:eastAsia="仿宋_GB2312" w:cs="Times New Roman"/>
          <w:color w:val="000000" w:themeColor="text1"/>
          <w:sz w:val="32"/>
          <w:szCs w:val="32"/>
          <w14:textFill>
            <w14:solidFill>
              <w14:schemeClr w14:val="tx1"/>
            </w14:solidFill>
          </w14:textFill>
        </w:rPr>
        <w:t>1.居住用地</w:t>
      </w:r>
    </w:p>
    <w:p w14:paraId="2ED9A960">
      <w:pPr>
        <w:ind w:firstLine="640" w:firstLineChars="200"/>
        <w:rPr>
          <w:rFonts w:ascii="仿宋_GB2312" w:hAnsi="Times New Roman" w:eastAsia="仿宋_GB2312" w:cs="Times New Roman"/>
          <w:color w:val="000000" w:themeColor="text1"/>
          <w:sz w:val="32"/>
          <w:szCs w:val="32"/>
          <w14:textFill>
            <w14:solidFill>
              <w14:schemeClr w14:val="tx1"/>
            </w14:solidFill>
          </w14:textFill>
        </w:rPr>
      </w:pPr>
      <w:r>
        <w:rPr>
          <w:rFonts w:hint="eastAsia" w:ascii="仿宋_GB2312" w:hAnsi="Times New Roman" w:eastAsia="仿宋_GB2312" w:cs="Times New Roman"/>
          <w:color w:val="000000" w:themeColor="text1"/>
          <w:sz w:val="32"/>
          <w:szCs w:val="32"/>
          <w14:textFill>
            <w14:solidFill>
              <w14:schemeClr w14:val="tx1"/>
            </w14:solidFill>
          </w14:textFill>
        </w:rPr>
        <w:t>居住用地主要分布于中心镇区</w:t>
      </w:r>
      <w:r>
        <w:rPr>
          <w:rFonts w:hint="eastAsia" w:ascii="仿宋_GB2312" w:eastAsia="仿宋_GB2312"/>
          <w:color w:val="000000"/>
          <w:sz w:val="32"/>
          <w:szCs w:val="32"/>
        </w:rPr>
        <w:t>中心镇区西北部。</w:t>
      </w:r>
    </w:p>
    <w:p w14:paraId="6F4396D9">
      <w:pPr>
        <w:spacing w:line="60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规划居住用地</w:t>
      </w:r>
      <w:r>
        <w:rPr>
          <w:rFonts w:ascii="仿宋_GB2312" w:eastAsia="仿宋_GB2312"/>
          <w:color w:val="000000"/>
          <w:sz w:val="32"/>
          <w:szCs w:val="32"/>
        </w:rPr>
        <w:t>22.11</w:t>
      </w:r>
      <w:r>
        <w:rPr>
          <w:rFonts w:hint="eastAsia" w:ascii="仿宋_GB2312" w:eastAsia="仿宋_GB2312"/>
          <w:color w:val="000000"/>
          <w:sz w:val="32"/>
          <w:szCs w:val="32"/>
        </w:rPr>
        <w:t>公顷，占城镇开发边界范围城镇建设用地的</w:t>
      </w:r>
      <w:r>
        <w:rPr>
          <w:rFonts w:ascii="仿宋_GB2312" w:eastAsia="仿宋_GB2312"/>
          <w:color w:val="000000"/>
          <w:sz w:val="32"/>
          <w:szCs w:val="32"/>
        </w:rPr>
        <w:t>19.11</w:t>
      </w:r>
      <w:r>
        <w:rPr>
          <w:rFonts w:hint="eastAsia" w:ascii="仿宋_GB2312" w:eastAsia="仿宋_GB2312"/>
          <w:color w:val="000000"/>
          <w:sz w:val="32"/>
          <w:szCs w:val="32"/>
        </w:rPr>
        <w:t>%。</w:t>
      </w:r>
    </w:p>
    <w:p w14:paraId="0EFEEDE8">
      <w:pPr>
        <w:ind w:firstLine="640" w:firstLineChars="200"/>
        <w:rPr>
          <w:rFonts w:ascii="仿宋_GB2312" w:hAnsi="Times New Roman" w:eastAsia="仿宋_GB2312" w:cs="Times New Roman"/>
          <w:color w:val="000000" w:themeColor="text1"/>
          <w:sz w:val="32"/>
          <w:szCs w:val="32"/>
          <w14:textFill>
            <w14:solidFill>
              <w14:schemeClr w14:val="tx1"/>
            </w14:solidFill>
          </w14:textFill>
        </w:rPr>
      </w:pPr>
      <w:r>
        <w:rPr>
          <w:rFonts w:hint="eastAsia" w:ascii="仿宋_GB2312" w:hAnsi="Times New Roman" w:eastAsia="仿宋_GB2312" w:cs="Times New Roman"/>
          <w:color w:val="000000" w:themeColor="text1"/>
          <w:sz w:val="32"/>
          <w:szCs w:val="32"/>
          <w14:textFill>
            <w14:solidFill>
              <w14:schemeClr w14:val="tx1"/>
            </w14:solidFill>
          </w14:textFill>
        </w:rPr>
        <w:t>2.公共管理与公共服务用地</w:t>
      </w:r>
    </w:p>
    <w:p w14:paraId="64F9A67C">
      <w:pPr>
        <w:spacing w:line="60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规划公共管理与公共服务设施用地面积</w:t>
      </w:r>
      <w:r>
        <w:rPr>
          <w:rFonts w:ascii="仿宋_GB2312" w:eastAsia="仿宋_GB2312"/>
          <w:color w:val="000000"/>
          <w:sz w:val="32"/>
          <w:szCs w:val="32"/>
        </w:rPr>
        <w:t>13.40</w:t>
      </w:r>
      <w:r>
        <w:rPr>
          <w:rFonts w:hint="eastAsia" w:ascii="仿宋_GB2312" w:eastAsia="仿宋_GB2312"/>
          <w:color w:val="000000"/>
          <w:sz w:val="32"/>
          <w:szCs w:val="32"/>
        </w:rPr>
        <w:t>公顷，主要是沿张皇路、北齐路现状用地，规划沿北齐路布置文化和体育用地，占城镇开发边界范围城镇建设用地的</w:t>
      </w:r>
      <w:r>
        <w:rPr>
          <w:rFonts w:ascii="仿宋_GB2312" w:eastAsia="仿宋_GB2312"/>
          <w:color w:val="000000"/>
          <w:sz w:val="32"/>
          <w:szCs w:val="32"/>
        </w:rPr>
        <w:t>11.58</w:t>
      </w:r>
      <w:r>
        <w:rPr>
          <w:rFonts w:hint="eastAsia" w:ascii="仿宋_GB2312" w:eastAsia="仿宋_GB2312"/>
          <w:color w:val="000000"/>
          <w:sz w:val="32"/>
          <w:szCs w:val="32"/>
        </w:rPr>
        <w:t>%。</w:t>
      </w:r>
    </w:p>
    <w:p w14:paraId="5874CEA5">
      <w:pPr>
        <w:ind w:firstLine="640" w:firstLineChars="200"/>
        <w:rPr>
          <w:rFonts w:ascii="仿宋_GB2312" w:hAnsi="Times New Roman" w:eastAsia="仿宋_GB2312" w:cs="Times New Roman"/>
          <w:color w:val="000000" w:themeColor="text1"/>
          <w:sz w:val="32"/>
          <w:szCs w:val="32"/>
          <w14:textFill>
            <w14:solidFill>
              <w14:schemeClr w14:val="tx1"/>
            </w14:solidFill>
          </w14:textFill>
        </w:rPr>
      </w:pPr>
      <w:r>
        <w:rPr>
          <w:rFonts w:hint="eastAsia" w:ascii="仿宋_GB2312" w:hAnsi="Times New Roman" w:eastAsia="仿宋_GB2312" w:cs="Times New Roman"/>
          <w:color w:val="000000" w:themeColor="text1"/>
          <w:sz w:val="32"/>
          <w:szCs w:val="32"/>
          <w14:textFill>
            <w14:solidFill>
              <w14:schemeClr w14:val="tx1"/>
            </w14:solidFill>
          </w14:textFill>
        </w:rPr>
        <w:t>3.商业服务业用地</w:t>
      </w:r>
    </w:p>
    <w:p w14:paraId="1428637D">
      <w:pPr>
        <w:spacing w:line="60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主要沿老北齐路和张皇路保留与新增商业用地。</w:t>
      </w:r>
    </w:p>
    <w:p w14:paraId="6C7D7A30">
      <w:pPr>
        <w:spacing w:line="60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规划商业服务业用地</w:t>
      </w:r>
      <w:r>
        <w:rPr>
          <w:rFonts w:ascii="仿宋_GB2312" w:eastAsia="仿宋_GB2312"/>
          <w:color w:val="000000"/>
          <w:sz w:val="32"/>
          <w:szCs w:val="32"/>
        </w:rPr>
        <w:t>12.96</w:t>
      </w:r>
      <w:r>
        <w:rPr>
          <w:rFonts w:hint="eastAsia" w:ascii="仿宋_GB2312" w:eastAsia="仿宋_GB2312"/>
          <w:color w:val="000000"/>
          <w:sz w:val="32"/>
          <w:szCs w:val="32"/>
        </w:rPr>
        <w:t>公顷，占城镇开发边界范围城镇建设用地的</w:t>
      </w:r>
      <w:r>
        <w:rPr>
          <w:rFonts w:ascii="仿宋_GB2312" w:eastAsia="仿宋_GB2312"/>
          <w:color w:val="000000"/>
          <w:sz w:val="32"/>
          <w:szCs w:val="32"/>
        </w:rPr>
        <w:t>11.20</w:t>
      </w:r>
      <w:r>
        <w:rPr>
          <w:rFonts w:hint="eastAsia" w:ascii="仿宋_GB2312" w:eastAsia="仿宋_GB2312"/>
          <w:color w:val="000000"/>
          <w:sz w:val="32"/>
          <w:szCs w:val="32"/>
        </w:rPr>
        <w:t>%。</w:t>
      </w:r>
    </w:p>
    <w:p w14:paraId="24C58417">
      <w:pPr>
        <w:ind w:firstLine="640" w:firstLineChars="200"/>
        <w:rPr>
          <w:rFonts w:ascii="仿宋_GB2312" w:hAnsi="Times New Roman" w:eastAsia="仿宋_GB2312" w:cs="Times New Roman"/>
          <w:color w:val="000000" w:themeColor="text1"/>
          <w:sz w:val="32"/>
          <w:szCs w:val="32"/>
          <w14:textFill>
            <w14:solidFill>
              <w14:schemeClr w14:val="tx1"/>
            </w14:solidFill>
          </w14:textFill>
        </w:rPr>
      </w:pPr>
      <w:r>
        <w:rPr>
          <w:rFonts w:hint="eastAsia" w:ascii="仿宋_GB2312" w:hAnsi="Times New Roman" w:eastAsia="仿宋_GB2312" w:cs="Times New Roman"/>
          <w:color w:val="000000" w:themeColor="text1"/>
          <w:sz w:val="32"/>
          <w:szCs w:val="32"/>
          <w14:textFill>
            <w14:solidFill>
              <w14:schemeClr w14:val="tx1"/>
            </w14:solidFill>
          </w14:textFill>
        </w:rPr>
        <w:t>4.工矿用地</w:t>
      </w:r>
    </w:p>
    <w:p w14:paraId="48693B8C">
      <w:pPr>
        <w:spacing w:line="60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优化工业用地布局，规划工业用地向园区集中。</w:t>
      </w:r>
    </w:p>
    <w:p w14:paraId="081E57DC">
      <w:pPr>
        <w:spacing w:line="60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规划工矿用地面积</w:t>
      </w:r>
      <w:r>
        <w:rPr>
          <w:rFonts w:ascii="仿宋_GB2312" w:eastAsia="仿宋_GB2312"/>
          <w:color w:val="000000"/>
          <w:sz w:val="32"/>
          <w:szCs w:val="32"/>
        </w:rPr>
        <w:t>34.18</w:t>
      </w:r>
      <w:r>
        <w:rPr>
          <w:rFonts w:hint="eastAsia" w:ascii="仿宋_GB2312" w:eastAsia="仿宋_GB2312"/>
          <w:color w:val="000000"/>
          <w:sz w:val="32"/>
          <w:szCs w:val="32"/>
        </w:rPr>
        <w:t>公顷，占城镇开发边界范围城镇建设用地的</w:t>
      </w:r>
      <w:r>
        <w:rPr>
          <w:rFonts w:ascii="仿宋_GB2312" w:eastAsia="仿宋_GB2312"/>
          <w:color w:val="000000"/>
          <w:sz w:val="32"/>
          <w:szCs w:val="32"/>
        </w:rPr>
        <w:t>29.54</w:t>
      </w:r>
      <w:r>
        <w:rPr>
          <w:rFonts w:hint="eastAsia" w:ascii="仿宋_GB2312" w:eastAsia="仿宋_GB2312"/>
          <w:color w:val="000000"/>
          <w:sz w:val="32"/>
          <w:szCs w:val="32"/>
        </w:rPr>
        <w:t>%。</w:t>
      </w:r>
    </w:p>
    <w:p w14:paraId="0F1D38EA">
      <w:pPr>
        <w:ind w:firstLine="640" w:firstLineChars="200"/>
        <w:rPr>
          <w:rFonts w:ascii="仿宋_GB2312" w:hAnsi="Times New Roman" w:eastAsia="仿宋_GB2312" w:cs="Times New Roman"/>
          <w:color w:val="000000" w:themeColor="text1"/>
          <w:sz w:val="32"/>
          <w:szCs w:val="32"/>
          <w14:textFill>
            <w14:solidFill>
              <w14:schemeClr w14:val="tx1"/>
            </w14:solidFill>
          </w14:textFill>
        </w:rPr>
      </w:pPr>
      <w:r>
        <w:rPr>
          <w:rFonts w:hint="eastAsia" w:ascii="仿宋_GB2312" w:hAnsi="Times New Roman" w:eastAsia="仿宋_GB2312" w:cs="Times New Roman"/>
          <w:color w:val="000000" w:themeColor="text1"/>
          <w:sz w:val="32"/>
          <w:szCs w:val="32"/>
          <w14:textFill>
            <w14:solidFill>
              <w14:schemeClr w14:val="tx1"/>
            </w14:solidFill>
          </w14:textFill>
        </w:rPr>
        <w:t>5.仓储用地</w:t>
      </w:r>
    </w:p>
    <w:p w14:paraId="6F1D2001">
      <w:pPr>
        <w:spacing w:line="60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规划物流仓储用地面积</w:t>
      </w:r>
      <w:r>
        <w:rPr>
          <w:rFonts w:ascii="仿宋_GB2312" w:eastAsia="仿宋_GB2312"/>
          <w:color w:val="000000"/>
          <w:sz w:val="32"/>
          <w:szCs w:val="32"/>
        </w:rPr>
        <w:t>6.43</w:t>
      </w:r>
      <w:r>
        <w:rPr>
          <w:rFonts w:hint="eastAsia" w:ascii="仿宋_GB2312" w:eastAsia="仿宋_GB2312"/>
          <w:color w:val="000000"/>
          <w:sz w:val="32"/>
          <w:szCs w:val="32"/>
        </w:rPr>
        <w:t>公顷，占城镇开发边界范围城镇建设用地的</w:t>
      </w:r>
      <w:r>
        <w:rPr>
          <w:rFonts w:ascii="仿宋_GB2312" w:eastAsia="仿宋_GB2312"/>
          <w:color w:val="000000"/>
          <w:sz w:val="32"/>
          <w:szCs w:val="32"/>
        </w:rPr>
        <w:t>5.56</w:t>
      </w:r>
      <w:r>
        <w:rPr>
          <w:rFonts w:hint="eastAsia" w:ascii="仿宋_GB2312" w:eastAsia="仿宋_GB2312"/>
          <w:color w:val="000000"/>
          <w:sz w:val="32"/>
          <w:szCs w:val="32"/>
        </w:rPr>
        <w:t>%。</w:t>
      </w:r>
    </w:p>
    <w:p w14:paraId="4B61ACA4">
      <w:pPr>
        <w:ind w:firstLine="640" w:firstLineChars="200"/>
        <w:rPr>
          <w:rFonts w:ascii="仿宋_GB2312" w:hAnsi="Times New Roman" w:eastAsia="仿宋_GB2312" w:cs="Times New Roman"/>
          <w:color w:val="000000" w:themeColor="text1"/>
          <w:sz w:val="32"/>
          <w:szCs w:val="32"/>
          <w14:textFill>
            <w14:solidFill>
              <w14:schemeClr w14:val="tx1"/>
            </w14:solidFill>
          </w14:textFill>
        </w:rPr>
      </w:pPr>
      <w:r>
        <w:rPr>
          <w:rFonts w:hint="eastAsia" w:ascii="仿宋_GB2312" w:hAnsi="Times New Roman" w:eastAsia="仿宋_GB2312" w:cs="Times New Roman"/>
          <w:color w:val="000000" w:themeColor="text1"/>
          <w:sz w:val="32"/>
          <w:szCs w:val="32"/>
          <w14:textFill>
            <w14:solidFill>
              <w14:schemeClr w14:val="tx1"/>
            </w14:solidFill>
          </w14:textFill>
        </w:rPr>
        <w:t>6.交通运输用地</w:t>
      </w:r>
    </w:p>
    <w:p w14:paraId="7D28E72A">
      <w:pPr>
        <w:spacing w:line="60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完善各级路网建设，提升路网密度，补齐静态交通设施短板，留足交通发展空间，从土地资源层面保障交通运输用地。</w:t>
      </w:r>
    </w:p>
    <w:p w14:paraId="2539436D">
      <w:pPr>
        <w:spacing w:line="60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规划交通运输用地面积</w:t>
      </w:r>
      <w:r>
        <w:rPr>
          <w:rFonts w:ascii="仿宋_GB2312" w:eastAsia="仿宋_GB2312"/>
          <w:color w:val="000000"/>
          <w:sz w:val="32"/>
          <w:szCs w:val="32"/>
        </w:rPr>
        <w:t>13.28</w:t>
      </w:r>
      <w:r>
        <w:rPr>
          <w:rFonts w:hint="eastAsia" w:ascii="仿宋_GB2312" w:eastAsia="仿宋_GB2312"/>
          <w:color w:val="000000"/>
          <w:sz w:val="32"/>
          <w:szCs w:val="32"/>
        </w:rPr>
        <w:t>公顷，占城镇开发边界范围城镇建设用地的</w:t>
      </w:r>
      <w:r>
        <w:rPr>
          <w:rFonts w:ascii="仿宋_GB2312" w:eastAsia="仿宋_GB2312"/>
          <w:color w:val="000000"/>
          <w:sz w:val="32"/>
          <w:szCs w:val="32"/>
        </w:rPr>
        <w:t>11.48</w:t>
      </w:r>
      <w:r>
        <w:rPr>
          <w:rFonts w:hint="eastAsia" w:ascii="仿宋_GB2312" w:eastAsia="仿宋_GB2312"/>
          <w:color w:val="000000"/>
          <w:sz w:val="32"/>
          <w:szCs w:val="32"/>
        </w:rPr>
        <w:t>%。</w:t>
      </w:r>
    </w:p>
    <w:p w14:paraId="20DC682B">
      <w:pPr>
        <w:ind w:firstLine="640" w:firstLineChars="200"/>
        <w:rPr>
          <w:rFonts w:ascii="仿宋_GB2312" w:hAnsi="Times New Roman" w:eastAsia="仿宋_GB2312" w:cs="Times New Roman"/>
          <w:color w:val="000000" w:themeColor="text1"/>
          <w:sz w:val="32"/>
          <w:szCs w:val="32"/>
          <w14:textFill>
            <w14:solidFill>
              <w14:schemeClr w14:val="tx1"/>
            </w14:solidFill>
          </w14:textFill>
        </w:rPr>
      </w:pPr>
      <w:r>
        <w:rPr>
          <w:rFonts w:hint="eastAsia" w:ascii="仿宋_GB2312" w:hAnsi="Times New Roman" w:eastAsia="仿宋_GB2312" w:cs="Times New Roman"/>
          <w:color w:val="000000" w:themeColor="text1"/>
          <w:sz w:val="32"/>
          <w:szCs w:val="32"/>
          <w14:textFill>
            <w14:solidFill>
              <w14:schemeClr w14:val="tx1"/>
            </w14:solidFill>
          </w14:textFill>
        </w:rPr>
        <w:t>7.公用设施用地</w:t>
      </w:r>
    </w:p>
    <w:p w14:paraId="4294FC9B">
      <w:pPr>
        <w:ind w:firstLine="640" w:firstLineChars="200"/>
        <w:rPr>
          <w:rFonts w:ascii="仿宋_GB2312" w:hAnsi="Times New Roman" w:eastAsia="仿宋_GB2312" w:cs="Times New Roman"/>
          <w:color w:val="000000" w:themeColor="text1"/>
          <w:sz w:val="32"/>
          <w:szCs w:val="32"/>
          <w14:textFill>
            <w14:solidFill>
              <w14:schemeClr w14:val="tx1"/>
            </w14:solidFill>
          </w14:textFill>
        </w:rPr>
      </w:pPr>
      <w:r>
        <w:rPr>
          <w:rFonts w:hint="eastAsia" w:ascii="仿宋_GB2312" w:hAnsi="Times New Roman" w:eastAsia="仿宋_GB2312" w:cs="Times New Roman"/>
          <w:color w:val="000000" w:themeColor="text1"/>
          <w:sz w:val="32"/>
          <w:szCs w:val="32"/>
          <w14:textFill>
            <w14:solidFill>
              <w14:schemeClr w14:val="tx1"/>
            </w14:solidFill>
          </w14:textFill>
        </w:rPr>
        <w:t>加强供电、供水等城市生命线工程设施的建设，保障能源设施用地布局。</w:t>
      </w:r>
    </w:p>
    <w:p w14:paraId="68ABAEFB">
      <w:pPr>
        <w:ind w:firstLine="640" w:firstLineChars="200"/>
        <w:rPr>
          <w:rFonts w:ascii="仿宋_GB2312" w:hAnsi="Times New Roman" w:eastAsia="仿宋_GB2312" w:cs="Times New Roman"/>
          <w:color w:val="000000" w:themeColor="text1"/>
          <w:sz w:val="32"/>
          <w:szCs w:val="32"/>
          <w14:textFill>
            <w14:solidFill>
              <w14:schemeClr w14:val="tx1"/>
            </w14:solidFill>
          </w14:textFill>
        </w:rPr>
      </w:pPr>
      <w:r>
        <w:rPr>
          <w:rFonts w:hint="eastAsia" w:ascii="仿宋_GB2312" w:hAnsi="Times New Roman" w:eastAsia="仿宋_GB2312" w:cs="Times New Roman"/>
          <w:color w:val="000000" w:themeColor="text1"/>
          <w:sz w:val="32"/>
          <w:szCs w:val="32"/>
          <w14:textFill>
            <w14:solidFill>
              <w14:schemeClr w14:val="tx1"/>
            </w14:solidFill>
          </w14:textFill>
        </w:rPr>
        <w:t>规划公用设施用地面积</w:t>
      </w:r>
      <w:r>
        <w:rPr>
          <w:rFonts w:ascii="仿宋_GB2312" w:hAnsi="Times New Roman" w:eastAsia="仿宋_GB2312" w:cs="Times New Roman"/>
          <w:color w:val="000000" w:themeColor="text1"/>
          <w:sz w:val="32"/>
          <w:szCs w:val="32"/>
          <w14:textFill>
            <w14:solidFill>
              <w14:schemeClr w14:val="tx1"/>
            </w14:solidFill>
          </w14:textFill>
        </w:rPr>
        <w:t>6.49</w:t>
      </w:r>
      <w:r>
        <w:rPr>
          <w:rFonts w:hint="eastAsia" w:ascii="仿宋_GB2312" w:hAnsi="Times New Roman" w:eastAsia="仿宋_GB2312" w:cs="Times New Roman"/>
          <w:color w:val="000000" w:themeColor="text1"/>
          <w:sz w:val="32"/>
          <w:szCs w:val="32"/>
          <w14:textFill>
            <w14:solidFill>
              <w14:schemeClr w14:val="tx1"/>
            </w14:solidFill>
          </w14:textFill>
        </w:rPr>
        <w:t>公顷，占城镇开发边界范围城镇建设用地的</w:t>
      </w:r>
      <w:r>
        <w:rPr>
          <w:rFonts w:ascii="仿宋_GB2312" w:hAnsi="Times New Roman" w:eastAsia="仿宋_GB2312" w:cs="Times New Roman"/>
          <w:color w:val="000000" w:themeColor="text1"/>
          <w:sz w:val="32"/>
          <w:szCs w:val="32"/>
          <w14:textFill>
            <w14:solidFill>
              <w14:schemeClr w14:val="tx1"/>
            </w14:solidFill>
          </w14:textFill>
        </w:rPr>
        <w:t>5.61</w:t>
      </w:r>
      <w:r>
        <w:rPr>
          <w:rFonts w:hint="eastAsia" w:ascii="仿宋_GB2312" w:hAnsi="Times New Roman" w:eastAsia="仿宋_GB2312" w:cs="Times New Roman"/>
          <w:color w:val="000000" w:themeColor="text1"/>
          <w:sz w:val="32"/>
          <w:szCs w:val="32"/>
          <w14:textFill>
            <w14:solidFill>
              <w14:schemeClr w14:val="tx1"/>
            </w14:solidFill>
          </w14:textFill>
        </w:rPr>
        <w:t>%。</w:t>
      </w:r>
    </w:p>
    <w:p w14:paraId="1D64C9DF">
      <w:pPr>
        <w:ind w:firstLine="640" w:firstLineChars="200"/>
        <w:rPr>
          <w:rFonts w:ascii="仿宋_GB2312" w:hAnsi="Times New Roman" w:eastAsia="仿宋_GB2312" w:cs="Times New Roman"/>
          <w:color w:val="000000" w:themeColor="text1"/>
          <w:sz w:val="32"/>
          <w:szCs w:val="32"/>
          <w14:textFill>
            <w14:solidFill>
              <w14:schemeClr w14:val="tx1"/>
            </w14:solidFill>
          </w14:textFill>
        </w:rPr>
      </w:pPr>
      <w:r>
        <w:rPr>
          <w:rFonts w:hint="eastAsia" w:ascii="仿宋_GB2312" w:hAnsi="Times New Roman" w:eastAsia="仿宋_GB2312" w:cs="Times New Roman"/>
          <w:color w:val="000000" w:themeColor="text1"/>
          <w:sz w:val="32"/>
          <w:szCs w:val="32"/>
          <w14:textFill>
            <w14:solidFill>
              <w14:schemeClr w14:val="tx1"/>
            </w14:solidFill>
          </w14:textFill>
        </w:rPr>
        <w:t>8.绿地与开敞空间用地</w:t>
      </w:r>
    </w:p>
    <w:p w14:paraId="3EA13F10">
      <w:pPr>
        <w:spacing w:line="60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优化各类公共绿地，建立各级绿地完善的绿地系统，建设全域公园城市，提升城市品质。</w:t>
      </w:r>
    </w:p>
    <w:p w14:paraId="4AFD147D">
      <w:pPr>
        <w:spacing w:line="60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规划绿地与开敞空间用地面积</w:t>
      </w:r>
      <w:r>
        <w:rPr>
          <w:rFonts w:ascii="仿宋_GB2312" w:eastAsia="仿宋_GB2312"/>
          <w:color w:val="000000"/>
          <w:sz w:val="32"/>
          <w:szCs w:val="32"/>
        </w:rPr>
        <w:t>6.85</w:t>
      </w:r>
      <w:r>
        <w:rPr>
          <w:rFonts w:hint="eastAsia" w:ascii="仿宋_GB2312" w:eastAsia="仿宋_GB2312"/>
          <w:color w:val="000000"/>
          <w:sz w:val="32"/>
          <w:szCs w:val="32"/>
        </w:rPr>
        <w:t>公顷，占城镇开发边界范围城镇建设用地的</w:t>
      </w:r>
      <w:r>
        <w:rPr>
          <w:rFonts w:ascii="仿宋_GB2312" w:eastAsia="仿宋_GB2312"/>
          <w:color w:val="000000"/>
          <w:sz w:val="32"/>
          <w:szCs w:val="32"/>
        </w:rPr>
        <w:t>5.92</w:t>
      </w:r>
      <w:r>
        <w:rPr>
          <w:rFonts w:hint="eastAsia" w:ascii="仿宋_GB2312" w:eastAsia="仿宋_GB2312"/>
          <w:color w:val="000000"/>
          <w:sz w:val="32"/>
          <w:szCs w:val="32"/>
        </w:rPr>
        <w:t>%。</w:t>
      </w:r>
    </w:p>
    <w:p w14:paraId="6A07EAC8">
      <w:pPr>
        <w:ind w:firstLine="643" w:firstLineChars="200"/>
        <w:rPr>
          <w:rFonts w:hint="eastAsia" w:ascii="黑体" w:hAnsi="黑体" w:eastAsia="黑体" w:cs="Times New Roman"/>
          <w:b/>
          <w:color w:val="000000" w:themeColor="text1"/>
          <w:sz w:val="32"/>
          <w:szCs w:val="32"/>
          <w14:textFill>
            <w14:solidFill>
              <w14:schemeClr w14:val="tx1"/>
            </w14:solidFill>
          </w14:textFill>
        </w:rPr>
      </w:pPr>
      <w:r>
        <w:rPr>
          <w:rFonts w:ascii="黑体" w:hAnsi="黑体" w:eastAsia="黑体" w:cs="Times New Roman"/>
          <w:b/>
          <w:color w:val="000000" w:themeColor="text1"/>
          <w:sz w:val="32"/>
          <w:szCs w:val="32"/>
          <w14:textFill>
            <w14:solidFill>
              <w14:schemeClr w14:val="tx1"/>
            </w14:solidFill>
          </w14:textFill>
        </w:rPr>
        <w:t>十、强化历史文化保护</w:t>
      </w:r>
    </w:p>
    <w:p w14:paraId="4CC6DFA9">
      <w:pPr>
        <w:ind w:firstLine="640" w:firstLineChars="200"/>
        <w:rPr>
          <w:rFonts w:ascii="仿宋_GB2312" w:hAnsi="Times New Roman" w:eastAsia="仿宋_GB2312" w:cs="Times New Roman"/>
          <w:color w:val="000000" w:themeColor="text1"/>
          <w:sz w:val="32"/>
          <w:szCs w:val="32"/>
          <w14:textFill>
            <w14:solidFill>
              <w14:schemeClr w14:val="tx1"/>
            </w14:solidFill>
          </w14:textFill>
        </w:rPr>
      </w:pPr>
      <w:r>
        <w:rPr>
          <w:rFonts w:hint="eastAsia" w:ascii="仿宋_GB2312" w:hAnsi="Times New Roman" w:eastAsia="仿宋_GB2312" w:cs="Times New Roman"/>
          <w:color w:val="000000" w:themeColor="text1"/>
          <w:sz w:val="32"/>
          <w:szCs w:val="32"/>
          <w14:textFill>
            <w14:solidFill>
              <w14:schemeClr w14:val="tx1"/>
            </w14:solidFill>
          </w14:textFill>
        </w:rPr>
        <w:t>（一）历史文化保护目标</w:t>
      </w:r>
    </w:p>
    <w:p w14:paraId="047F2A8B">
      <w:pPr>
        <w:spacing w:line="600" w:lineRule="exact"/>
        <w:ind w:firstLine="640" w:firstLineChars="200"/>
        <w:rPr>
          <w:rFonts w:ascii="仿宋_GB2312" w:eastAsia="仿宋_GB2312"/>
          <w:color w:val="000000"/>
          <w:sz w:val="32"/>
          <w:szCs w:val="32"/>
        </w:rPr>
      </w:pPr>
      <w:r>
        <w:rPr>
          <w:rFonts w:ascii="仿宋_GB2312" w:eastAsia="仿宋_GB2312"/>
          <w:color w:val="000000"/>
          <w:sz w:val="32"/>
          <w:szCs w:val="32"/>
        </w:rPr>
        <w:t>1.保持</w:t>
      </w:r>
      <w:r>
        <w:rPr>
          <w:rFonts w:hint="eastAsia" w:ascii="仿宋_GB2312" w:eastAsia="仿宋_GB2312"/>
          <w:color w:val="000000"/>
          <w:sz w:val="32"/>
          <w:szCs w:val="32"/>
        </w:rPr>
        <w:t>皇城镇</w:t>
      </w:r>
      <w:r>
        <w:rPr>
          <w:rFonts w:ascii="仿宋_GB2312" w:eastAsia="仿宋_GB2312"/>
          <w:color w:val="000000"/>
          <w:sz w:val="32"/>
          <w:szCs w:val="32"/>
        </w:rPr>
        <w:t>现存的历史风貌，保护现有镇域范围内留存的历史信息，保持传统的街巷、河道空间尺度与景观特征。</w:t>
      </w:r>
    </w:p>
    <w:p w14:paraId="1D8FC94D">
      <w:pPr>
        <w:spacing w:line="600" w:lineRule="exact"/>
        <w:ind w:firstLine="640" w:firstLineChars="200"/>
        <w:rPr>
          <w:rFonts w:ascii="仿宋_GB2312" w:eastAsia="仿宋_GB2312"/>
          <w:color w:val="000000"/>
          <w:sz w:val="32"/>
          <w:szCs w:val="32"/>
        </w:rPr>
      </w:pPr>
      <w:r>
        <w:rPr>
          <w:rFonts w:ascii="仿宋_GB2312" w:eastAsia="仿宋_GB2312"/>
          <w:color w:val="000000"/>
          <w:sz w:val="32"/>
          <w:szCs w:val="32"/>
        </w:rPr>
        <w:t>2.在保护</w:t>
      </w:r>
      <w:r>
        <w:rPr>
          <w:rFonts w:hint="eastAsia" w:ascii="仿宋_GB2312" w:eastAsia="仿宋_GB2312"/>
          <w:color w:val="000000"/>
          <w:sz w:val="32"/>
          <w:szCs w:val="32"/>
        </w:rPr>
        <w:t>皇城</w:t>
      </w:r>
      <w:r>
        <w:rPr>
          <w:rFonts w:ascii="仿宋_GB2312" w:eastAsia="仿宋_GB2312"/>
          <w:color w:val="000000"/>
          <w:sz w:val="32"/>
          <w:szCs w:val="32"/>
        </w:rPr>
        <w:t>镇历史文化遗产的前提下有序更新，改善环境，提高居民生活质量。</w:t>
      </w:r>
    </w:p>
    <w:p w14:paraId="302A484B">
      <w:pPr>
        <w:spacing w:line="600" w:lineRule="exact"/>
        <w:ind w:firstLine="640" w:firstLineChars="200"/>
        <w:rPr>
          <w:rFonts w:ascii="Times New Roman" w:hAnsi="Times New Roman" w:cs="Times New Roman"/>
          <w:color w:val="000000"/>
        </w:rPr>
      </w:pPr>
      <w:r>
        <w:rPr>
          <w:rFonts w:ascii="仿宋_GB2312" w:eastAsia="仿宋_GB2312"/>
          <w:color w:val="000000"/>
          <w:sz w:val="32"/>
          <w:szCs w:val="32"/>
        </w:rPr>
        <w:t>3.发挥优势，突出</w:t>
      </w:r>
      <w:r>
        <w:rPr>
          <w:rFonts w:hint="eastAsia" w:ascii="仿宋_GB2312" w:eastAsia="仿宋_GB2312"/>
          <w:color w:val="000000"/>
          <w:sz w:val="32"/>
          <w:szCs w:val="32"/>
        </w:rPr>
        <w:t>皇城</w:t>
      </w:r>
      <w:r>
        <w:rPr>
          <w:rFonts w:ascii="仿宋_GB2312" w:eastAsia="仿宋_GB2312"/>
          <w:color w:val="000000"/>
          <w:sz w:val="32"/>
          <w:szCs w:val="32"/>
        </w:rPr>
        <w:t>镇历史特色，充分利用现存的历史、人文资源，发展城市文化，综合开发旅游资源，推动</w:t>
      </w:r>
      <w:r>
        <w:rPr>
          <w:rFonts w:hint="eastAsia" w:ascii="仿宋_GB2312" w:eastAsia="仿宋_GB2312"/>
          <w:color w:val="000000"/>
          <w:sz w:val="32"/>
          <w:szCs w:val="32"/>
        </w:rPr>
        <w:t>皇城</w:t>
      </w:r>
      <w:r>
        <w:rPr>
          <w:rFonts w:ascii="仿宋_GB2312" w:eastAsia="仿宋_GB2312"/>
          <w:color w:val="000000"/>
          <w:sz w:val="32"/>
          <w:szCs w:val="32"/>
        </w:rPr>
        <w:t>镇的经济发展。</w:t>
      </w:r>
    </w:p>
    <w:p w14:paraId="61243D5C">
      <w:pPr>
        <w:ind w:firstLine="640" w:firstLineChars="200"/>
        <w:rPr>
          <w:rFonts w:ascii="仿宋_GB2312" w:hAnsi="Times New Roman" w:eastAsia="仿宋_GB2312" w:cs="Times New Roman"/>
          <w:color w:val="000000" w:themeColor="text1"/>
          <w:sz w:val="32"/>
          <w:szCs w:val="32"/>
          <w14:textFill>
            <w14:solidFill>
              <w14:schemeClr w14:val="tx1"/>
            </w14:solidFill>
          </w14:textFill>
        </w:rPr>
      </w:pPr>
      <w:r>
        <w:rPr>
          <w:rFonts w:ascii="仿宋_GB2312" w:hAnsi="Times New Roman" w:eastAsia="仿宋_GB2312" w:cs="Times New Roman"/>
          <w:color w:val="000000" w:themeColor="text1"/>
          <w:sz w:val="32"/>
          <w:szCs w:val="32"/>
          <w14:textFill>
            <w14:solidFill>
              <w14:schemeClr w14:val="tx1"/>
            </w14:solidFill>
          </w14:textFill>
        </w:rPr>
        <w:t>（二）</w:t>
      </w:r>
      <w:r>
        <w:rPr>
          <w:rFonts w:hint="eastAsia" w:ascii="仿宋_GB2312" w:hAnsi="Times New Roman" w:eastAsia="仿宋_GB2312" w:cs="Times New Roman"/>
          <w:color w:val="000000" w:themeColor="text1"/>
          <w:sz w:val="32"/>
          <w:szCs w:val="32"/>
          <w14:textFill>
            <w14:solidFill>
              <w14:schemeClr w14:val="tx1"/>
            </w14:solidFill>
          </w14:textFill>
        </w:rPr>
        <w:t>历史文化保护内容</w:t>
      </w:r>
    </w:p>
    <w:p w14:paraId="4652E3A3">
      <w:pPr>
        <w:ind w:firstLine="640" w:firstLineChars="200"/>
        <w:rPr>
          <w:rFonts w:ascii="仿宋_GB2312" w:hAnsi="Times New Roman" w:eastAsia="仿宋_GB2312" w:cs="Times New Roman"/>
          <w:color w:val="000000" w:themeColor="text1"/>
          <w:sz w:val="32"/>
          <w:szCs w:val="32"/>
          <w14:textFill>
            <w14:solidFill>
              <w14:schemeClr w14:val="tx1"/>
            </w14:solidFill>
          </w14:textFill>
        </w:rPr>
      </w:pPr>
      <w:r>
        <w:rPr>
          <w:rFonts w:ascii="仿宋_GB2312" w:hAnsi="Times New Roman" w:eastAsia="仿宋_GB2312" w:cs="Times New Roman"/>
          <w:color w:val="000000" w:themeColor="text1"/>
          <w:sz w:val="32"/>
          <w:szCs w:val="32"/>
          <w14:textFill>
            <w14:solidFill>
              <w14:schemeClr w14:val="tx1"/>
            </w14:solidFill>
          </w14:textFill>
        </w:rPr>
        <w:t>1</w:t>
      </w:r>
      <w:r>
        <w:rPr>
          <w:rFonts w:hint="eastAsia" w:ascii="仿宋_GB2312" w:hAnsi="Times New Roman" w:eastAsia="仿宋_GB2312" w:cs="Times New Roman"/>
          <w:color w:val="000000" w:themeColor="text1"/>
          <w:sz w:val="32"/>
          <w:szCs w:val="32"/>
          <w14:textFill>
            <w14:solidFill>
              <w14:schemeClr w14:val="tx1"/>
            </w14:solidFill>
          </w14:textFill>
        </w:rPr>
        <w:t>.文物保护单位</w:t>
      </w:r>
    </w:p>
    <w:p w14:paraId="74F3CFA9">
      <w:pPr>
        <w:ind w:firstLine="640" w:firstLineChars="200"/>
        <w:rPr>
          <w:rFonts w:ascii="仿宋_GB2312" w:eastAsia="仿宋_GB2312"/>
          <w:color w:val="000000"/>
          <w:sz w:val="32"/>
          <w:szCs w:val="32"/>
        </w:rPr>
      </w:pPr>
      <w:r>
        <w:rPr>
          <w:rFonts w:hint="eastAsia" w:ascii="仿宋_GB2312" w:eastAsia="仿宋_GB2312"/>
          <w:color w:val="000000"/>
          <w:sz w:val="32"/>
          <w:szCs w:val="32"/>
        </w:rPr>
        <w:t>皇城镇国家级文物保护单位1</w:t>
      </w:r>
      <w:r>
        <w:rPr>
          <w:rFonts w:ascii="仿宋_GB2312" w:eastAsia="仿宋_GB2312"/>
          <w:color w:val="000000"/>
          <w:sz w:val="32"/>
          <w:szCs w:val="32"/>
        </w:rPr>
        <w:t>1</w:t>
      </w:r>
      <w:r>
        <w:rPr>
          <w:rFonts w:hint="eastAsia" w:ascii="仿宋_GB2312" w:eastAsia="仿宋_GB2312"/>
          <w:color w:val="000000"/>
          <w:sz w:val="32"/>
          <w:szCs w:val="32"/>
        </w:rPr>
        <w:t>处，省级文物保护单,1</w:t>
      </w:r>
      <w:r>
        <w:rPr>
          <w:rFonts w:ascii="仿宋_GB2312" w:eastAsia="仿宋_GB2312"/>
          <w:color w:val="000000"/>
          <w:sz w:val="32"/>
          <w:szCs w:val="32"/>
        </w:rPr>
        <w:t>处，市级文物保护单位5处，区级文物保护单位1处，</w:t>
      </w:r>
      <w:r>
        <w:rPr>
          <w:rFonts w:hint="eastAsia" w:ascii="仿宋_GB2312" w:eastAsia="仿宋_GB2312"/>
          <w:color w:val="000000"/>
          <w:sz w:val="32"/>
          <w:szCs w:val="32"/>
        </w:rPr>
        <w:t>尚未核定公布为文物保护单位的不可移动文物</w:t>
      </w:r>
      <w:r>
        <w:rPr>
          <w:rFonts w:ascii="仿宋_GB2312" w:eastAsia="仿宋_GB2312"/>
          <w:color w:val="000000"/>
          <w:sz w:val="32"/>
          <w:szCs w:val="32"/>
        </w:rPr>
        <w:t>16处，共计34处。</w:t>
      </w:r>
      <w:r>
        <w:rPr>
          <w:rFonts w:hint="eastAsia" w:ascii="仿宋_GB2312" w:eastAsia="仿宋_GB2312"/>
          <w:color w:val="000000"/>
          <w:sz w:val="32"/>
          <w:szCs w:val="32"/>
        </w:rPr>
        <w:t xml:space="preserve"> </w:t>
      </w:r>
    </w:p>
    <w:p w14:paraId="4872725E">
      <w:pPr>
        <w:ind w:firstLine="640" w:firstLineChars="200"/>
        <w:rPr>
          <w:rFonts w:ascii="仿宋_GB2312" w:hAnsi="Times New Roman" w:eastAsia="仿宋_GB2312" w:cs="Times New Roman"/>
          <w:color w:val="000000" w:themeColor="text1"/>
          <w:sz w:val="32"/>
          <w:szCs w:val="32"/>
          <w14:textFill>
            <w14:solidFill>
              <w14:schemeClr w14:val="tx1"/>
            </w14:solidFill>
          </w14:textFill>
        </w:rPr>
      </w:pPr>
      <w:r>
        <w:rPr>
          <w:rFonts w:hint="eastAsia" w:ascii="仿宋_GB2312" w:hAnsi="Times New Roman" w:eastAsia="仿宋_GB2312" w:cs="Times New Roman"/>
          <w:color w:val="000000" w:themeColor="text1"/>
          <w:sz w:val="32"/>
          <w:szCs w:val="32"/>
          <w14:textFill>
            <w14:solidFill>
              <w14:schemeClr w14:val="tx1"/>
            </w14:solidFill>
          </w14:textFill>
        </w:rPr>
        <w:t>2.历史建筑</w:t>
      </w:r>
    </w:p>
    <w:p w14:paraId="699A503F">
      <w:pPr>
        <w:ind w:firstLine="640" w:firstLineChars="200"/>
        <w:rPr>
          <w:rFonts w:ascii="仿宋_GB2312" w:hAnsi="Times New Roman" w:eastAsia="仿宋_GB2312" w:cs="Times New Roman"/>
          <w:color w:val="000000" w:themeColor="text1"/>
          <w:sz w:val="32"/>
          <w:szCs w:val="32"/>
          <w14:textFill>
            <w14:solidFill>
              <w14:schemeClr w14:val="tx1"/>
            </w14:solidFill>
          </w14:textFill>
        </w:rPr>
      </w:pPr>
      <w:r>
        <w:rPr>
          <w:rFonts w:hint="eastAsia" w:ascii="仿宋_GB2312" w:hAnsi="Times New Roman" w:eastAsia="仿宋_GB2312" w:cs="Times New Roman"/>
          <w:color w:val="000000" w:themeColor="text1"/>
          <w:sz w:val="32"/>
          <w:szCs w:val="32"/>
          <w14:textFill>
            <w14:solidFill>
              <w14:schemeClr w14:val="tx1"/>
            </w14:solidFill>
          </w14:textFill>
        </w:rPr>
        <w:t>市级历史建筑共1</w:t>
      </w:r>
      <w:r>
        <w:rPr>
          <w:rFonts w:ascii="仿宋_GB2312" w:hAnsi="Times New Roman" w:eastAsia="仿宋_GB2312" w:cs="Times New Roman"/>
          <w:color w:val="000000" w:themeColor="text1"/>
          <w:sz w:val="32"/>
          <w:szCs w:val="32"/>
          <w14:textFill>
            <w14:solidFill>
              <w14:schemeClr w14:val="tx1"/>
            </w14:solidFill>
          </w14:textFill>
        </w:rPr>
        <w:t>处</w:t>
      </w:r>
      <w:r>
        <w:rPr>
          <w:rFonts w:hint="eastAsia" w:ascii="仿宋_GB2312" w:hAnsi="Times New Roman" w:eastAsia="仿宋_GB2312" w:cs="Times New Roman"/>
          <w:color w:val="000000" w:themeColor="text1"/>
          <w:sz w:val="32"/>
          <w:szCs w:val="32"/>
          <w14:textFill>
            <w14:solidFill>
              <w14:schemeClr w14:val="tx1"/>
            </w14:solidFill>
          </w14:textFill>
        </w:rPr>
        <w:t>，为临淄区粮食局北羊粮所</w:t>
      </w:r>
      <w:r>
        <w:rPr>
          <w:rFonts w:ascii="仿宋_GB2312" w:hAnsi="Times New Roman" w:eastAsia="仿宋_GB2312" w:cs="Times New Roman"/>
          <w:color w:val="000000" w:themeColor="text1"/>
          <w:sz w:val="32"/>
          <w:szCs w:val="32"/>
          <w14:textFill>
            <w14:solidFill>
              <w14:schemeClr w14:val="tx1"/>
            </w14:solidFill>
          </w14:textFill>
        </w:rPr>
        <w:t>。</w:t>
      </w:r>
      <w:r>
        <w:rPr>
          <w:rFonts w:hint="eastAsia" w:ascii="仿宋_GB2312" w:hAnsi="Times New Roman" w:eastAsia="仿宋_GB2312" w:cs="Times New Roman"/>
          <w:color w:val="000000" w:themeColor="text1"/>
          <w:sz w:val="32"/>
          <w:szCs w:val="32"/>
          <w14:textFill>
            <w14:solidFill>
              <w14:schemeClr w14:val="tx1"/>
            </w14:solidFill>
          </w14:textFill>
        </w:rPr>
        <w:t>历史建筑应设置保护标志，建立科学的记录档案。历史建筑的核心保护范围内，不得新建与保护需要无关的附属设施、建筑物和构筑物。</w:t>
      </w:r>
    </w:p>
    <w:p w14:paraId="60056165">
      <w:pPr>
        <w:ind w:firstLine="640" w:firstLineChars="200"/>
        <w:rPr>
          <w:rFonts w:ascii="仿宋_GB2312" w:hAnsi="Times New Roman" w:eastAsia="仿宋_GB2312" w:cs="Times New Roman"/>
          <w:color w:val="000000" w:themeColor="text1"/>
          <w:sz w:val="32"/>
          <w:szCs w:val="32"/>
          <w14:textFill>
            <w14:solidFill>
              <w14:schemeClr w14:val="tx1"/>
            </w14:solidFill>
          </w14:textFill>
        </w:rPr>
      </w:pPr>
      <w:r>
        <w:rPr>
          <w:rFonts w:ascii="仿宋_GB2312" w:hAnsi="Times New Roman" w:eastAsia="仿宋_GB2312" w:cs="Times New Roman"/>
          <w:color w:val="000000" w:themeColor="text1"/>
          <w:sz w:val="32"/>
          <w:szCs w:val="32"/>
          <w14:textFill>
            <w14:solidFill>
              <w14:schemeClr w14:val="tx1"/>
            </w14:solidFill>
          </w14:textFill>
        </w:rPr>
        <w:t>3</w:t>
      </w:r>
      <w:r>
        <w:rPr>
          <w:rFonts w:hint="eastAsia" w:ascii="仿宋_GB2312" w:hAnsi="Times New Roman" w:eastAsia="仿宋_GB2312" w:cs="Times New Roman"/>
          <w:color w:val="000000" w:themeColor="text1"/>
          <w:sz w:val="32"/>
          <w:szCs w:val="32"/>
          <w14:textFill>
            <w14:solidFill>
              <w14:schemeClr w14:val="tx1"/>
            </w14:solidFill>
          </w14:textFill>
        </w:rPr>
        <w:t>.古树名木</w:t>
      </w:r>
    </w:p>
    <w:p w14:paraId="497637BB">
      <w:pPr>
        <w:spacing w:line="60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皇城镇共有</w:t>
      </w:r>
      <w:r>
        <w:rPr>
          <w:rFonts w:ascii="仿宋_GB2312" w:eastAsia="仿宋_GB2312"/>
          <w:color w:val="000000"/>
          <w:sz w:val="32"/>
          <w:szCs w:val="32"/>
        </w:rPr>
        <w:t>10棵古树名木，</w:t>
      </w:r>
      <w:r>
        <w:rPr>
          <w:rFonts w:hint="eastAsia" w:ascii="仿宋_GB2312" w:eastAsia="仿宋_GB2312"/>
          <w:color w:val="000000"/>
          <w:sz w:val="32"/>
          <w:szCs w:val="32"/>
        </w:rPr>
        <w:t>包括</w:t>
      </w:r>
      <w:r>
        <w:rPr>
          <w:rFonts w:ascii="仿宋_GB2312" w:eastAsia="仿宋_GB2312"/>
          <w:color w:val="000000"/>
          <w:sz w:val="32"/>
          <w:szCs w:val="32"/>
        </w:rPr>
        <w:t>二级古树名木3棵，三级古树名木7棵。</w:t>
      </w:r>
      <w:r>
        <w:rPr>
          <w:rFonts w:hint="eastAsia" w:ascii="仿宋_GB2312" w:eastAsia="仿宋_GB2312"/>
          <w:color w:val="000000"/>
          <w:sz w:val="32"/>
          <w:szCs w:val="32"/>
        </w:rPr>
        <w:t>严禁损害古树名木的行为；任何单位和个人不得以任何理由、任何方式砍伐或擅自移植古树名木。主管部门应对所有的古树名木建立档案，设置保护标志，并制定日常养护和管理细则。</w:t>
      </w:r>
    </w:p>
    <w:p w14:paraId="5744EB2E">
      <w:pPr>
        <w:ind w:firstLine="640" w:firstLineChars="200"/>
        <w:rPr>
          <w:rFonts w:ascii="仿宋_GB2312" w:hAnsi="Times New Roman" w:eastAsia="仿宋_GB2312" w:cs="Times New Roman"/>
          <w:color w:val="000000" w:themeColor="text1"/>
          <w:sz w:val="32"/>
          <w:szCs w:val="32"/>
          <w14:textFill>
            <w14:solidFill>
              <w14:schemeClr w14:val="tx1"/>
            </w14:solidFill>
          </w14:textFill>
        </w:rPr>
      </w:pPr>
      <w:r>
        <w:rPr>
          <w:rFonts w:hint="eastAsia" w:ascii="仿宋_GB2312" w:hAnsi="Times New Roman" w:eastAsia="仿宋_GB2312" w:cs="Times New Roman"/>
          <w:color w:val="000000" w:themeColor="text1"/>
          <w:sz w:val="32"/>
          <w:szCs w:val="32"/>
          <w14:textFill>
            <w14:solidFill>
              <w14:schemeClr w14:val="tx1"/>
            </w14:solidFill>
          </w14:textFill>
        </w:rPr>
        <w:t>统筹划定文物保护单位保护范围和建设控制地带、城市紫线等各类历史文化保护范围边界，纳入国土空间规划“一张图”，实施严格保护。</w:t>
      </w:r>
    </w:p>
    <w:p w14:paraId="09FF3348">
      <w:pPr>
        <w:ind w:firstLine="640" w:firstLineChars="200"/>
        <w:rPr>
          <w:rFonts w:ascii="仿宋_GB2312" w:hAnsi="Times New Roman" w:eastAsia="仿宋_GB2312" w:cs="Times New Roman"/>
          <w:color w:val="000000" w:themeColor="text1"/>
          <w:sz w:val="32"/>
          <w:szCs w:val="32"/>
          <w14:textFill>
            <w14:solidFill>
              <w14:schemeClr w14:val="tx1"/>
            </w14:solidFill>
          </w14:textFill>
        </w:rPr>
      </w:pPr>
      <w:r>
        <w:rPr>
          <w:rFonts w:hint="eastAsia" w:ascii="仿宋_GB2312" w:hAnsi="Times New Roman" w:eastAsia="仿宋_GB2312" w:cs="Times New Roman"/>
          <w:color w:val="000000" w:themeColor="text1"/>
          <w:sz w:val="32"/>
          <w:szCs w:val="32"/>
          <w14:textFill>
            <w14:solidFill>
              <w14:schemeClr w14:val="tx1"/>
            </w14:solidFill>
          </w14:textFill>
        </w:rPr>
        <w:t>（三）保护机制</w:t>
      </w:r>
    </w:p>
    <w:p w14:paraId="1E5F1664">
      <w:pPr>
        <w:spacing w:line="60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依据文化遗产的价值类型、保护导向和保存状况，状态调整保护对象，建立分类分级保护利用管理机制，积极开展活化利用，切实完善科学合理的历史文化遗产保护长效机制。严格遵守《中华人民共和国文物保护法》等相关法律法规和各类管控要求。</w:t>
      </w:r>
    </w:p>
    <w:p w14:paraId="40EACDE0">
      <w:pPr>
        <w:ind w:firstLine="643" w:firstLineChars="200"/>
        <w:rPr>
          <w:rFonts w:ascii="仿宋_GB2312" w:hAnsi="Times New Roman" w:eastAsia="仿宋_GB2312" w:cs="Times New Roman"/>
          <w:color w:val="000000" w:themeColor="text1"/>
          <w:sz w:val="32"/>
          <w:szCs w:val="32"/>
          <w14:textFill>
            <w14:solidFill>
              <w14:schemeClr w14:val="tx1"/>
            </w14:solidFill>
          </w14:textFill>
        </w:rPr>
      </w:pPr>
      <w:r>
        <w:rPr>
          <w:rFonts w:hint="eastAsia" w:ascii="黑体" w:hAnsi="黑体" w:eastAsia="黑体" w:cs="Times New Roman"/>
          <w:b/>
          <w:color w:val="000000" w:themeColor="text1"/>
          <w:sz w:val="32"/>
          <w:szCs w:val="32"/>
          <w14:textFill>
            <w14:solidFill>
              <w14:schemeClr w14:val="tx1"/>
            </w14:solidFill>
          </w14:textFill>
        </w:rPr>
        <w:t>十一、蓝绿空间组织和城镇风貌引导</w:t>
      </w:r>
    </w:p>
    <w:p w14:paraId="0AE8D229">
      <w:pPr>
        <w:ind w:firstLine="640" w:firstLineChars="200"/>
        <w:rPr>
          <w:rFonts w:ascii="仿宋_GB2312" w:hAnsi="Times New Roman" w:eastAsia="仿宋_GB2312" w:cs="Times New Roman"/>
          <w:color w:val="000000" w:themeColor="text1"/>
          <w:sz w:val="32"/>
          <w:szCs w:val="32"/>
          <w14:textFill>
            <w14:solidFill>
              <w14:schemeClr w14:val="tx1"/>
            </w14:solidFill>
          </w14:textFill>
        </w:rPr>
      </w:pPr>
      <w:r>
        <w:rPr>
          <w:rFonts w:hint="eastAsia" w:ascii="仿宋_GB2312" w:hAnsi="Times New Roman" w:eastAsia="仿宋_GB2312" w:cs="Times New Roman"/>
          <w:color w:val="000000" w:themeColor="text1"/>
          <w:sz w:val="32"/>
          <w:szCs w:val="32"/>
          <w14:textFill>
            <w14:solidFill>
              <w14:schemeClr w14:val="tx1"/>
            </w14:solidFill>
          </w14:textFill>
        </w:rPr>
        <w:t>（一）蓝绿空间组织</w:t>
      </w:r>
    </w:p>
    <w:p w14:paraId="20D322D2">
      <w:pPr>
        <w:spacing w:line="60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结合现状河流水系和历史人文景观资源，构建“一心两河四带多点”的景观结构，同时加强与齐国故城和淄河旅游带的互动，整体塑造“农田水网、双带拥簇”的景观风貌，彰显皇城的独特文化魅力。</w:t>
      </w:r>
    </w:p>
    <w:p w14:paraId="5EEBA768">
      <w:pPr>
        <w:ind w:firstLine="640" w:firstLineChars="200"/>
        <w:rPr>
          <w:rFonts w:ascii="仿宋_GB2312" w:hAnsi="Times New Roman" w:eastAsia="仿宋_GB2312" w:cs="Times New Roman"/>
          <w:color w:val="000000" w:themeColor="text1"/>
          <w:sz w:val="32"/>
          <w:szCs w:val="32"/>
          <w14:textFill>
            <w14:solidFill>
              <w14:schemeClr w14:val="tx1"/>
            </w14:solidFill>
          </w14:textFill>
        </w:rPr>
      </w:pPr>
      <w:r>
        <w:rPr>
          <w:rFonts w:hint="eastAsia" w:ascii="仿宋_GB2312" w:hAnsi="Times New Roman" w:eastAsia="仿宋_GB2312" w:cs="Times New Roman"/>
          <w:color w:val="000000" w:themeColor="text1"/>
          <w:sz w:val="32"/>
          <w:szCs w:val="32"/>
          <w14:textFill>
            <w14:solidFill>
              <w14:schemeClr w14:val="tx1"/>
            </w14:solidFill>
          </w14:textFill>
        </w:rPr>
        <w:t>（二）城镇风貌引导</w:t>
      </w:r>
    </w:p>
    <w:p w14:paraId="118227D0">
      <w:pPr>
        <w:spacing w:line="600" w:lineRule="exact"/>
        <w:ind w:firstLine="640" w:firstLineChars="200"/>
        <w:rPr>
          <w:rFonts w:ascii="仿宋_GB2312" w:eastAsia="仿宋_GB2312"/>
          <w:color w:val="000000"/>
          <w:sz w:val="32"/>
          <w:szCs w:val="32"/>
        </w:rPr>
      </w:pPr>
      <w:r>
        <w:rPr>
          <w:rFonts w:hint="eastAsia" w:ascii="仿宋_GB2312" w:hAnsi="Times New Roman" w:eastAsia="仿宋_GB2312" w:cs="Times New Roman"/>
          <w:color w:val="000000" w:themeColor="text1"/>
          <w:sz w:val="32"/>
          <w:szCs w:val="32"/>
          <w14:textFill>
            <w14:solidFill>
              <w14:schemeClr w14:val="tx1"/>
            </w14:solidFill>
          </w14:textFill>
        </w:rPr>
        <w:t>构建“水、林、田、文、产”融合的总体格局，形成“</w:t>
      </w:r>
      <w:r>
        <w:rPr>
          <w:rFonts w:hint="eastAsia" w:ascii="仿宋_GB2312" w:eastAsia="仿宋_GB2312"/>
          <w:color w:val="000000"/>
          <w:sz w:val="32"/>
          <w:szCs w:val="32"/>
        </w:rPr>
        <w:t>形成“一核四带五片区多节点”整体风貌结构。镇区传统风貌区主要为沿张皇路、老北齐路皇城村村的旧村改造、沿街商业等区域，在建设阶段建筑形式、建筑高度、建筑色彩等应充分考虑区内历史遗迹众多等因素，充分体现尺度适宜、地方传统空间特色明显的风貌特点。</w:t>
      </w:r>
    </w:p>
    <w:p w14:paraId="493E00AC">
      <w:pPr>
        <w:spacing w:line="600" w:lineRule="exact"/>
        <w:ind w:firstLine="640" w:firstLineChars="200"/>
        <w:rPr>
          <w:rFonts w:ascii="仿宋_GB2312" w:hAnsi="Times New Roman" w:eastAsia="仿宋_GB2312" w:cs="Times New Roman"/>
          <w:color w:val="000000" w:themeColor="text1"/>
          <w:sz w:val="32"/>
          <w:szCs w:val="32"/>
          <w14:textFill>
            <w14:solidFill>
              <w14:schemeClr w14:val="tx1"/>
            </w14:solidFill>
          </w14:textFill>
        </w:rPr>
      </w:pPr>
      <w:r>
        <w:rPr>
          <w:rFonts w:hint="eastAsia" w:ascii="仿宋_GB2312" w:hAnsi="Times New Roman" w:eastAsia="仿宋_GB2312" w:cs="Times New Roman"/>
          <w:color w:val="000000" w:themeColor="text1"/>
          <w:sz w:val="32"/>
          <w:szCs w:val="32"/>
          <w14:textFill>
            <w14:solidFill>
              <w14:schemeClr w14:val="tx1"/>
            </w14:solidFill>
          </w14:textFill>
        </w:rPr>
        <w:t>现代产业风貌区</w:t>
      </w:r>
      <w:r>
        <w:rPr>
          <w:rFonts w:hint="eastAsia" w:ascii="仿宋_GB2312" w:eastAsia="仿宋_GB2312"/>
          <w:color w:val="000000"/>
          <w:sz w:val="32"/>
          <w:szCs w:val="32"/>
        </w:rPr>
        <w:t>淄博智慧城乡冷链仓储物流中心是淄博市农高区重点打造的及农产品存储、加工与一体的综合性产业园区，由于靠近青银高速，地理位置优越建设风貌上，体现现代城镇形象，以自然、人文、建筑等元素整体打造简洁、大气、具有时代活力的风貌特色。</w:t>
      </w:r>
      <w:r>
        <w:rPr>
          <w:rFonts w:hint="eastAsia" w:ascii="仿宋_GB2312" w:hAnsi="Times New Roman" w:eastAsia="仿宋_GB2312" w:cs="Times New Roman"/>
          <w:color w:val="000000" w:themeColor="text1"/>
          <w:sz w:val="32"/>
          <w:szCs w:val="32"/>
          <w14:textFill>
            <w14:solidFill>
              <w14:schemeClr w14:val="tx1"/>
            </w14:solidFill>
          </w14:textFill>
        </w:rPr>
        <w:t>。</w:t>
      </w:r>
    </w:p>
    <w:p w14:paraId="6AACA378">
      <w:pPr>
        <w:ind w:firstLine="643" w:firstLineChars="200"/>
        <w:rPr>
          <w:rFonts w:hint="eastAsia" w:ascii="黑体" w:hAnsi="黑体" w:eastAsia="黑体" w:cs="Times New Roman"/>
          <w:b/>
          <w:color w:val="000000" w:themeColor="text1"/>
          <w:sz w:val="32"/>
          <w:szCs w:val="32"/>
          <w14:textFill>
            <w14:solidFill>
              <w14:schemeClr w14:val="tx1"/>
            </w14:solidFill>
          </w14:textFill>
        </w:rPr>
      </w:pPr>
      <w:r>
        <w:rPr>
          <w:rFonts w:ascii="黑体" w:hAnsi="黑体" w:eastAsia="黑体" w:cs="Times New Roman"/>
          <w:b/>
          <w:color w:val="000000" w:themeColor="text1"/>
          <w:sz w:val="32"/>
          <w:szCs w:val="32"/>
          <w14:textFill>
            <w14:solidFill>
              <w14:schemeClr w14:val="tx1"/>
            </w14:solidFill>
          </w14:textFill>
        </w:rPr>
        <w:t>十一、完善基础支撑体系</w:t>
      </w:r>
    </w:p>
    <w:p w14:paraId="7C081C64">
      <w:pPr>
        <w:ind w:firstLine="640" w:firstLineChars="200"/>
        <w:rPr>
          <w:rFonts w:ascii="仿宋_GB2312" w:hAnsi="Times New Roman" w:eastAsia="仿宋_GB2312" w:cs="Times New Roman"/>
          <w:color w:val="000000" w:themeColor="text1"/>
          <w:sz w:val="32"/>
          <w:szCs w:val="32"/>
          <w14:textFill>
            <w14:solidFill>
              <w14:schemeClr w14:val="tx1"/>
            </w14:solidFill>
          </w14:textFill>
        </w:rPr>
      </w:pPr>
      <w:r>
        <w:rPr>
          <w:rFonts w:ascii="仿宋_GB2312" w:hAnsi="Times New Roman" w:eastAsia="仿宋_GB2312" w:cs="Times New Roman"/>
          <w:color w:val="000000" w:themeColor="text1"/>
          <w:sz w:val="32"/>
          <w:szCs w:val="32"/>
          <w14:textFill>
            <w14:solidFill>
              <w14:schemeClr w14:val="tx1"/>
            </w14:solidFill>
          </w14:textFill>
        </w:rPr>
        <w:t>（一）构建绿色集约的综合交通体系</w:t>
      </w:r>
    </w:p>
    <w:p w14:paraId="5E361473">
      <w:pPr>
        <w:spacing w:line="60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规划形成“结构完善、便捷通畅、功能明确、级配合理”的综合交通系统，建立与城镇用地布局和土地利用相协调、结构合理、安全畅通、设施完备的现代化道路交通系统，满足城镇不断增长的交通需求，促进并引导城镇合理有序地发展，建设畅通有序、低碳环保的“绿色交通系统”。</w:t>
      </w:r>
    </w:p>
    <w:p w14:paraId="5BBB5DD0">
      <w:pPr>
        <w:spacing w:line="60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皇城镇路网形成“棋盘式路网”的基本形态，实现镇区与城区</w:t>
      </w:r>
      <w:r>
        <w:rPr>
          <w:rFonts w:ascii="仿宋_GB2312" w:eastAsia="仿宋_GB2312"/>
          <w:color w:val="000000"/>
          <w:sz w:val="32"/>
          <w:szCs w:val="32"/>
        </w:rPr>
        <w:t>通过国道、县道、城镇干道</w:t>
      </w:r>
      <w:r>
        <w:rPr>
          <w:rFonts w:hint="eastAsia" w:ascii="仿宋_GB2312" w:eastAsia="仿宋_GB2312"/>
          <w:color w:val="000000"/>
          <w:sz w:val="32"/>
          <w:szCs w:val="32"/>
        </w:rPr>
        <w:t>多层次</w:t>
      </w:r>
      <w:r>
        <w:rPr>
          <w:rFonts w:ascii="仿宋_GB2312" w:eastAsia="仿宋_GB2312"/>
          <w:color w:val="000000"/>
          <w:sz w:val="32"/>
          <w:szCs w:val="32"/>
        </w:rPr>
        <w:t>衔接的</w:t>
      </w:r>
      <w:r>
        <w:rPr>
          <w:rFonts w:hint="eastAsia" w:ascii="仿宋_GB2312" w:eastAsia="仿宋_GB2312"/>
          <w:color w:val="000000"/>
          <w:sz w:val="32"/>
          <w:szCs w:val="32"/>
        </w:rPr>
        <w:t>路网格局，形成“三横三纵”的布局结构。三横：</w:t>
      </w:r>
      <w:r>
        <w:rPr>
          <w:rFonts w:ascii="仿宋_GB2312" w:eastAsia="仿宋_GB2312"/>
          <w:color w:val="000000"/>
          <w:sz w:val="32"/>
          <w:szCs w:val="32"/>
        </w:rPr>
        <w:t>308</w:t>
      </w:r>
      <w:r>
        <w:rPr>
          <w:rFonts w:hint="eastAsia" w:ascii="仿宋_GB2312" w:eastAsia="仿宋_GB2312"/>
          <w:color w:val="000000"/>
          <w:sz w:val="32"/>
          <w:szCs w:val="32"/>
        </w:rPr>
        <w:t>国道（寿济路）、荣坡路、张皇路（蓬科</w:t>
      </w:r>
      <w:r>
        <w:rPr>
          <w:rFonts w:ascii="仿宋_GB2312" w:eastAsia="仿宋_GB2312"/>
          <w:color w:val="000000"/>
          <w:sz w:val="32"/>
          <w:szCs w:val="32"/>
        </w:rPr>
        <w:t>社区南</w:t>
      </w:r>
      <w:r>
        <w:rPr>
          <w:rFonts w:hint="eastAsia" w:ascii="仿宋_GB2312" w:eastAsia="仿宋_GB2312"/>
          <w:color w:val="000000"/>
          <w:sz w:val="32"/>
          <w:szCs w:val="32"/>
        </w:rPr>
        <w:t>）三条东西向城镇主干路；三纵：北齐路、</w:t>
      </w:r>
      <w:r>
        <w:rPr>
          <w:rFonts w:ascii="仿宋_GB2312" w:eastAsia="仿宋_GB2312"/>
          <w:color w:val="000000"/>
          <w:sz w:val="32"/>
          <w:szCs w:val="32"/>
        </w:rPr>
        <w:t>老北齐路、张皇路（</w:t>
      </w:r>
      <w:r>
        <w:rPr>
          <w:rFonts w:hint="eastAsia" w:ascii="仿宋_GB2312" w:eastAsia="仿宋_GB2312"/>
          <w:color w:val="000000"/>
          <w:sz w:val="32"/>
          <w:szCs w:val="32"/>
        </w:rPr>
        <w:t>镇域</w:t>
      </w:r>
      <w:r>
        <w:rPr>
          <w:rFonts w:ascii="仿宋_GB2312" w:eastAsia="仿宋_GB2312"/>
          <w:color w:val="000000"/>
          <w:sz w:val="32"/>
          <w:szCs w:val="32"/>
        </w:rPr>
        <w:t>东侧</w:t>
      </w:r>
      <w:r>
        <w:rPr>
          <w:rFonts w:hint="eastAsia" w:ascii="仿宋_GB2312" w:eastAsia="仿宋_GB2312"/>
          <w:color w:val="000000"/>
          <w:sz w:val="32"/>
          <w:szCs w:val="32"/>
        </w:rPr>
        <w:t>南北向</w:t>
      </w:r>
      <w:r>
        <w:rPr>
          <w:rFonts w:ascii="仿宋_GB2312" w:eastAsia="仿宋_GB2312"/>
          <w:color w:val="000000"/>
          <w:sz w:val="32"/>
          <w:szCs w:val="32"/>
        </w:rPr>
        <w:t>道路）</w:t>
      </w:r>
      <w:r>
        <w:rPr>
          <w:rFonts w:hint="eastAsia" w:ascii="仿宋_GB2312" w:eastAsia="仿宋_GB2312"/>
          <w:color w:val="000000"/>
          <w:sz w:val="32"/>
          <w:szCs w:val="32"/>
        </w:rPr>
        <w:t>三条南北向城镇主干路。</w:t>
      </w:r>
    </w:p>
    <w:p w14:paraId="3E0ACCD4">
      <w:pPr>
        <w:ind w:firstLine="640" w:firstLineChars="200"/>
        <w:rPr>
          <w:rFonts w:ascii="仿宋_GB2312" w:hAnsi="Times New Roman" w:eastAsia="仿宋_GB2312" w:cs="Times New Roman"/>
          <w:color w:val="000000" w:themeColor="text1"/>
          <w:sz w:val="32"/>
          <w:szCs w:val="32"/>
          <w14:textFill>
            <w14:solidFill>
              <w14:schemeClr w14:val="tx1"/>
            </w14:solidFill>
          </w14:textFill>
        </w:rPr>
      </w:pPr>
      <w:r>
        <w:rPr>
          <w:rFonts w:ascii="仿宋_GB2312" w:hAnsi="Times New Roman" w:eastAsia="仿宋_GB2312" w:cs="Times New Roman"/>
          <w:color w:val="000000" w:themeColor="text1"/>
          <w:sz w:val="32"/>
          <w:szCs w:val="32"/>
          <w14:textFill>
            <w14:solidFill>
              <w14:schemeClr w14:val="tx1"/>
            </w14:solidFill>
          </w14:textFill>
        </w:rPr>
        <w:t>（二）打造优质均衡的公共服务体系</w:t>
      </w:r>
    </w:p>
    <w:p w14:paraId="3F60B9CE">
      <w:pPr>
        <w:spacing w:line="60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公共服务设施配置体系分为乡镇层级—社区层级—行政村层级三个生活圈层级。</w:t>
      </w:r>
    </w:p>
    <w:p w14:paraId="7CC4F70A">
      <w:pPr>
        <w:spacing w:line="60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乡镇层级生活圈：以镇区为依托，以镇域为界限，尊重历史沿革，</w:t>
      </w:r>
      <w:r>
        <w:rPr>
          <w:rFonts w:ascii="仿宋_GB2312" w:eastAsia="仿宋_GB2312"/>
          <w:color w:val="000000"/>
          <w:sz w:val="32"/>
          <w:szCs w:val="32"/>
        </w:rPr>
        <w:t>在镇区</w:t>
      </w:r>
      <w:r>
        <w:rPr>
          <w:rFonts w:hint="eastAsia" w:ascii="仿宋_GB2312" w:eastAsia="仿宋_GB2312"/>
          <w:color w:val="000000"/>
          <w:sz w:val="32"/>
          <w:szCs w:val="32"/>
        </w:rPr>
        <w:t>形成</w:t>
      </w:r>
      <w:r>
        <w:rPr>
          <w:rFonts w:ascii="仿宋_GB2312" w:eastAsia="仿宋_GB2312"/>
          <w:color w:val="000000"/>
          <w:sz w:val="32"/>
          <w:szCs w:val="32"/>
        </w:rPr>
        <w:t>乡镇层级主生活圈，在北羊副中心形成乡镇层级</w:t>
      </w:r>
      <w:r>
        <w:rPr>
          <w:rFonts w:hint="eastAsia" w:ascii="仿宋_GB2312" w:eastAsia="仿宋_GB2312"/>
          <w:color w:val="000000"/>
          <w:sz w:val="32"/>
          <w:szCs w:val="32"/>
        </w:rPr>
        <w:t>副</w:t>
      </w:r>
      <w:r>
        <w:rPr>
          <w:rFonts w:ascii="仿宋_GB2312" w:eastAsia="仿宋_GB2312"/>
          <w:color w:val="000000"/>
          <w:sz w:val="32"/>
          <w:szCs w:val="32"/>
        </w:rPr>
        <w:t>生活圈。</w:t>
      </w:r>
      <w:r>
        <w:rPr>
          <w:rFonts w:hint="eastAsia" w:ascii="仿宋_GB2312" w:eastAsia="仿宋_GB2312"/>
          <w:color w:val="000000"/>
          <w:sz w:val="32"/>
          <w:szCs w:val="32"/>
        </w:rPr>
        <w:t>统筹布局满足居民、村民日常生活、生产需求的各类服务要素。按照</w:t>
      </w:r>
      <w:r>
        <w:rPr>
          <w:rFonts w:ascii="仿宋_GB2312" w:eastAsia="仿宋_GB2312"/>
          <w:color w:val="000000"/>
          <w:sz w:val="32"/>
          <w:szCs w:val="32"/>
        </w:rPr>
        <w:t>《</w:t>
      </w:r>
      <w:r>
        <w:rPr>
          <w:rFonts w:hint="eastAsia" w:ascii="仿宋_GB2312" w:eastAsia="仿宋_GB2312"/>
          <w:color w:val="000000"/>
          <w:sz w:val="32"/>
          <w:szCs w:val="32"/>
        </w:rPr>
        <w:t>山东省</w:t>
      </w:r>
      <w:r>
        <w:rPr>
          <w:rFonts w:ascii="仿宋_GB2312" w:eastAsia="仿宋_GB2312"/>
          <w:color w:val="000000"/>
          <w:sz w:val="32"/>
          <w:szCs w:val="32"/>
        </w:rPr>
        <w:t>社区生活圈规划技术导则</w:t>
      </w:r>
      <w:r>
        <w:rPr>
          <w:rFonts w:hint="eastAsia" w:ascii="仿宋_GB2312" w:eastAsia="仿宋_GB2312"/>
          <w:color w:val="000000"/>
          <w:sz w:val="32"/>
          <w:szCs w:val="32"/>
          <w:lang w:eastAsia="zh-CN"/>
        </w:rPr>
        <w:t>（试行）</w:t>
      </w:r>
      <w:r>
        <w:rPr>
          <w:rFonts w:ascii="仿宋_GB2312" w:eastAsia="仿宋_GB2312"/>
          <w:color w:val="000000"/>
          <w:sz w:val="32"/>
          <w:szCs w:val="32"/>
        </w:rPr>
        <w:t>》</w:t>
      </w:r>
      <w:r>
        <w:rPr>
          <w:rFonts w:hint="eastAsia" w:ascii="仿宋_GB2312" w:eastAsia="仿宋_GB2312"/>
          <w:color w:val="000000"/>
          <w:sz w:val="32"/>
          <w:szCs w:val="32"/>
        </w:rPr>
        <w:t>中“乡村‘乡镇</w:t>
      </w:r>
      <w:r>
        <w:rPr>
          <w:rFonts w:ascii="仿宋_GB2312" w:eastAsia="仿宋_GB2312"/>
          <w:color w:val="000000"/>
          <w:sz w:val="32"/>
          <w:szCs w:val="32"/>
        </w:rPr>
        <w:t>层级</w:t>
      </w:r>
      <w:r>
        <w:rPr>
          <w:rFonts w:hint="eastAsia" w:ascii="仿宋_GB2312" w:eastAsia="仿宋_GB2312"/>
          <w:color w:val="000000"/>
          <w:sz w:val="32"/>
          <w:szCs w:val="32"/>
        </w:rPr>
        <w:t>’社区</w:t>
      </w:r>
      <w:r>
        <w:rPr>
          <w:rFonts w:ascii="仿宋_GB2312" w:eastAsia="仿宋_GB2312"/>
          <w:color w:val="000000"/>
          <w:sz w:val="32"/>
          <w:szCs w:val="32"/>
        </w:rPr>
        <w:t>生活圈</w:t>
      </w:r>
      <w:r>
        <w:rPr>
          <w:rFonts w:hint="eastAsia" w:ascii="仿宋_GB2312" w:eastAsia="仿宋_GB2312"/>
          <w:color w:val="000000"/>
          <w:sz w:val="32"/>
          <w:szCs w:val="32"/>
        </w:rPr>
        <w:t>”设置教育设施、医疗设施、养老设施、文化设施和社会福利设施等。</w:t>
      </w:r>
    </w:p>
    <w:p w14:paraId="2B46275B">
      <w:pPr>
        <w:spacing w:line="60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社区层级生活圈：充分</w:t>
      </w:r>
      <w:r>
        <w:rPr>
          <w:rFonts w:ascii="仿宋_GB2312" w:eastAsia="仿宋_GB2312"/>
          <w:color w:val="000000"/>
          <w:sz w:val="32"/>
          <w:szCs w:val="32"/>
        </w:rPr>
        <w:t>结合现状</w:t>
      </w:r>
      <w:r>
        <w:rPr>
          <w:rFonts w:hint="eastAsia" w:ascii="仿宋_GB2312" w:eastAsia="仿宋_GB2312"/>
          <w:color w:val="000000"/>
          <w:sz w:val="32"/>
          <w:szCs w:val="32"/>
        </w:rPr>
        <w:t>用地</w:t>
      </w:r>
      <w:r>
        <w:rPr>
          <w:rFonts w:ascii="仿宋_GB2312" w:eastAsia="仿宋_GB2312"/>
          <w:color w:val="000000"/>
          <w:sz w:val="32"/>
          <w:szCs w:val="32"/>
        </w:rPr>
        <w:t>及服务</w:t>
      </w:r>
      <w:r>
        <w:rPr>
          <w:rFonts w:hint="eastAsia" w:ascii="仿宋_GB2312" w:eastAsia="仿宋_GB2312"/>
          <w:color w:val="000000"/>
          <w:sz w:val="32"/>
          <w:szCs w:val="32"/>
        </w:rPr>
        <w:t>半径与</w:t>
      </w:r>
      <w:r>
        <w:rPr>
          <w:rFonts w:ascii="仿宋_GB2312" w:eastAsia="仿宋_GB2312"/>
          <w:color w:val="000000"/>
          <w:sz w:val="32"/>
          <w:szCs w:val="32"/>
        </w:rPr>
        <w:t>人口，将</w:t>
      </w:r>
      <w:r>
        <w:rPr>
          <w:rFonts w:hint="eastAsia" w:ascii="仿宋_GB2312" w:eastAsia="仿宋_GB2312"/>
          <w:color w:val="000000"/>
          <w:sz w:val="32"/>
          <w:szCs w:val="32"/>
        </w:rPr>
        <w:t>整个</w:t>
      </w:r>
      <w:r>
        <w:rPr>
          <w:rFonts w:ascii="仿宋_GB2312" w:eastAsia="仿宋_GB2312"/>
          <w:color w:val="000000"/>
          <w:sz w:val="32"/>
          <w:szCs w:val="32"/>
        </w:rPr>
        <w:t>皇城镇</w:t>
      </w:r>
      <w:r>
        <w:rPr>
          <w:rFonts w:hint="eastAsia" w:ascii="仿宋_GB2312" w:eastAsia="仿宋_GB2312"/>
          <w:color w:val="000000"/>
          <w:sz w:val="32"/>
          <w:szCs w:val="32"/>
        </w:rPr>
        <w:t>分为郑辛</w:t>
      </w:r>
      <w:r>
        <w:rPr>
          <w:rFonts w:ascii="仿宋_GB2312" w:eastAsia="仿宋_GB2312"/>
          <w:color w:val="000000"/>
          <w:sz w:val="32"/>
          <w:szCs w:val="32"/>
        </w:rPr>
        <w:t>、西上、曹村、蓬科</w:t>
      </w:r>
      <w:r>
        <w:rPr>
          <w:rFonts w:hint="eastAsia" w:ascii="仿宋_GB2312" w:eastAsia="仿宋_GB2312"/>
          <w:color w:val="000000"/>
          <w:sz w:val="32"/>
          <w:szCs w:val="32"/>
        </w:rPr>
        <w:t>四个</w:t>
      </w:r>
      <w:r>
        <w:rPr>
          <w:rFonts w:ascii="仿宋_GB2312" w:eastAsia="仿宋_GB2312"/>
          <w:color w:val="000000"/>
          <w:sz w:val="32"/>
          <w:szCs w:val="32"/>
        </w:rPr>
        <w:t>社区层级生活圈，</w:t>
      </w:r>
      <w:r>
        <w:rPr>
          <w:rFonts w:hint="eastAsia" w:ascii="仿宋_GB2312" w:eastAsia="仿宋_GB2312"/>
          <w:color w:val="000000"/>
          <w:sz w:val="32"/>
          <w:szCs w:val="32"/>
        </w:rPr>
        <w:t>按照</w:t>
      </w:r>
      <w:r>
        <w:rPr>
          <w:rFonts w:ascii="仿宋_GB2312" w:eastAsia="仿宋_GB2312"/>
          <w:color w:val="000000"/>
          <w:sz w:val="32"/>
          <w:szCs w:val="32"/>
        </w:rPr>
        <w:t>《</w:t>
      </w:r>
      <w:r>
        <w:rPr>
          <w:rFonts w:hint="eastAsia" w:ascii="仿宋_GB2312" w:eastAsia="仿宋_GB2312"/>
          <w:color w:val="000000"/>
          <w:sz w:val="32"/>
          <w:szCs w:val="32"/>
        </w:rPr>
        <w:t>山东省</w:t>
      </w:r>
      <w:r>
        <w:rPr>
          <w:rFonts w:ascii="仿宋_GB2312" w:eastAsia="仿宋_GB2312"/>
          <w:color w:val="000000"/>
          <w:sz w:val="32"/>
          <w:szCs w:val="32"/>
        </w:rPr>
        <w:t>社区生活圈规划技术导则</w:t>
      </w:r>
      <w:r>
        <w:rPr>
          <w:rFonts w:hint="eastAsia" w:ascii="仿宋_GB2312" w:eastAsia="仿宋_GB2312"/>
          <w:color w:val="000000"/>
          <w:sz w:val="32"/>
          <w:szCs w:val="32"/>
        </w:rPr>
        <w:t>（试行）</w:t>
      </w:r>
      <w:r>
        <w:rPr>
          <w:rFonts w:ascii="仿宋_GB2312" w:eastAsia="仿宋_GB2312"/>
          <w:color w:val="000000"/>
          <w:sz w:val="32"/>
          <w:szCs w:val="32"/>
        </w:rPr>
        <w:t>》</w:t>
      </w:r>
      <w:r>
        <w:rPr>
          <w:rFonts w:hint="eastAsia" w:ascii="仿宋_GB2312" w:eastAsia="仿宋_GB2312"/>
          <w:color w:val="000000"/>
          <w:sz w:val="32"/>
          <w:szCs w:val="32"/>
        </w:rPr>
        <w:t>中“乡村‘社区</w:t>
      </w:r>
      <w:r>
        <w:rPr>
          <w:rFonts w:ascii="仿宋_GB2312" w:eastAsia="仿宋_GB2312"/>
          <w:color w:val="000000"/>
          <w:sz w:val="32"/>
          <w:szCs w:val="32"/>
        </w:rPr>
        <w:t>层级</w:t>
      </w:r>
      <w:r>
        <w:rPr>
          <w:rFonts w:hint="eastAsia" w:ascii="仿宋_GB2312" w:eastAsia="仿宋_GB2312"/>
          <w:color w:val="000000"/>
          <w:sz w:val="32"/>
          <w:szCs w:val="32"/>
        </w:rPr>
        <w:t>’社区</w:t>
      </w:r>
      <w:r>
        <w:rPr>
          <w:rFonts w:ascii="仿宋_GB2312" w:eastAsia="仿宋_GB2312"/>
          <w:color w:val="000000"/>
          <w:sz w:val="32"/>
          <w:szCs w:val="32"/>
        </w:rPr>
        <w:t>生活圈</w:t>
      </w:r>
      <w:r>
        <w:rPr>
          <w:rFonts w:hint="eastAsia" w:ascii="仿宋_GB2312" w:eastAsia="仿宋_GB2312"/>
          <w:color w:val="000000"/>
          <w:sz w:val="32"/>
          <w:szCs w:val="32"/>
        </w:rPr>
        <w:t>”设置</w:t>
      </w:r>
      <w:r>
        <w:rPr>
          <w:rFonts w:ascii="仿宋_GB2312" w:eastAsia="仿宋_GB2312"/>
          <w:color w:val="000000"/>
          <w:sz w:val="32"/>
          <w:szCs w:val="32"/>
        </w:rPr>
        <w:t>相关公共服务设施，</w:t>
      </w:r>
      <w:r>
        <w:rPr>
          <w:rFonts w:hint="eastAsia" w:ascii="仿宋_GB2312" w:eastAsia="仿宋_GB2312"/>
          <w:color w:val="000000"/>
          <w:sz w:val="32"/>
          <w:szCs w:val="32"/>
        </w:rPr>
        <w:t>并且应</w:t>
      </w:r>
      <w:r>
        <w:rPr>
          <w:rFonts w:ascii="仿宋_GB2312" w:eastAsia="仿宋_GB2312"/>
          <w:color w:val="000000"/>
          <w:sz w:val="32"/>
          <w:szCs w:val="32"/>
        </w:rPr>
        <w:t>做到与项目同步供地、同步规划、同步建设、同步验收、同步交付</w:t>
      </w:r>
      <w:r>
        <w:rPr>
          <w:rFonts w:hint="eastAsia" w:ascii="仿宋_GB2312" w:eastAsia="仿宋_GB2312"/>
          <w:color w:val="000000"/>
          <w:sz w:val="32"/>
          <w:szCs w:val="32"/>
        </w:rPr>
        <w:t>,引导这一级生活圈的公共设施配置，优化配置标准，满足均等化需求；鼓励提升型设施配置，体现新时期中、高端和特色化需求。</w:t>
      </w:r>
    </w:p>
    <w:p w14:paraId="3D60971D">
      <w:pPr>
        <w:spacing w:line="60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行政村层级生活圈：按照《山东省社区生活圈规划技术导则（</w:t>
      </w:r>
      <w:bookmarkStart w:id="4" w:name="_GoBack"/>
      <w:bookmarkEnd w:id="4"/>
      <w:r>
        <w:rPr>
          <w:rFonts w:hint="eastAsia" w:ascii="仿宋_GB2312" w:eastAsia="仿宋_GB2312"/>
          <w:color w:val="000000"/>
          <w:sz w:val="32"/>
          <w:szCs w:val="32"/>
        </w:rPr>
        <w:t>试行）》中“乡村‘行政村层级’社区生活圈”设置相关公共服务设施。满足居民最基本需求的村委会、文化大院、健身场地、卫生室、养老设施、便民超市等。</w:t>
      </w:r>
    </w:p>
    <w:p w14:paraId="3D921132">
      <w:pPr>
        <w:ind w:firstLine="640" w:firstLineChars="200"/>
        <w:rPr>
          <w:rFonts w:ascii="仿宋_GB2312" w:hAnsi="Times New Roman" w:eastAsia="仿宋_GB2312" w:cs="Times New Roman"/>
          <w:color w:val="000000" w:themeColor="text1"/>
          <w:sz w:val="32"/>
          <w:szCs w:val="32"/>
          <w14:textFill>
            <w14:solidFill>
              <w14:schemeClr w14:val="tx1"/>
            </w14:solidFill>
          </w14:textFill>
        </w:rPr>
      </w:pPr>
      <w:r>
        <w:rPr>
          <w:rFonts w:ascii="仿宋_GB2312" w:hAnsi="Times New Roman" w:eastAsia="仿宋_GB2312" w:cs="Times New Roman"/>
          <w:color w:val="000000" w:themeColor="text1"/>
          <w:sz w:val="32"/>
          <w:szCs w:val="32"/>
          <w14:textFill>
            <w14:solidFill>
              <w14:schemeClr w14:val="tx1"/>
            </w14:solidFill>
          </w14:textFill>
        </w:rPr>
        <w:t>（三）提升基础设施支撑保障体系</w:t>
      </w:r>
    </w:p>
    <w:p w14:paraId="27AA86F4">
      <w:pPr>
        <w:ind w:firstLine="640" w:firstLineChars="200"/>
        <w:rPr>
          <w:rFonts w:ascii="仿宋_GB2312" w:hAnsi="Times New Roman" w:eastAsia="仿宋_GB2312" w:cs="Times New Roman"/>
          <w:color w:val="000000" w:themeColor="text1"/>
          <w:sz w:val="32"/>
          <w:szCs w:val="32"/>
          <w14:textFill>
            <w14:solidFill>
              <w14:schemeClr w14:val="tx1"/>
            </w14:solidFill>
          </w14:textFill>
        </w:rPr>
      </w:pPr>
      <w:r>
        <w:rPr>
          <w:rFonts w:ascii="仿宋_GB2312" w:hAnsi="Times New Roman" w:eastAsia="仿宋_GB2312" w:cs="Times New Roman"/>
          <w:color w:val="000000" w:themeColor="text1"/>
          <w:sz w:val="32"/>
          <w:szCs w:val="32"/>
          <w14:textFill>
            <w14:solidFill>
              <w14:schemeClr w14:val="tx1"/>
            </w14:solidFill>
          </w14:textFill>
        </w:rPr>
        <w:t>构建安全清洁的饮用水保障体系，推进污水处理工程建设，完善雨水处理与利用系统，整治提升电力通信设施，优化城乡环卫设施，加快燃气设施建设，健全公共安全保障体系。</w:t>
      </w:r>
    </w:p>
    <w:p w14:paraId="540805AC">
      <w:pPr>
        <w:ind w:firstLine="643" w:firstLineChars="200"/>
        <w:rPr>
          <w:rFonts w:hint="eastAsia" w:ascii="黑体" w:hAnsi="黑体" w:eastAsia="黑体" w:cs="Times New Roman"/>
          <w:b/>
          <w:color w:val="000000" w:themeColor="text1"/>
          <w:sz w:val="32"/>
          <w:szCs w:val="32"/>
          <w14:textFill>
            <w14:solidFill>
              <w14:schemeClr w14:val="tx1"/>
            </w14:solidFill>
          </w14:textFill>
        </w:rPr>
      </w:pPr>
      <w:r>
        <w:rPr>
          <w:rFonts w:ascii="黑体" w:hAnsi="黑体" w:eastAsia="黑体" w:cs="Times New Roman"/>
          <w:b/>
          <w:color w:val="000000" w:themeColor="text1"/>
          <w:sz w:val="32"/>
          <w:szCs w:val="32"/>
          <w14:textFill>
            <w14:solidFill>
              <w14:schemeClr w14:val="tx1"/>
            </w14:solidFill>
          </w14:textFill>
        </w:rPr>
        <w:t>十二、国土整治修复</w:t>
      </w:r>
    </w:p>
    <w:p w14:paraId="52CE78D1">
      <w:pPr>
        <w:ind w:firstLine="640" w:firstLineChars="200"/>
        <w:rPr>
          <w:rFonts w:ascii="仿宋_GB2312" w:hAnsi="Times New Roman" w:eastAsia="仿宋_GB2312" w:cs="Times New Roman"/>
          <w:color w:val="000000" w:themeColor="text1"/>
          <w:sz w:val="32"/>
          <w:szCs w:val="32"/>
          <w14:textFill>
            <w14:solidFill>
              <w14:schemeClr w14:val="tx1"/>
            </w14:solidFill>
          </w14:textFill>
        </w:rPr>
      </w:pPr>
      <w:r>
        <w:rPr>
          <w:rFonts w:ascii="仿宋_GB2312" w:hAnsi="Times New Roman" w:eastAsia="仿宋_GB2312" w:cs="Times New Roman"/>
          <w:color w:val="000000" w:themeColor="text1"/>
          <w:sz w:val="32"/>
          <w:szCs w:val="32"/>
          <w14:textFill>
            <w14:solidFill>
              <w14:schemeClr w14:val="tx1"/>
            </w14:solidFill>
          </w14:textFill>
        </w:rPr>
        <w:t>（一）推进国土综合整治</w:t>
      </w:r>
    </w:p>
    <w:p w14:paraId="55FDC1E4">
      <w:pPr>
        <w:spacing w:line="600" w:lineRule="exact"/>
        <w:ind w:firstLine="640"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color w:val="000000"/>
          <w:sz w:val="32"/>
          <w:szCs w:val="32"/>
        </w:rPr>
        <w:t>切实保护耕地和永久基本农田，提高耕地生产能力，提高城乡建设用地节约集约利用效率。</w:t>
      </w:r>
      <w:r>
        <w:rPr>
          <w:rFonts w:ascii="Times New Roman" w:hAnsi="Times New Roman" w:eastAsia="仿宋_GB2312" w:cs="Times New Roman"/>
          <w:color w:val="000000"/>
          <w:sz w:val="32"/>
          <w:szCs w:val="32"/>
        </w:rPr>
        <w:t>全面提升农业综合生产能力，改善农田生态环境</w:t>
      </w:r>
      <w:r>
        <w:rPr>
          <w:rFonts w:hint="eastAsia" w:ascii="Times New Roman" w:hAnsi="Times New Roman" w:eastAsia="仿宋_GB2312" w:cs="Times New Roman"/>
          <w:color w:val="000000"/>
          <w:sz w:val="32"/>
          <w:szCs w:val="32"/>
        </w:rPr>
        <w:t>。</w:t>
      </w:r>
    </w:p>
    <w:p w14:paraId="03042B1D">
      <w:pPr>
        <w:ind w:firstLine="640" w:firstLineChars="200"/>
        <w:rPr>
          <w:rFonts w:ascii="仿宋_GB2312" w:hAnsi="Times New Roman" w:eastAsia="仿宋_GB2312" w:cs="Times New Roman"/>
          <w:color w:val="000000" w:themeColor="text1"/>
          <w:sz w:val="32"/>
          <w:szCs w:val="32"/>
          <w14:textFill>
            <w14:solidFill>
              <w14:schemeClr w14:val="tx1"/>
            </w14:solidFill>
          </w14:textFill>
        </w:rPr>
      </w:pPr>
      <w:r>
        <w:rPr>
          <w:rFonts w:ascii="仿宋_GB2312" w:hAnsi="Times New Roman" w:eastAsia="仿宋_GB2312" w:cs="Times New Roman"/>
          <w:color w:val="000000" w:themeColor="text1"/>
          <w:sz w:val="32"/>
          <w:szCs w:val="32"/>
          <w14:textFill>
            <w14:solidFill>
              <w14:schemeClr w14:val="tx1"/>
            </w14:solidFill>
          </w14:textFill>
        </w:rPr>
        <w:t>开展宜耕后备资源开发整理，耕地质量提升，有序推进建设用地复垦工作，农村低效、闲置与违法用地整理、农村宅基地整理、城镇低效用地整理及工矿废弃地整理。</w:t>
      </w:r>
    </w:p>
    <w:p w14:paraId="51F69E7F">
      <w:pPr>
        <w:ind w:firstLine="640" w:firstLineChars="200"/>
        <w:rPr>
          <w:rFonts w:ascii="仿宋_GB2312" w:hAnsi="Times New Roman" w:eastAsia="仿宋_GB2312" w:cs="Times New Roman"/>
          <w:color w:val="000000" w:themeColor="text1"/>
          <w:sz w:val="32"/>
          <w:szCs w:val="32"/>
          <w14:textFill>
            <w14:solidFill>
              <w14:schemeClr w14:val="tx1"/>
            </w14:solidFill>
          </w14:textFill>
        </w:rPr>
      </w:pPr>
      <w:r>
        <w:rPr>
          <w:rFonts w:ascii="仿宋_GB2312" w:hAnsi="Times New Roman" w:eastAsia="仿宋_GB2312" w:cs="Times New Roman"/>
          <w:color w:val="000000" w:themeColor="text1"/>
          <w:sz w:val="32"/>
          <w:szCs w:val="32"/>
          <w14:textFill>
            <w14:solidFill>
              <w14:schemeClr w14:val="tx1"/>
            </w14:solidFill>
          </w14:textFill>
        </w:rPr>
        <w:t>（二）强化生态整治与修复</w:t>
      </w:r>
    </w:p>
    <w:p w14:paraId="7D2B595C">
      <w:pPr>
        <w:ind w:firstLine="640" w:firstLineChars="200"/>
        <w:rPr>
          <w:rFonts w:ascii="仿宋_GB2312" w:hAnsi="Times New Roman" w:eastAsia="仿宋_GB2312" w:cs="Times New Roman"/>
          <w:color w:val="000000" w:themeColor="text1"/>
          <w:sz w:val="32"/>
          <w:szCs w:val="32"/>
          <w14:textFill>
            <w14:solidFill>
              <w14:schemeClr w14:val="tx1"/>
            </w14:solidFill>
          </w14:textFill>
        </w:rPr>
      </w:pPr>
      <w:r>
        <w:rPr>
          <w:rFonts w:ascii="仿宋_GB2312" w:hAnsi="Times New Roman" w:eastAsia="仿宋_GB2312" w:cs="Times New Roman"/>
          <w:color w:val="000000" w:themeColor="text1"/>
          <w:sz w:val="32"/>
          <w:szCs w:val="32"/>
          <w14:textFill>
            <w14:solidFill>
              <w14:schemeClr w14:val="tx1"/>
            </w14:solidFill>
          </w14:textFill>
        </w:rPr>
        <w:t>水林田湖草保护修复工程，土地资源节约、保护与利用，水资源节约、保护与利用，推进</w:t>
      </w:r>
      <w:r>
        <w:rPr>
          <w:rFonts w:hint="eastAsia" w:ascii="仿宋_GB2312" w:hAnsi="Times New Roman" w:eastAsia="仿宋_GB2312" w:cs="Times New Roman"/>
          <w:color w:val="000000" w:themeColor="text1"/>
          <w:sz w:val="32"/>
          <w:szCs w:val="32"/>
          <w14:textFill>
            <w14:solidFill>
              <w14:schemeClr w14:val="tx1"/>
            </w14:solidFill>
          </w14:textFill>
        </w:rPr>
        <w:t>废弃矿山</w:t>
      </w:r>
      <w:r>
        <w:rPr>
          <w:rFonts w:ascii="仿宋_GB2312" w:hAnsi="Times New Roman" w:eastAsia="仿宋_GB2312" w:cs="Times New Roman"/>
          <w:color w:val="000000" w:themeColor="text1"/>
          <w:sz w:val="32"/>
          <w:szCs w:val="32"/>
          <w14:textFill>
            <w14:solidFill>
              <w14:schemeClr w14:val="tx1"/>
            </w14:solidFill>
          </w14:textFill>
        </w:rPr>
        <w:t>修复利用。</w:t>
      </w:r>
      <w:r>
        <w:rPr>
          <w:rFonts w:hint="eastAsia" w:ascii="仿宋_GB2312" w:hAnsi="Times New Roman" w:eastAsia="仿宋_GB2312" w:cs="Times New Roman"/>
          <w:color w:val="000000" w:themeColor="text1"/>
          <w:sz w:val="32"/>
          <w:szCs w:val="32"/>
          <w14:textFill>
            <w14:solidFill>
              <w14:schemeClr w14:val="tx1"/>
            </w14:solidFill>
          </w14:textFill>
        </w:rPr>
        <w:t>对淄河、织女河等重点区域开展保护性生态修复；切实保护，加强对工业污染面源、农业污染面源和生活污水的治理。</w:t>
      </w:r>
    </w:p>
    <w:p w14:paraId="03100C7F">
      <w:pPr>
        <w:ind w:firstLine="643" w:firstLineChars="200"/>
        <w:rPr>
          <w:rFonts w:hint="eastAsia" w:ascii="黑体" w:hAnsi="黑体" w:eastAsia="黑体" w:cs="Times New Roman"/>
          <w:b/>
          <w:color w:val="000000" w:themeColor="text1"/>
          <w:sz w:val="32"/>
          <w:szCs w:val="32"/>
          <w14:textFill>
            <w14:solidFill>
              <w14:schemeClr w14:val="tx1"/>
            </w14:solidFill>
          </w14:textFill>
        </w:rPr>
      </w:pPr>
      <w:r>
        <w:rPr>
          <w:rFonts w:ascii="黑体" w:hAnsi="黑体" w:eastAsia="黑体" w:cs="Times New Roman"/>
          <w:b/>
          <w:color w:val="000000" w:themeColor="text1"/>
          <w:sz w:val="32"/>
          <w:szCs w:val="32"/>
          <w14:textFill>
            <w14:solidFill>
              <w14:schemeClr w14:val="tx1"/>
            </w14:solidFill>
          </w14:textFill>
        </w:rPr>
        <w:t>十三、规划传导与实施保障</w:t>
      </w:r>
    </w:p>
    <w:p w14:paraId="19BC112C">
      <w:pPr>
        <w:ind w:firstLine="640" w:firstLineChars="200"/>
        <w:rPr>
          <w:rFonts w:ascii="仿宋_GB2312" w:hAnsi="Times New Roman" w:eastAsia="仿宋_GB2312" w:cs="Times New Roman"/>
          <w:color w:val="000000" w:themeColor="text1"/>
          <w:sz w:val="32"/>
          <w:szCs w:val="32"/>
          <w14:textFill>
            <w14:solidFill>
              <w14:schemeClr w14:val="tx1"/>
            </w14:solidFill>
          </w14:textFill>
        </w:rPr>
      </w:pPr>
      <w:r>
        <w:rPr>
          <w:rFonts w:ascii="仿宋_GB2312" w:hAnsi="Times New Roman" w:eastAsia="仿宋_GB2312" w:cs="Times New Roman"/>
          <w:color w:val="000000" w:themeColor="text1"/>
          <w:sz w:val="32"/>
          <w:szCs w:val="32"/>
          <w14:textFill>
            <w14:solidFill>
              <w14:schemeClr w14:val="tx1"/>
            </w14:solidFill>
          </w14:textFill>
        </w:rPr>
        <w:t>落实国土空间规划“三类”体系建设要求，根据城镇开发边界内建设用地布局情况，划定详细规划单元，建立单元规划指标统筹传导机制；按照村庄分类要求，指引城镇开发边界外村庄国土空间发展与规划，对村庄规划的耕地保护、生态保护、村庄建设、基础设施和公共服务设施完善、历史文化保护等方面提出指引。</w:t>
      </w:r>
    </w:p>
    <w:p w14:paraId="01413345">
      <w:pPr>
        <w:widowControl/>
        <w:jc w:val="left"/>
        <w:rPr>
          <w:rFonts w:ascii="仿宋_GB2312" w:hAnsi="Times New Roman" w:eastAsia="仿宋_GB2312" w:cs="Times New Roman"/>
          <w:color w:val="000000" w:themeColor="text1"/>
          <w:sz w:val="32"/>
          <w:szCs w:val="32"/>
          <w14:textFill>
            <w14:solidFill>
              <w14:schemeClr w14:val="tx1"/>
            </w14:solidFill>
          </w14:textFill>
        </w:rPr>
      </w:pPr>
      <w:r>
        <w:rPr>
          <w:rFonts w:ascii="仿宋_GB2312" w:hAnsi="Times New Roman" w:eastAsia="仿宋_GB2312" w:cs="Times New Roman"/>
          <w:color w:val="000000" w:themeColor="text1"/>
          <w:sz w:val="32"/>
          <w:szCs w:val="32"/>
          <w14:textFill>
            <w14:solidFill>
              <w14:schemeClr w14:val="tx1"/>
            </w14:solidFill>
          </w14:textFill>
        </w:rPr>
        <w:br w:type="page"/>
      </w:r>
    </w:p>
    <w:p w14:paraId="5EEB7ED4">
      <w:pPr>
        <w:ind w:firstLine="643" w:firstLineChars="200"/>
        <w:rPr>
          <w:rFonts w:hint="eastAsia" w:ascii="黑体" w:hAnsi="黑体" w:eastAsia="黑体" w:cs="Times New Roman"/>
          <w:b/>
          <w:color w:val="000000" w:themeColor="text1"/>
          <w:sz w:val="32"/>
          <w:szCs w:val="32"/>
          <w14:textFill>
            <w14:solidFill>
              <w14:schemeClr w14:val="tx1"/>
            </w14:solidFill>
          </w14:textFill>
        </w:rPr>
      </w:pPr>
      <w:r>
        <w:rPr>
          <w:rFonts w:ascii="黑体" w:hAnsi="黑体" w:eastAsia="黑体" w:cs="Times New Roman"/>
          <w:b/>
          <w:color w:val="000000" w:themeColor="text1"/>
          <w:sz w:val="32"/>
          <w:szCs w:val="32"/>
          <w14:textFill>
            <w14:solidFill>
              <w14:schemeClr w14:val="tx1"/>
            </w14:solidFill>
          </w14:textFill>
        </w:rPr>
        <w:t>十四、主要图纸</w:t>
      </w:r>
    </w:p>
    <w:p w14:paraId="0B6D848E">
      <w:pPr>
        <w:ind w:firstLine="640" w:firstLineChars="200"/>
        <w:rPr>
          <w:rFonts w:ascii="仿宋_GB2312" w:hAnsi="Times New Roman" w:eastAsia="仿宋_GB2312" w:cs="Times New Roman"/>
          <w:color w:val="000000" w:themeColor="text1"/>
          <w:sz w:val="32"/>
          <w:szCs w:val="32"/>
          <w14:textFill>
            <w14:solidFill>
              <w14:schemeClr w14:val="tx1"/>
            </w14:solidFill>
          </w14:textFill>
        </w:rPr>
      </w:pPr>
      <w:r>
        <w:rPr>
          <w:rFonts w:ascii="仿宋_GB2312" w:hAnsi="Times New Roman" w:eastAsia="仿宋_GB2312" w:cs="Times New Roman"/>
          <w:color w:val="000000" w:themeColor="text1"/>
          <w:sz w:val="32"/>
          <w:szCs w:val="32"/>
          <w14:textFill>
            <w14:solidFill>
              <w14:schemeClr w14:val="tx1"/>
            </w14:solidFill>
          </w14:textFill>
        </w:rPr>
        <w:t>1、国土空间控制线规划图</w:t>
      </w:r>
    </w:p>
    <w:p w14:paraId="0382E088">
      <w:pPr>
        <w:ind w:firstLine="640" w:firstLineChars="200"/>
        <w:rPr>
          <w:rFonts w:ascii="仿宋_GB2312" w:hAnsi="Times New Roman" w:eastAsia="仿宋_GB2312" w:cs="Times New Roman"/>
          <w:color w:val="000000" w:themeColor="text1"/>
          <w:sz w:val="32"/>
          <w:szCs w:val="32"/>
          <w14:textFill>
            <w14:solidFill>
              <w14:schemeClr w14:val="tx1"/>
            </w14:solidFill>
          </w14:textFill>
        </w:rPr>
      </w:pPr>
      <w:r>
        <w:rPr>
          <w:rFonts w:ascii="仿宋_GB2312" w:hAnsi="Times New Roman" w:eastAsia="仿宋_GB2312" w:cs="Times New Roman"/>
          <w:color w:val="000000" w:themeColor="text1"/>
          <w:sz w:val="32"/>
          <w:szCs w:val="32"/>
          <w14:textFill>
            <w14:solidFill>
              <w14:schemeClr w14:val="tx1"/>
            </w14:solidFill>
          </w14:textFill>
        </w:rPr>
        <w:t>2、国土空间总体格局规划图</w:t>
      </w:r>
    </w:p>
    <w:p w14:paraId="4EEC6393">
      <w:pPr>
        <w:ind w:firstLine="640" w:firstLineChars="200"/>
        <w:rPr>
          <w:rFonts w:ascii="仿宋_GB2312" w:hAnsi="Times New Roman" w:eastAsia="仿宋_GB2312" w:cs="Times New Roman"/>
          <w:color w:val="000000" w:themeColor="text1"/>
          <w:sz w:val="32"/>
          <w:szCs w:val="32"/>
          <w14:textFill>
            <w14:solidFill>
              <w14:schemeClr w14:val="tx1"/>
            </w14:solidFill>
          </w14:textFill>
        </w:rPr>
      </w:pPr>
      <w:r>
        <w:rPr>
          <w:rFonts w:ascii="仿宋_GB2312" w:hAnsi="Times New Roman" w:eastAsia="仿宋_GB2312" w:cs="Times New Roman"/>
          <w:color w:val="000000" w:themeColor="text1"/>
          <w:sz w:val="32"/>
          <w:szCs w:val="32"/>
          <w14:textFill>
            <w14:solidFill>
              <w14:schemeClr w14:val="tx1"/>
            </w14:solidFill>
          </w14:textFill>
        </w:rPr>
        <w:t>3、国土空间规划分区图</w:t>
      </w:r>
    </w:p>
    <w:p w14:paraId="5DB4D1A5">
      <w:pPr>
        <w:ind w:firstLine="640" w:firstLineChars="200"/>
        <w:rPr>
          <w:rFonts w:ascii="仿宋_GB2312" w:hAnsi="Times New Roman" w:eastAsia="仿宋_GB2312" w:cs="Times New Roman"/>
          <w:color w:val="000000" w:themeColor="text1"/>
          <w:sz w:val="32"/>
          <w:szCs w:val="32"/>
          <w14:textFill>
            <w14:solidFill>
              <w14:schemeClr w14:val="tx1"/>
            </w14:solidFill>
          </w14:textFill>
        </w:rPr>
      </w:pPr>
      <w:r>
        <w:rPr>
          <w:rFonts w:hint="eastAsia" w:ascii="仿宋_GB2312" w:hAnsi="Times New Roman" w:eastAsia="仿宋_GB2312" w:cs="Times New Roman"/>
          <w:color w:val="000000" w:themeColor="text1"/>
          <w:sz w:val="32"/>
          <w:szCs w:val="32"/>
          <w14:textFill>
            <w14:solidFill>
              <w14:schemeClr w14:val="tx1"/>
            </w14:solidFill>
          </w14:textFill>
        </w:rPr>
        <w:t>4、国土空间用地布局规划图</w:t>
      </w:r>
    </w:p>
    <w:p w14:paraId="7CDB9F93">
      <w:pPr>
        <w:ind w:firstLine="640" w:firstLineChars="200"/>
        <w:rPr>
          <w:rFonts w:ascii="仿宋_GB2312" w:hAnsi="Times New Roman" w:eastAsia="仿宋_GB2312" w:cs="Times New Roman"/>
          <w:color w:val="000000" w:themeColor="text1"/>
          <w:sz w:val="32"/>
          <w:szCs w:val="32"/>
          <w14:textFill>
            <w14:solidFill>
              <w14:schemeClr w14:val="tx1"/>
            </w14:solidFill>
          </w14:textFill>
        </w:rPr>
      </w:pPr>
      <w:r>
        <w:rPr>
          <w:rFonts w:ascii="仿宋_GB2312" w:hAnsi="Times New Roman" w:eastAsia="仿宋_GB2312" w:cs="Times New Roman"/>
          <w:color w:val="000000" w:themeColor="text1"/>
          <w:sz w:val="32"/>
          <w:szCs w:val="32"/>
          <w14:textFill>
            <w14:solidFill>
              <w14:schemeClr w14:val="tx1"/>
            </w14:solidFill>
          </w14:textFill>
        </w:rPr>
        <w:t>5、城镇开发边界范围国土空间用地规划图</w:t>
      </w:r>
    </w:p>
    <w:p w14:paraId="1085B52E">
      <w:pPr>
        <w:ind w:firstLine="640" w:firstLineChars="200"/>
        <w:rPr>
          <w:rFonts w:ascii="仿宋_GB2312" w:hAnsi="Times New Roman" w:eastAsia="仿宋_GB2312" w:cs="Times New Roman"/>
          <w:color w:val="000000" w:themeColor="text1"/>
          <w:sz w:val="32"/>
          <w:szCs w:val="32"/>
          <w14:textFill>
            <w14:solidFill>
              <w14:schemeClr w14:val="tx1"/>
            </w14:solidFill>
          </w14:textFill>
        </w:rPr>
      </w:pPr>
    </w:p>
    <w:p w14:paraId="7484530A">
      <w:pPr>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br w:type="page"/>
      </w:r>
    </w:p>
    <w:p w14:paraId="1372A2B8">
      <w:pPr>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drawing>
          <wp:inline distT="0" distB="0" distL="0" distR="0">
            <wp:extent cx="5274310" cy="7465695"/>
            <wp:effectExtent l="0" t="0" r="254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74310" cy="7465695"/>
                    </a:xfrm>
                    <a:prstGeom prst="rect">
                      <a:avLst/>
                    </a:prstGeom>
                  </pic:spPr>
                </pic:pic>
              </a:graphicData>
            </a:graphic>
          </wp:inline>
        </w:drawing>
      </w:r>
    </w:p>
    <w:p w14:paraId="2FD91887">
      <w:pPr>
        <w:widowControl/>
        <w:jc w:val="lef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br w:type="page"/>
      </w:r>
    </w:p>
    <w:p w14:paraId="368EC8E9">
      <w:pPr>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drawing>
          <wp:inline distT="0" distB="0" distL="0" distR="0">
            <wp:extent cx="5274310" cy="7465695"/>
            <wp:effectExtent l="0" t="0" r="254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7465695"/>
                    </a:xfrm>
                    <a:prstGeom prst="rect">
                      <a:avLst/>
                    </a:prstGeom>
                  </pic:spPr>
                </pic:pic>
              </a:graphicData>
            </a:graphic>
          </wp:inline>
        </w:drawing>
      </w:r>
    </w:p>
    <w:p w14:paraId="1EBE72A1">
      <w:pPr>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p>
    <w:p w14:paraId="0B40581E">
      <w:pPr>
        <w:widowControl/>
        <w:jc w:val="lef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br w:type="page"/>
      </w:r>
      <w:r>
        <w:rPr>
          <w:rFonts w:ascii="Times New Roman" w:hAnsi="Times New Roman" w:eastAsia="仿宋_GB2312" w:cs="Times New Roman"/>
          <w:color w:val="000000" w:themeColor="text1"/>
          <w:sz w:val="28"/>
          <w:szCs w:val="28"/>
          <w14:textFill>
            <w14:solidFill>
              <w14:schemeClr w14:val="tx1"/>
            </w14:solidFill>
          </w14:textFill>
        </w:rPr>
        <w:drawing>
          <wp:inline distT="0" distB="0" distL="0" distR="0">
            <wp:extent cx="5274310" cy="7465695"/>
            <wp:effectExtent l="0" t="0" r="254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7465695"/>
                    </a:xfrm>
                    <a:prstGeom prst="rect">
                      <a:avLst/>
                    </a:prstGeom>
                  </pic:spPr>
                </pic:pic>
              </a:graphicData>
            </a:graphic>
          </wp:inline>
        </w:drawing>
      </w:r>
    </w:p>
    <w:p w14:paraId="3E813145">
      <w:pPr>
        <w:widowControl/>
        <w:jc w:val="lef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br w:type="page"/>
      </w:r>
    </w:p>
    <w:p w14:paraId="7D4BEAA5">
      <w:pPr>
        <w:widowControl/>
        <w:jc w:val="lef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drawing>
          <wp:inline distT="0" distB="0" distL="0" distR="0">
            <wp:extent cx="5274310" cy="7465695"/>
            <wp:effectExtent l="0" t="0" r="254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7465695"/>
                    </a:xfrm>
                    <a:prstGeom prst="rect">
                      <a:avLst/>
                    </a:prstGeom>
                  </pic:spPr>
                </pic:pic>
              </a:graphicData>
            </a:graphic>
          </wp:inline>
        </w:drawing>
      </w:r>
    </w:p>
    <w:p w14:paraId="6475C030">
      <w:pPr>
        <w:widowControl/>
        <w:jc w:val="lef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br w:type="page"/>
      </w:r>
    </w:p>
    <w:p w14:paraId="145AE235">
      <w:pPr>
        <w:widowControl/>
        <w:jc w:val="lef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drawing>
          <wp:inline distT="0" distB="0" distL="0" distR="0">
            <wp:extent cx="5274310" cy="7466330"/>
            <wp:effectExtent l="0" t="0" r="2540"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7466330"/>
                    </a:xfrm>
                    <a:prstGeom prst="rect">
                      <a:avLst/>
                    </a:prstGeom>
                  </pic:spPr>
                </pic:pic>
              </a:graphicData>
            </a:graphic>
          </wp:inline>
        </w:drawing>
      </w:r>
    </w:p>
    <w:p w14:paraId="7DA4CCE3">
      <w:pPr>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EzNWFlOWI0NmIzMDg0ZGE0OWE1NjNiNDRjMjkwN2MifQ=="/>
    <w:docVar w:name="KSO_WPS_MARK_KEY" w:val="a9d2d848-4fad-404f-9b03-18e33729ac10"/>
  </w:docVars>
  <w:rsids>
    <w:rsidRoot w:val="00A018F6"/>
    <w:rsid w:val="00063D7C"/>
    <w:rsid w:val="000A2B92"/>
    <w:rsid w:val="000F502E"/>
    <w:rsid w:val="001505CB"/>
    <w:rsid w:val="00157247"/>
    <w:rsid w:val="0018086C"/>
    <w:rsid w:val="001A32EA"/>
    <w:rsid w:val="001C7E88"/>
    <w:rsid w:val="001F1105"/>
    <w:rsid w:val="0020214B"/>
    <w:rsid w:val="002D1325"/>
    <w:rsid w:val="002D68AB"/>
    <w:rsid w:val="0031278F"/>
    <w:rsid w:val="00335F78"/>
    <w:rsid w:val="00350853"/>
    <w:rsid w:val="003958D4"/>
    <w:rsid w:val="00454F6A"/>
    <w:rsid w:val="004709B4"/>
    <w:rsid w:val="004779F2"/>
    <w:rsid w:val="004A2EDB"/>
    <w:rsid w:val="004C699D"/>
    <w:rsid w:val="004D4565"/>
    <w:rsid w:val="004D5029"/>
    <w:rsid w:val="004D7E82"/>
    <w:rsid w:val="00504DD3"/>
    <w:rsid w:val="005148F7"/>
    <w:rsid w:val="00514AE5"/>
    <w:rsid w:val="00551BFD"/>
    <w:rsid w:val="00594744"/>
    <w:rsid w:val="005E0F5B"/>
    <w:rsid w:val="005F78D0"/>
    <w:rsid w:val="00620B44"/>
    <w:rsid w:val="00623574"/>
    <w:rsid w:val="0066368D"/>
    <w:rsid w:val="00694CD1"/>
    <w:rsid w:val="006D10C6"/>
    <w:rsid w:val="00716B64"/>
    <w:rsid w:val="007717FF"/>
    <w:rsid w:val="00776786"/>
    <w:rsid w:val="007817F4"/>
    <w:rsid w:val="007C0D75"/>
    <w:rsid w:val="007C7F2D"/>
    <w:rsid w:val="007D13A9"/>
    <w:rsid w:val="007E2BAC"/>
    <w:rsid w:val="007E4255"/>
    <w:rsid w:val="00843A79"/>
    <w:rsid w:val="008542E0"/>
    <w:rsid w:val="00862717"/>
    <w:rsid w:val="00895109"/>
    <w:rsid w:val="00895C68"/>
    <w:rsid w:val="008C6766"/>
    <w:rsid w:val="008E05BB"/>
    <w:rsid w:val="009F7C28"/>
    <w:rsid w:val="00A018F6"/>
    <w:rsid w:val="00A3460A"/>
    <w:rsid w:val="00A546F5"/>
    <w:rsid w:val="00A97751"/>
    <w:rsid w:val="00AB64A1"/>
    <w:rsid w:val="00AD34CA"/>
    <w:rsid w:val="00AD551A"/>
    <w:rsid w:val="00AD7321"/>
    <w:rsid w:val="00B9776A"/>
    <w:rsid w:val="00BB0452"/>
    <w:rsid w:val="00BC13D2"/>
    <w:rsid w:val="00BD714B"/>
    <w:rsid w:val="00BF1C6A"/>
    <w:rsid w:val="00C44CAD"/>
    <w:rsid w:val="00C63684"/>
    <w:rsid w:val="00C70B61"/>
    <w:rsid w:val="00CB1AA1"/>
    <w:rsid w:val="00CE15BB"/>
    <w:rsid w:val="00D55D73"/>
    <w:rsid w:val="00D642F4"/>
    <w:rsid w:val="00DD3F67"/>
    <w:rsid w:val="00E04FA4"/>
    <w:rsid w:val="00E1269D"/>
    <w:rsid w:val="00E42628"/>
    <w:rsid w:val="00EA404B"/>
    <w:rsid w:val="00EB0846"/>
    <w:rsid w:val="00EC42BE"/>
    <w:rsid w:val="00F16361"/>
    <w:rsid w:val="00F50FED"/>
    <w:rsid w:val="00FE7D83"/>
    <w:rsid w:val="00FF770A"/>
    <w:rsid w:val="039956FE"/>
    <w:rsid w:val="1910088E"/>
    <w:rsid w:val="270871D6"/>
    <w:rsid w:val="2E74441E"/>
    <w:rsid w:val="3281717C"/>
    <w:rsid w:val="329F6A4C"/>
    <w:rsid w:val="32E93BC3"/>
    <w:rsid w:val="330C5C88"/>
    <w:rsid w:val="3C523AB2"/>
    <w:rsid w:val="5E686EFE"/>
    <w:rsid w:val="6040487B"/>
    <w:rsid w:val="690D2E3C"/>
    <w:rsid w:val="6A036E73"/>
    <w:rsid w:val="6F607BC7"/>
    <w:rsid w:val="7E814C19"/>
    <w:rsid w:val="7FF10C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Plain Text"/>
    <w:basedOn w:val="1"/>
    <w:qFormat/>
    <w:uiPriority w:val="0"/>
  </w:style>
  <w:style w:type="paragraph" w:styleId="3">
    <w:name w:val="footer"/>
    <w:basedOn w:val="1"/>
    <w:link w:val="11"/>
    <w:unhideWhenUsed/>
    <w:qFormat/>
    <w:uiPriority w:val="99"/>
    <w:pPr>
      <w:tabs>
        <w:tab w:val="center" w:pos="4153"/>
        <w:tab w:val="right" w:pos="8306"/>
      </w:tabs>
      <w:snapToGrid w:val="0"/>
      <w:jc w:val="left"/>
    </w:pPr>
    <w:rPr>
      <w:sz w:val="18"/>
      <w:szCs w:val="18"/>
    </w:rPr>
  </w:style>
  <w:style w:type="paragraph" w:styleId="4">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8">
    <w:name w:val="Hyperlink"/>
    <w:basedOn w:val="7"/>
    <w:semiHidden/>
    <w:unhideWhenUsed/>
    <w:qFormat/>
    <w:uiPriority w:val="99"/>
    <w:rPr>
      <w:color w:val="0000FF"/>
      <w:u w:val="single"/>
    </w:rPr>
  </w:style>
  <w:style w:type="paragraph" w:customStyle="1" w:styleId="9">
    <w:name w:val="正文1"/>
    <w:basedOn w:val="1"/>
    <w:link w:val="12"/>
    <w:qFormat/>
    <w:uiPriority w:val="0"/>
    <w:pPr>
      <w:spacing w:line="400" w:lineRule="exact"/>
      <w:ind w:firstLine="482" w:firstLineChars="200"/>
    </w:pPr>
    <w:rPr>
      <w:rFonts w:ascii="Times New Roman" w:hAnsi="Times New Roman" w:eastAsia="宋体" w:cs="Times New Roman"/>
      <w:kern w:val="0"/>
      <w:sz w:val="20"/>
      <w:szCs w:val="20"/>
      <w:shd w:val="clear" w:color="auto" w:fill="FFFFFF"/>
    </w:rPr>
  </w:style>
  <w:style w:type="character" w:customStyle="1" w:styleId="10">
    <w:name w:val="页眉 字符"/>
    <w:basedOn w:val="7"/>
    <w:link w:val="4"/>
    <w:qFormat/>
    <w:uiPriority w:val="99"/>
    <w:rPr>
      <w:sz w:val="18"/>
      <w:szCs w:val="18"/>
    </w:rPr>
  </w:style>
  <w:style w:type="character" w:customStyle="1" w:styleId="11">
    <w:name w:val="页脚 字符"/>
    <w:basedOn w:val="7"/>
    <w:link w:val="3"/>
    <w:qFormat/>
    <w:uiPriority w:val="99"/>
    <w:rPr>
      <w:sz w:val="18"/>
      <w:szCs w:val="18"/>
    </w:rPr>
  </w:style>
  <w:style w:type="character" w:customStyle="1" w:styleId="12">
    <w:name w:val="正文1 字符"/>
    <w:basedOn w:val="7"/>
    <w:link w:val="9"/>
    <w:qFormat/>
    <w:uiPriority w:val="0"/>
    <w:rPr>
      <w:rFonts w:ascii="Times New Roman" w:hAnsi="Times New Roman"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P R C</Company>
  <Pages>20</Pages>
  <Words>6229</Words>
  <Characters>6480</Characters>
  <Lines>47</Lines>
  <Paragraphs>13</Paragraphs>
  <TotalTime>2</TotalTime>
  <ScaleCrop>false</ScaleCrop>
  <LinksUpToDate>false</LinksUpToDate>
  <CharactersWithSpaces>6486</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2024-09-10T07:19:00Z</dcterms:created>
  <dc:creator>f</dc:creator>
  <cp:lastModifiedBy>一只单眼皮的mouse</cp:lastModifiedBy>
  <dcterms:modified xsi:type="dcterms:W3CDTF">2025-03-27T06:41:39Z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C41369BA6C1C4B27B75F7C519B89E324_13</vt:lpwstr>
  </property>
  <property fmtid="{D5CDD505-2E9C-101B-9397-08002B2CF9AE}" pid="4" name="KSOTemplateDocerSaveRecord">
    <vt:lpwstr>eyJoZGlkIjoiYjc5YzQ2MGQwNGI0NmQ3MGU2MGE2NTYzOTcyZDM1MTgiLCJ1c2VySWQiOiI0MjE0MjcxMDEifQ==</vt:lpwstr>
  </property>
</Properties>
</file>