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临淄区自然资源局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宋体"/>
          <w:i w:val="0"/>
          <w:caps w:val="0"/>
          <w:color w:val="000000" w:themeColor="text1"/>
          <w:spacing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w:t>
      </w:r>
      <w:r>
        <w:rPr>
          <w:rFonts w:hint="eastAsia" w:ascii="仿宋_GB2312" w:hAnsi="仿宋_GB2312" w:eastAsia="仿宋_GB2312" w:cs="仿宋_GB2312"/>
          <w:color w:val="000000" w:themeColor="text1"/>
          <w:sz w:val="32"/>
          <w:szCs w:val="32"/>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年1月1日</w:t>
      </w:r>
      <w:r>
        <w:rPr>
          <w:rFonts w:hint="eastAsia" w:ascii="仿宋_GB2312" w:hAnsi="仿宋_GB2312" w:eastAsia="仿宋_GB2312" w:cs="仿宋_GB2312"/>
          <w:color w:val="000000" w:themeColor="text1"/>
          <w:sz w:val="32"/>
          <w:szCs w:val="32"/>
          <w:lang w:eastAsia="zh-CN"/>
          <w14:textFill>
            <w14:solidFill>
              <w14:schemeClr w14:val="tx1"/>
            </w14:solidFill>
          </w14:textFill>
        </w:rPr>
        <w:t>起，</w:t>
      </w:r>
      <w:r>
        <w:rPr>
          <w:rFonts w:hint="eastAsia" w:ascii="仿宋_GB2312" w:hAnsi="仿宋_GB2312" w:eastAsia="仿宋_GB2312" w:cs="仿宋_GB2312"/>
          <w:color w:val="000000" w:themeColor="text1"/>
          <w:sz w:val="32"/>
          <w:szCs w:val="32"/>
          <w14:textFill>
            <w14:solidFill>
              <w14:schemeClr w14:val="tx1"/>
            </w14:solidFill>
          </w14:textFill>
        </w:rPr>
        <w:t>到12月31日止</w:t>
      </w:r>
      <w:r>
        <w:rPr>
          <w:rFonts w:hint="eastAsia" w:ascii="仿宋_GB2312" w:hAnsi="仿宋_GB2312" w:eastAsia="仿宋_GB2312" w:cs="仿宋_GB2312"/>
          <w:color w:val="000000" w:themeColor="text1"/>
          <w:sz w:val="32"/>
          <w:szCs w:val="32"/>
          <w:lang w:eastAsia="zh-CN"/>
          <w14:textFill>
            <w14:solidFill>
              <w14:schemeClr w14:val="tx1"/>
            </w14:solidFill>
          </w14:textFill>
        </w:rPr>
        <w:t>。如对本报告内容有疑问，请与临淄区自然资源局联系（地址：临淄区雪宫路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354号；</w:t>
      </w:r>
      <w:r>
        <w:rPr>
          <w:rFonts w:ascii="仿宋_GB2312" w:hAnsi="宋体" w:eastAsia="仿宋_GB2312" w:cs="仿宋_GB2312"/>
          <w:i w:val="0"/>
          <w:iCs w:val="0"/>
          <w:caps w:val="0"/>
          <w:color w:val="000000"/>
          <w:spacing w:val="0"/>
          <w:sz w:val="31"/>
          <w:szCs w:val="31"/>
          <w:shd w:val="clear" w:fill="FFFFFF"/>
        </w:rPr>
        <w:t>邮政编码：255400</w:t>
      </w:r>
      <w:r>
        <w:rPr>
          <w:rFonts w:hint="eastAsia" w:ascii="仿宋_GB2312" w:hAnsi="宋体" w:eastAsia="仿宋_GB2312" w:cs="仿宋_GB2312"/>
          <w:i w:val="0"/>
          <w:iCs w:val="0"/>
          <w:caps w:val="0"/>
          <w:color w:val="000000"/>
          <w:spacing w:val="0"/>
          <w:sz w:val="31"/>
          <w:szCs w:val="31"/>
          <w:shd w:val="clear" w:fill="FFFFFF"/>
          <w:lang w:eastAsia="zh-CN"/>
        </w:rPr>
        <w:t>；电话：</w:t>
      </w:r>
      <w:r>
        <w:rPr>
          <w:rFonts w:hint="eastAsia" w:ascii="仿宋_GB2312" w:hAnsi="宋体" w:eastAsia="仿宋_GB2312" w:cs="仿宋_GB2312"/>
          <w:i w:val="0"/>
          <w:iCs w:val="0"/>
          <w:caps w:val="0"/>
          <w:color w:val="000000"/>
          <w:spacing w:val="0"/>
          <w:sz w:val="31"/>
          <w:szCs w:val="31"/>
          <w:shd w:val="clear" w:fill="FFFFFF"/>
          <w:lang w:val="en-US" w:eastAsia="zh-CN"/>
        </w:rPr>
        <w:t>0533-7190156；邮箱：lzgtfjjcs@zb.shandong.cn）。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年，在区委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区政府和市局的正确领导下，</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我</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局认真贯彻落实《中华人民共和国政府信息公开条例》的有关规定，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进一步加强组织领导，强化责任意识，明确任务分工，加大督导力度，</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坚持“以公开为常态，以不公开为例外”的原则，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断</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提高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政务服务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质量</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spacing w:val="0"/>
          <w:sz w:val="32"/>
          <w:szCs w:val="32"/>
          <w:shd w:val="clear" w:fill="FFFFFF"/>
        </w:rPr>
        <w:t>保障政府信息公开工作依法、及时、有序地开展，</w:t>
      </w:r>
      <w:r>
        <w:rPr>
          <w:rFonts w:hint="eastAsia" w:ascii="仿宋_GB2312" w:hAnsi="仿宋_GB2312" w:eastAsia="仿宋_GB2312" w:cs="仿宋_GB2312"/>
          <w:i w:val="0"/>
          <w:iCs w:val="0"/>
          <w:caps w:val="0"/>
          <w:color w:val="000000"/>
          <w:spacing w:val="0"/>
          <w:sz w:val="32"/>
          <w:szCs w:val="32"/>
          <w:shd w:val="clear" w:fill="FFFFFF"/>
          <w:lang w:eastAsia="zh-CN"/>
        </w:rPr>
        <w:t>保障了人民群众的知情权，也促进了政府公信力的提升。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（一）主动公开情况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2022年，</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在临淄区人民政府网站公开信息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440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余条，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其中机构职能类</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条、法规公文类2条、政府会议类10条、规划计划类8条、重大建设项目类2条、民生公益类11条、财政信息5条、公共资源配置类306条、管理和服务公开25条、公共监管类6条、业务工作类54条、政务公开保障机制类8条、主动公开基本目录1条、基层政务公开标准化目录3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在微信公众号发布信息140余条；在山东省征地信息公开管理系统发布信息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130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余条；在山东省“互联网+监管”系统发布信息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ascii="微软雅黑" w:hAnsi="微软雅黑" w:eastAsia="微软雅黑" w:cs="微软雅黑"/>
          <w:i w:val="0"/>
          <w:caps w:val="0"/>
          <w:color w:val="000000" w:themeColor="text1"/>
          <w:spacing w:val="0"/>
          <w:sz w:val="24"/>
          <w:szCs w:val="24"/>
          <w14:textFill>
            <w14:solidFill>
              <w14:schemeClr w14:val="tx1"/>
            </w14:solidFill>
          </w14:textFill>
        </w:rPr>
      </w:pPr>
      <w:r>
        <w:rPr>
          <w:rFonts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t>(</w:t>
      </w: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二</w:t>
      </w:r>
      <w:r>
        <w:rPr>
          <w:rFonts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t>)依申请公开办理情况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坚持依申请公开政府信息工作机制，畅通申请渠道，目前我局受理政府信息公开申请以当面为主，邮寄及网络申请为辅，方便申请人选择适合自己的方法申请公开政府信息。</w:t>
      </w:r>
      <w:r>
        <w:rPr>
          <w:rFonts w:ascii="仿宋_GB2312" w:hAnsi="微软雅黑" w:eastAsia="仿宋_GB2312" w:cs="仿宋_GB2312"/>
          <w:i w:val="0"/>
          <w:caps w:val="0"/>
          <w:color w:val="000000" w:themeColor="text1"/>
          <w:spacing w:val="0"/>
          <w:sz w:val="32"/>
          <w:szCs w:val="32"/>
          <w:shd w:val="clear" w:fill="FFFFFF"/>
          <w14:textFill>
            <w14:solidFill>
              <w14:schemeClr w14:val="tx1"/>
            </w14:solidFill>
          </w14:textFill>
        </w:rPr>
        <w:t>202</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ascii="仿宋_GB2312" w:hAnsi="微软雅黑" w:eastAsia="仿宋_GB2312" w:cs="仿宋_GB2312"/>
          <w:i w:val="0"/>
          <w:caps w:val="0"/>
          <w:color w:val="000000" w:themeColor="text1"/>
          <w:spacing w:val="0"/>
          <w:sz w:val="32"/>
          <w:szCs w:val="32"/>
          <w:shd w:val="clear" w:fill="FFFFFF"/>
          <w14:textFill>
            <w14:solidFill>
              <w14:schemeClr w14:val="tx1"/>
            </w14:solidFill>
          </w14:textFill>
        </w:rPr>
        <w:t>年度接收公民和法人政府信息公开</w:t>
      </w:r>
      <w:r>
        <w:rPr>
          <w:rFonts w:ascii="仿宋_GB2312" w:hAnsi="微软雅黑" w:eastAsia="仿宋_GB2312" w:cs="仿宋_GB2312"/>
          <w:i w:val="0"/>
          <w:caps w:val="0"/>
          <w:color w:val="000000" w:themeColor="text1"/>
          <w:spacing w:val="0"/>
          <w:sz w:val="32"/>
          <w:szCs w:val="32"/>
          <w:highlight w:val="none"/>
          <w:shd w:val="clear" w:fill="FFFFFF"/>
          <w14:textFill>
            <w14:solidFill>
              <w14:schemeClr w14:val="tx1"/>
            </w14:solidFill>
          </w14:textFill>
        </w:rPr>
        <w:t>申请</w:t>
      </w:r>
      <w:r>
        <w:rPr>
          <w:rFonts w:hint="eastAsia" w:ascii="仿宋_GB2312" w:hAnsi="微软雅黑"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54</w:t>
      </w:r>
      <w:r>
        <w:rPr>
          <w:rFonts w:ascii="仿宋_GB2312" w:hAnsi="微软雅黑" w:eastAsia="仿宋_GB2312" w:cs="仿宋_GB2312"/>
          <w:i w:val="0"/>
          <w:caps w:val="0"/>
          <w:color w:val="000000" w:themeColor="text1"/>
          <w:spacing w:val="0"/>
          <w:sz w:val="32"/>
          <w:szCs w:val="32"/>
          <w:highlight w:val="none"/>
          <w:shd w:val="clear" w:fill="FFFFFF"/>
          <w14:textFill>
            <w14:solidFill>
              <w14:schemeClr w14:val="tx1"/>
            </w14:solidFill>
          </w14:textFill>
        </w:rPr>
        <w:t>件</w:t>
      </w:r>
      <w:r>
        <w:rPr>
          <w:rFonts w:ascii="仿宋_GB2312" w:hAnsi="微软雅黑"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按时办</w:t>
      </w:r>
      <w:r>
        <w:rPr>
          <w:rFonts w:hint="eastAsia" w:ascii="仿宋_GB2312" w:hAnsi="微软雅黑"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结54件</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，对收到的所有申请均按照规定认真办理</w:t>
      </w:r>
      <w:r>
        <w:rPr>
          <w:rFonts w:ascii="仿宋_GB2312" w:hAnsi="微软雅黑" w:eastAsia="仿宋_GB2312" w:cs="仿宋_GB2312"/>
          <w:i w:val="0"/>
          <w:caps w:val="0"/>
          <w:color w:val="000000" w:themeColor="text1"/>
          <w:spacing w:val="0"/>
          <w:sz w:val="32"/>
          <w:szCs w:val="32"/>
          <w:shd w:val="clear" w:fill="FFFFFF"/>
          <w14:textFill>
            <w14:solidFill>
              <w14:schemeClr w14:val="tx1"/>
            </w14:solidFill>
          </w14:textFill>
        </w:rPr>
        <w:t>并留存归档。</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同时</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严格执行政府信息公开前保密审查制度，制作保密审查单并由分管领导签字，规范政府信息公开的审查程序，202</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年未发生泄密事件。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微软雅黑" w:eastAsia="仿宋_GB2312" w:cs="楷体_GB2312"/>
          <w:i w:val="0"/>
          <w:caps w:val="0"/>
          <w:color w:val="000000" w:themeColor="text1"/>
          <w:spacing w:val="0"/>
          <w:sz w:val="32"/>
          <w:szCs w:val="32"/>
          <w:shd w:val="clear" w:fill="FFFFFF"/>
          <w:lang w:val="en-US"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局办公室负责单位政务公开工作，确定专人负责政务公开工作，严格执行政务公开</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先审查、后公开</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保密审查制度</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确保公开信息不泄密。</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（四）政府信息公开平台建设</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为进一步强化政务公开工作，最大程度方便群众获取政府信息，我局不断加强政府信息公开平台建设，一是</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在临淄区政府网站设立临淄区</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自然资源</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局政府信息公开专栏</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，年内共发布信息</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440余条</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；二是充分利用新媒体开展信息公开工作，年内</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在“临淄自然资源”微信公众号上发布政府信息140余条。传统门户网站与新媒体公众号相互补充的公开方式有利于提高政府信息公开工作的全面性、有效性，保障政务公开工作的高质量落实。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drawing>
          <wp:inline distT="0" distB="0" distL="114300" distR="114300">
            <wp:extent cx="5272405" cy="4674235"/>
            <wp:effectExtent l="0" t="0" r="4445" b="1206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4"/>
                    <a:stretch>
                      <a:fillRect/>
                    </a:stretch>
                  </pic:blipFill>
                  <pic:spPr>
                    <a:xfrm>
                      <a:off x="0" y="0"/>
                      <a:ext cx="5272405" cy="4674235"/>
                    </a:xfrm>
                    <a:prstGeom prst="rect">
                      <a:avLst/>
                    </a:prstGeom>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center"/>
        <w:textAlignment w:val="auto"/>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图1、区政府网站业务信息截图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center"/>
        <w:textAlignment w:val="auto"/>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drawing>
          <wp:inline distT="0" distB="0" distL="114300" distR="114300">
            <wp:extent cx="3048635" cy="5181600"/>
            <wp:effectExtent l="0" t="0" r="18415" b="0"/>
            <wp:docPr id="5" name="图片 5" descr="微信图片_2023011115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111151504"/>
                    <pic:cNvPicPr>
                      <a:picLocks noChangeAspect="1"/>
                    </pic:cNvPicPr>
                  </pic:nvPicPr>
                  <pic:blipFill>
                    <a:blip r:embed="rId5"/>
                    <a:stretch>
                      <a:fillRect/>
                    </a:stretch>
                  </pic:blipFill>
                  <pic:spPr>
                    <a:xfrm>
                      <a:off x="0" y="0"/>
                      <a:ext cx="3048635" cy="518160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center"/>
        <w:textAlignment w:val="auto"/>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图2、微信公众号工作信息截图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（五）</w:t>
      </w:r>
      <w:r>
        <w:rPr>
          <w:rFonts w:hint="eastAsia"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t>监督保障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一是高度重视政务公开工作，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我局由局长任组长，全体局党组成员任副组长，各部门负责人为成员的局政府信息公开领导小组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对政府信息公开工作负总责</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局办公室</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具体负责政府信息公开工作的开展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。同时根据实际工作情况适时调整小组成员名单，保障工作有序开展；二是积极开展政务公开工作培训班，深入学习上级关于</w:t>
      </w:r>
      <w:r>
        <w:rPr>
          <w:rFonts w:ascii="仿宋_GB2312" w:hAnsi="宋体" w:eastAsia="仿宋_GB2312" w:cs="仿宋_GB2312"/>
          <w:i w:val="0"/>
          <w:iCs w:val="0"/>
          <w:caps w:val="0"/>
          <w:color w:val="000000"/>
          <w:spacing w:val="0"/>
          <w:sz w:val="32"/>
          <w:szCs w:val="32"/>
          <w:shd w:val="clear" w:fill="FFFFFF"/>
        </w:rPr>
        <w:t>政务信息公开工作</w:t>
      </w:r>
      <w:r>
        <w:rPr>
          <w:rFonts w:hint="eastAsia" w:ascii="仿宋_GB2312" w:hAnsi="宋体" w:eastAsia="仿宋_GB2312" w:cs="仿宋_GB2312"/>
          <w:i w:val="0"/>
          <w:iCs w:val="0"/>
          <w:caps w:val="0"/>
          <w:color w:val="000000"/>
          <w:spacing w:val="0"/>
          <w:sz w:val="32"/>
          <w:szCs w:val="32"/>
          <w:shd w:val="clear" w:fill="FFFFFF"/>
          <w:lang w:eastAsia="zh-CN"/>
        </w:rPr>
        <w:t>的</w:t>
      </w:r>
      <w:r>
        <w:rPr>
          <w:rFonts w:ascii="仿宋_GB2312" w:hAnsi="宋体" w:eastAsia="仿宋_GB2312" w:cs="仿宋_GB2312"/>
          <w:i w:val="0"/>
          <w:iCs w:val="0"/>
          <w:caps w:val="0"/>
          <w:color w:val="000000"/>
          <w:spacing w:val="0"/>
          <w:sz w:val="32"/>
          <w:szCs w:val="32"/>
          <w:shd w:val="clear" w:fill="FFFFFF"/>
        </w:rPr>
        <w:t>要点</w:t>
      </w:r>
      <w:r>
        <w:rPr>
          <w:rFonts w:hint="eastAsia" w:ascii="仿宋_GB2312" w:hAnsi="宋体" w:eastAsia="仿宋_GB2312" w:cs="仿宋_GB2312"/>
          <w:i w:val="0"/>
          <w:iCs w:val="0"/>
          <w:caps w:val="0"/>
          <w:color w:val="000000"/>
          <w:spacing w:val="0"/>
          <w:sz w:val="32"/>
          <w:szCs w:val="32"/>
          <w:shd w:val="clear" w:fill="FFFFFF"/>
          <w:lang w:eastAsia="zh-CN"/>
        </w:rPr>
        <w:t>精神；三是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将政府信息公开工作纳入年底考核，根据公开情况及应诉复议结果对各科室综合打分，保障政府信息公开工作落地落实。</w:t>
      </w:r>
    </w:p>
    <w:p>
      <w:pPr>
        <w:ind w:firstLine="648"/>
        <w:rPr>
          <w:rFonts w:ascii="黑体" w:hAnsi="黑体" w:eastAsia="黑体"/>
          <w:sz w:val="32"/>
          <w:szCs w:val="32"/>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二、主动公开政府信息情况</w:t>
      </w:r>
    </w:p>
    <w:p>
      <w:pPr>
        <w:spacing w:before="9"/>
        <w:jc w:val="left"/>
        <w:rPr>
          <w:rFonts w:ascii="宋体" w:hAnsi="宋体" w:eastAsia="宋体" w:cs="宋体"/>
          <w:kern w:val="0"/>
          <w:szCs w:val="21"/>
        </w:rPr>
      </w:pPr>
    </w:p>
    <w:tbl>
      <w:tblPr>
        <w:tblStyle w:val="7"/>
        <w:tblW w:w="8787" w:type="dxa"/>
        <w:jc w:val="center"/>
        <w:tblLayout w:type="fixed"/>
        <w:tblCellMar>
          <w:top w:w="0" w:type="dxa"/>
          <w:left w:w="0" w:type="dxa"/>
          <w:bottom w:w="0" w:type="dxa"/>
          <w:right w:w="0" w:type="dxa"/>
        </w:tblCellMar>
      </w:tblPr>
      <w:tblGrid>
        <w:gridCol w:w="3450"/>
        <w:gridCol w:w="1686"/>
        <w:gridCol w:w="1803"/>
        <w:gridCol w:w="1848"/>
      </w:tblGrid>
      <w:tr>
        <w:tblPrEx>
          <w:tblCellMar>
            <w:top w:w="0" w:type="dxa"/>
            <w:left w:w="0" w:type="dxa"/>
            <w:bottom w:w="0" w:type="dxa"/>
            <w:right w:w="0" w:type="dxa"/>
          </w:tblCellMar>
        </w:tblPrEx>
        <w:trPr>
          <w:trHeight w:val="621" w:hRule="exact"/>
          <w:jc w:val="center"/>
        </w:trPr>
        <w:tc>
          <w:tcPr>
            <w:tcW w:w="8787"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（一） 项</w:t>
            </w:r>
          </w:p>
        </w:tc>
      </w:tr>
      <w:tr>
        <w:tblPrEx>
          <w:tblCellMar>
            <w:top w:w="0" w:type="dxa"/>
            <w:left w:w="0" w:type="dxa"/>
            <w:bottom w:w="0" w:type="dxa"/>
            <w:right w:w="0" w:type="dxa"/>
          </w:tblCellMar>
        </w:tblPrEx>
        <w:trPr>
          <w:trHeight w:val="616" w:hRule="exact"/>
          <w:jc w:val="center"/>
        </w:trPr>
        <w:tc>
          <w:tcPr>
            <w:tcW w:w="3450"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本年废止件数</w:t>
            </w:r>
          </w:p>
        </w:tc>
        <w:tc>
          <w:tcPr>
            <w:tcW w:w="1848" w:type="dxa"/>
            <w:tcBorders>
              <w:top w:val="single" w:color="64647C" w:sz="4" w:space="0"/>
              <w:left w:val="single" w:color="606064" w:sz="2" w:space="0"/>
              <w:bottom w:val="single" w:color="835B67" w:sz="4" w:space="0"/>
              <w:right w:val="single" w:color="3B3B44" w:sz="8" w:space="0"/>
            </w:tcBorders>
          </w:tcPr>
          <w:p>
            <w:pPr>
              <w:spacing w:before="13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现行有效件数</w:t>
            </w:r>
          </w:p>
        </w:tc>
      </w:tr>
      <w:tr>
        <w:tblPrEx>
          <w:tblCellMar>
            <w:top w:w="0" w:type="dxa"/>
            <w:left w:w="0" w:type="dxa"/>
            <w:bottom w:w="0" w:type="dxa"/>
            <w:right w:w="0" w:type="dxa"/>
          </w:tblCellMar>
        </w:tblPrEx>
        <w:trPr>
          <w:trHeight w:val="628" w:hRule="exact"/>
          <w:jc w:val="center"/>
        </w:trPr>
        <w:tc>
          <w:tcPr>
            <w:tcW w:w="3450"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c>
          <w:tcPr>
            <w:tcW w:w="1848" w:type="dxa"/>
            <w:tcBorders>
              <w:top w:val="single" w:color="835B67" w:sz="4" w:space="0"/>
              <w:left w:val="single" w:color="97939C" w:sz="4" w:space="0"/>
              <w:bottom w:val="single" w:color="74778C" w:sz="4" w:space="0"/>
              <w:right w:val="single" w:color="3B3B3F" w:sz="8"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r>
      <w:tr>
        <w:tblPrEx>
          <w:tblCellMar>
            <w:top w:w="0" w:type="dxa"/>
            <w:left w:w="0" w:type="dxa"/>
            <w:bottom w:w="0" w:type="dxa"/>
            <w:right w:w="0" w:type="dxa"/>
          </w:tblCellMar>
        </w:tblPrEx>
        <w:trPr>
          <w:trHeight w:val="621" w:hRule="exact"/>
          <w:jc w:val="center"/>
        </w:trPr>
        <w:tc>
          <w:tcPr>
            <w:tcW w:w="3450"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1848"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highlight w:val="none"/>
                <w:lang w:val="en-US" w:eastAsia="zh-CN"/>
              </w:rPr>
              <w:t>0</w:t>
            </w:r>
          </w:p>
        </w:tc>
      </w:tr>
      <w:tr>
        <w:tblPrEx>
          <w:tblCellMar>
            <w:top w:w="0" w:type="dxa"/>
            <w:left w:w="0" w:type="dxa"/>
            <w:bottom w:w="0" w:type="dxa"/>
            <w:right w:w="0" w:type="dxa"/>
          </w:tblCellMar>
        </w:tblPrEx>
        <w:trPr>
          <w:trHeight w:val="621" w:hRule="exact"/>
          <w:jc w:val="center"/>
        </w:trPr>
        <w:tc>
          <w:tcPr>
            <w:tcW w:w="8787"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（五） 项</w:t>
            </w:r>
            <w:r>
              <w:drawing>
                <wp:inline distT="0" distB="0" distL="114300" distR="114300">
                  <wp:extent cx="5559425" cy="2409190"/>
                  <wp:effectExtent l="0" t="0" r="317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559425" cy="240919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621" w:hRule="exact"/>
          <w:jc w:val="center"/>
        </w:trPr>
        <w:tc>
          <w:tcPr>
            <w:tcW w:w="3450"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本年处理决定数量</w:t>
            </w:r>
          </w:p>
        </w:tc>
      </w:tr>
      <w:tr>
        <w:tblPrEx>
          <w:tblCellMar>
            <w:top w:w="0" w:type="dxa"/>
            <w:left w:w="0" w:type="dxa"/>
            <w:bottom w:w="0" w:type="dxa"/>
            <w:right w:w="0" w:type="dxa"/>
          </w:tblCellMar>
        </w:tblPrEx>
        <w:trPr>
          <w:trHeight w:val="621" w:hRule="exact"/>
          <w:jc w:val="center"/>
        </w:trPr>
        <w:tc>
          <w:tcPr>
            <w:tcW w:w="3450"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行政许可</w:t>
            </w:r>
          </w:p>
        </w:tc>
        <w:tc>
          <w:tcPr>
            <w:tcW w:w="5337"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31</w:t>
            </w:r>
          </w:p>
        </w:tc>
      </w:tr>
      <w:tr>
        <w:tblPrEx>
          <w:tblCellMar>
            <w:top w:w="0" w:type="dxa"/>
            <w:left w:w="0" w:type="dxa"/>
            <w:bottom w:w="0" w:type="dxa"/>
            <w:right w:w="0" w:type="dxa"/>
          </w:tblCellMar>
        </w:tblPrEx>
        <w:trPr>
          <w:trHeight w:val="623" w:hRule="exact"/>
          <w:jc w:val="center"/>
        </w:trPr>
        <w:tc>
          <w:tcPr>
            <w:tcW w:w="8787"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（六） 项</w:t>
            </w:r>
          </w:p>
        </w:tc>
      </w:tr>
      <w:tr>
        <w:tblPrEx>
          <w:tblCellMar>
            <w:top w:w="0" w:type="dxa"/>
            <w:left w:w="0" w:type="dxa"/>
            <w:bottom w:w="0" w:type="dxa"/>
            <w:right w:w="0" w:type="dxa"/>
          </w:tblCellMar>
        </w:tblPrEx>
        <w:trPr>
          <w:trHeight w:val="627" w:hRule="exact"/>
          <w:jc w:val="center"/>
        </w:trPr>
        <w:tc>
          <w:tcPr>
            <w:tcW w:w="3450"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本年处理决定数量</w:t>
            </w:r>
          </w:p>
        </w:tc>
      </w:tr>
      <w:tr>
        <w:tblPrEx>
          <w:tblCellMar>
            <w:top w:w="0" w:type="dxa"/>
            <w:left w:w="0" w:type="dxa"/>
            <w:bottom w:w="0" w:type="dxa"/>
            <w:right w:w="0" w:type="dxa"/>
          </w:tblCellMar>
        </w:tblPrEx>
        <w:trPr>
          <w:trHeight w:val="624" w:hRule="exact"/>
          <w:jc w:val="center"/>
        </w:trPr>
        <w:tc>
          <w:tcPr>
            <w:tcW w:w="3450"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行政处罚</w:t>
            </w:r>
          </w:p>
        </w:tc>
        <w:tc>
          <w:tcPr>
            <w:tcW w:w="5337"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highlight w:val="none"/>
                <w:lang w:val="en-US" w:eastAsia="zh-CN"/>
              </w:rPr>
              <w:t>10</w:t>
            </w:r>
          </w:p>
        </w:tc>
      </w:tr>
      <w:tr>
        <w:tblPrEx>
          <w:tblCellMar>
            <w:top w:w="0" w:type="dxa"/>
            <w:left w:w="0" w:type="dxa"/>
            <w:bottom w:w="0" w:type="dxa"/>
            <w:right w:w="0" w:type="dxa"/>
          </w:tblCellMar>
        </w:tblPrEx>
        <w:trPr>
          <w:trHeight w:val="618" w:hRule="exact"/>
          <w:jc w:val="center"/>
        </w:trPr>
        <w:tc>
          <w:tcPr>
            <w:tcW w:w="3450"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行政强制</w:t>
            </w:r>
          </w:p>
        </w:tc>
        <w:tc>
          <w:tcPr>
            <w:tcW w:w="5337"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r>
      <w:tr>
        <w:tblPrEx>
          <w:tblCellMar>
            <w:top w:w="0" w:type="dxa"/>
            <w:left w:w="0" w:type="dxa"/>
            <w:bottom w:w="0" w:type="dxa"/>
            <w:right w:w="0" w:type="dxa"/>
          </w:tblCellMar>
        </w:tblPrEx>
        <w:trPr>
          <w:trHeight w:val="626" w:hRule="exact"/>
          <w:jc w:val="center"/>
        </w:trPr>
        <w:tc>
          <w:tcPr>
            <w:tcW w:w="8787"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（八） 项</w:t>
            </w:r>
          </w:p>
        </w:tc>
      </w:tr>
      <w:tr>
        <w:tblPrEx>
          <w:tblCellMar>
            <w:top w:w="0" w:type="dxa"/>
            <w:left w:w="0" w:type="dxa"/>
            <w:bottom w:w="0" w:type="dxa"/>
            <w:right w:w="0" w:type="dxa"/>
          </w:tblCellMar>
        </w:tblPrEx>
        <w:trPr>
          <w:trHeight w:val="621" w:hRule="exact"/>
          <w:jc w:val="center"/>
        </w:trPr>
        <w:tc>
          <w:tcPr>
            <w:tcW w:w="3450"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本年收费金额  （单位 ：万元）</w:t>
            </w:r>
          </w:p>
        </w:tc>
      </w:tr>
      <w:tr>
        <w:tblPrEx>
          <w:tblCellMar>
            <w:top w:w="0" w:type="dxa"/>
            <w:left w:w="0" w:type="dxa"/>
            <w:bottom w:w="0" w:type="dxa"/>
            <w:right w:w="0" w:type="dxa"/>
          </w:tblCellMar>
        </w:tblPrEx>
        <w:trPr>
          <w:trHeight w:val="626" w:hRule="exact"/>
          <w:jc w:val="center"/>
        </w:trPr>
        <w:tc>
          <w:tcPr>
            <w:tcW w:w="3450"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行政事业性收费</w:t>
            </w:r>
          </w:p>
        </w:tc>
        <w:tc>
          <w:tcPr>
            <w:tcW w:w="5337"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175.826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三、收到和处理政府信息公开申请情况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18</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17</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bl>
    <w:p>
      <w:pPr>
        <w:keepNext w:val="0"/>
        <w:keepLines w:val="0"/>
        <w:widowControl/>
        <w:suppressLineNumbers w:val="0"/>
        <w:jc w:val="left"/>
        <w:rPr>
          <w:color w:val="000000" w:themeColor="text1"/>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我局政府信息公开工作虽然取得了一定的成效，但仍然存在一定的问题：一是主动公开政府信息力度不够，公开信息不够及时，内容不够细化，重点信息不突出；二是部分工作人员对政务公开工作的重要性认识不足；三是政策解读的力度不足，形式较为单一，不能满足群众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1.加强主动公开工作力度。抓好人民群众普遍关注、涉及人民群众切身利益的信息公开工作，做到应公开尽公开，提高主动公开的及时性。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2.加强政务公开培训。不断增强工作人员的政务公开意识，健全工作机制，创新工作方法，加强业务交流，不断提高业务能力和水平。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3.强化政策解读力度。健全信息发布和解读机制，尽可能丰富政策解读的内容及形式，及时、准确解读政府出台的政策文件，不断增强政策解读的全面性、详尽性和权威性。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1.收取信息处理费情况。2022年政府信息公开未</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收取信息处理费</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人大代表建议和政协提案办理结果情况。2022年度我局共办理人大代表建议9件、政协提案1件。</w:t>
      </w:r>
    </w:p>
    <w:p>
      <w:pPr>
        <w:ind w:firstLine="640" w:firstLineChars="200"/>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3.年度工作要点落实情况。围绕部门职责，主动公开征地信息、不动产登记数量信息、矿山治理、国土绿化等重点领域民生信息。主动公开执法人员名单、</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instrText xml:space="preserve"> HYPERLINK "http://www.linzi.gov.cn/gongkai/site_lzqzrzyj/channel_c_5f9f6cdc1ebfe2f7fcddefd0_n_1605681613.689/doc_61f4f8d30a87fc0d3282fe9e.html" \t "http://www.linzi.gov.cn/gongkai/site_lzqzrzyj/channel_c_5f9f6cdc1ebfe2f7fcddefd0_n_1605681613.689/_blank" </w:instrTex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土地违法案件情况统计表</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end"/>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等行政执法信息，有力打击自然资源违法行为。持续推进“双随机、一公开”和信用“双公示”有关工作，及时发布2022年度《淄博市临淄区自然资源局</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instrText xml:space="preserve"> HYPERLINK "http://www.linzi.gov.cn/gongkai/site_lzqzrzyj/channel_618dde586005c619aac00495/doc_638604210e5665f34969a3b9.html" \t "http://www.linzi.gov.cn/gongkai/site_lzqzrzyj/channel_c_5f9f6cdc1ebfe2f7fcddefd0_n_1605681603.5979/_blank" </w:instrTex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“双随机、一公开”监管工作实施方案</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end"/>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instrText xml:space="preserve"> HYPERLINK "http://www.linzi.gov.cn/gongkai/site_lzqzrzyj/channel_618dde586005c619aac00495/doc_6385cd60b953bb40805412e1.html" \t "http://www.linzi.gov.cn/gongkai/site_lzqzrzyj/channel_c_5f9f6cdc1ebfe2f7fcddefd0_n_1605681603.5979/_blank" </w:instrTex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淄博市临淄区自然资源局“双随机、一公开”监管工作指引</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fldChar w:fldCharType="end"/>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》，及时制定并公布年度抽查计划，发布抽查事项清单，公开抽查情况结果信息17条。</w:t>
      </w:r>
    </w:p>
    <w:p>
      <w:pPr>
        <w:ind w:firstLine="640" w:firstLineChars="200"/>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4.2022年，政务公开工作无创新举措及其他仍需要报告的事项。</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1CED3"/>
    <w:multiLevelType w:val="singleLevel"/>
    <w:tmpl w:val="2341CE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M2I1NDgwYjQxZTU2ODgwMjVmMGI1Yjk4YmNmZDcifQ=="/>
  </w:docVars>
  <w:rsids>
    <w:rsidRoot w:val="13770A91"/>
    <w:rsid w:val="0021463D"/>
    <w:rsid w:val="00313CA9"/>
    <w:rsid w:val="00B931C0"/>
    <w:rsid w:val="028F35CC"/>
    <w:rsid w:val="02AF506E"/>
    <w:rsid w:val="03A1233D"/>
    <w:rsid w:val="03B61A6C"/>
    <w:rsid w:val="058577DF"/>
    <w:rsid w:val="076C70AA"/>
    <w:rsid w:val="077224E3"/>
    <w:rsid w:val="085B350C"/>
    <w:rsid w:val="090D6C18"/>
    <w:rsid w:val="09E860A3"/>
    <w:rsid w:val="0BBF0389"/>
    <w:rsid w:val="0BD96187"/>
    <w:rsid w:val="0E625C55"/>
    <w:rsid w:val="10D20745"/>
    <w:rsid w:val="11466EF6"/>
    <w:rsid w:val="11C70769"/>
    <w:rsid w:val="12B24C82"/>
    <w:rsid w:val="12C64289"/>
    <w:rsid w:val="12DE2340"/>
    <w:rsid w:val="13770A91"/>
    <w:rsid w:val="140942B6"/>
    <w:rsid w:val="146B50E8"/>
    <w:rsid w:val="150047CE"/>
    <w:rsid w:val="15FA4015"/>
    <w:rsid w:val="16EF2001"/>
    <w:rsid w:val="17550370"/>
    <w:rsid w:val="17742506"/>
    <w:rsid w:val="17A90603"/>
    <w:rsid w:val="184B5D2E"/>
    <w:rsid w:val="185E4A9A"/>
    <w:rsid w:val="19353F17"/>
    <w:rsid w:val="1A2E1A2C"/>
    <w:rsid w:val="1A921751"/>
    <w:rsid w:val="1B321A97"/>
    <w:rsid w:val="1B3F107D"/>
    <w:rsid w:val="1CE2755A"/>
    <w:rsid w:val="21C81A9C"/>
    <w:rsid w:val="220816D9"/>
    <w:rsid w:val="220D67E1"/>
    <w:rsid w:val="22CE26BD"/>
    <w:rsid w:val="238C3E5A"/>
    <w:rsid w:val="24981726"/>
    <w:rsid w:val="24D97E4C"/>
    <w:rsid w:val="24DF0F76"/>
    <w:rsid w:val="25124302"/>
    <w:rsid w:val="25F264AB"/>
    <w:rsid w:val="270A2899"/>
    <w:rsid w:val="28497617"/>
    <w:rsid w:val="2A531C67"/>
    <w:rsid w:val="2BCC7F6B"/>
    <w:rsid w:val="2EFA7322"/>
    <w:rsid w:val="2F2E1FCB"/>
    <w:rsid w:val="34796F56"/>
    <w:rsid w:val="34C90C47"/>
    <w:rsid w:val="353C4E50"/>
    <w:rsid w:val="37960A1C"/>
    <w:rsid w:val="37CE0C48"/>
    <w:rsid w:val="381C620F"/>
    <w:rsid w:val="3AEA4709"/>
    <w:rsid w:val="400224F5"/>
    <w:rsid w:val="410151DB"/>
    <w:rsid w:val="412502FC"/>
    <w:rsid w:val="414B6DC0"/>
    <w:rsid w:val="41E446D2"/>
    <w:rsid w:val="42546669"/>
    <w:rsid w:val="427D492C"/>
    <w:rsid w:val="429C453B"/>
    <w:rsid w:val="47830BD2"/>
    <w:rsid w:val="489B7D00"/>
    <w:rsid w:val="48BB76E5"/>
    <w:rsid w:val="4974541F"/>
    <w:rsid w:val="4B0E5CB8"/>
    <w:rsid w:val="4B1C7F64"/>
    <w:rsid w:val="4D4E1018"/>
    <w:rsid w:val="500656EA"/>
    <w:rsid w:val="505C7C3B"/>
    <w:rsid w:val="55320D2F"/>
    <w:rsid w:val="55A751B5"/>
    <w:rsid w:val="58AF62B7"/>
    <w:rsid w:val="5D9E5396"/>
    <w:rsid w:val="5EEB267A"/>
    <w:rsid w:val="5F491F46"/>
    <w:rsid w:val="60956D42"/>
    <w:rsid w:val="61EF4230"/>
    <w:rsid w:val="62603C76"/>
    <w:rsid w:val="64EE1F53"/>
    <w:rsid w:val="65262D07"/>
    <w:rsid w:val="65896761"/>
    <w:rsid w:val="67B35CFF"/>
    <w:rsid w:val="687A4A6F"/>
    <w:rsid w:val="69B95123"/>
    <w:rsid w:val="6BF45990"/>
    <w:rsid w:val="6C94667A"/>
    <w:rsid w:val="6D922C12"/>
    <w:rsid w:val="6DE515C5"/>
    <w:rsid w:val="6E233C18"/>
    <w:rsid w:val="6EAB3BD4"/>
    <w:rsid w:val="6F3911E0"/>
    <w:rsid w:val="70F55638"/>
    <w:rsid w:val="714B6C39"/>
    <w:rsid w:val="7179763D"/>
    <w:rsid w:val="718F158B"/>
    <w:rsid w:val="72581099"/>
    <w:rsid w:val="729643FB"/>
    <w:rsid w:val="72BC1F11"/>
    <w:rsid w:val="74732A9E"/>
    <w:rsid w:val="757A169D"/>
    <w:rsid w:val="757C1E26"/>
    <w:rsid w:val="794623DE"/>
    <w:rsid w:val="79C72EF3"/>
    <w:rsid w:val="7B3F28F4"/>
    <w:rsid w:val="7BA77978"/>
    <w:rsid w:val="7BF80084"/>
    <w:rsid w:val="7C107445"/>
    <w:rsid w:val="7D034419"/>
    <w:rsid w:val="7F531E4A"/>
    <w:rsid w:val="7F7B5B1B"/>
    <w:rsid w:val="7FA2692E"/>
    <w:rsid w:val="7FE9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customStyle="1" w:styleId="7">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2960</Words>
  <Characters>3100</Characters>
  <Lines>0</Lines>
  <Paragraphs>0</Paragraphs>
  <TotalTime>37</TotalTime>
  <ScaleCrop>false</ScaleCrop>
  <LinksUpToDate>false</LinksUpToDate>
  <CharactersWithSpaces>3115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2022-01-04T06:02:00Z</dcterms:created>
  <dc:creator>Administrator</dc:creator>
  <cp:lastModifiedBy>18875048717</cp:lastModifiedBy>
  <cp:lastPrinted>2022-01-06T02:12:00Z</cp:lastPrinted>
  <dcterms:modified xsi:type="dcterms:W3CDTF">2023-02-08T07:37:17Z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8DABCEE63E4642CDB635ED1A944F66EB</vt:lpwstr>
  </property>
</Properties>
</file>