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临淄区自然资源局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2021年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政府信息公开工作年度报告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按照《国务院办公厅政府信息与政务公开办公室关于印发&lt;中华人民共和国政府信息公开工作年度报告格式&gt;的通知》(国办公开办函〔2021〕30号)和《中华人民共和国政府信息公开条例》要求编制，全文包括总体情况、主动公开政府信息情况、收到和处理政府信息公开申请情况、政府信息公开行政复议及行政诉讼情况、政府信息公开工作存在的主要问题及改进情况、其他需要报告的事项。本年度报告中所列数据统计期限从2021年1月1日到12月31日止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一、总体情况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年，在区委区政府和市局的正确领导下，</w:t>
      </w:r>
      <w:r>
        <w:rPr>
          <w:rFonts w:hint="eastAsia"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我</w:t>
      </w:r>
      <w:r>
        <w:rPr>
          <w:rFonts w:hint="eastAsia"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局认真贯彻落实《中华人民共和国政府信息公开条例》的有关规定，坚持“以公开为常态，以不公开为例外”的原则，</w:t>
      </w:r>
      <w:r>
        <w:rPr>
          <w:rFonts w:hint="eastAsia"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着重</w:t>
      </w:r>
      <w:r>
        <w:rPr>
          <w:rFonts w:hint="eastAsia"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落实政府信息主动公开新要求，</w:t>
      </w:r>
      <w:r>
        <w:rPr>
          <w:rFonts w:hint="eastAsia"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积极稳妥的推进政府信息公开工作，</w:t>
      </w:r>
      <w:r>
        <w:rPr>
          <w:rFonts w:hint="eastAsia"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不断优化政务服务，依法保障公众合理信息需求，并通过认真开展政策解读工作，积极回应社会关切问题，完善平台渠道建设等，使各项工作得以顺利进行。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（一）主动公开政府信息情况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textAlignment w:val="auto"/>
        <w:rPr>
          <w:rFonts w:hint="default" w:ascii="仿宋_GB2312" w:hAnsi="仿宋_GB2312" w:eastAsia="仿宋_GB2312" w:cs="仿宋_GB2312"/>
          <w:b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1.主动公开情况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Style w:val="5"/>
          <w:rFonts w:hint="eastAsi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2021年，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在临淄区人民政府网站公开信息650余条，在微信公众号发布信息140余条；在山东省征地信息公开管理系统发布信息260余条；在山东省“互联网+监管”系统发布信息80余条。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1"/>
        <w:jc w:val="both"/>
        <w:textAlignment w:val="auto"/>
        <w:rPr>
          <w:rFonts w:ascii="微软雅黑" w:hAnsi="微软雅黑" w:eastAsia="微软雅黑" w:cs="微软雅黑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Style w:val="5"/>
          <w:rFonts w:ascii="仿宋_GB2312" w:hAnsi="微软雅黑" w:eastAsia="仿宋_GB2312" w:cs="仿宋_GB2312"/>
          <w:b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2</w:t>
      </w:r>
      <w:r>
        <w:rPr>
          <w:rStyle w:val="5"/>
          <w:rFonts w:hint="eastAsia" w:ascii="仿宋_GB2312" w:hAnsi="微软雅黑" w:eastAsia="仿宋_GB2312" w:cs="仿宋_GB2312"/>
          <w:b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.主动公开途径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textAlignment w:val="auto"/>
        <w:rPr>
          <w:rFonts w:hint="eastAsia" w:ascii="仿宋_GB2312" w:hAnsi="微软雅黑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（1）政府门户网站。主动公开信息由信息中心专人负责上传临淄区人民政府门户网站、主办业务科室负责专人上传淄博市公共资源交易网</w:t>
      </w:r>
      <w:r>
        <w:rPr>
          <w:rFonts w:hint="eastAsia" w:ascii="仿宋_GB2312" w:hAnsi="微软雅黑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等网站</w:t>
      </w:r>
      <w:r>
        <w:rPr>
          <w:rFonts w:hint="eastAsia" w:ascii="仿宋_GB2312" w:hAnsi="微软雅黑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。通过临淄区人民政府门户网站对外公开信息</w:t>
      </w:r>
      <w:r>
        <w:rPr>
          <w:rFonts w:hint="eastAsia" w:ascii="仿宋_GB2312" w:hAnsi="微软雅黑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650</w:t>
      </w:r>
      <w:r>
        <w:rPr>
          <w:rFonts w:hint="eastAsia" w:ascii="仿宋_GB2312" w:hAnsi="微软雅黑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余条。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textAlignment w:val="auto"/>
        <w:rPr>
          <w:rFonts w:hint="eastAsia" w:ascii="仿宋_GB2312" w:hAnsi="微软雅黑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3040" cy="4034790"/>
            <wp:effectExtent l="0" t="0" r="3810" b="3810"/>
            <wp:docPr id="1" name="图片 1" descr="8ebcd72ad8edb37c76698b194af2a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ebcd72ad8edb37c76698b194af2a4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03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jc w:val="center"/>
        <w:textAlignment w:val="auto"/>
        <w:rPr>
          <w:rFonts w:hint="eastAsia" w:ascii="仿宋_GB2312" w:hAnsi="微软雅黑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楷体_GB2312" w:hAnsi="宋体" w:eastAsia="楷体_GB2312" w:cs="楷体_GB2312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图1.业务工作信息截图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1"/>
        <w:textAlignment w:val="auto"/>
        <w:rPr>
          <w:rFonts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（2）微信公众号。通过“临淄自然资源”公众号，发布信息</w:t>
      </w:r>
      <w:r>
        <w:rPr>
          <w:rFonts w:hint="eastAsia"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140</w:t>
      </w:r>
      <w:r>
        <w:rPr>
          <w:rFonts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余条。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textAlignment w:val="auto"/>
        <w:rPr>
          <w:rFonts w:hint="eastAsia"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886835" cy="5162550"/>
            <wp:effectExtent l="0" t="0" r="18415" b="0"/>
            <wp:docPr id="2" name="图片 2" descr="242457ffab292cae5a8c31bf4324c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42457ffab292cae5a8c31bf4324c5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86835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/>
        <w:jc w:val="center"/>
        <w:textAlignment w:val="auto"/>
        <w:rPr>
          <w:rFonts w:hint="eastAsia"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ascii="楷体_GB2312" w:hAnsi="宋体" w:eastAsia="楷体_GB2312" w:cs="楷体_GB2312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图2.微信公众号工作信息截图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1"/>
        <w:jc w:val="both"/>
        <w:textAlignment w:val="auto"/>
        <w:rPr>
          <w:rFonts w:ascii="微软雅黑" w:hAnsi="微软雅黑" w:eastAsia="微软雅黑" w:cs="微软雅黑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楷体_GB2312" w:hAnsi="微软雅黑" w:eastAsia="楷体_GB2312" w:cs="楷体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楷体_GB2312" w:hAnsi="微软雅黑" w:eastAsia="楷体_GB2312" w:cs="楷体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ascii="楷体_GB2312" w:hAnsi="微软雅黑" w:eastAsia="楷体_GB2312" w:cs="楷体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)依申请公开办理情况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坚持依申请公开政府信息工作机制，畅通申请渠道，目前我局受理政府信息公开申请以当面为主，邮寄及网络申请为辅，多种方式方便申请人选择适合自己的方法申请政府信息。</w:t>
      </w:r>
      <w:r>
        <w:rPr>
          <w:rFonts w:ascii="仿宋_GB2312" w:hAnsi="微软雅黑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微软雅黑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ascii="仿宋_GB2312" w:hAnsi="微软雅黑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年度接收公民和法人政府信息公开申请</w:t>
      </w:r>
      <w:r>
        <w:rPr>
          <w:rFonts w:hint="eastAsia" w:ascii="仿宋_GB2312" w:hAnsi="微软雅黑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61</w:t>
      </w:r>
      <w:r>
        <w:rPr>
          <w:rFonts w:ascii="仿宋_GB2312" w:hAnsi="微软雅黑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件，</w:t>
      </w:r>
      <w:r>
        <w:rPr>
          <w:rFonts w:hint="eastAsia" w:ascii="仿宋_GB2312" w:hAnsi="微软雅黑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按时办结61件，对收到的所有申请均按照规定认真办理</w:t>
      </w:r>
      <w:r>
        <w:rPr>
          <w:rFonts w:ascii="仿宋_GB2312" w:hAnsi="微软雅黑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并留存归档。</w:t>
      </w:r>
      <w:r>
        <w:rPr>
          <w:rFonts w:hint="eastAsia" w:ascii="仿宋_GB2312" w:hAnsi="微软雅黑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同时</w:t>
      </w:r>
      <w:r>
        <w:rPr>
          <w:rFonts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严格执行政府信息公开前保密审查制度，制作保密审查单并由分管领导签字，规范政府信息公开的审查程序，202</w:t>
      </w:r>
      <w:r>
        <w:rPr>
          <w:rFonts w:hint="eastAsia"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年未发生泄密事件。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1"/>
        <w:jc w:val="both"/>
        <w:textAlignment w:val="auto"/>
        <w:rPr>
          <w:rFonts w:hint="eastAsia" w:ascii="楷体_GB2312" w:hAnsi="微软雅黑" w:eastAsia="楷体_GB2312" w:cs="楷体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微软雅黑" w:eastAsia="楷体_GB2312" w:cs="楷体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政府信息管理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楷体_GB2312" w:hAnsi="微软雅黑" w:eastAsia="仿宋_GB2312" w:cs="楷体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局办公室负责单位政务公开工作，确定专人负责政务公开工作，严格执行政务公开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“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先审查、后公开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”</w:t>
      </w:r>
      <w:r>
        <w:rPr>
          <w:rFonts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保密审查制度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确保公开信息不泄密。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楷体_GB2312" w:hAnsi="微软雅黑" w:eastAsia="楷体_GB2312" w:cs="楷体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微软雅黑" w:eastAsia="楷体_GB2312" w:cs="楷体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（四）政府信息公开平台建设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1"/>
        <w:jc w:val="both"/>
        <w:textAlignment w:val="auto"/>
        <w:rPr>
          <w:rFonts w:hint="eastAsia" w:ascii="楷体_GB2312" w:hAnsi="微软雅黑" w:eastAsia="楷体_GB2312" w:cs="楷体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在临淄区政府网站设立临淄区</w:t>
      </w:r>
      <w:r>
        <w:rPr>
          <w:rFonts w:hint="eastAsia"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自然资源</w:t>
      </w:r>
      <w:r>
        <w:rPr>
          <w:rFonts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局政府信息公开专栏，</w:t>
      </w:r>
      <w:r>
        <w:rPr>
          <w:rFonts w:hint="eastAsia"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同时在“临淄自然资源”微信公众号上及时发布相关政府信息，</w:t>
      </w:r>
      <w:r>
        <w:rPr>
          <w:rFonts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确保政府信息依法</w:t>
      </w:r>
      <w:r>
        <w:rPr>
          <w:rFonts w:hint="eastAsia"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及时</w:t>
      </w:r>
      <w:r>
        <w:rPr>
          <w:rFonts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公开。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1"/>
        <w:jc w:val="both"/>
        <w:textAlignment w:val="auto"/>
        <w:rPr>
          <w:rFonts w:hint="eastAsia" w:ascii="楷体_GB2312" w:hAnsi="微软雅黑" w:eastAsia="楷体_GB2312" w:cs="楷体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微软雅黑" w:eastAsia="楷体_GB2312" w:cs="楷体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（五）</w:t>
      </w:r>
      <w:r>
        <w:rPr>
          <w:rFonts w:hint="eastAsia" w:ascii="楷体_GB2312" w:hAnsi="微软雅黑" w:eastAsia="楷体_GB2312" w:cs="楷体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监督保障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1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我局由局长任组长，全体局党组成员任副组长，各部门负责人为成员的局政府信息公开领导小组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对政府信息公开工作负总责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局办公室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具体负责政府信息公开工作的开展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同时将政府信息公开工作纳入年底考核，根据公开情况及应诉复议结果对各科室综合打分，保障政府信息公开工作落地落实。</w:t>
      </w:r>
    </w:p>
    <w:p>
      <w:pPr>
        <w:ind w:firstLine="648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二、主动公开政府信息情况</w:t>
      </w:r>
    </w:p>
    <w:p>
      <w:pPr>
        <w:spacing w:before="9"/>
        <w:jc w:val="left"/>
        <w:rPr>
          <w:rFonts w:ascii="宋体" w:hAnsi="宋体" w:eastAsia="宋体" w:cs="宋体"/>
          <w:kern w:val="0"/>
          <w:szCs w:val="21"/>
        </w:rPr>
      </w:pPr>
    </w:p>
    <w:tbl>
      <w:tblPr>
        <w:tblStyle w:val="6"/>
        <w:tblW w:w="878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50"/>
        <w:gridCol w:w="1686"/>
        <w:gridCol w:w="1803"/>
        <w:gridCol w:w="184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  <w:jc w:val="center"/>
        </w:trPr>
        <w:tc>
          <w:tcPr>
            <w:tcW w:w="8787" w:type="dxa"/>
            <w:gridSpan w:val="4"/>
            <w:tcBorders>
              <w:top w:val="single" w:color="2B283F" w:sz="8" w:space="0"/>
              <w:left w:val="single" w:color="3B3B44" w:sz="6" w:space="0"/>
              <w:bottom w:val="single" w:color="64647C" w:sz="4" w:space="0"/>
              <w:right w:val="single" w:color="3B3B44" w:sz="8" w:space="0"/>
            </w:tcBorders>
          </w:tcPr>
          <w:p>
            <w:pPr>
              <w:tabs>
                <w:tab w:val="left" w:pos="1048"/>
              </w:tabs>
              <w:spacing w:before="142"/>
              <w:ind w:left="-1" w:right="1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第二十条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ab/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第 （一）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exact"/>
          <w:jc w:val="center"/>
        </w:trPr>
        <w:tc>
          <w:tcPr>
            <w:tcW w:w="3450" w:type="dxa"/>
            <w:tcBorders>
              <w:top w:val="single" w:color="64647C" w:sz="4" w:space="0"/>
              <w:left w:val="single" w:color="3B3B44" w:sz="6" w:space="0"/>
              <w:bottom w:val="single" w:color="707790" w:sz="4" w:space="0"/>
              <w:right w:val="single" w:color="7C7C83" w:sz="4" w:space="0"/>
            </w:tcBorders>
          </w:tcPr>
          <w:p>
            <w:pPr>
              <w:spacing w:before="135"/>
              <w:ind w:right="27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信息内容</w:t>
            </w:r>
          </w:p>
        </w:tc>
        <w:tc>
          <w:tcPr>
            <w:tcW w:w="1686" w:type="dxa"/>
            <w:tcBorders>
              <w:top w:val="single" w:color="64647C" w:sz="4" w:space="0"/>
              <w:left w:val="single" w:color="7C7C83" w:sz="4" w:space="0"/>
              <w:bottom w:val="single" w:color="707790" w:sz="4" w:space="0"/>
              <w:right w:val="single" w:color="777780" w:sz="4" w:space="0"/>
            </w:tcBorders>
          </w:tcPr>
          <w:p>
            <w:pPr>
              <w:spacing w:before="135"/>
              <w:ind w:left="216"/>
              <w:jc w:val="left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本年制发件数</w:t>
            </w:r>
          </w:p>
        </w:tc>
        <w:tc>
          <w:tcPr>
            <w:tcW w:w="1803" w:type="dxa"/>
            <w:tcBorders>
              <w:top w:val="single" w:color="64647C" w:sz="4" w:space="0"/>
              <w:left w:val="single" w:color="777780" w:sz="4" w:space="0"/>
              <w:bottom w:val="single" w:color="835B67" w:sz="4" w:space="0"/>
              <w:right w:val="single" w:color="606064" w:sz="2" w:space="0"/>
            </w:tcBorders>
          </w:tcPr>
          <w:p>
            <w:pPr>
              <w:spacing w:before="135"/>
              <w:ind w:left="275"/>
              <w:jc w:val="left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本年废止件数</w:t>
            </w:r>
          </w:p>
        </w:tc>
        <w:tc>
          <w:tcPr>
            <w:tcW w:w="1848" w:type="dxa"/>
            <w:tcBorders>
              <w:top w:val="single" w:color="64647C" w:sz="4" w:space="0"/>
              <w:left w:val="single" w:color="606064" w:sz="2" w:space="0"/>
              <w:bottom w:val="single" w:color="835B67" w:sz="4" w:space="0"/>
              <w:right w:val="single" w:color="3B3B44" w:sz="8" w:space="0"/>
            </w:tcBorders>
          </w:tcPr>
          <w:p>
            <w:pPr>
              <w:spacing w:before="130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exact"/>
          <w:jc w:val="center"/>
        </w:trPr>
        <w:tc>
          <w:tcPr>
            <w:tcW w:w="3450" w:type="dxa"/>
            <w:tcBorders>
              <w:top w:val="single" w:color="707790" w:sz="4" w:space="0"/>
              <w:left w:val="single" w:color="3B3B44" w:sz="6" w:space="0"/>
              <w:bottom w:val="single" w:color="747487" w:sz="4" w:space="0"/>
              <w:right w:val="single" w:color="97979C" w:sz="4" w:space="0"/>
            </w:tcBorders>
          </w:tcPr>
          <w:p>
            <w:pPr>
              <w:spacing w:before="147"/>
              <w:ind w:left="93"/>
              <w:jc w:val="left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规章</w:t>
            </w:r>
          </w:p>
        </w:tc>
        <w:tc>
          <w:tcPr>
            <w:tcW w:w="1686" w:type="dxa"/>
            <w:tcBorders>
              <w:top w:val="single" w:color="707790" w:sz="4" w:space="0"/>
              <w:left w:val="single" w:color="97979C" w:sz="4" w:space="0"/>
              <w:bottom w:val="single" w:color="747487" w:sz="4" w:space="0"/>
              <w:right w:val="single" w:color="939397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803" w:type="dxa"/>
            <w:tcBorders>
              <w:top w:val="single" w:color="835B67" w:sz="4" w:space="0"/>
              <w:left w:val="single" w:color="939397" w:sz="4" w:space="0"/>
              <w:bottom w:val="single" w:color="546080" w:sz="2" w:space="0"/>
              <w:right w:val="single" w:color="97939C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848" w:type="dxa"/>
            <w:tcBorders>
              <w:top w:val="single" w:color="835B67" w:sz="4" w:space="0"/>
              <w:left w:val="single" w:color="97939C" w:sz="4" w:space="0"/>
              <w:bottom w:val="single" w:color="74778C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  <w:jc w:val="center"/>
        </w:trPr>
        <w:tc>
          <w:tcPr>
            <w:tcW w:w="3450" w:type="dxa"/>
            <w:tcBorders>
              <w:top w:val="single" w:color="747487" w:sz="4" w:space="0"/>
              <w:left w:val="single" w:color="3B3B44" w:sz="6" w:space="0"/>
              <w:bottom w:val="single" w:color="5B6080" w:sz="4" w:space="0"/>
              <w:right w:val="single" w:color="97979C" w:sz="4" w:space="0"/>
            </w:tcBorders>
          </w:tcPr>
          <w:p>
            <w:pPr>
              <w:spacing w:before="138"/>
              <w:ind w:left="93"/>
              <w:jc w:val="left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行政规范性文件</w:t>
            </w:r>
          </w:p>
        </w:tc>
        <w:tc>
          <w:tcPr>
            <w:tcW w:w="1686" w:type="dxa"/>
            <w:tcBorders>
              <w:top w:val="single" w:color="747487" w:sz="4" w:space="0"/>
              <w:left w:val="single" w:color="97979C" w:sz="4" w:space="0"/>
              <w:bottom w:val="single" w:color="5B6080" w:sz="4" w:space="0"/>
              <w:right w:val="single" w:color="939397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03" w:type="dxa"/>
            <w:tcBorders>
              <w:top w:val="single" w:color="546080" w:sz="2" w:space="0"/>
              <w:left w:val="single" w:color="939397" w:sz="4" w:space="0"/>
              <w:bottom w:val="single" w:color="5B6080" w:sz="4" w:space="0"/>
              <w:right w:val="single" w:color="97939C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1848" w:type="dxa"/>
            <w:tcBorders>
              <w:top w:val="single" w:color="74778C" w:sz="4" w:space="0"/>
              <w:left w:val="single" w:color="97939C" w:sz="4" w:space="0"/>
              <w:bottom w:val="single" w:color="5B6080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  <w:jc w:val="center"/>
        </w:trPr>
        <w:tc>
          <w:tcPr>
            <w:tcW w:w="8787" w:type="dxa"/>
            <w:gridSpan w:val="4"/>
            <w:tcBorders>
              <w:top w:val="single" w:color="5B6080" w:sz="4" w:space="0"/>
              <w:left w:val="single" w:color="3B3B44" w:sz="6" w:space="0"/>
              <w:bottom w:val="single" w:color="646B80" w:sz="4" w:space="0"/>
              <w:right w:val="single" w:color="3B3B3F" w:sz="8" w:space="0"/>
            </w:tcBorders>
          </w:tcPr>
          <w:p>
            <w:pPr>
              <w:tabs>
                <w:tab w:val="left" w:pos="1049"/>
              </w:tabs>
              <w:spacing w:before="140"/>
              <w:ind w:left="5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第二十条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ab/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第 （五）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  <w:jc w:val="center"/>
        </w:trPr>
        <w:tc>
          <w:tcPr>
            <w:tcW w:w="3450" w:type="dxa"/>
            <w:tcBorders>
              <w:top w:val="single" w:color="646B80" w:sz="4" w:space="0"/>
              <w:left w:val="single" w:color="3B3B44" w:sz="6" w:space="0"/>
              <w:bottom w:val="single" w:color="80676B" w:sz="4" w:space="0"/>
              <w:right w:val="single" w:color="878787" w:sz="4" w:space="0"/>
            </w:tcBorders>
          </w:tcPr>
          <w:p>
            <w:pPr>
              <w:spacing w:before="138"/>
              <w:ind w:right="17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信息内容</w:t>
            </w:r>
          </w:p>
        </w:tc>
        <w:tc>
          <w:tcPr>
            <w:tcW w:w="5337" w:type="dxa"/>
            <w:gridSpan w:val="3"/>
            <w:tcBorders>
              <w:top w:val="single" w:color="646B80" w:sz="4" w:space="0"/>
              <w:left w:val="single" w:color="878787" w:sz="4" w:space="0"/>
              <w:bottom w:val="single" w:color="7C7474" w:sz="4" w:space="0"/>
              <w:right w:val="single" w:color="3B3B3F" w:sz="8" w:space="0"/>
            </w:tcBorders>
          </w:tcPr>
          <w:p>
            <w:pPr>
              <w:spacing w:before="142"/>
              <w:ind w:right="16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  <w:jc w:val="center"/>
        </w:trPr>
        <w:tc>
          <w:tcPr>
            <w:tcW w:w="3450" w:type="dxa"/>
            <w:tcBorders>
              <w:top w:val="single" w:color="80676B" w:sz="4" w:space="0"/>
              <w:left w:val="single" w:color="3B3B44" w:sz="6" w:space="0"/>
              <w:bottom w:val="single" w:color="646487" w:sz="4" w:space="0"/>
              <w:right w:val="single" w:color="878787" w:sz="4" w:space="0"/>
            </w:tcBorders>
          </w:tcPr>
          <w:p>
            <w:pPr>
              <w:spacing w:before="140"/>
              <w:ind w:left="98"/>
              <w:jc w:val="left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行政许可</w:t>
            </w:r>
          </w:p>
        </w:tc>
        <w:tc>
          <w:tcPr>
            <w:tcW w:w="5337" w:type="dxa"/>
            <w:gridSpan w:val="3"/>
            <w:tcBorders>
              <w:top w:val="single" w:color="7C7474" w:sz="4" w:space="0"/>
              <w:left w:val="single" w:color="878787" w:sz="4" w:space="0"/>
              <w:bottom w:val="single" w:color="646487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exact"/>
          <w:jc w:val="center"/>
        </w:trPr>
        <w:tc>
          <w:tcPr>
            <w:tcW w:w="8787" w:type="dxa"/>
            <w:gridSpan w:val="4"/>
            <w:tcBorders>
              <w:top w:val="single" w:color="646487" w:sz="4" w:space="0"/>
              <w:left w:val="single" w:color="3B3B44" w:sz="6" w:space="0"/>
              <w:bottom w:val="single" w:color="607087" w:sz="4" w:space="0"/>
              <w:right w:val="single" w:color="3B3B3F" w:sz="8" w:space="0"/>
            </w:tcBorders>
          </w:tcPr>
          <w:p>
            <w:pPr>
              <w:tabs>
                <w:tab w:val="left" w:pos="1059"/>
              </w:tabs>
              <w:spacing w:before="142"/>
              <w:ind w:left="15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第二十条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ab/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第 （六）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exact"/>
          <w:jc w:val="center"/>
        </w:trPr>
        <w:tc>
          <w:tcPr>
            <w:tcW w:w="3450" w:type="dxa"/>
            <w:tcBorders>
              <w:top w:val="single" w:color="607087" w:sz="4" w:space="0"/>
              <w:left w:val="single" w:color="3B3B44" w:sz="6" w:space="0"/>
              <w:bottom w:val="single" w:color="8C7774" w:sz="4" w:space="0"/>
              <w:right w:val="single" w:color="909093" w:sz="4" w:space="0"/>
            </w:tcBorders>
          </w:tcPr>
          <w:p>
            <w:pPr>
              <w:spacing w:before="142"/>
              <w:ind w:right="8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信息内容</w:t>
            </w:r>
          </w:p>
        </w:tc>
        <w:tc>
          <w:tcPr>
            <w:tcW w:w="5337" w:type="dxa"/>
            <w:gridSpan w:val="3"/>
            <w:tcBorders>
              <w:top w:val="single" w:color="607087" w:sz="4" w:space="0"/>
              <w:left w:val="single" w:color="909093" w:sz="4" w:space="0"/>
              <w:bottom w:val="single" w:color="747074" w:sz="4" w:space="0"/>
              <w:right w:val="single" w:color="3B3B3F" w:sz="8" w:space="0"/>
            </w:tcBorders>
          </w:tcPr>
          <w:p>
            <w:pPr>
              <w:spacing w:before="142"/>
              <w:ind w:right="13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3450" w:type="dxa"/>
            <w:tcBorders>
              <w:top w:val="single" w:color="8C7774" w:sz="4" w:space="0"/>
              <w:left w:val="single" w:color="3B3B44" w:sz="6" w:space="0"/>
              <w:bottom w:val="single" w:color="7C6B74" w:sz="4" w:space="0"/>
              <w:right w:val="single" w:color="909093" w:sz="4" w:space="0"/>
            </w:tcBorders>
          </w:tcPr>
          <w:p>
            <w:pPr>
              <w:spacing w:before="139"/>
              <w:ind w:left="102"/>
              <w:jc w:val="left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行政处罚</w:t>
            </w:r>
          </w:p>
        </w:tc>
        <w:tc>
          <w:tcPr>
            <w:tcW w:w="5337" w:type="dxa"/>
            <w:gridSpan w:val="3"/>
            <w:tcBorders>
              <w:top w:val="single" w:color="747074" w:sz="4" w:space="0"/>
              <w:left w:val="single" w:color="909093" w:sz="4" w:space="0"/>
              <w:bottom w:val="single" w:color="7C6B74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exact"/>
          <w:jc w:val="center"/>
        </w:trPr>
        <w:tc>
          <w:tcPr>
            <w:tcW w:w="3450" w:type="dxa"/>
            <w:tcBorders>
              <w:top w:val="single" w:color="7C6B74" w:sz="4" w:space="0"/>
              <w:left w:val="single" w:color="3B3B44" w:sz="6" w:space="0"/>
              <w:bottom w:val="single" w:color="646080" w:sz="4" w:space="0"/>
              <w:right w:val="single" w:color="909093" w:sz="4" w:space="0"/>
            </w:tcBorders>
          </w:tcPr>
          <w:p>
            <w:pPr>
              <w:spacing w:before="138"/>
              <w:ind w:left="107"/>
              <w:jc w:val="left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行政强制</w:t>
            </w:r>
          </w:p>
        </w:tc>
        <w:tc>
          <w:tcPr>
            <w:tcW w:w="5337" w:type="dxa"/>
            <w:gridSpan w:val="3"/>
            <w:tcBorders>
              <w:top w:val="single" w:color="7C6B74" w:sz="4" w:space="0"/>
              <w:left w:val="single" w:color="909093" w:sz="4" w:space="0"/>
              <w:bottom w:val="single" w:color="646080" w:sz="4" w:space="0"/>
              <w:right w:val="single" w:color="3B3B3F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jc w:val="center"/>
        </w:trPr>
        <w:tc>
          <w:tcPr>
            <w:tcW w:w="8787" w:type="dxa"/>
            <w:gridSpan w:val="4"/>
            <w:tcBorders>
              <w:top w:val="single" w:color="646080" w:sz="4" w:space="0"/>
              <w:left w:val="single" w:color="3B3B44" w:sz="6" w:space="0"/>
              <w:bottom w:val="nil"/>
              <w:right w:val="single" w:color="3B3B3F" w:sz="8" w:space="0"/>
            </w:tcBorders>
          </w:tcPr>
          <w:p>
            <w:pPr>
              <w:tabs>
                <w:tab w:val="left" w:pos="1068"/>
              </w:tabs>
              <w:spacing w:before="142"/>
              <w:ind w:left="25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第二十条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ab/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第 （八）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exact"/>
          <w:jc w:val="center"/>
        </w:trPr>
        <w:tc>
          <w:tcPr>
            <w:tcW w:w="3450" w:type="dxa"/>
            <w:tcBorders>
              <w:top w:val="single" w:color="6B747C" w:sz="4" w:space="0"/>
              <w:left w:val="single" w:color="5B5B60" w:sz="6" w:space="0"/>
              <w:bottom w:val="single" w:color="77778C" w:sz="4" w:space="0"/>
              <w:right w:val="single" w:color="auto" w:sz="4" w:space="0"/>
            </w:tcBorders>
          </w:tcPr>
          <w:p>
            <w:pPr>
              <w:spacing w:before="135"/>
              <w:ind w:right="1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信息内容</w:t>
            </w:r>
          </w:p>
        </w:tc>
        <w:tc>
          <w:tcPr>
            <w:tcW w:w="53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45"/>
              <w:ind w:left="1446"/>
              <w:jc w:val="left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本年收费金额  （单位 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jc w:val="center"/>
        </w:trPr>
        <w:tc>
          <w:tcPr>
            <w:tcW w:w="3450" w:type="dxa"/>
            <w:tcBorders>
              <w:top w:val="single" w:color="77778C" w:sz="4" w:space="0"/>
              <w:left w:val="single" w:color="5B5B60" w:sz="6" w:space="0"/>
              <w:bottom w:val="single" w:color="3B383F" w:sz="8" w:space="0"/>
              <w:right w:val="single" w:color="8C8C93" w:sz="2" w:space="0"/>
            </w:tcBorders>
          </w:tcPr>
          <w:p>
            <w:pPr>
              <w:spacing w:before="138"/>
              <w:ind w:left="107"/>
              <w:jc w:val="left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行政事业性收费</w:t>
            </w:r>
          </w:p>
        </w:tc>
        <w:tc>
          <w:tcPr>
            <w:tcW w:w="5337" w:type="dxa"/>
            <w:gridSpan w:val="3"/>
            <w:tcBorders>
              <w:top w:val="single" w:color="77778C" w:sz="4" w:space="0"/>
              <w:left w:val="single" w:color="8C8C93" w:sz="2" w:space="0"/>
              <w:bottom w:val="single" w:color="3B383F" w:sz="8" w:space="0"/>
              <w:right w:val="single" w:color="3B3B44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167.49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三、收到和处理政府信息公开申请情况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黑体" w:hAnsi="黑体" w:eastAsia="黑体" w:cs="黑体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6"/>
        <w:gridCol w:w="943"/>
        <w:gridCol w:w="3217"/>
        <w:gridCol w:w="691"/>
        <w:gridCol w:w="688"/>
        <w:gridCol w:w="688"/>
        <w:gridCol w:w="688"/>
        <w:gridCol w:w="688"/>
        <w:gridCol w:w="688"/>
        <w:gridCol w:w="69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楷体" w:hAnsi="楷体" w:eastAsia="楷体" w:cs="楷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（本列数据的勾稽关系为：第一项加第二项之和，等于第三项加第四项之和）</w:t>
            </w:r>
          </w:p>
        </w:tc>
        <w:tc>
          <w:tcPr>
            <w:tcW w:w="4822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1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法人或其他组织</w:t>
            </w:r>
          </w:p>
        </w:tc>
        <w:tc>
          <w:tcPr>
            <w:tcW w:w="691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科研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691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一、本年新收政府信息公开申请数量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二、上年结转政府信息公开申请数量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三、本年度办理结果</w:t>
            </w:r>
          </w:p>
        </w:tc>
        <w:tc>
          <w:tcPr>
            <w:tcW w:w="41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（一）予以公开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（二）部分公开</w:t>
            </w:r>
            <w:r>
              <w:rPr>
                <w:rFonts w:hint="eastAsia" w:ascii="楷体" w:hAnsi="楷体" w:eastAsia="楷体" w:cs="楷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（区分处理的，只计这一情形，不计其他情形）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（三）不予公开</w:t>
            </w: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1.属于国家秘密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2.其他法律行政法规禁止公开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3.危及“三安全一稳定”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4.保护第三方合法权益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5.属于三类内部事务信息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6.属于四类过程性信息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7.属于行政执法案卷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8.属于行政查询事项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（四）无法提供</w:t>
            </w: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1.本机关不掌握相关政府信息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2.没有现成信息需要另行制作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3.补正后申请内容仍不明确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（五）不予处理</w:t>
            </w: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1.信访举报投诉类申请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2.重复申请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3.要求提供公开出版物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4.无正当理由大量反复申请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6" w:type="dxa"/>
            <w:vMerge w:val="continue"/>
            <w:tcBorders>
              <w:top w:val="single" w:color="auto" w:sz="4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7" w:type="dxa"/>
            <w:tcBorders>
              <w:top w:val="single" w:color="auto" w:sz="4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5.要求行政机关确认或重新出具已获取信息</w:t>
            </w:r>
          </w:p>
        </w:tc>
        <w:tc>
          <w:tcPr>
            <w:tcW w:w="691" w:type="dxa"/>
            <w:tcBorders>
              <w:top w:val="single" w:color="auto" w:sz="4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tcBorders>
              <w:top w:val="single" w:color="auto" w:sz="4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（六）其他处理</w:t>
            </w: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1.申请人无正当理由逾期不补正、行政机关不再处理其政府信息公开申请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2.申请人逾期未按收费通知要求缴纳费用、行政机关不再处理其政府信息公开申请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3.其他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（七）总计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四、结转下年度继续办理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四、政府信息公开行政复议、行政诉讼情况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tbl>
      <w:tblPr>
        <w:tblStyle w:val="3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尚未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尚未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尚未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五、存在的主要问题及改进情况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(一)存在的主要问题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一是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部分工作人员对依申请政府信息公开政策掌握不准确，存在误解，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信息公开水平有待提高;二是部分重点领域信息公开及时性、全面性覆盖不够;三是涉及群众利益的政策解读力度还有待加强。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(二)改进措施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1.严格人员培训。建立培训工作常态化机制，加强工作人员对待政府信息公开的重视，采取专题培训、座谈讨论等方式，进一步加大培训力度，扩大培训范围。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2.积极拓宽政府信息公开渠道和途径。借助多媒体、自媒体、电视、政府门户网站等媒介主动公开政府信息，切实保障人民群众的知情权、参与权和监督权，提升政府公信力和执行力。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3.进一步做好涉及群众利益政策的解读回应。健全信息发布和解读机制，及时、准确解读政府出台的政策文件，可利用开展答疑小课堂等形式主动增强政策解读的时效性、针对性和权威性。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六、其他需要报告的事项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1.收取信息处理费情况。2021年政府信息公开未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收取信息处理费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2.人大代表建议和政协提案办理结果情况。</w:t>
      </w:r>
      <w:r>
        <w:rPr>
          <w:rFonts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我局对人大建议和政协提案办理结果及时公开，202</w:t>
      </w:r>
      <w:r>
        <w:rPr>
          <w:rFonts w:hint="eastAsia"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年，通过网站公开人大代表建议办理情况</w:t>
      </w:r>
      <w:r>
        <w:rPr>
          <w:rFonts w:hint="eastAsia"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件，公开政协委员提案办理情况</w:t>
      </w:r>
      <w:r>
        <w:rPr>
          <w:rFonts w:hint="eastAsia"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件。</w:t>
      </w:r>
    </w:p>
    <w:p>
      <w:pPr>
        <w:ind w:firstLine="640" w:firstLineChars="200"/>
        <w:rPr>
          <w:rFonts w:hint="eastAsia"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3.年度工作要点落实情况。围绕部门职责职能，主动公开权责清单、征地信息、不动产登记数量信息、矿山治理、国土绿化等重点民生工作。主动公开行政执法结果信息，有力打击自然资源违法行为。做好“双随机、一公开”监管信息公示工作，发布《临淄区自然资源局“双随机、一公开”监管工作实施方案》和《临淄区自然资源局“双随机、一公开”监管工作指引》，制定年度抽查计划，发布随机抽查事项清单，公开抽查结果信息18条。</w:t>
      </w:r>
    </w:p>
    <w:p>
      <w:pPr>
        <w:ind w:firstLine="640" w:firstLineChars="200"/>
        <w:rPr>
          <w:rFonts w:hint="eastAsia"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4.2021年，政务公开工作无创新举措及其他仍需要报告的事项。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1CED3"/>
    <w:multiLevelType w:val="singleLevel"/>
    <w:tmpl w:val="2341CED3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770A91"/>
    <w:rsid w:val="0021463D"/>
    <w:rsid w:val="00B931C0"/>
    <w:rsid w:val="028F35CC"/>
    <w:rsid w:val="02AF506E"/>
    <w:rsid w:val="03A1233D"/>
    <w:rsid w:val="058577DF"/>
    <w:rsid w:val="077224E3"/>
    <w:rsid w:val="07726DA7"/>
    <w:rsid w:val="085B350C"/>
    <w:rsid w:val="090D6C18"/>
    <w:rsid w:val="09E860A3"/>
    <w:rsid w:val="0E625C55"/>
    <w:rsid w:val="10D20745"/>
    <w:rsid w:val="11466EF6"/>
    <w:rsid w:val="11C70769"/>
    <w:rsid w:val="12DE2340"/>
    <w:rsid w:val="13770A91"/>
    <w:rsid w:val="150047CE"/>
    <w:rsid w:val="15FA4015"/>
    <w:rsid w:val="17550370"/>
    <w:rsid w:val="184B5D2E"/>
    <w:rsid w:val="1A2E1A2C"/>
    <w:rsid w:val="1A921751"/>
    <w:rsid w:val="1B321A97"/>
    <w:rsid w:val="1B6225C1"/>
    <w:rsid w:val="1CE2755A"/>
    <w:rsid w:val="21C81A9C"/>
    <w:rsid w:val="220816D9"/>
    <w:rsid w:val="22CE26BD"/>
    <w:rsid w:val="238C3E5A"/>
    <w:rsid w:val="24981726"/>
    <w:rsid w:val="24DF0F76"/>
    <w:rsid w:val="25124302"/>
    <w:rsid w:val="25F264AB"/>
    <w:rsid w:val="270A2899"/>
    <w:rsid w:val="28497617"/>
    <w:rsid w:val="2A531C67"/>
    <w:rsid w:val="2BCC7F6B"/>
    <w:rsid w:val="2EFA7322"/>
    <w:rsid w:val="2F2E1FCB"/>
    <w:rsid w:val="353C4E50"/>
    <w:rsid w:val="37CE0C48"/>
    <w:rsid w:val="410151DB"/>
    <w:rsid w:val="412502FC"/>
    <w:rsid w:val="414B6DC0"/>
    <w:rsid w:val="41E446D2"/>
    <w:rsid w:val="42546669"/>
    <w:rsid w:val="427D492C"/>
    <w:rsid w:val="47830BD2"/>
    <w:rsid w:val="489B7D00"/>
    <w:rsid w:val="4974541F"/>
    <w:rsid w:val="4B0E5CB8"/>
    <w:rsid w:val="4B1C7F64"/>
    <w:rsid w:val="4D4E1018"/>
    <w:rsid w:val="505C7C3B"/>
    <w:rsid w:val="513C3E41"/>
    <w:rsid w:val="58AF62B7"/>
    <w:rsid w:val="5D9E5396"/>
    <w:rsid w:val="5F491F46"/>
    <w:rsid w:val="65262D07"/>
    <w:rsid w:val="6BF45990"/>
    <w:rsid w:val="6C94667A"/>
    <w:rsid w:val="6D922C12"/>
    <w:rsid w:val="6DE515C5"/>
    <w:rsid w:val="6E233C18"/>
    <w:rsid w:val="714B6C39"/>
    <w:rsid w:val="7179763D"/>
    <w:rsid w:val="72581099"/>
    <w:rsid w:val="72BC1F11"/>
    <w:rsid w:val="757A169D"/>
    <w:rsid w:val="794623DE"/>
    <w:rsid w:val="79C72EF3"/>
    <w:rsid w:val="7B3F28F4"/>
    <w:rsid w:val="7BF80084"/>
    <w:rsid w:val="7C107445"/>
    <w:rsid w:val="7D034419"/>
    <w:rsid w:val="7F7B5B1B"/>
    <w:rsid w:val="7FE9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table" w:customStyle="1" w:styleId="6">
    <w:name w:val="Table Normal"/>
    <w:semiHidden/>
    <w:unhideWhenUsed/>
    <w:qFormat/>
    <w:uiPriority w:val="2"/>
    <w:pPr>
      <w:widowControl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75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2022-01-04T06:02:00Z</dcterms:created>
  <dc:creator>Administrator</dc:creator>
  <cp:lastModifiedBy>Snow雪</cp:lastModifiedBy>
  <cp:lastPrinted>2022-01-06T02:12:00Z</cp:lastPrinted>
  <dcterms:modified xsi:type="dcterms:W3CDTF">2022-01-27T00:44:35Z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