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临淄区退役军人事务局</w:t>
      </w: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2019年政府信息公开工作年度报告</w:t>
      </w:r>
    </w:p>
    <w:p>
      <w:pPr>
        <w:spacing w:line="640" w:lineRule="exact"/>
        <w:jc w:val="center"/>
        <w:rPr>
          <w:rFonts w:ascii="Times New Roman" w:hAnsi="Times New Roman" w:eastAsia="方正小标宋简体" w:cs="Times New Roman"/>
          <w:sz w:val="44"/>
          <w:szCs w:val="44"/>
        </w:rPr>
      </w:pPr>
    </w:p>
    <w:p>
      <w:pPr>
        <w:pStyle w:val="4"/>
        <w:spacing w:line="480" w:lineRule="atLeast"/>
        <w:ind w:firstLine="48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中华人民共和国政府信息公开条例》（国务院令第492号公布，国务院令第711号修订）和《山东省政府信息公开办法》例》（山东省人民政府令第225号）要求，特向社会公布2019年度区退役军人事务局信息公开工作年度报告。全文包括总体情况、主动公开政府信息情况、收到和处理政府信息公开申请情况、政府信息公开行政复议和行政诉讼情况、存在的主要问题和改进措施，并附相关统计附表。</w:t>
      </w:r>
    </w:p>
    <w:p>
      <w:pPr>
        <w:pStyle w:val="4"/>
        <w:spacing w:line="480" w:lineRule="atLeas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本报告所列数据的统计期限自2019年1月1日起至2019年12月31日止。关于政府信息公开工作详细情况，请联系区退役军人事务局办公室（地址：淄博市临淄区晏婴路149号，邮编：255400，电话：7181936）。</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临淄区退役军人事务局认真贯彻落实2019年施行的新修订的《中华人民共和国政府信息公开条例》及《国务院办公厅政府信息与政务公开办公室关于政府信息公开工作年度报告有关事项的通知》(国办公开办函(2019) 60号)文件精神，扎实推进政务公开工作，及时、准确、全面、主动公开了政府各类信息，提高工作透明度，做到依法行政，细化政务公开工作要求，规范信息公开工作。</w:t>
      </w:r>
    </w:p>
    <w:p>
      <w:pPr>
        <w:pStyle w:val="4"/>
        <w:spacing w:line="370" w:lineRule="atLeast"/>
        <w:ind w:firstLine="430"/>
        <w:rPr>
          <w:rFonts w:hint="eastAsia" w:ascii="仿宋_GB2312" w:hAnsi="仿宋_GB2312" w:eastAsia="仿宋_GB2312" w:cs="仿宋_GB2312"/>
          <w:kern w:val="2"/>
          <w:sz w:val="32"/>
          <w:szCs w:val="32"/>
        </w:rPr>
      </w:pPr>
      <w:r>
        <w:rPr>
          <w:rFonts w:hint="eastAsia" w:ascii="楷体" w:hAnsi="楷体" w:eastAsia="楷体" w:cs="楷体"/>
          <w:b w:val="0"/>
          <w:bCs w:val="0"/>
          <w:color w:val="3D3D3D"/>
          <w:sz w:val="32"/>
          <w:szCs w:val="32"/>
          <w:shd w:val="clear" w:color="auto" w:fill="FFFFFF"/>
        </w:rPr>
        <w:t>（一）主动公开情况。</w:t>
      </w:r>
      <w:r>
        <w:rPr>
          <w:rFonts w:hint="eastAsia" w:ascii="仿宋_GB2312" w:hAnsi="仿宋_GB2312" w:eastAsia="仿宋_GB2312" w:cs="仿宋_GB2312"/>
          <w:kern w:val="2"/>
          <w:sz w:val="32"/>
          <w:szCs w:val="32"/>
        </w:rPr>
        <w:t>2019年，通过临淄区人民政府门户网站主动公开信息43条。</w:t>
      </w:r>
    </w:p>
    <w:p>
      <w:pPr>
        <w:pStyle w:val="4"/>
        <w:spacing w:line="370" w:lineRule="atLeast"/>
        <w:ind w:firstLine="430"/>
        <w:rPr>
          <w:rFonts w:hint="eastAsia" w:ascii="仿宋_GB2312" w:hAnsi="仿宋_GB2312" w:eastAsia="仿宋_GB2312" w:cs="仿宋_GB2312"/>
          <w:kern w:val="2"/>
          <w:sz w:val="32"/>
          <w:szCs w:val="32"/>
        </w:rPr>
      </w:pPr>
      <w:r>
        <w:rPr>
          <w:rFonts w:ascii="楷体" w:hAnsi="楷体" w:eastAsia="楷体" w:cs="楷体"/>
          <w:b w:val="0"/>
          <w:bCs w:val="0"/>
          <w:color w:val="3D3D3D"/>
          <w:sz w:val="32"/>
          <w:szCs w:val="32"/>
          <w:shd w:val="clear" w:color="auto" w:fill="FFFFFF"/>
        </w:rPr>
        <w:t>（二）依申请公开情况。</w:t>
      </w:r>
      <w:r>
        <w:rPr>
          <w:rFonts w:hint="eastAsia" w:ascii="仿宋_GB2312" w:hAnsi="仿宋_GB2312" w:eastAsia="仿宋_GB2312" w:cs="仿宋_GB2312"/>
          <w:kern w:val="2"/>
          <w:sz w:val="32"/>
          <w:szCs w:val="32"/>
        </w:rPr>
        <w:t>2019年度未收到依申请公开信息申请。</w:t>
      </w:r>
    </w:p>
    <w:p>
      <w:pPr>
        <w:pStyle w:val="4"/>
        <w:spacing w:line="480" w:lineRule="atLeast"/>
        <w:ind w:firstLine="480"/>
        <w:jc w:val="both"/>
        <w:rPr>
          <w:rFonts w:hint="eastAsia" w:ascii="仿宋_GB2312" w:hAnsi="仿宋_GB2312" w:eastAsia="仿宋_GB2312" w:cs="仿宋_GB2312"/>
          <w:b/>
          <w:bCs/>
          <w:color w:val="3D3D3D"/>
          <w:sz w:val="32"/>
          <w:szCs w:val="32"/>
          <w:shd w:val="clear" w:color="auto" w:fill="FFFFFF"/>
        </w:rPr>
      </w:pPr>
      <w:r>
        <w:rPr>
          <w:rFonts w:ascii="楷体" w:hAnsi="楷体" w:eastAsia="楷体" w:cs="楷体"/>
          <w:b w:val="0"/>
          <w:bCs w:val="0"/>
          <w:color w:val="3D3D3D"/>
          <w:sz w:val="32"/>
          <w:szCs w:val="32"/>
          <w:shd w:val="clear" w:color="auto" w:fill="FFFFFF"/>
        </w:rPr>
        <w:t>（三）</w:t>
      </w:r>
      <w:r>
        <w:rPr>
          <w:rFonts w:hint="eastAsia" w:ascii="楷体" w:hAnsi="楷体" w:eastAsia="楷体" w:cs="楷体"/>
          <w:b w:val="0"/>
          <w:bCs w:val="0"/>
          <w:color w:val="3D3D3D"/>
          <w:sz w:val="32"/>
          <w:szCs w:val="32"/>
          <w:shd w:val="clear" w:color="auto" w:fill="FFFFFF"/>
        </w:rPr>
        <w:t>政府信息公开平台、机构建设和人员情况。</w:t>
      </w:r>
      <w:r>
        <w:rPr>
          <w:rFonts w:hint="eastAsia" w:ascii="仿宋_GB2312" w:hAnsi="仿宋_GB2312" w:eastAsia="仿宋_GB2312" w:cs="仿宋_GB2312"/>
          <w:color w:val="3D3D3D"/>
          <w:sz w:val="32"/>
          <w:szCs w:val="32"/>
        </w:rPr>
        <w:t>区退役军人事务局高度重视政府信息公开工作，成立了由局长任组长、分管领导任副组长的领导小组，按照“谁主管、谁公开、谁负责”的原则，安排专人负责信息发布，以确保政府信息公开工作的顺利推进。</w:t>
      </w:r>
    </w:p>
    <w:p>
      <w:pPr>
        <w:pStyle w:val="4"/>
        <w:spacing w:line="370" w:lineRule="atLeast"/>
        <w:ind w:firstLine="430"/>
        <w:jc w:val="both"/>
        <w:rPr>
          <w:rFonts w:hint="eastAsia" w:ascii="仿宋_GB2312" w:hAnsi="仿宋_GB2312" w:eastAsia="仿宋_GB2312" w:cs="仿宋_GB2312"/>
          <w:color w:val="3D3D3D"/>
          <w:sz w:val="32"/>
          <w:szCs w:val="32"/>
        </w:rPr>
      </w:pPr>
      <w:r>
        <w:rPr>
          <w:rFonts w:ascii="楷体" w:hAnsi="楷体" w:eastAsia="楷体" w:cs="楷体"/>
          <w:b w:val="0"/>
          <w:bCs w:val="0"/>
          <w:color w:val="3D3D3D"/>
          <w:sz w:val="32"/>
          <w:szCs w:val="32"/>
          <w:shd w:val="clear" w:color="auto" w:fill="FFFFFF"/>
        </w:rPr>
        <w:t>（四）政务公开制度和机制落实情况。</w:t>
      </w:r>
      <w:r>
        <w:rPr>
          <w:rFonts w:hint="eastAsia" w:ascii="仿宋_GB2312" w:hAnsi="仿宋_GB2312" w:eastAsia="仿宋_GB2312" w:cs="仿宋_GB2312"/>
          <w:color w:val="3D3D3D"/>
          <w:sz w:val="32"/>
          <w:szCs w:val="32"/>
        </w:rPr>
        <w:t>通过成立信息公开保密审查领导小组，进一步加强信息公开保密审查工作的组织领导。健全政府信息公开前保密审查机制，规范保密审查程序，妥善处理好政务公开与保守秘密的关系，明确工作机构，建立完善相关制度，政府信息公开工作保障水平进一步提升。</w:t>
      </w:r>
    </w:p>
    <w:p>
      <w:pPr>
        <w:pStyle w:val="4"/>
        <w:spacing w:line="370" w:lineRule="atLeast"/>
        <w:ind w:firstLine="430"/>
        <w:rPr>
          <w:rFonts w:hint="eastAsia" w:ascii="仿宋_GB2312" w:hAnsi="仿宋_GB2312" w:eastAsia="仿宋_GB2312" w:cs="仿宋_GB2312"/>
          <w:kern w:val="2"/>
          <w:sz w:val="32"/>
          <w:szCs w:val="32"/>
        </w:rPr>
      </w:pPr>
      <w:r>
        <w:rPr>
          <w:rFonts w:ascii="楷体" w:hAnsi="楷体" w:eastAsia="楷体" w:cs="楷体"/>
          <w:b w:val="0"/>
          <w:bCs w:val="0"/>
          <w:color w:val="3D3D3D"/>
          <w:sz w:val="32"/>
          <w:szCs w:val="32"/>
          <w:shd w:val="clear" w:color="auto" w:fill="FFFFFF"/>
        </w:rPr>
        <w:t>（五）因信息公开申请行政复议、提起行政诉讼情况。</w:t>
      </w:r>
      <w:r>
        <w:rPr>
          <w:rFonts w:hint="eastAsia" w:ascii="仿宋_GB2312" w:hAnsi="仿宋_GB2312" w:eastAsia="仿宋_GB2312" w:cs="仿宋_GB2312"/>
          <w:kern w:val="2"/>
          <w:sz w:val="32"/>
          <w:szCs w:val="32"/>
        </w:rPr>
        <w:t>2019年度无因信息公开申请行政复议、提起行政诉讼情况。</w:t>
      </w:r>
    </w:p>
    <w:p>
      <w:pPr>
        <w:pStyle w:val="4"/>
        <w:spacing w:line="370" w:lineRule="atLeast"/>
        <w:ind w:firstLine="430"/>
        <w:rPr>
          <w:rFonts w:ascii="楷体" w:hAnsi="楷体" w:eastAsia="楷体" w:cs="楷体"/>
          <w:b w:val="0"/>
          <w:bCs w:val="0"/>
          <w:color w:val="3D3D3D"/>
          <w:sz w:val="32"/>
          <w:szCs w:val="32"/>
          <w:shd w:val="clear" w:color="auto" w:fill="FFFFFF"/>
        </w:rPr>
      </w:pPr>
      <w:r>
        <w:rPr>
          <w:rFonts w:ascii="楷体" w:hAnsi="楷体" w:eastAsia="楷体" w:cs="楷体"/>
          <w:b w:val="0"/>
          <w:bCs w:val="0"/>
          <w:color w:val="3D3D3D"/>
          <w:sz w:val="32"/>
          <w:szCs w:val="32"/>
          <w:shd w:val="clear" w:color="auto" w:fill="FFFFFF"/>
        </w:rPr>
        <w:t>（六）2019年度收到建议提案办理情况。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2019年，我单位收到政协委员提案1件，按期答复完成，满意率100%。</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二、主动公开政府信息情况</w:t>
      </w:r>
    </w:p>
    <w:p>
      <w:pPr>
        <w:rPr>
          <w:rFonts w:ascii="Times New Roman" w:hAnsi="Times New Roman" w:cs="Times New Roman"/>
          <w:b/>
          <w:sz w:val="24"/>
          <w:szCs w:val="24"/>
        </w:rPr>
      </w:pPr>
    </w:p>
    <w:tbl>
      <w:tblPr>
        <w:tblStyle w:val="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198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本年新制作数量</w:t>
            </w:r>
          </w:p>
        </w:tc>
        <w:tc>
          <w:tcPr>
            <w:tcW w:w="203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本年新</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公开数量</w:t>
            </w:r>
          </w:p>
        </w:tc>
        <w:tc>
          <w:tcPr>
            <w:tcW w:w="222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对外公开</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规章</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03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22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规范性文件</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03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22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上一年项目数量</w:t>
            </w:r>
          </w:p>
        </w:tc>
        <w:tc>
          <w:tcPr>
            <w:tcW w:w="203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本年增/减</w:t>
            </w:r>
          </w:p>
        </w:tc>
        <w:tc>
          <w:tcPr>
            <w:tcW w:w="222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03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22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其他对外管理服务事项</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03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22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上一年项目数量</w:t>
            </w:r>
          </w:p>
        </w:tc>
        <w:tc>
          <w:tcPr>
            <w:tcW w:w="203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本年增/减</w:t>
            </w:r>
          </w:p>
        </w:tc>
        <w:tc>
          <w:tcPr>
            <w:tcW w:w="222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03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22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行政强制</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03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22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上一年项目数量</w:t>
            </w:r>
          </w:p>
        </w:tc>
        <w:tc>
          <w:tcPr>
            <w:tcW w:w="4252"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行政事业性收费</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4252"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198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采购项目数量</w:t>
            </w:r>
          </w:p>
        </w:tc>
        <w:tc>
          <w:tcPr>
            <w:tcW w:w="4252"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政府集中采购</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4252"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bl>
    <w:p>
      <w:pPr>
        <w:rPr>
          <w:rFonts w:ascii="Times New Roman" w:hAnsi="Times New Roman" w:cs="Times New Roman"/>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三、收到和处理政府信息公开申请情况</w:t>
      </w:r>
    </w:p>
    <w:tbl>
      <w:tblPr>
        <w:tblStyle w:val="6"/>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20" w:type="dxa"/>
            <w:gridSpan w:val="3"/>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（本列数据的勾稽关系为：第一项加第二项之和，等于第三项加第四项之和）</w:t>
            </w:r>
          </w:p>
        </w:tc>
        <w:tc>
          <w:tcPr>
            <w:tcW w:w="4961" w:type="dxa"/>
            <w:gridSpan w:val="7"/>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20" w:type="dxa"/>
            <w:gridSpan w:val="3"/>
            <w:vMerge w:val="continue"/>
          </w:tcPr>
          <w:p>
            <w:pPr>
              <w:rPr>
                <w:rFonts w:hint="eastAsia" w:ascii="仿宋_GB2312" w:hAnsi="仿宋_GB2312" w:eastAsia="仿宋_GB2312" w:cs="仿宋_GB2312"/>
              </w:rPr>
            </w:pPr>
          </w:p>
        </w:tc>
        <w:tc>
          <w:tcPr>
            <w:tcW w:w="567"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Cs w:val="21"/>
              </w:rPr>
              <w:t>自然人</w:t>
            </w:r>
          </w:p>
        </w:tc>
        <w:tc>
          <w:tcPr>
            <w:tcW w:w="3544" w:type="dxa"/>
            <w:gridSpan w:val="5"/>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法人或其他组织</w:t>
            </w:r>
          </w:p>
        </w:tc>
        <w:tc>
          <w:tcPr>
            <w:tcW w:w="850" w:type="dxa"/>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20" w:type="dxa"/>
            <w:gridSpan w:val="3"/>
            <w:vMerge w:val="continue"/>
          </w:tcPr>
          <w:p>
            <w:pPr>
              <w:rPr>
                <w:rFonts w:hint="eastAsia" w:ascii="仿宋_GB2312" w:hAnsi="仿宋_GB2312" w:eastAsia="仿宋_GB2312" w:cs="仿宋_GB2312"/>
              </w:rPr>
            </w:pPr>
          </w:p>
        </w:tc>
        <w:tc>
          <w:tcPr>
            <w:tcW w:w="567" w:type="dxa"/>
            <w:vMerge w:val="continue"/>
          </w:tcPr>
          <w:p>
            <w:pPr>
              <w:rPr>
                <w:rFonts w:hint="eastAsia" w:ascii="仿宋_GB2312" w:hAnsi="仿宋_GB2312" w:eastAsia="仿宋_GB2312" w:cs="仿宋_GB2312"/>
                <w:sz w:val="18"/>
                <w:szCs w:val="18"/>
              </w:rPr>
            </w:pPr>
          </w:p>
        </w:tc>
        <w:tc>
          <w:tcPr>
            <w:tcW w:w="70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商业企业</w:t>
            </w:r>
          </w:p>
        </w:tc>
        <w:tc>
          <w:tcPr>
            <w:tcW w:w="708"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科研机构</w:t>
            </w:r>
          </w:p>
        </w:tc>
        <w:tc>
          <w:tcPr>
            <w:tcW w:w="70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社会公益组织</w:t>
            </w:r>
          </w:p>
        </w:tc>
        <w:tc>
          <w:tcPr>
            <w:tcW w:w="70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法律服务机构</w:t>
            </w:r>
          </w:p>
        </w:tc>
        <w:tc>
          <w:tcPr>
            <w:tcW w:w="70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其他</w:t>
            </w:r>
          </w:p>
        </w:tc>
        <w:tc>
          <w:tcPr>
            <w:tcW w:w="850" w:type="dxa"/>
            <w:vMerge w:val="continue"/>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0" w:type="dxa"/>
            <w:gridSpan w:val="3"/>
          </w:tcPr>
          <w:p>
            <w:pPr>
              <w:rPr>
                <w:rFonts w:hint="eastAsia" w:ascii="仿宋_GB2312" w:hAnsi="仿宋_GB2312" w:eastAsia="仿宋_GB2312" w:cs="仿宋_GB2312"/>
              </w:rPr>
            </w:pPr>
            <w:r>
              <w:rPr>
                <w:rFonts w:hint="eastAsia" w:ascii="仿宋_GB2312" w:hAnsi="仿宋_GB2312" w:eastAsia="仿宋_GB2312" w:cs="仿宋_GB2312"/>
              </w:rPr>
              <w:t>一、本年新收政府信息公开申请数量</w:t>
            </w:r>
          </w:p>
        </w:tc>
        <w:tc>
          <w:tcPr>
            <w:tcW w:w="567" w:type="dxa"/>
          </w:tcPr>
          <w:p>
            <w:pPr>
              <w:rPr>
                <w:rFonts w:hint="eastAsia" w:ascii="仿宋_GB2312" w:hAnsi="仿宋_GB2312" w:eastAsia="仿宋_GB2312" w:cs="仿宋_GB2312"/>
              </w:rPr>
            </w:pPr>
          </w:p>
        </w:tc>
        <w:tc>
          <w:tcPr>
            <w:tcW w:w="709" w:type="dxa"/>
            <w:vAlign w:val="center"/>
          </w:tcPr>
          <w:p>
            <w:pPr>
              <w:rPr>
                <w:rFonts w:hint="eastAsia" w:ascii="仿宋_GB2312" w:hAnsi="仿宋_GB2312" w:eastAsia="仿宋_GB2312" w:cs="仿宋_GB2312"/>
                <w:szCs w:val="21"/>
              </w:rPr>
            </w:pPr>
          </w:p>
        </w:tc>
        <w:tc>
          <w:tcPr>
            <w:tcW w:w="708" w:type="dxa"/>
            <w:vAlign w:val="center"/>
          </w:tcPr>
          <w:p>
            <w:pPr>
              <w:rPr>
                <w:rFonts w:hint="eastAsia" w:ascii="仿宋_GB2312" w:hAnsi="仿宋_GB2312" w:eastAsia="仿宋_GB2312" w:cs="仿宋_GB2312"/>
                <w:szCs w:val="21"/>
              </w:rPr>
            </w:pPr>
          </w:p>
        </w:tc>
        <w:tc>
          <w:tcPr>
            <w:tcW w:w="709" w:type="dxa"/>
            <w:vAlign w:val="center"/>
          </w:tcPr>
          <w:p>
            <w:pPr>
              <w:rPr>
                <w:rFonts w:hint="eastAsia" w:ascii="仿宋_GB2312" w:hAnsi="仿宋_GB2312" w:eastAsia="仿宋_GB2312" w:cs="仿宋_GB2312"/>
                <w:szCs w:val="21"/>
              </w:rPr>
            </w:pPr>
          </w:p>
        </w:tc>
        <w:tc>
          <w:tcPr>
            <w:tcW w:w="709" w:type="dxa"/>
            <w:vAlign w:val="center"/>
          </w:tcPr>
          <w:p>
            <w:pPr>
              <w:rPr>
                <w:rFonts w:hint="eastAsia" w:ascii="仿宋_GB2312" w:hAnsi="仿宋_GB2312" w:eastAsia="仿宋_GB2312" w:cs="仿宋_GB2312"/>
                <w:szCs w:val="21"/>
              </w:rPr>
            </w:pPr>
          </w:p>
        </w:tc>
        <w:tc>
          <w:tcPr>
            <w:tcW w:w="709" w:type="dxa"/>
            <w:vAlign w:val="center"/>
          </w:tcPr>
          <w:p>
            <w:pPr>
              <w:rPr>
                <w:rFonts w:hint="eastAsia" w:ascii="仿宋_GB2312" w:hAnsi="仿宋_GB2312" w:eastAsia="仿宋_GB2312" w:cs="仿宋_GB2312"/>
                <w:szCs w:val="21"/>
              </w:rPr>
            </w:pPr>
          </w:p>
        </w:tc>
        <w:tc>
          <w:tcPr>
            <w:tcW w:w="85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20" w:type="dxa"/>
            <w:gridSpan w:val="3"/>
          </w:tcPr>
          <w:p>
            <w:pPr>
              <w:rPr>
                <w:rFonts w:hint="eastAsia" w:ascii="仿宋_GB2312" w:hAnsi="仿宋_GB2312" w:eastAsia="仿宋_GB2312" w:cs="仿宋_GB2312"/>
              </w:rPr>
            </w:pPr>
            <w:r>
              <w:rPr>
                <w:rFonts w:hint="eastAsia" w:ascii="仿宋_GB2312" w:hAnsi="仿宋_GB2312" w:eastAsia="仿宋_GB2312" w:cs="仿宋_GB2312"/>
              </w:rPr>
              <w:t>二、上年结转政府信息公开申请数量</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三、本年度办理结果</w:t>
            </w:r>
          </w:p>
        </w:tc>
        <w:tc>
          <w:tcPr>
            <w:tcW w:w="4253" w:type="dxa"/>
            <w:gridSpan w:val="2"/>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（一）予以公开</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ascii="仿宋_GB2312" w:hAnsi="仿宋_GB2312" w:eastAsia="仿宋_GB2312" w:cs="仿宋_GB2312"/>
              </w:rPr>
            </w:pPr>
          </w:p>
        </w:tc>
        <w:tc>
          <w:tcPr>
            <w:tcW w:w="4253" w:type="dxa"/>
            <w:gridSpan w:val="2"/>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（二）部分公开（区分处理的，只计这一情形，不计其他情形）</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7" w:type="dxa"/>
            <w:vMerge w:val="continue"/>
          </w:tcPr>
          <w:p>
            <w:pPr>
              <w:rPr>
                <w:rFonts w:hint="eastAsia" w:ascii="仿宋_GB2312" w:hAnsi="仿宋_GB2312" w:eastAsia="仿宋_GB2312" w:cs="仿宋_GB2312"/>
              </w:rPr>
            </w:pPr>
          </w:p>
        </w:tc>
        <w:tc>
          <w:tcPr>
            <w:tcW w:w="1560" w:type="dxa"/>
            <w:vMerge w:val="restart"/>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（三）不予公开</w:t>
            </w: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1．属于国家秘密</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2．其他法律行政法规禁止公开</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3．危及“三安全一稳定”</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4．保护第三方合法权益</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5．属于三类内部事务信息</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6．属于四类过程性信息</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7．属于行政执法案卷</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8．属于行政查询事项</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7" w:type="dxa"/>
            <w:vMerge w:val="continue"/>
          </w:tcPr>
          <w:p>
            <w:pPr>
              <w:rPr>
                <w:rFonts w:hint="eastAsia" w:ascii="仿宋_GB2312" w:hAnsi="仿宋_GB2312" w:eastAsia="仿宋_GB2312" w:cs="仿宋_GB2312"/>
              </w:rPr>
            </w:pPr>
          </w:p>
        </w:tc>
        <w:tc>
          <w:tcPr>
            <w:tcW w:w="1560" w:type="dxa"/>
            <w:vMerge w:val="restart"/>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（四）无法提供</w:t>
            </w: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1．本机关不掌握相关政府信息</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2．没有现成信息需要另行制作</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3．补正后申请内容仍不明确</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67" w:type="dxa"/>
            <w:vMerge w:val="continue"/>
          </w:tcPr>
          <w:p>
            <w:pPr>
              <w:rPr>
                <w:rFonts w:hint="eastAsia" w:ascii="仿宋_GB2312" w:hAnsi="仿宋_GB2312" w:eastAsia="仿宋_GB2312" w:cs="仿宋_GB2312"/>
              </w:rPr>
            </w:pPr>
          </w:p>
        </w:tc>
        <w:tc>
          <w:tcPr>
            <w:tcW w:w="1560" w:type="dxa"/>
            <w:vMerge w:val="restart"/>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（五）不予处理</w:t>
            </w: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1．信访举报投诉类申请</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ascii="仿宋_GB2312" w:hAnsi="仿宋_GB2312" w:eastAsia="仿宋_GB2312" w:cs="仿宋_GB2312"/>
              </w:rPr>
            </w:pPr>
          </w:p>
        </w:tc>
        <w:tc>
          <w:tcPr>
            <w:tcW w:w="1560" w:type="dxa"/>
            <w:vMerge w:val="continue"/>
          </w:tcPr>
          <w:p>
            <w:pPr>
              <w:rPr>
                <w:rFonts w:hint="eastAsia" w:ascii="仿宋_GB2312" w:hAnsi="仿宋_GB2312" w:eastAsia="仿宋_GB2312" w:cs="仿宋_GB2312"/>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2．重复申请</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7" w:type="dxa"/>
            <w:vMerge w:val="continue"/>
          </w:tcPr>
          <w:p>
            <w:pPr>
              <w:rPr>
                <w:rFonts w:hint="eastAsia" w:ascii="仿宋_GB2312" w:hAnsi="仿宋_GB2312" w:eastAsia="仿宋_GB2312" w:cs="仿宋_GB2312"/>
              </w:rPr>
            </w:pPr>
          </w:p>
        </w:tc>
        <w:tc>
          <w:tcPr>
            <w:tcW w:w="1560" w:type="dxa"/>
            <w:vMerge w:val="continue"/>
          </w:tcPr>
          <w:p>
            <w:pPr>
              <w:rPr>
                <w:rFonts w:hint="eastAsia" w:ascii="仿宋_GB2312" w:hAnsi="仿宋_GB2312" w:eastAsia="仿宋_GB2312" w:cs="仿宋_GB2312"/>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3．要求提供公开出版物</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hint="eastAsia" w:ascii="仿宋_GB2312" w:hAnsi="仿宋_GB2312" w:eastAsia="仿宋_GB2312" w:cs="仿宋_GB2312"/>
              </w:rPr>
            </w:pPr>
          </w:p>
        </w:tc>
        <w:tc>
          <w:tcPr>
            <w:tcW w:w="1560" w:type="dxa"/>
            <w:vMerge w:val="continue"/>
          </w:tcPr>
          <w:p>
            <w:pPr>
              <w:rPr>
                <w:rFonts w:hint="eastAsia" w:ascii="仿宋_GB2312" w:hAnsi="仿宋_GB2312" w:eastAsia="仿宋_GB2312" w:cs="仿宋_GB2312"/>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4．无正当理由大量反复申请</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ascii="仿宋_GB2312" w:hAnsi="仿宋_GB2312" w:eastAsia="仿宋_GB2312" w:cs="仿宋_GB2312"/>
              </w:rPr>
            </w:pPr>
          </w:p>
        </w:tc>
        <w:tc>
          <w:tcPr>
            <w:tcW w:w="1560" w:type="dxa"/>
            <w:vMerge w:val="continue"/>
          </w:tcPr>
          <w:p>
            <w:pPr>
              <w:rPr>
                <w:rFonts w:hint="eastAsia" w:ascii="仿宋_GB2312" w:hAnsi="仿宋_GB2312" w:eastAsia="仿宋_GB2312" w:cs="仿宋_GB2312"/>
              </w:rPr>
            </w:pPr>
          </w:p>
        </w:tc>
        <w:tc>
          <w:tcPr>
            <w:tcW w:w="2693" w:type="dxa"/>
          </w:tcPr>
          <w:p>
            <w:pPr>
              <w:ind w:left="180" w:hanging="180" w:hangingChars="1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5．要求行政机关确认或重新出具已获取信息</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7" w:type="dxa"/>
          </w:tcPr>
          <w:p>
            <w:pPr>
              <w:rPr>
                <w:rFonts w:hint="eastAsia" w:ascii="仿宋_GB2312" w:hAnsi="仿宋_GB2312" w:eastAsia="仿宋_GB2312" w:cs="仿宋_GB2312"/>
              </w:rPr>
            </w:pPr>
          </w:p>
        </w:tc>
        <w:tc>
          <w:tcPr>
            <w:tcW w:w="4253" w:type="dxa"/>
            <w:gridSpan w:val="2"/>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（六）其他处理</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pPr>
              <w:rPr>
                <w:rFonts w:hint="eastAsia" w:ascii="仿宋_GB2312" w:hAnsi="仿宋_GB2312" w:eastAsia="仿宋_GB2312" w:cs="仿宋_GB2312"/>
              </w:rPr>
            </w:pPr>
          </w:p>
        </w:tc>
        <w:tc>
          <w:tcPr>
            <w:tcW w:w="4253" w:type="dxa"/>
            <w:gridSpan w:val="2"/>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（七）总计</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pPr>
              <w:rPr>
                <w:rFonts w:hint="eastAsia" w:ascii="仿宋_GB2312" w:hAnsi="仿宋_GB2312" w:eastAsia="仿宋_GB2312" w:cs="仿宋_GB2312"/>
              </w:rPr>
            </w:pPr>
            <w:r>
              <w:rPr>
                <w:rFonts w:hint="eastAsia" w:ascii="仿宋_GB2312" w:hAnsi="仿宋_GB2312" w:eastAsia="仿宋_GB2312" w:cs="仿宋_GB2312"/>
              </w:rPr>
              <w:t>四、结转下年度继续办理</w:t>
            </w:r>
          </w:p>
        </w:tc>
        <w:tc>
          <w:tcPr>
            <w:tcW w:w="567"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8"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709" w:type="dxa"/>
          </w:tcPr>
          <w:p>
            <w:pPr>
              <w:rPr>
                <w:rFonts w:hint="eastAsia" w:ascii="仿宋_GB2312" w:hAnsi="仿宋_GB2312" w:eastAsia="仿宋_GB2312" w:cs="仿宋_GB2312"/>
              </w:rPr>
            </w:pPr>
          </w:p>
        </w:tc>
        <w:tc>
          <w:tcPr>
            <w:tcW w:w="850" w:type="dxa"/>
          </w:tcPr>
          <w:p>
            <w:pPr>
              <w:rPr>
                <w:rFonts w:hint="eastAsia" w:ascii="仿宋_GB2312" w:hAnsi="仿宋_GB2312" w:eastAsia="仿宋_GB2312" w:cs="仿宋_GB2312"/>
              </w:rPr>
            </w:pPr>
            <w:r>
              <w:rPr>
                <w:rFonts w:hint="eastAsia" w:ascii="仿宋_GB2312" w:hAnsi="仿宋_GB2312" w:eastAsia="仿宋_GB2312" w:cs="仿宋_GB2312"/>
              </w:rPr>
              <w:t>0</w:t>
            </w:r>
          </w:p>
        </w:tc>
      </w:tr>
    </w:tbl>
    <w:p>
      <w:pPr>
        <w:rPr>
          <w:rFonts w:ascii="Times New Roman" w:hAnsi="Times New Roman" w:cs="Times New Roman"/>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四．政府信息公开行政复议、行政诉讼情况</w:t>
      </w:r>
    </w:p>
    <w:tbl>
      <w:tblPr>
        <w:tblStyle w:val="6"/>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02" w:type="dxa"/>
            <w:gridSpan w:val="5"/>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行政复议</w:t>
            </w:r>
          </w:p>
        </w:tc>
        <w:tc>
          <w:tcPr>
            <w:tcW w:w="6804" w:type="dxa"/>
            <w:gridSpan w:val="1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结果维持</w:t>
            </w:r>
          </w:p>
        </w:tc>
        <w:tc>
          <w:tcPr>
            <w:tcW w:w="708"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结果纠正</w:t>
            </w:r>
          </w:p>
        </w:tc>
        <w:tc>
          <w:tcPr>
            <w:tcW w:w="709"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其他结果</w:t>
            </w:r>
          </w:p>
        </w:tc>
        <w:tc>
          <w:tcPr>
            <w:tcW w:w="682"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尚未审结</w:t>
            </w:r>
          </w:p>
        </w:tc>
        <w:tc>
          <w:tcPr>
            <w:tcW w:w="594"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总计</w:t>
            </w:r>
          </w:p>
        </w:tc>
        <w:tc>
          <w:tcPr>
            <w:tcW w:w="3402" w:type="dxa"/>
            <w:gridSpan w:val="5"/>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未经复议直接起诉</w:t>
            </w:r>
          </w:p>
        </w:tc>
        <w:tc>
          <w:tcPr>
            <w:tcW w:w="3402" w:type="dxa"/>
            <w:gridSpan w:val="5"/>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hint="eastAsia" w:ascii="仿宋_GB2312" w:hAnsi="仿宋_GB2312" w:eastAsia="仿宋_GB2312" w:cs="仿宋_GB2312"/>
                <w:sz w:val="18"/>
                <w:szCs w:val="18"/>
              </w:rPr>
            </w:pPr>
          </w:p>
        </w:tc>
        <w:tc>
          <w:tcPr>
            <w:tcW w:w="708" w:type="dxa"/>
            <w:vMerge w:val="continue"/>
            <w:vAlign w:val="center"/>
          </w:tcPr>
          <w:p>
            <w:pPr>
              <w:jc w:val="center"/>
              <w:rPr>
                <w:rFonts w:hint="eastAsia" w:ascii="仿宋_GB2312" w:hAnsi="仿宋_GB2312" w:eastAsia="仿宋_GB2312" w:cs="仿宋_GB2312"/>
                <w:sz w:val="18"/>
                <w:szCs w:val="18"/>
              </w:rPr>
            </w:pPr>
          </w:p>
        </w:tc>
        <w:tc>
          <w:tcPr>
            <w:tcW w:w="709" w:type="dxa"/>
            <w:vMerge w:val="continue"/>
            <w:vAlign w:val="center"/>
          </w:tcPr>
          <w:p>
            <w:pPr>
              <w:jc w:val="center"/>
              <w:rPr>
                <w:rFonts w:hint="eastAsia" w:ascii="仿宋_GB2312" w:hAnsi="仿宋_GB2312" w:eastAsia="仿宋_GB2312" w:cs="仿宋_GB2312"/>
                <w:sz w:val="18"/>
                <w:szCs w:val="18"/>
              </w:rPr>
            </w:pPr>
          </w:p>
        </w:tc>
        <w:tc>
          <w:tcPr>
            <w:tcW w:w="682" w:type="dxa"/>
            <w:vMerge w:val="continue"/>
            <w:vAlign w:val="center"/>
          </w:tcPr>
          <w:p>
            <w:pPr>
              <w:jc w:val="center"/>
              <w:rPr>
                <w:rFonts w:hint="eastAsia" w:ascii="仿宋_GB2312" w:hAnsi="仿宋_GB2312" w:eastAsia="仿宋_GB2312" w:cs="仿宋_GB2312"/>
                <w:szCs w:val="21"/>
              </w:rPr>
            </w:pPr>
          </w:p>
        </w:tc>
        <w:tc>
          <w:tcPr>
            <w:tcW w:w="594" w:type="dxa"/>
            <w:vMerge w:val="continue"/>
            <w:vAlign w:val="center"/>
          </w:tcPr>
          <w:p>
            <w:pPr>
              <w:jc w:val="center"/>
              <w:rPr>
                <w:rFonts w:hint="eastAsia" w:ascii="仿宋_GB2312" w:hAnsi="仿宋_GB2312" w:eastAsia="仿宋_GB2312" w:cs="仿宋_GB2312"/>
                <w:szCs w:val="21"/>
              </w:rPr>
            </w:pPr>
          </w:p>
        </w:tc>
        <w:tc>
          <w:tcPr>
            <w:tcW w:w="70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结果维持</w:t>
            </w:r>
          </w:p>
        </w:tc>
        <w:tc>
          <w:tcPr>
            <w:tcW w:w="70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结果纠正</w:t>
            </w:r>
          </w:p>
        </w:tc>
        <w:tc>
          <w:tcPr>
            <w:tcW w:w="70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其他结果</w:t>
            </w:r>
          </w:p>
        </w:tc>
        <w:tc>
          <w:tcPr>
            <w:tcW w:w="70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尚未审结</w:t>
            </w:r>
          </w:p>
        </w:tc>
        <w:tc>
          <w:tcPr>
            <w:tcW w:w="56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总计</w:t>
            </w:r>
          </w:p>
        </w:tc>
        <w:tc>
          <w:tcPr>
            <w:tcW w:w="8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结果维持</w:t>
            </w:r>
          </w:p>
        </w:tc>
        <w:tc>
          <w:tcPr>
            <w:tcW w:w="6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结果纠正</w:t>
            </w:r>
          </w:p>
        </w:tc>
        <w:tc>
          <w:tcPr>
            <w:tcW w:w="76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其他结果</w:t>
            </w:r>
          </w:p>
        </w:tc>
        <w:tc>
          <w:tcPr>
            <w:tcW w:w="70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尚未审结</w:t>
            </w:r>
          </w:p>
        </w:tc>
        <w:tc>
          <w:tcPr>
            <w:tcW w:w="42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jc w:val="center"/>
              <w:rPr>
                <w:rFonts w:hint="eastAsia" w:ascii="仿宋_GB2312" w:hAnsi="仿宋_GB2312" w:eastAsia="仿宋_GB2312" w:cs="仿宋_GB2312"/>
                <w:sz w:val="18"/>
                <w:szCs w:val="18"/>
              </w:rPr>
            </w:pPr>
          </w:p>
        </w:tc>
        <w:tc>
          <w:tcPr>
            <w:tcW w:w="708" w:type="dxa"/>
            <w:vAlign w:val="center"/>
          </w:tcPr>
          <w:p>
            <w:pPr>
              <w:jc w:val="center"/>
              <w:rPr>
                <w:rFonts w:hint="eastAsia" w:ascii="仿宋_GB2312" w:hAnsi="仿宋_GB2312" w:eastAsia="仿宋_GB2312" w:cs="仿宋_GB2312"/>
                <w:sz w:val="18"/>
                <w:szCs w:val="18"/>
              </w:rPr>
            </w:pPr>
          </w:p>
        </w:tc>
        <w:tc>
          <w:tcPr>
            <w:tcW w:w="709" w:type="dxa"/>
            <w:vAlign w:val="center"/>
          </w:tcPr>
          <w:p>
            <w:pPr>
              <w:jc w:val="center"/>
              <w:rPr>
                <w:rFonts w:hint="eastAsia" w:ascii="仿宋_GB2312" w:hAnsi="仿宋_GB2312" w:eastAsia="仿宋_GB2312" w:cs="仿宋_GB2312"/>
                <w:sz w:val="18"/>
                <w:szCs w:val="18"/>
              </w:rPr>
            </w:pPr>
          </w:p>
        </w:tc>
        <w:tc>
          <w:tcPr>
            <w:tcW w:w="682" w:type="dxa"/>
            <w:vAlign w:val="center"/>
          </w:tcPr>
          <w:p>
            <w:pPr>
              <w:jc w:val="center"/>
              <w:rPr>
                <w:rFonts w:hint="eastAsia" w:ascii="仿宋_GB2312" w:hAnsi="仿宋_GB2312" w:eastAsia="仿宋_GB2312" w:cs="仿宋_GB2312"/>
                <w:szCs w:val="21"/>
              </w:rPr>
            </w:pPr>
          </w:p>
        </w:tc>
        <w:tc>
          <w:tcPr>
            <w:tcW w:w="59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0</w:t>
            </w:r>
          </w:p>
        </w:tc>
        <w:tc>
          <w:tcPr>
            <w:tcW w:w="709" w:type="dxa"/>
            <w:vAlign w:val="center"/>
          </w:tcPr>
          <w:p>
            <w:pPr>
              <w:jc w:val="center"/>
              <w:rPr>
                <w:rFonts w:hint="eastAsia" w:ascii="仿宋_GB2312" w:hAnsi="仿宋_GB2312" w:eastAsia="仿宋_GB2312" w:cs="仿宋_GB2312"/>
                <w:szCs w:val="21"/>
              </w:rPr>
            </w:pPr>
          </w:p>
        </w:tc>
        <w:tc>
          <w:tcPr>
            <w:tcW w:w="709" w:type="dxa"/>
            <w:vAlign w:val="center"/>
          </w:tcPr>
          <w:p>
            <w:pPr>
              <w:jc w:val="center"/>
              <w:rPr>
                <w:rFonts w:hint="eastAsia" w:ascii="仿宋_GB2312" w:hAnsi="仿宋_GB2312" w:eastAsia="仿宋_GB2312" w:cs="仿宋_GB2312"/>
                <w:szCs w:val="21"/>
              </w:rPr>
            </w:pPr>
          </w:p>
        </w:tc>
        <w:tc>
          <w:tcPr>
            <w:tcW w:w="709" w:type="dxa"/>
            <w:vAlign w:val="center"/>
          </w:tcPr>
          <w:p>
            <w:pPr>
              <w:jc w:val="center"/>
              <w:rPr>
                <w:rFonts w:hint="eastAsia" w:ascii="仿宋_GB2312" w:hAnsi="仿宋_GB2312" w:eastAsia="仿宋_GB2312" w:cs="仿宋_GB2312"/>
                <w:szCs w:val="21"/>
              </w:rPr>
            </w:pPr>
          </w:p>
        </w:tc>
        <w:tc>
          <w:tcPr>
            <w:tcW w:w="708" w:type="dxa"/>
            <w:vAlign w:val="center"/>
          </w:tcPr>
          <w:p>
            <w:pPr>
              <w:jc w:val="center"/>
              <w:rPr>
                <w:rFonts w:hint="eastAsia" w:ascii="仿宋_GB2312" w:hAnsi="仿宋_GB2312" w:eastAsia="仿宋_GB2312" w:cs="仿宋_GB2312"/>
                <w:szCs w:val="21"/>
              </w:rPr>
            </w:pPr>
          </w:p>
        </w:tc>
        <w:tc>
          <w:tcPr>
            <w:tcW w:w="56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jc w:val="center"/>
              <w:rPr>
                <w:rFonts w:hint="eastAsia" w:ascii="仿宋_GB2312" w:hAnsi="仿宋_GB2312" w:eastAsia="仿宋_GB2312" w:cs="仿宋_GB2312"/>
                <w:szCs w:val="21"/>
              </w:rPr>
            </w:pPr>
          </w:p>
        </w:tc>
        <w:tc>
          <w:tcPr>
            <w:tcW w:w="650" w:type="dxa"/>
            <w:vAlign w:val="center"/>
          </w:tcPr>
          <w:p>
            <w:pPr>
              <w:jc w:val="center"/>
              <w:rPr>
                <w:rFonts w:hint="eastAsia" w:ascii="仿宋_GB2312" w:hAnsi="仿宋_GB2312" w:eastAsia="仿宋_GB2312" w:cs="仿宋_GB2312"/>
                <w:szCs w:val="21"/>
              </w:rPr>
            </w:pPr>
          </w:p>
        </w:tc>
        <w:tc>
          <w:tcPr>
            <w:tcW w:w="767" w:type="dxa"/>
            <w:vAlign w:val="center"/>
          </w:tcPr>
          <w:p>
            <w:pPr>
              <w:jc w:val="center"/>
              <w:rPr>
                <w:rFonts w:hint="eastAsia" w:ascii="仿宋_GB2312" w:hAnsi="仿宋_GB2312" w:eastAsia="仿宋_GB2312" w:cs="仿宋_GB2312"/>
                <w:szCs w:val="21"/>
              </w:rPr>
            </w:pPr>
          </w:p>
        </w:tc>
        <w:tc>
          <w:tcPr>
            <w:tcW w:w="709" w:type="dxa"/>
            <w:vAlign w:val="center"/>
          </w:tcPr>
          <w:p>
            <w:pPr>
              <w:jc w:val="center"/>
              <w:rPr>
                <w:rFonts w:hint="eastAsia" w:ascii="仿宋_GB2312" w:hAnsi="仿宋_GB2312" w:eastAsia="仿宋_GB2312" w:cs="仿宋_GB2312"/>
                <w:szCs w:val="21"/>
              </w:rPr>
            </w:pPr>
          </w:p>
        </w:tc>
        <w:tc>
          <w:tcPr>
            <w:tcW w:w="42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0</w:t>
            </w:r>
          </w:p>
        </w:tc>
      </w:tr>
    </w:tbl>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五、存在的主要问题及改进情况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政务信息公开方面，主要存在公开信息的数量和及时性有待进一步提高。下一步将加大单位内信息公开考核力度，充分调动各科室（单位）信息公开的积极性，多提供高质量的信息。严格把关，保证信息的质量和时效性，并充分运用网络客户端、微博、微信主动及时公开热点信息，推动本单位信息公开工作高效运行。</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六、其他需要报告的事项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bookmarkStart w:id="0" w:name="_GoBack"/>
      <w:bookmarkEnd w:id="0"/>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58"/>
    <w:rsid w:val="00024810"/>
    <w:rsid w:val="000414C6"/>
    <w:rsid w:val="00056B8B"/>
    <w:rsid w:val="00087FF0"/>
    <w:rsid w:val="000A50D2"/>
    <w:rsid w:val="000C33A6"/>
    <w:rsid w:val="002019C6"/>
    <w:rsid w:val="00204AA5"/>
    <w:rsid w:val="00216261"/>
    <w:rsid w:val="00270C0E"/>
    <w:rsid w:val="002A188B"/>
    <w:rsid w:val="002B6F68"/>
    <w:rsid w:val="003D7EB2"/>
    <w:rsid w:val="00405DB6"/>
    <w:rsid w:val="00420F86"/>
    <w:rsid w:val="00481ED7"/>
    <w:rsid w:val="004D2882"/>
    <w:rsid w:val="005A5EC6"/>
    <w:rsid w:val="00697EE4"/>
    <w:rsid w:val="00714451"/>
    <w:rsid w:val="00717EE3"/>
    <w:rsid w:val="00732D81"/>
    <w:rsid w:val="00733F31"/>
    <w:rsid w:val="00741A40"/>
    <w:rsid w:val="00746739"/>
    <w:rsid w:val="007611C0"/>
    <w:rsid w:val="007F43FC"/>
    <w:rsid w:val="007F7744"/>
    <w:rsid w:val="0082589C"/>
    <w:rsid w:val="008556C2"/>
    <w:rsid w:val="00892DC4"/>
    <w:rsid w:val="00920A8C"/>
    <w:rsid w:val="00935E77"/>
    <w:rsid w:val="0096093C"/>
    <w:rsid w:val="00A93492"/>
    <w:rsid w:val="00AC222F"/>
    <w:rsid w:val="00AD49B5"/>
    <w:rsid w:val="00BF42A9"/>
    <w:rsid w:val="00C307E5"/>
    <w:rsid w:val="00C61A42"/>
    <w:rsid w:val="00C762CA"/>
    <w:rsid w:val="00CA24FE"/>
    <w:rsid w:val="00D201BD"/>
    <w:rsid w:val="00D33F3A"/>
    <w:rsid w:val="00D7673F"/>
    <w:rsid w:val="00E03F11"/>
    <w:rsid w:val="00E04258"/>
    <w:rsid w:val="00E82A61"/>
    <w:rsid w:val="00EA3993"/>
    <w:rsid w:val="00EF2FEF"/>
    <w:rsid w:val="00EF7239"/>
    <w:rsid w:val="00EF7AC8"/>
    <w:rsid w:val="00FA3378"/>
    <w:rsid w:val="00FE3091"/>
    <w:rsid w:val="04D75C4D"/>
    <w:rsid w:val="08CC5FC5"/>
    <w:rsid w:val="0C386E1B"/>
    <w:rsid w:val="128E09CB"/>
    <w:rsid w:val="28325364"/>
    <w:rsid w:val="28840C90"/>
    <w:rsid w:val="28E10938"/>
    <w:rsid w:val="33C271B2"/>
    <w:rsid w:val="36581ADE"/>
    <w:rsid w:val="424F3DFF"/>
    <w:rsid w:val="4DE93206"/>
    <w:rsid w:val="77F47DB4"/>
    <w:rsid w:val="7A774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qFormat/>
    <w:uiPriority w:val="99"/>
    <w:rPr>
      <w:kern w:val="2"/>
      <w:sz w:val="18"/>
      <w:szCs w:val="18"/>
    </w:rPr>
  </w:style>
  <w:style w:type="character" w:customStyle="1" w:styleId="10">
    <w:name w:val="页脚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333</Words>
  <Characters>1904</Characters>
  <Lines>15</Lines>
  <Paragraphs>4</Paragraphs>
  <TotalTime>213</TotalTime>
  <ScaleCrop>false</ScaleCrop>
  <LinksUpToDate>false</LinksUpToDate>
  <CharactersWithSpaces>2233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邢文静</cp:lastModifiedBy>
  <dcterms:modified xsi:type="dcterms:W3CDTF">2020-07-29T08:49:45Z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