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0"/>
        </w:tabs>
        <w:spacing w:line="560" w:lineRule="exact"/>
        <w:ind w:left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临淄区金岭回族镇2020年政府信息公开工作年度报告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镇根据《中华人民共和国政府信息公开条例》及省市区有关规定，坚持以“公开为常态、不公开为例外”原则，完善机构人员设置，突出重点工作信息公开和政府决策公开，统筹推进政府信息公开工作，切实保障人民群众的知情权、参与权、监督权和表达权，现将我镇2019年政府信息公开工作报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（一）政府信息公开组织领导和制度建设情况。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一是完善组织领导。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金岭回族镇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人民政府信息公开工作机构为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金岭回族镇</w:t>
      </w:r>
      <w:r>
        <w:rPr>
          <w:rFonts w:hint="eastAsia" w:ascii="仿宋_GB2312" w:hAnsi="仿宋_GB2312" w:eastAsia="仿宋_GB2312" w:cs="仿宋_GB2312"/>
          <w:sz w:val="32"/>
          <w:szCs w:val="32"/>
        </w:rPr>
        <w:t>党政办公室，为强化工作组织领导，我镇成立了由镇长任组长、党委副书记任副组长的信息公开领导小组，党政办副主任具体负责信息公开工作，并配备了信息公开工作人员2名，信息公开领导小组成员分工明确，对政务信息公开工作的规范、有序推进提供了人员基础。</w:t>
      </w:r>
    </w:p>
    <w:tbl>
      <w:tblPr>
        <w:tblStyle w:val="6"/>
        <w:tblpPr w:leftFromText="180" w:rightFromText="180" w:vertAnchor="text" w:horzAnchor="page" w:tblpX="1849" w:tblpY="2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812"/>
        <w:gridCol w:w="1656"/>
        <w:gridCol w:w="3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务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涛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党委副书记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15753386777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政务公开分管领导，统筹负责政务公开工作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路文文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党政办副主任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15153396508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政务公开专职工作人员，具体负责政务公开工作，做好政务公开平台维护，及时公开重要信息；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晨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党政办工作人员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15153347571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政务公开专职工作人员，具体负责政务公开工作，做好政务公开平台维护，及时公开重要信息；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二是制度建设情况。根据《中华人民共和国政府信息公开条例》（国务院令第711号）、《山东省政府信息公开办法》，我镇为了更好地为广大人民群众提供好信息公开服务，我镇制定了《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金岭回族镇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人民政府信息公开指南》并将其公开到临淄区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金岭回族镇人民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政府网站，在《指南》中明确将信息划分为主动公开、依申请公开和不予公开三类，对信息公开处理程序、所需材料进行了一并公开。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三是监督指导情况。《指南》中明确规定，公民、法人或者其他组织认为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金岭回族镇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人民政府提供的与其自身相关的政府信息记录不准确的，可以提出更正申请；我镇还设置了电话、传真、邮箱等多种投诉方式，自觉接受社会各界监督。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（二）重点领域信息公开情况。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办理情况：20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年，我镇通过网站公开人大代表建议件0件，办理0件；公开政协委员提案0件，办理0件。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（三）网站载体运行及政府信息公布及更新情况。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金岭回族镇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人民政府信息公开载体为临淄区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金岭回族镇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人民政府网站，运行状况良好；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金岭回族镇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人民政府在临淄区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金岭回族镇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人民政府网站公开部门文件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份，业务工作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114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条。为扩大信息群众知晓度，我镇还采取传统媒体与新媒体相结合的方式，将镇域重点工作及时在微信公众号上公开，紧急信息采取广播与微信公众号同时传播的方式，为信息及时、全面传达提供了方便。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（四）政府信息依申请公开情况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年度，全镇受理信息公开申请0件。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（五）信息公开行政复议和行政诉讼情况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年底，全镇未接到举报投诉、行政复议和行政诉讼等。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（六）政府信息公开队伍建设情况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一是工作人员情况。目前我镇配备了信息公开工作人员2名；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二是加强宣传和培训情况。积极组织机关、各行政村及各单位工作人员认真学习政府信我镇息公开相关知识，不断增进全镇信息公开工作人员对政府信息公开工作的认识和了解，提高专业素养。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三是收费情况。20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年，我镇未接到举报投诉、行政复议和行政诉讼等，并依法主动提供政府信息，对公民、法人和其他组织无收费情况。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5"/>
        <w:tblW w:w="82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1842"/>
        <w:gridCol w:w="1888"/>
        <w:gridCol w:w="19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234" w:type="dxa"/>
            <w:gridSpan w:val="4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本年新制作数量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本年新公开数量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规章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规范性文件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行政许可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其他对外管理服务事项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行政处罚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行政强制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上一年项目数量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本年增/减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行政事业性收费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采购项目数量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采购总金额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政府集中采购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6"/>
        <w:tblpPr w:leftFromText="181" w:rightFromText="181" w:vertAnchor="text" w:horzAnchor="page" w:tblpXSpec="center" w:tblpY="28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134"/>
        <w:gridCol w:w="1887"/>
        <w:gridCol w:w="565"/>
        <w:gridCol w:w="635"/>
        <w:gridCol w:w="635"/>
        <w:gridCol w:w="775"/>
        <w:gridCol w:w="775"/>
        <w:gridCol w:w="496"/>
        <w:gridCol w:w="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0" w:type="auto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0" w:type="auto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自然人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法人或其他组织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商业企业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科研机构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社会公益组织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法律服务机构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HAnsi" w:hAnsiTheme="minorHAnsi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0" w:type="auto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三、本年度办理结果</w:t>
            </w:r>
          </w:p>
        </w:tc>
        <w:tc>
          <w:tcPr>
            <w:tcW w:w="0" w:type="auto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（一）予以公开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（三）不予公开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1．属于国家秘密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2．其他法律行政法规禁止公开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3．危及“三安全一稳定”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4．保护第三方合法权益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5．属于三类内部事务信息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6．属于四类过程性信息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7．属于行政执法案卷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8．属于行政查询事项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（四）无法提供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1．本单位不掌握相关政府信息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2．没有现成信息需要另行制作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3．补正后申请内容仍不明确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（五）不予处理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1．信访举报投诉类申请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2．重复申请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3．要求提供公开出版物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4．无正当理由大量反复申请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left="210" w:hanging="210" w:hangingChars="100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5．要求行政机关确认或重新出具已获取信息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（六）其他处理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（七）总计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四、结转下年度继续办理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tbl>
      <w:tblPr>
        <w:tblStyle w:val="6"/>
        <w:tblpPr w:leftFromText="180" w:rightFromText="180" w:vertAnchor="text" w:horzAnchor="page" w:tblpX="1890" w:tblpY="4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95"/>
        <w:gridCol w:w="595"/>
        <w:gridCol w:w="595"/>
        <w:gridCol w:w="463"/>
        <w:gridCol w:w="595"/>
        <w:gridCol w:w="595"/>
        <w:gridCol w:w="592"/>
        <w:gridCol w:w="592"/>
        <w:gridCol w:w="463"/>
        <w:gridCol w:w="595"/>
        <w:gridCol w:w="595"/>
        <w:gridCol w:w="595"/>
        <w:gridCol w:w="595"/>
        <w:gridCol w:w="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行政复议</w:t>
            </w:r>
          </w:p>
        </w:tc>
        <w:tc>
          <w:tcPr>
            <w:tcW w:w="0" w:type="auto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未经复议直接起诉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60" w:beforeAutospacing="0" w:after="6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存在的问题：一是公开内容需要进一步深化。公开内容范围有限，覆盖层次不够深，主动公开的政府信息与上级要求及公众的需求还存在一些距离；二是公开形式的便民性需要进一步提高。我镇虽在网站公开政府信息方面已取得一定进展，但群众对政务公开的形式还不熟悉，不易查找公开内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60" w:beforeAutospacing="0" w:after="6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改进情况：一是加强对业务工作人员培训，严格落实《中华人民共和国政府信息公开条例》及省市区有关规定，做到应公开及时公开，严格工作制度，规范工作流程；二是加强政府网站内容建设和管理，发挥政府网站信息公开第一平台作用。根据我镇实际情况，综合利用政务新媒体、广播、公示栏等平台和便民服务窗口等场所，多渠道发布政务信息，方便公众查询或获取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本年度我镇暂无其他需要报告的事项。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金岭回族镇人民政府</w:t>
      </w:r>
    </w:p>
    <w:p>
      <w:pPr>
        <w:ind w:firstLine="5120" w:firstLineChars="16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2021年1月20日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C5F9C"/>
    <w:rsid w:val="278A722B"/>
    <w:rsid w:val="2F293290"/>
    <w:rsid w:val="31CA5A28"/>
    <w:rsid w:val="54E1004C"/>
    <w:rsid w:val="5A66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1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沵啝莪彅誰嗼煳誰視線</cp:lastModifiedBy>
  <dcterms:modified xsi:type="dcterms:W3CDTF">2021-01-20T07:32:10Z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