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临淄区文化和旅游局2020年政府信息公开工作年度报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atLeast"/>
        <w:ind w:left="0" w:right="0" w:firstLine="640"/>
      </w:pPr>
      <w:r>
        <w:rPr>
          <w:rFonts w:asci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根据《中华人民共和国政府信息公开条例》和《山东省政府信息公开办法》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要求，特向社会公布临淄区文化和旅游局2020年度政府信息公开工作年度报告。本报告所列数据的统计期限自2020年1月1日起至2020年12月31日止。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atLeast"/>
        <w:ind w:left="0" w:right="0" w:firstLine="640"/>
      </w:pPr>
      <w:r>
        <w:rPr>
          <w:rFonts w:ascii="黑体" w:hAnsi="宋体" w:eastAsia="黑体" w:cs="黑体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atLeast"/>
        <w:ind w:left="0" w:right="0" w:firstLine="640"/>
      </w:pP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2020年，区文化和旅游局严格按照《中华人民共和国政府信息公开条例》和省市区有关信息公开的工作要求，不断丰富政府信息公开内容，加大政府信息公开力度，完善政府信息公开机制，着力推进信息公开工作落地落实，保障人民群众知情权、参与权、表达权和监督权，并取得了一定成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atLeast"/>
        <w:ind w:left="0" w:right="0" w:firstLine="640"/>
      </w:pPr>
      <w:r>
        <w:rPr>
          <w:rFonts w:ascii="楷体_GB2312" w:eastAsia="楷体_GB2312" w:cs="楷体_GB2312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</w:t>
      </w:r>
      <w:r>
        <w:rPr>
          <w:rFonts w:hint="eastAsia" w:ascii="楷体_GB2312" w:eastAsia="楷体_GB2312" w:cs="楷体_GB2312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主动公开情况。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2020年，通过临淄区人民政府门户网站</w:t>
      </w:r>
      <w:r>
        <w:rPr>
          <w:rFonts w:hint="eastAsia" w:ascii="仿宋_GB2312" w:eastAsia="仿宋_GB2312" w:cs="仿宋_GB2312"/>
          <w:spacing w:val="0"/>
          <w:sz w:val="32"/>
          <w:szCs w:val="32"/>
          <w:bdr w:val="none" w:color="auto" w:sz="0" w:space="0"/>
        </w:rPr>
        <w:t>累计主动公开政府信息</w:t>
      </w:r>
      <w:r>
        <w:rPr>
          <w:rFonts w:ascii="仿宋" w:hAnsi="仿宋" w:eastAsia="仿宋" w:cs="仿宋"/>
          <w:spacing w:val="0"/>
          <w:sz w:val="32"/>
          <w:szCs w:val="32"/>
          <w:bdr w:val="none" w:color="auto" w:sz="0" w:space="0"/>
        </w:rPr>
        <w:t>206</w:t>
      </w:r>
      <w:r>
        <w:rPr>
          <w:rFonts w:hint="eastAsia" w:ascii="仿宋_GB2312" w:eastAsia="仿宋_GB2312" w:cs="仿宋_GB2312"/>
          <w:spacing w:val="0"/>
          <w:sz w:val="32"/>
          <w:szCs w:val="32"/>
          <w:bdr w:val="none" w:color="auto" w:sz="0" w:space="0"/>
        </w:rPr>
        <w:t>条</w:t>
      </w:r>
      <w:r>
        <w:rPr>
          <w:rFonts w:hint="eastAsia" w:ascii="仿宋" w:hAnsi="仿宋" w:eastAsia="仿宋" w:cs="仿宋"/>
          <w:spacing w:val="0"/>
          <w:sz w:val="32"/>
          <w:szCs w:val="32"/>
          <w:bdr w:val="none" w:color="auto" w:sz="0" w:space="0"/>
        </w:rPr>
        <w:t>，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其中业务工作105条、规划计划3条、机构职能4条、政府信息公开指南1条、部门会议1条、公益事业1条、脱贫攻坚1条、重大建设项目3条、公共文化体育7条、重要部署执行公开9条、财政预决算信息8条、管理和服务公开信息16条、公共监管2条、人大代表建议7件、政协委员提案9件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（以下为部分主动公开信息截图。）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5265420" cy="2069465"/>
            <wp:effectExtent l="0" t="0" r="11430" b="6985"/>
            <wp:docPr id="8" name="图片 8" descr="601380cbfd44148088e625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01380cbfd44148088e6258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6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图1.管理和服务公开信息截图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5272405" cy="2746375"/>
            <wp:effectExtent l="0" t="0" r="4445" b="15875"/>
            <wp:docPr id="9" name="图片 9" descr="6013811c132fdefb6fc28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013811c132fdefb6fc284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图2.业务工作信息截图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5271135" cy="2597150"/>
            <wp:effectExtent l="0" t="0" r="5715" b="12700"/>
            <wp:docPr id="10" name="图片 10" descr="6013813c55025d5df3e625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013813c55025d5df3e6259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图3.公共文化体育信息截图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atLeast"/>
        <w:ind w:left="0" w:right="0" w:firstLine="640"/>
      </w:pPr>
      <w:r>
        <w:rPr>
          <w:rFonts w:hint="eastAsia" w:ascii="楷体_GB2312" w:eastAsia="楷体_GB2312" w:cs="楷体_GB2312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（二）依申请公开政府信息和不予公开政府信息的情况。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严格办理程序，做好网上申请受理，按时进行规范性答复。截止目前，区文化和旅游局依申请公开政府信息和不予公开政府信息条数为0。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atLeast"/>
        <w:ind w:left="0" w:right="0" w:firstLine="640"/>
      </w:pPr>
      <w:r>
        <w:rPr>
          <w:rFonts w:hint="eastAsia" w:ascii="楷体_GB2312" w:eastAsia="楷体_GB2312" w:cs="楷体_GB2312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（三）信息公开行政复议和行政诉讼情况。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2020年区文化和旅游局未发生由信息公开引起的行政复议、行政诉讼，也未收到各类针对本单位政府信息公开事务有关的申诉。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atLeast"/>
        <w:ind w:left="0" w:right="0" w:firstLine="640"/>
      </w:pPr>
      <w:r>
        <w:rPr>
          <w:rFonts w:hint="eastAsia" w:ascii="楷体_GB2312" w:eastAsia="楷体_GB2312" w:cs="楷体_GB2312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（四）平台建设情况。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按照我区集中统一部署，认真做好新门户网站数据迁移和维护工作，及时更新政务公开相关栏目和政府信息公开目录，</w:t>
      </w:r>
      <w:r>
        <w:rPr>
          <w:rFonts w:hint="eastAsia" w:ascii="仿宋" w:hAnsi="仿宋" w:eastAsia="仿宋" w:cs="仿宋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确保政务公开规范运行。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atLeast"/>
        <w:ind w:left="0" w:right="0" w:firstLine="640"/>
      </w:pPr>
      <w:r>
        <w:rPr>
          <w:rFonts w:hint="eastAsia" w:ascii="楷体_GB2312" w:eastAsia="楷体_GB2312" w:cs="楷体_GB2312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（五）加强组织领导和监督保障情况。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是加强组织领导。明确此项工作由主要领导负总责，分管领导主抓，由局办公室负责牵头统筹，所属事业单位、局机关各科室按职责分别负责，严格按照“谁主管、谁公开、谁负责”的原则开展信息公开工作，确保政务公开工作有序开展。二是严格监督保障。明确政务信息公开范围、内容、时限和流程等，严格规范政府信息公开的保密审查和公开属性的确定程序，层层把关审核信息发布内容，提升工作的规范程度，确保政务公开工作有章可循，有制可依，严格按制度办事，使信息公开工作朝着制度化、规范化方向有序推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atLeast"/>
        <w:ind w:left="0" w:right="0" w:firstLine="0"/>
      </w:pPr>
      <w:r>
        <w:rPr>
          <w:rFonts w:hint="eastAsia" w:ascii="黑体" w:hAnsi="宋体" w:eastAsia="黑体" w:cs="黑体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   </w:t>
      </w:r>
      <w:r>
        <w:rPr>
          <w:rFonts w:hint="eastAsia" w:ascii="黑体" w:hAnsi="宋体" w:eastAsia="黑体" w:cs="黑体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二、主动公开政府信息情况</w:t>
      </w:r>
    </w:p>
    <w:tbl>
      <w:tblPr>
        <w:tblpPr w:leftFromText="180" w:rightFromText="180" w:vertAnchor="text" w:horzAnchor="page" w:tblpX="819" w:tblpY="652"/>
        <w:tblOverlap w:val="never"/>
        <w:tblW w:w="109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75"/>
        <w:gridCol w:w="2475"/>
        <w:gridCol w:w="2532"/>
        <w:gridCol w:w="252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09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bookmarkStart w:id="0" w:name="_GoBack" w:colFirst="0" w:colLast="0"/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6" w:hRule="atLeast"/>
        </w:trPr>
        <w:tc>
          <w:tcPr>
            <w:tcW w:w="3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信息内容</w:t>
            </w:r>
          </w:p>
        </w:tc>
        <w:tc>
          <w:tcPr>
            <w:tcW w:w="2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本年新制作数量</w:t>
            </w:r>
          </w:p>
        </w:tc>
        <w:tc>
          <w:tcPr>
            <w:tcW w:w="2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本年新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公开数量</w:t>
            </w:r>
          </w:p>
        </w:tc>
        <w:tc>
          <w:tcPr>
            <w:tcW w:w="25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对外公开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总数量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3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规章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3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规范性文件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090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3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信息内容</w:t>
            </w:r>
          </w:p>
        </w:tc>
        <w:tc>
          <w:tcPr>
            <w:tcW w:w="2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上一年项目数量</w:t>
            </w:r>
          </w:p>
        </w:tc>
        <w:tc>
          <w:tcPr>
            <w:tcW w:w="2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本年增/减</w:t>
            </w:r>
          </w:p>
        </w:tc>
        <w:tc>
          <w:tcPr>
            <w:tcW w:w="25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3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行政许可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3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其他对外管理服务事项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090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3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信息内容</w:t>
            </w:r>
          </w:p>
        </w:tc>
        <w:tc>
          <w:tcPr>
            <w:tcW w:w="2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上一年项目数量</w:t>
            </w:r>
          </w:p>
        </w:tc>
        <w:tc>
          <w:tcPr>
            <w:tcW w:w="2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本年增/减</w:t>
            </w:r>
          </w:p>
        </w:tc>
        <w:tc>
          <w:tcPr>
            <w:tcW w:w="25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3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行政处罚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7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3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3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行政强制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090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3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信息内容</w:t>
            </w:r>
          </w:p>
        </w:tc>
        <w:tc>
          <w:tcPr>
            <w:tcW w:w="2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上一年项目数量</w:t>
            </w:r>
          </w:p>
        </w:tc>
        <w:tc>
          <w:tcPr>
            <w:tcW w:w="50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本年增/减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3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行政事业性收费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5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090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第二十条第（九）项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3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信息内容</w:t>
            </w:r>
          </w:p>
        </w:tc>
        <w:tc>
          <w:tcPr>
            <w:tcW w:w="2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采购项目数量</w:t>
            </w:r>
          </w:p>
        </w:tc>
        <w:tc>
          <w:tcPr>
            <w:tcW w:w="50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采购总金额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3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政府集中采购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5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atLeast"/>
        <w:ind w:left="0" w:right="0" w:firstLine="0"/>
      </w:pPr>
      <w:r>
        <w:rPr>
          <w:rFonts w:hint="eastAsia" w:ascii="仿宋" w:hAnsi="仿宋" w:eastAsia="仿宋" w:cs="仿宋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   </w:t>
      </w:r>
      <w:r>
        <w:rPr>
          <w:rStyle w:val="5"/>
          <w:rFonts w:hint="eastAsia" w:ascii="黑体" w:hAnsi="宋体" w:eastAsia="黑体" w:cs="黑体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三、收到和处理政府信息公开申请情况</w:t>
      </w:r>
    </w:p>
    <w:tbl>
      <w:tblPr>
        <w:tblpPr w:leftFromText="180" w:rightFromText="180" w:vertAnchor="text" w:horzAnchor="page" w:tblpX="163" w:tblpY="673"/>
        <w:tblOverlap w:val="never"/>
        <w:tblW w:w="1159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9"/>
        <w:gridCol w:w="1785"/>
        <w:gridCol w:w="3091"/>
        <w:gridCol w:w="807"/>
        <w:gridCol w:w="807"/>
        <w:gridCol w:w="807"/>
        <w:gridCol w:w="807"/>
        <w:gridCol w:w="807"/>
        <w:gridCol w:w="980"/>
        <w:gridCol w:w="75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2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（本列数据的勾稽关系为：第一项加第二项之和，等于第三项加第四项之和）</w:t>
            </w:r>
          </w:p>
        </w:tc>
        <w:tc>
          <w:tcPr>
            <w:tcW w:w="577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58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自然人</w:t>
            </w:r>
          </w:p>
        </w:tc>
        <w:tc>
          <w:tcPr>
            <w:tcW w:w="42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法人或其他组织</w:t>
            </w:r>
          </w:p>
        </w:tc>
        <w:tc>
          <w:tcPr>
            <w:tcW w:w="75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58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商业企业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科研机构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社会公益组织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法律服务机构</w:t>
            </w:r>
          </w:p>
        </w:tc>
        <w:tc>
          <w:tcPr>
            <w:tcW w:w="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其他</w:t>
            </w:r>
          </w:p>
        </w:tc>
        <w:tc>
          <w:tcPr>
            <w:tcW w:w="7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一、本年新收政府信息公开申请数量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二、上年结转政府信息公开申请数量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三、本年度办理结果</w:t>
            </w:r>
          </w:p>
        </w:tc>
        <w:tc>
          <w:tcPr>
            <w:tcW w:w="48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（一）予以公开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（二）部分公开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（三）不予公开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1．属于国家秘密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2．其他法律行政法规禁止公开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3．危及“三安全一稳定”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4．保护第三方合法权益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5．属于三类内部事务信息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6．属于四类过程性信息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7．属于行政执法案卷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8．属于行政查询事项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（四）无法提供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1．本机关不掌握相关政府信息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2．没有现成信息需要另行制作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3．补正后申请内容仍不明确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（五）不予处理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1．信访举报投诉类申请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2．重复申请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3．要求提供公开出版物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4．无正当理由大量反复申请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5．要求行政机关确认或重新出具已获取信息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ascii="微软雅黑" w:hAnsi="微软雅黑" w:eastAsia="微软雅黑" w:cs="微软雅黑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  <w:tc>
          <w:tcPr>
            <w:tcW w:w="48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（六）其他处理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  <w:tc>
          <w:tcPr>
            <w:tcW w:w="48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（七）总计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四、结转下年度继续办理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atLeast"/>
        <w:ind w:left="0" w:right="0" w:firstLine="0"/>
      </w:pPr>
      <w:r>
        <w:rPr>
          <w:rFonts w:hint="eastAsia" w:ascii="仿宋" w:hAnsi="仿宋" w:eastAsia="仿宋" w:cs="仿宋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  </w:t>
      </w:r>
      <w:r>
        <w:rPr>
          <w:rFonts w:hint="eastAsia" w:ascii="黑体" w:hAnsi="宋体" w:eastAsia="黑体" w:cs="黑体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四、政府信息公开行政复议、行政诉讼情况</w:t>
      </w:r>
    </w:p>
    <w:tbl>
      <w:tblPr>
        <w:tblpPr w:leftFromText="180" w:rightFromText="180" w:vertAnchor="text" w:horzAnchor="page" w:tblpX="182" w:tblpY="703"/>
        <w:tblOverlap w:val="never"/>
        <w:tblW w:w="1165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807"/>
        <w:gridCol w:w="807"/>
        <w:gridCol w:w="772"/>
        <w:gridCol w:w="707"/>
        <w:gridCol w:w="807"/>
        <w:gridCol w:w="807"/>
        <w:gridCol w:w="807"/>
        <w:gridCol w:w="807"/>
        <w:gridCol w:w="672"/>
        <w:gridCol w:w="979"/>
        <w:gridCol w:w="739"/>
        <w:gridCol w:w="875"/>
        <w:gridCol w:w="807"/>
        <w:gridCol w:w="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38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行政复议</w:t>
            </w:r>
          </w:p>
        </w:tc>
        <w:tc>
          <w:tcPr>
            <w:tcW w:w="775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80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结果维持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结果纠正</w:t>
            </w:r>
          </w:p>
        </w:tc>
        <w:tc>
          <w:tcPr>
            <w:tcW w:w="8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其他结果</w:t>
            </w:r>
          </w:p>
        </w:tc>
        <w:tc>
          <w:tcPr>
            <w:tcW w:w="77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尚未审结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总计</w:t>
            </w:r>
          </w:p>
        </w:tc>
        <w:tc>
          <w:tcPr>
            <w:tcW w:w="390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未经复议直接起诉</w:t>
            </w:r>
          </w:p>
        </w:tc>
        <w:tc>
          <w:tcPr>
            <w:tcW w:w="385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0" w:hRule="atLeast"/>
        </w:trPr>
        <w:tc>
          <w:tcPr>
            <w:tcW w:w="8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结果维持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结果纠正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其他结果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尚未审结</w:t>
            </w:r>
          </w:p>
        </w:tc>
        <w:tc>
          <w:tcPr>
            <w:tcW w:w="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总计</w:t>
            </w:r>
          </w:p>
        </w:tc>
        <w:tc>
          <w:tcPr>
            <w:tcW w:w="9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结果维持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结果纠正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其他结果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尚未审结</w:t>
            </w:r>
          </w:p>
        </w:tc>
        <w:tc>
          <w:tcPr>
            <w:tcW w:w="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7"/>
                <w:szCs w:val="27"/>
              </w:rPr>
              <w:t> 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7"/>
                <w:szCs w:val="27"/>
              </w:rPr>
              <w:t> 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7"/>
                <w:szCs w:val="27"/>
              </w:rPr>
              <w:t> 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7"/>
                <w:szCs w:val="27"/>
              </w:rPr>
              <w:t> 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7"/>
                <w:szCs w:val="27"/>
              </w:rPr>
              <w:t> 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7"/>
                <w:szCs w:val="27"/>
              </w:rPr>
              <w:t> 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7"/>
                <w:szCs w:val="27"/>
              </w:rPr>
              <w:t> 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7"/>
                <w:szCs w:val="27"/>
              </w:rPr>
              <w:t> 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7"/>
                <w:szCs w:val="27"/>
              </w:rPr>
              <w:t> 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7"/>
                <w:szCs w:val="27"/>
              </w:rPr>
              <w:t> 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7"/>
                <w:szCs w:val="27"/>
              </w:rPr>
              <w:t> 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7"/>
                <w:szCs w:val="27"/>
              </w:rPr>
              <w:t> 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1"/>
                <w:szCs w:val="3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atLeast"/>
        <w:ind w:left="0" w:right="0" w:firstLine="0"/>
      </w:pPr>
      <w:r>
        <w:rPr>
          <w:rFonts w:ascii="Calibri" w:hAnsi="Calibri" w:cs="Calibri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atLeast"/>
        <w:ind w:left="0" w:right="0" w:firstLine="640"/>
      </w:pPr>
      <w:r>
        <w:rPr>
          <w:rFonts w:hint="eastAsia" w:ascii="黑体" w:hAnsi="宋体" w:eastAsia="黑体" w:cs="黑体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atLeast"/>
        <w:ind w:left="0" w:right="0" w:firstLine="640"/>
      </w:pP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2020年，我单位的政府信息公开工作虽然取得了一定的成效，但也存在一些问题。一是政务公开队伍业务能力水平不高，二是政府信息公开的内容还不够全面，三是政务公开创新发展水平较低。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atLeast"/>
        <w:ind w:left="0" w:right="0" w:firstLine="640"/>
      </w:pP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下一步，区文化和旅游局将加强信息公开工作队伍建设，整体提升信息公开工作队伍的能力水平;进一步充实完善政府信息公开内容，确保政府信息公开工作落到实处。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atLeast"/>
        <w:ind w:left="0" w:right="0" w:firstLine="640"/>
      </w:pPr>
      <w:r>
        <w:rPr>
          <w:rFonts w:hint="eastAsia" w:ascii="黑体" w:hAnsi="宋体" w:eastAsia="黑体" w:cs="黑体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atLeast"/>
        <w:ind w:left="0" w:right="0" w:firstLine="640"/>
      </w:pP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2020年，无其他需要报告的事项。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atLeast"/>
        <w:ind w:left="0" w:right="0"/>
        <w:jc w:val="center"/>
      </w:pP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      临淄区文化和旅游局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atLeast"/>
        <w:ind w:left="0" w:right="0"/>
        <w:jc w:val="center"/>
      </w:pP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   2021年1月28日</w:t>
      </w:r>
      <w:r>
        <w:rPr>
          <w:rFonts w:hint="default" w:ascii="Calibri" w:hAnsi="Calibri" w:cs="Calibri"/>
          <w:sz w:val="21"/>
          <w:szCs w:val="21"/>
          <w:bdr w:val="none" w:color="auto" w:sz="0" w:space="0"/>
          <w:shd w:val="clear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B20DA"/>
    <w:rsid w:val="407B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2021-02-01T02:34:40Z</dcterms:created>
  <dc:creator>Lenovo</dc:creator>
  <cp:lastModifiedBy>张长春</cp:lastModifiedBy>
  <dcterms:modified xsi:type="dcterms:W3CDTF">2021-02-01T02:43:40Z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