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小标宋简体"/>
          <w:sz w:val="44"/>
          <w:szCs w:val="44"/>
        </w:rPr>
      </w:pPr>
      <w:r>
        <w:rPr>
          <w:rFonts w:ascii="Times New Roman" w:hAnsi="Times New Roman" w:eastAsia="方正小标宋简体"/>
          <w:sz w:val="44"/>
          <w:szCs w:val="44"/>
        </w:rPr>
        <w:t>临淄区第七次全国人口普查</w:t>
      </w:r>
      <w:r>
        <w:rPr>
          <w:rFonts w:hint="eastAsia" w:ascii="Times New Roman" w:hAnsi="Times New Roman" w:eastAsia="方正小标宋简体"/>
          <w:sz w:val="44"/>
          <w:szCs w:val="44"/>
          <w:lang w:eastAsia="zh-CN"/>
        </w:rPr>
        <w:t>公报</w:t>
      </w:r>
      <w:r>
        <w:rPr>
          <w:rFonts w:ascii="Times New Roman" w:hAnsi="Times New Roman" w:eastAsia="仿宋_GB2312"/>
          <w:spacing w:val="-4"/>
          <w:kern w:val="0"/>
          <w:sz w:val="32"/>
          <w:vertAlign w:val="superscript"/>
        </w:rPr>
        <w:t>[1]</w:t>
      </w:r>
    </w:p>
    <w:p>
      <w:pPr>
        <w:overflowPunct w:val="0"/>
        <w:spacing w:line="480" w:lineRule="exact"/>
        <w:jc w:val="center"/>
        <w:rPr>
          <w:rFonts w:ascii="Times New Roman" w:hAnsi="Times New Roman" w:eastAsia="楷体_GB2312"/>
          <w:sz w:val="32"/>
          <w:szCs w:val="40"/>
        </w:rPr>
      </w:pPr>
      <w:r>
        <w:rPr>
          <w:rFonts w:ascii="Times New Roman" w:hAnsi="Times New Roman" w:eastAsia="楷体_GB2312"/>
          <w:sz w:val="32"/>
          <w:szCs w:val="40"/>
        </w:rPr>
        <w:t>临淄区统计局</w:t>
      </w:r>
    </w:p>
    <w:p>
      <w:pPr>
        <w:overflowPunct w:val="0"/>
        <w:spacing w:line="480" w:lineRule="exact"/>
        <w:jc w:val="center"/>
        <w:rPr>
          <w:rFonts w:ascii="Times New Roman" w:hAnsi="Times New Roman" w:eastAsia="楷体_GB2312"/>
          <w:sz w:val="32"/>
          <w:szCs w:val="40"/>
        </w:rPr>
      </w:pPr>
      <w:r>
        <w:rPr>
          <w:rFonts w:ascii="Times New Roman" w:hAnsi="Times New Roman" w:eastAsia="楷体_GB2312"/>
          <w:sz w:val="32"/>
          <w:szCs w:val="40"/>
        </w:rPr>
        <w:t>临淄区第七次全国人口普查领导小组办公室</w:t>
      </w:r>
    </w:p>
    <w:p>
      <w:pPr>
        <w:overflowPunct w:val="0"/>
        <w:spacing w:line="480" w:lineRule="exact"/>
        <w:jc w:val="center"/>
        <w:rPr>
          <w:rFonts w:ascii="Times New Roman" w:hAnsi="Times New Roman" w:eastAsia="楷体_GB2312"/>
          <w:sz w:val="32"/>
          <w:szCs w:val="40"/>
        </w:rPr>
      </w:pPr>
      <w:r>
        <w:rPr>
          <w:rFonts w:ascii="Times New Roman" w:hAnsi="Times New Roman" w:eastAsia="楷体_GB2312"/>
          <w:sz w:val="32"/>
          <w:szCs w:val="40"/>
        </w:rPr>
        <w:t>2021年</w:t>
      </w:r>
      <w:r>
        <w:rPr>
          <w:rFonts w:hint="eastAsia" w:ascii="Times New Roman" w:hAnsi="Times New Roman" w:eastAsia="楷体_GB2312"/>
          <w:sz w:val="32"/>
          <w:szCs w:val="40"/>
          <w:lang w:val="en-US" w:eastAsia="zh-CN"/>
        </w:rPr>
        <w:t>7</w:t>
      </w:r>
      <w:r>
        <w:rPr>
          <w:rFonts w:ascii="Times New Roman" w:hAnsi="Times New Roman" w:eastAsia="楷体_GB2312"/>
          <w:sz w:val="32"/>
          <w:szCs w:val="40"/>
        </w:rPr>
        <w:t>月</w:t>
      </w:r>
      <w:r>
        <w:rPr>
          <w:rFonts w:hint="eastAsia" w:ascii="Times New Roman" w:hAnsi="Times New Roman" w:eastAsia="楷体_GB2312"/>
          <w:sz w:val="32"/>
          <w:szCs w:val="40"/>
          <w:lang w:val="en-US" w:eastAsia="zh-CN"/>
        </w:rPr>
        <w:t>7</w:t>
      </w:r>
      <w:bookmarkStart w:id="0" w:name="_GoBack"/>
      <w:bookmarkEnd w:id="0"/>
      <w:r>
        <w:rPr>
          <w:rFonts w:ascii="Times New Roman" w:hAnsi="Times New Roman" w:eastAsia="楷体_GB2312"/>
          <w:sz w:val="32"/>
          <w:szCs w:val="40"/>
        </w:rPr>
        <w:t>日</w:t>
      </w:r>
    </w:p>
    <w:p>
      <w:pPr>
        <w:overflowPunct w:val="0"/>
        <w:spacing w:line="590" w:lineRule="exact"/>
        <w:ind w:firstLine="640" w:firstLineChars="200"/>
        <w:rPr>
          <w:rFonts w:ascii="Times New Roman" w:hAnsi="Times New Roman" w:eastAsia="仿宋_GB2312"/>
          <w:sz w:val="32"/>
          <w:szCs w:val="40"/>
        </w:rPr>
      </w:pPr>
    </w:p>
    <w:p>
      <w:pPr>
        <w:overflowPunct w:val="0"/>
        <w:spacing w:line="60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根据第七次全国人口普查结果，现将2020年11月1日零时我区常住人口的基本情况公布如下：</w:t>
      </w:r>
    </w:p>
    <w:p>
      <w:pPr>
        <w:overflowPunct w:val="0"/>
        <w:spacing w:line="600" w:lineRule="exact"/>
        <w:ind w:firstLine="640" w:firstLineChars="200"/>
        <w:rPr>
          <w:rFonts w:ascii="Times New Roman" w:hAnsi="Times New Roman" w:eastAsia="黑体"/>
          <w:sz w:val="32"/>
          <w:szCs w:val="40"/>
        </w:rPr>
      </w:pPr>
      <w:r>
        <w:rPr>
          <w:rFonts w:ascii="Times New Roman" w:hAnsi="Times New Roman" w:eastAsia="黑体"/>
          <w:sz w:val="32"/>
          <w:szCs w:val="40"/>
        </w:rPr>
        <w:t>一、全区人口情况</w:t>
      </w:r>
    </w:p>
    <w:p>
      <w:pPr>
        <w:overflowPunct w:val="0"/>
        <w:spacing w:line="60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（一）常住人口</w:t>
      </w:r>
    </w:p>
    <w:p>
      <w:pPr>
        <w:overflowPunct w:val="0"/>
        <w:spacing w:line="60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全区常住人口</w:t>
      </w:r>
      <w:r>
        <w:rPr>
          <w:rFonts w:ascii="Times New Roman" w:hAnsi="Times New Roman" w:eastAsia="仿宋_GB2312"/>
          <w:sz w:val="32"/>
          <w:szCs w:val="40"/>
          <w:vertAlign w:val="superscript"/>
        </w:rPr>
        <w:t>[2]</w:t>
      </w:r>
      <w:r>
        <w:rPr>
          <w:rFonts w:ascii="Times New Roman" w:hAnsi="Times New Roman" w:eastAsia="仿宋_GB2312"/>
          <w:sz w:val="32"/>
          <w:szCs w:val="40"/>
        </w:rPr>
        <w:t>为649160人。与2010年第六次全国人口普查的642831人相比，十年共增加6329人，增长0.98%，年平均增长率为0.10%。</w:t>
      </w:r>
    </w:p>
    <w:p>
      <w:pPr>
        <w:overflowPunct w:val="0"/>
        <w:spacing w:line="60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（二）户别人口</w:t>
      </w:r>
    </w:p>
    <w:p>
      <w:pPr>
        <w:overflowPunct w:val="0"/>
        <w:spacing w:line="60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全区共有家庭户</w:t>
      </w:r>
      <w:r>
        <w:rPr>
          <w:rFonts w:ascii="Times New Roman" w:hAnsi="Times New Roman" w:eastAsia="仿宋_GB2312"/>
          <w:sz w:val="32"/>
          <w:szCs w:val="40"/>
          <w:vertAlign w:val="superscript"/>
        </w:rPr>
        <w:t>[3]</w:t>
      </w:r>
      <w:r>
        <w:rPr>
          <w:rFonts w:ascii="Times New Roman" w:hAnsi="Times New Roman" w:eastAsia="仿宋_GB2312"/>
          <w:sz w:val="32"/>
          <w:szCs w:val="40"/>
        </w:rPr>
        <w:t xml:space="preserve"> 231379户，集体户18268户，家庭户人口为590988人，集体户人口为58172人。平均每个家庭户的人口为2.55人，比2010年第六次全国人口普查的2.84人减少0.29人。</w:t>
      </w:r>
    </w:p>
    <w:p>
      <w:pPr>
        <w:spacing w:before="312" w:beforeLines="100" w:after="312" w:afterLines="100" w:line="600" w:lineRule="exact"/>
        <w:ind w:firstLine="640" w:firstLineChars="200"/>
        <w:rPr>
          <w:rFonts w:ascii="Times New Roman" w:hAnsi="Times New Roman" w:eastAsia="黑体"/>
          <w:sz w:val="32"/>
          <w:szCs w:val="40"/>
        </w:rPr>
      </w:pPr>
      <w:r>
        <w:rPr>
          <w:rFonts w:ascii="Times New Roman" w:hAnsi="Times New Roman" w:eastAsia="黑体"/>
          <w:sz w:val="32"/>
          <w:szCs w:val="40"/>
        </w:rPr>
        <w:t>二、人口性别构成情况</w:t>
      </w:r>
    </w:p>
    <w:p>
      <w:pPr>
        <w:overflowPunct w:val="0"/>
        <w:spacing w:line="600" w:lineRule="exact"/>
        <w:ind w:firstLine="640" w:firstLineChars="200"/>
        <w:rPr>
          <w:rFonts w:ascii="Times New Roman" w:hAnsi="Times New Roman" w:eastAsia="仿宋_GB2312"/>
          <w:kern w:val="0"/>
          <w:sz w:val="24"/>
        </w:rPr>
      </w:pPr>
      <w:r>
        <w:rPr>
          <w:rFonts w:ascii="Times New Roman" w:hAnsi="Times New Roman" w:eastAsia="仿宋_GB2312"/>
          <w:sz w:val="32"/>
          <w:szCs w:val="40"/>
        </w:rPr>
        <w:t>全区人口中，男性人口为328275人，占50.57%；女性人口为320885人，占49.43%。总人口性别比（以女性为100，男性对女性的比例）为102.30，与2010年第六次全国人口普查相比提高1.44个百分点。</w:t>
      </w:r>
    </w:p>
    <w:p>
      <w:pPr>
        <w:overflowPunct w:val="0"/>
        <w:spacing w:line="600" w:lineRule="exact"/>
        <w:ind w:firstLine="641"/>
        <w:rPr>
          <w:rFonts w:ascii="Times New Roman" w:hAnsi="Times New Roman" w:eastAsia="黑体"/>
          <w:kern w:val="0"/>
          <w:sz w:val="32"/>
        </w:rPr>
      </w:pPr>
      <w:r>
        <w:rPr>
          <w:rFonts w:ascii="Times New Roman" w:hAnsi="Times New Roman" w:eastAsia="黑体"/>
          <w:kern w:val="0"/>
          <w:sz w:val="32"/>
        </w:rPr>
        <w:t>三、人口年龄构成情况</w:t>
      </w:r>
    </w:p>
    <w:p>
      <w:pPr>
        <w:overflowPunct w:val="0"/>
        <w:spacing w:line="600" w:lineRule="exact"/>
        <w:ind w:firstLine="641"/>
        <w:rPr>
          <w:rFonts w:ascii="Times New Roman" w:hAnsi="Times New Roman" w:eastAsia="仿宋_GB2312"/>
          <w:sz w:val="32"/>
          <w:szCs w:val="40"/>
        </w:rPr>
      </w:pPr>
      <w:r>
        <w:rPr>
          <w:rFonts w:ascii="Times New Roman" w:hAnsi="Times New Roman" w:eastAsia="仿宋_GB2312"/>
          <w:sz w:val="32"/>
          <w:szCs w:val="40"/>
        </w:rPr>
        <w:t>全区人口中，0-14岁人口为94455人，占14.55%；15-59岁人口为399511人，占61.54%；60岁及以上人口为155194人，占23.91%，其中65岁及以上人口为113425人，占17.47%。与2010年第六次全国人口普查相比，0-14岁人口的比重下降0.54个百分点，15-59岁人口的比重下降7.59个百分点，60岁及以上人口的比重提高8.13个百分点，65岁及以上人口的比重提高6.89个百分点。</w:t>
      </w:r>
    </w:p>
    <w:p>
      <w:pPr>
        <w:widowControl/>
        <w:spacing w:line="600" w:lineRule="exact"/>
        <w:jc w:val="center"/>
        <w:rPr>
          <w:rFonts w:ascii="Times New Roman" w:hAnsi="Times New Roman" w:eastAsia="黑体"/>
          <w:kern w:val="0"/>
          <w:sz w:val="28"/>
          <w:szCs w:val="28"/>
        </w:rPr>
      </w:pPr>
      <w:r>
        <w:rPr>
          <w:rFonts w:ascii="Times New Roman" w:hAnsi="Times New Roman" w:eastAsia="黑体"/>
          <w:kern w:val="0"/>
          <w:sz w:val="28"/>
          <w:szCs w:val="28"/>
        </w:rPr>
        <w:t>表4-1  全区人口年龄构成</w:t>
      </w:r>
    </w:p>
    <w:tbl>
      <w:tblPr>
        <w:tblStyle w:val="7"/>
        <w:tblW w:w="8298" w:type="dxa"/>
        <w:jc w:val="center"/>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3291"/>
        <w:gridCol w:w="2503"/>
        <w:gridCol w:w="2504"/>
      </w:tblGrid>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22" w:hRule="exact"/>
          <w:tblHeader/>
          <w:jc w:val="center"/>
        </w:trPr>
        <w:tc>
          <w:tcPr>
            <w:tcW w:w="3291" w:type="dxa"/>
            <w:vMerge w:val="restart"/>
            <w:tcBorders>
              <w:top w:val="single" w:color="000000" w:sz="4" w:space="0"/>
              <w:bottom w:val="single" w:color="000000" w:sz="4" w:space="0"/>
            </w:tcBorders>
            <w:shd w:val="clear" w:color="auto" w:fill="auto"/>
            <w:tcMar>
              <w:top w:w="15" w:type="dxa"/>
              <w:left w:w="15" w:type="dxa"/>
              <w:right w:w="15" w:type="dxa"/>
            </w:tcMar>
            <w:vAlign w:val="center"/>
          </w:tcPr>
          <w:p>
            <w:pPr>
              <w:widowControl/>
              <w:adjustRightInd w:val="0"/>
              <w:snapToGrid w:val="0"/>
              <w:spacing w:line="6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年  龄</w:t>
            </w:r>
          </w:p>
        </w:tc>
        <w:tc>
          <w:tcPr>
            <w:tcW w:w="2503" w:type="dxa"/>
            <w:vMerge w:val="restart"/>
            <w:tcBorders>
              <w:top w:val="single" w:color="000000" w:sz="4" w:space="0"/>
              <w:bottom w:val="single" w:color="000000" w:sz="4" w:space="0"/>
            </w:tcBorders>
            <w:shd w:val="clear" w:color="auto" w:fill="auto"/>
            <w:tcMar>
              <w:top w:w="15" w:type="dxa"/>
              <w:left w:w="15" w:type="dxa"/>
              <w:right w:w="15" w:type="dxa"/>
            </w:tcMar>
            <w:vAlign w:val="center"/>
          </w:tcPr>
          <w:p>
            <w:pPr>
              <w:widowControl/>
              <w:adjustRightInd w:val="0"/>
              <w:snapToGrid w:val="0"/>
              <w:spacing w:line="6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人口数（人）</w:t>
            </w:r>
          </w:p>
        </w:tc>
        <w:tc>
          <w:tcPr>
            <w:tcW w:w="2504" w:type="dxa"/>
            <w:vMerge w:val="restart"/>
            <w:tcBorders>
              <w:top w:val="single" w:color="000000" w:sz="4" w:space="0"/>
              <w:bottom w:val="single" w:color="000000" w:sz="4" w:space="0"/>
            </w:tcBorders>
            <w:shd w:val="clear" w:color="auto" w:fill="auto"/>
            <w:tcMar>
              <w:top w:w="15" w:type="dxa"/>
              <w:left w:w="15" w:type="dxa"/>
              <w:right w:w="15" w:type="dxa"/>
            </w:tcMar>
            <w:vAlign w:val="center"/>
          </w:tcPr>
          <w:p>
            <w:pPr>
              <w:widowControl/>
              <w:adjustRightInd w:val="0"/>
              <w:snapToGrid w:val="0"/>
              <w:spacing w:line="6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比重（%）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12" w:hRule="exact"/>
          <w:tblHeader/>
          <w:jc w:val="center"/>
        </w:trPr>
        <w:tc>
          <w:tcPr>
            <w:tcW w:w="3291" w:type="dxa"/>
            <w:vMerge w:val="continue"/>
            <w:tcBorders>
              <w:top w:val="single" w:color="000000" w:sz="4" w:space="0"/>
              <w:bottom w:val="single" w:color="000000" w:sz="4" w:space="0"/>
            </w:tcBorders>
            <w:shd w:val="clear" w:color="auto" w:fill="auto"/>
            <w:tcMar>
              <w:top w:w="15" w:type="dxa"/>
              <w:left w:w="15" w:type="dxa"/>
              <w:right w:w="15" w:type="dxa"/>
            </w:tcMar>
            <w:vAlign w:val="center"/>
          </w:tcPr>
          <w:p>
            <w:pPr>
              <w:adjustRightInd w:val="0"/>
              <w:snapToGrid w:val="0"/>
              <w:spacing w:line="600" w:lineRule="exact"/>
              <w:jc w:val="center"/>
              <w:rPr>
                <w:rFonts w:ascii="Times New Roman" w:hAnsi="Times New Roman" w:eastAsia="仿宋_GB2312"/>
                <w:sz w:val="28"/>
                <w:szCs w:val="28"/>
              </w:rPr>
            </w:pPr>
          </w:p>
        </w:tc>
        <w:tc>
          <w:tcPr>
            <w:tcW w:w="2503" w:type="dxa"/>
            <w:vMerge w:val="continue"/>
            <w:tcBorders>
              <w:top w:val="single" w:color="000000" w:sz="4" w:space="0"/>
              <w:bottom w:val="single" w:color="000000" w:sz="4" w:space="0"/>
            </w:tcBorders>
            <w:shd w:val="clear" w:color="auto" w:fill="auto"/>
            <w:tcMar>
              <w:top w:w="15" w:type="dxa"/>
              <w:left w:w="15" w:type="dxa"/>
              <w:right w:w="15" w:type="dxa"/>
            </w:tcMar>
            <w:vAlign w:val="center"/>
          </w:tcPr>
          <w:p>
            <w:pPr>
              <w:adjustRightInd w:val="0"/>
              <w:snapToGrid w:val="0"/>
              <w:spacing w:line="600" w:lineRule="exact"/>
              <w:jc w:val="center"/>
              <w:rPr>
                <w:rFonts w:ascii="Times New Roman" w:hAnsi="Times New Roman" w:eastAsia="仿宋_GB2312"/>
                <w:sz w:val="28"/>
                <w:szCs w:val="28"/>
              </w:rPr>
            </w:pPr>
          </w:p>
        </w:tc>
        <w:tc>
          <w:tcPr>
            <w:tcW w:w="2504" w:type="dxa"/>
            <w:vMerge w:val="continue"/>
            <w:tcBorders>
              <w:top w:val="single" w:color="000000" w:sz="4" w:space="0"/>
              <w:bottom w:val="single" w:color="000000" w:sz="4" w:space="0"/>
            </w:tcBorders>
            <w:shd w:val="clear" w:color="auto" w:fill="auto"/>
            <w:tcMar>
              <w:top w:w="15" w:type="dxa"/>
              <w:left w:w="15" w:type="dxa"/>
              <w:right w:w="15" w:type="dxa"/>
            </w:tcMar>
            <w:vAlign w:val="center"/>
          </w:tcPr>
          <w:p>
            <w:pPr>
              <w:adjustRightInd w:val="0"/>
              <w:snapToGrid w:val="0"/>
              <w:spacing w:line="600" w:lineRule="exact"/>
              <w:jc w:val="center"/>
              <w:rPr>
                <w:rFonts w:ascii="Times New Roman" w:hAnsi="Times New Roman" w:eastAsia="仿宋_GB2312"/>
                <w:sz w:val="28"/>
                <w:szCs w:val="2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99" w:hRule="exact"/>
          <w:jc w:val="center"/>
        </w:trPr>
        <w:tc>
          <w:tcPr>
            <w:tcW w:w="3291" w:type="dxa"/>
            <w:tcBorders>
              <w:top w:val="single" w:color="000000" w:sz="4" w:space="0"/>
            </w:tcBorders>
            <w:shd w:val="clear" w:color="auto" w:fill="auto"/>
            <w:tcMar>
              <w:top w:w="15" w:type="dxa"/>
              <w:left w:w="15" w:type="dxa"/>
              <w:right w:w="15" w:type="dxa"/>
            </w:tcMar>
          </w:tcPr>
          <w:p>
            <w:pPr>
              <w:widowControl/>
              <w:adjustRightInd w:val="0"/>
              <w:snapToGrid w:val="0"/>
              <w:spacing w:line="600" w:lineRule="exact"/>
              <w:ind w:left="105" w:leftChars="50"/>
              <w:jc w:val="left"/>
              <w:textAlignment w:val="center"/>
              <w:rPr>
                <w:rFonts w:ascii="Times New Roman" w:hAnsi="Times New Roman" w:eastAsia="仿宋_GB2312"/>
                <w:b/>
                <w:bCs/>
                <w:sz w:val="32"/>
                <w:szCs w:val="32"/>
              </w:rPr>
            </w:pPr>
            <w:r>
              <w:rPr>
                <w:rFonts w:ascii="Times New Roman" w:hAnsi="Times New Roman" w:eastAsia="仿宋_GB2312"/>
                <w:b/>
                <w:bCs/>
                <w:sz w:val="32"/>
                <w:szCs w:val="32"/>
              </w:rPr>
              <w:t>总  计</w:t>
            </w:r>
          </w:p>
        </w:tc>
        <w:tc>
          <w:tcPr>
            <w:tcW w:w="2503" w:type="dxa"/>
            <w:tcBorders>
              <w:top w:val="single" w:color="000000" w:sz="4" w:space="0"/>
            </w:tcBorders>
            <w:shd w:val="clear" w:color="auto" w:fill="auto"/>
            <w:tcMar>
              <w:top w:w="15" w:type="dxa"/>
              <w:left w:w="15" w:type="dxa"/>
              <w:right w:w="15" w:type="dxa"/>
            </w:tcMar>
          </w:tcPr>
          <w:p>
            <w:pPr>
              <w:widowControl/>
              <w:adjustRightInd w:val="0"/>
              <w:snapToGrid w:val="0"/>
              <w:spacing w:line="600" w:lineRule="exact"/>
              <w:ind w:left="105" w:leftChars="50"/>
              <w:jc w:val="right"/>
              <w:textAlignment w:val="center"/>
              <w:rPr>
                <w:rFonts w:ascii="Times New Roman" w:hAnsi="Times New Roman" w:eastAsia="仿宋_GB2312"/>
                <w:b/>
                <w:bCs/>
                <w:sz w:val="32"/>
                <w:szCs w:val="32"/>
              </w:rPr>
            </w:pPr>
            <w:r>
              <w:rPr>
                <w:rFonts w:ascii="Times New Roman" w:hAnsi="Times New Roman" w:eastAsia="仿宋_GB2312"/>
                <w:b/>
                <w:bCs/>
                <w:sz w:val="32"/>
                <w:szCs w:val="32"/>
              </w:rPr>
              <w:t>649160</w:t>
            </w:r>
          </w:p>
        </w:tc>
        <w:tc>
          <w:tcPr>
            <w:tcW w:w="2504" w:type="dxa"/>
            <w:tcBorders>
              <w:top w:val="single" w:color="000000" w:sz="4" w:space="0"/>
            </w:tcBorders>
            <w:shd w:val="clear" w:color="auto" w:fill="auto"/>
            <w:tcMar>
              <w:top w:w="15" w:type="dxa"/>
              <w:left w:w="15" w:type="dxa"/>
              <w:right w:w="15" w:type="dxa"/>
            </w:tcMar>
          </w:tcPr>
          <w:p>
            <w:pPr>
              <w:widowControl/>
              <w:adjustRightInd w:val="0"/>
              <w:snapToGrid w:val="0"/>
              <w:spacing w:line="600" w:lineRule="exact"/>
              <w:ind w:left="105" w:leftChars="50"/>
              <w:jc w:val="right"/>
              <w:textAlignment w:val="center"/>
              <w:rPr>
                <w:rFonts w:ascii="Times New Roman" w:hAnsi="Times New Roman" w:eastAsia="仿宋_GB2312"/>
                <w:b/>
                <w:bCs/>
                <w:sz w:val="32"/>
                <w:szCs w:val="32"/>
              </w:rPr>
            </w:pPr>
            <w:r>
              <w:rPr>
                <w:rFonts w:ascii="Times New Roman" w:hAnsi="Times New Roman" w:eastAsia="仿宋_GB2312"/>
                <w:b/>
                <w:bCs/>
                <w:sz w:val="32"/>
                <w:szCs w:val="32"/>
              </w:rPr>
              <w:t>100</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56" w:hRule="exact"/>
          <w:jc w:val="center"/>
        </w:trPr>
        <w:tc>
          <w:tcPr>
            <w:tcW w:w="3291" w:type="dxa"/>
            <w:shd w:val="clear" w:color="auto" w:fill="auto"/>
            <w:tcMar>
              <w:top w:w="15" w:type="dxa"/>
              <w:left w:w="15" w:type="dxa"/>
              <w:right w:w="15" w:type="dxa"/>
            </w:tcMar>
            <w:vAlign w:val="center"/>
          </w:tcPr>
          <w:p>
            <w:pPr>
              <w:widowControl/>
              <w:adjustRightInd w:val="0"/>
              <w:snapToGrid w:val="0"/>
              <w:spacing w:line="600" w:lineRule="exact"/>
              <w:ind w:left="105" w:leftChars="50"/>
              <w:jc w:val="left"/>
              <w:textAlignment w:val="center"/>
              <w:rPr>
                <w:rFonts w:ascii="Times New Roman" w:hAnsi="Times New Roman" w:eastAsia="仿宋_GB2312"/>
                <w:sz w:val="32"/>
                <w:szCs w:val="32"/>
              </w:rPr>
            </w:pPr>
            <w:r>
              <w:rPr>
                <w:rFonts w:ascii="Times New Roman" w:hAnsi="Times New Roman" w:eastAsia="仿宋_GB2312"/>
                <w:sz w:val="32"/>
                <w:szCs w:val="32"/>
              </w:rPr>
              <w:t>0-14岁</w:t>
            </w:r>
          </w:p>
        </w:tc>
        <w:tc>
          <w:tcPr>
            <w:tcW w:w="2503" w:type="dxa"/>
            <w:shd w:val="clear" w:color="auto" w:fill="auto"/>
            <w:tcMar>
              <w:top w:w="15" w:type="dxa"/>
              <w:left w:w="15" w:type="dxa"/>
              <w:right w:w="15" w:type="dxa"/>
            </w:tcMar>
            <w:vAlign w:val="center"/>
          </w:tcPr>
          <w:p>
            <w:pPr>
              <w:widowControl/>
              <w:adjustRightInd w:val="0"/>
              <w:snapToGrid w:val="0"/>
              <w:spacing w:line="600" w:lineRule="exact"/>
              <w:ind w:left="105" w:leftChars="50"/>
              <w:jc w:val="right"/>
              <w:textAlignment w:val="center"/>
              <w:rPr>
                <w:rFonts w:ascii="Times New Roman" w:hAnsi="Times New Roman" w:eastAsia="仿宋_GB2312"/>
                <w:sz w:val="32"/>
                <w:szCs w:val="32"/>
              </w:rPr>
            </w:pPr>
            <w:r>
              <w:rPr>
                <w:rFonts w:ascii="Times New Roman" w:hAnsi="Times New Roman" w:eastAsia="仿宋_GB2312"/>
                <w:sz w:val="32"/>
                <w:szCs w:val="32"/>
              </w:rPr>
              <w:t>94455</w:t>
            </w:r>
          </w:p>
        </w:tc>
        <w:tc>
          <w:tcPr>
            <w:tcW w:w="2504" w:type="dxa"/>
            <w:shd w:val="clear" w:color="auto" w:fill="auto"/>
            <w:tcMar>
              <w:top w:w="15" w:type="dxa"/>
              <w:left w:w="15" w:type="dxa"/>
              <w:right w:w="15" w:type="dxa"/>
            </w:tcMar>
            <w:vAlign w:val="center"/>
          </w:tcPr>
          <w:p>
            <w:pPr>
              <w:widowControl/>
              <w:adjustRightInd w:val="0"/>
              <w:snapToGrid w:val="0"/>
              <w:spacing w:line="600" w:lineRule="exact"/>
              <w:ind w:left="105" w:leftChars="50"/>
              <w:jc w:val="right"/>
              <w:textAlignment w:val="center"/>
              <w:rPr>
                <w:rFonts w:ascii="Times New Roman" w:hAnsi="Times New Roman" w:eastAsia="仿宋_GB2312"/>
                <w:sz w:val="32"/>
                <w:szCs w:val="32"/>
              </w:rPr>
            </w:pPr>
            <w:r>
              <w:rPr>
                <w:rFonts w:ascii="Times New Roman" w:hAnsi="Times New Roman" w:eastAsia="仿宋_GB2312"/>
                <w:sz w:val="32"/>
                <w:szCs w:val="32"/>
              </w:rPr>
              <w:t>14.55</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06" w:hRule="exact"/>
          <w:jc w:val="center"/>
        </w:trPr>
        <w:tc>
          <w:tcPr>
            <w:tcW w:w="3291" w:type="dxa"/>
            <w:shd w:val="clear" w:color="auto" w:fill="auto"/>
            <w:tcMar>
              <w:top w:w="15" w:type="dxa"/>
              <w:left w:w="15" w:type="dxa"/>
              <w:right w:w="15" w:type="dxa"/>
            </w:tcMar>
            <w:vAlign w:val="center"/>
          </w:tcPr>
          <w:p>
            <w:pPr>
              <w:widowControl/>
              <w:adjustRightInd w:val="0"/>
              <w:snapToGrid w:val="0"/>
              <w:spacing w:line="600" w:lineRule="exact"/>
              <w:ind w:left="105" w:leftChars="50"/>
              <w:jc w:val="left"/>
              <w:textAlignment w:val="center"/>
              <w:rPr>
                <w:rFonts w:ascii="Times New Roman" w:hAnsi="Times New Roman" w:eastAsia="仿宋_GB2312"/>
                <w:sz w:val="32"/>
                <w:szCs w:val="32"/>
              </w:rPr>
            </w:pPr>
            <w:r>
              <w:rPr>
                <w:rFonts w:ascii="Times New Roman" w:hAnsi="Times New Roman" w:eastAsia="仿宋_GB2312"/>
                <w:sz w:val="32"/>
                <w:szCs w:val="32"/>
              </w:rPr>
              <w:t>15-59岁</w:t>
            </w:r>
          </w:p>
        </w:tc>
        <w:tc>
          <w:tcPr>
            <w:tcW w:w="2503" w:type="dxa"/>
            <w:shd w:val="clear" w:color="auto" w:fill="auto"/>
            <w:tcMar>
              <w:top w:w="15" w:type="dxa"/>
              <w:left w:w="15" w:type="dxa"/>
              <w:right w:w="15" w:type="dxa"/>
            </w:tcMar>
            <w:vAlign w:val="center"/>
          </w:tcPr>
          <w:p>
            <w:pPr>
              <w:widowControl/>
              <w:adjustRightInd w:val="0"/>
              <w:snapToGrid w:val="0"/>
              <w:spacing w:line="600" w:lineRule="exact"/>
              <w:ind w:left="105" w:leftChars="50"/>
              <w:jc w:val="right"/>
              <w:textAlignment w:val="center"/>
              <w:rPr>
                <w:rFonts w:ascii="Times New Roman" w:hAnsi="Times New Roman" w:eastAsia="仿宋_GB2312"/>
                <w:sz w:val="32"/>
                <w:szCs w:val="32"/>
              </w:rPr>
            </w:pPr>
            <w:r>
              <w:rPr>
                <w:rFonts w:ascii="Times New Roman" w:hAnsi="Times New Roman" w:eastAsia="仿宋_GB2312"/>
                <w:sz w:val="32"/>
                <w:szCs w:val="32"/>
              </w:rPr>
              <w:t>399511</w:t>
            </w:r>
          </w:p>
        </w:tc>
        <w:tc>
          <w:tcPr>
            <w:tcW w:w="2504" w:type="dxa"/>
            <w:shd w:val="clear" w:color="auto" w:fill="auto"/>
            <w:tcMar>
              <w:top w:w="15" w:type="dxa"/>
              <w:left w:w="15" w:type="dxa"/>
              <w:right w:w="15" w:type="dxa"/>
            </w:tcMar>
            <w:vAlign w:val="center"/>
          </w:tcPr>
          <w:p>
            <w:pPr>
              <w:widowControl/>
              <w:adjustRightInd w:val="0"/>
              <w:snapToGrid w:val="0"/>
              <w:spacing w:line="600" w:lineRule="exact"/>
              <w:ind w:left="105" w:leftChars="50"/>
              <w:jc w:val="right"/>
              <w:textAlignment w:val="center"/>
              <w:rPr>
                <w:rFonts w:ascii="Times New Roman" w:hAnsi="Times New Roman" w:eastAsia="仿宋_GB2312"/>
                <w:sz w:val="32"/>
                <w:szCs w:val="32"/>
              </w:rPr>
            </w:pPr>
            <w:r>
              <w:rPr>
                <w:rFonts w:ascii="Times New Roman" w:hAnsi="Times New Roman" w:eastAsia="仿宋_GB2312"/>
                <w:sz w:val="32"/>
                <w:szCs w:val="32"/>
              </w:rPr>
              <w:t>61.54</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74" w:hRule="exact"/>
          <w:jc w:val="center"/>
        </w:trPr>
        <w:tc>
          <w:tcPr>
            <w:tcW w:w="3291" w:type="dxa"/>
            <w:shd w:val="clear" w:color="auto" w:fill="auto"/>
            <w:tcMar>
              <w:top w:w="15" w:type="dxa"/>
              <w:left w:w="15" w:type="dxa"/>
              <w:right w:w="15" w:type="dxa"/>
            </w:tcMar>
            <w:vAlign w:val="center"/>
          </w:tcPr>
          <w:p>
            <w:pPr>
              <w:widowControl/>
              <w:adjustRightInd w:val="0"/>
              <w:snapToGrid w:val="0"/>
              <w:spacing w:line="600" w:lineRule="exact"/>
              <w:ind w:left="105" w:leftChars="50"/>
              <w:jc w:val="left"/>
              <w:textAlignment w:val="center"/>
              <w:rPr>
                <w:rFonts w:ascii="Times New Roman" w:hAnsi="Times New Roman" w:eastAsia="仿宋_GB2312"/>
                <w:sz w:val="32"/>
                <w:szCs w:val="32"/>
              </w:rPr>
            </w:pPr>
            <w:r>
              <w:rPr>
                <w:rFonts w:ascii="Times New Roman" w:hAnsi="Times New Roman" w:eastAsia="仿宋_GB2312"/>
                <w:sz w:val="32"/>
                <w:szCs w:val="32"/>
              </w:rPr>
              <w:t>60岁及以上</w:t>
            </w:r>
          </w:p>
        </w:tc>
        <w:tc>
          <w:tcPr>
            <w:tcW w:w="2503" w:type="dxa"/>
            <w:shd w:val="clear" w:color="auto" w:fill="auto"/>
            <w:tcMar>
              <w:top w:w="15" w:type="dxa"/>
              <w:left w:w="15" w:type="dxa"/>
              <w:right w:w="15" w:type="dxa"/>
            </w:tcMar>
            <w:vAlign w:val="center"/>
          </w:tcPr>
          <w:p>
            <w:pPr>
              <w:widowControl/>
              <w:adjustRightInd w:val="0"/>
              <w:snapToGrid w:val="0"/>
              <w:spacing w:line="600" w:lineRule="exact"/>
              <w:ind w:left="105" w:leftChars="50"/>
              <w:jc w:val="right"/>
              <w:textAlignment w:val="center"/>
              <w:rPr>
                <w:rFonts w:ascii="Times New Roman" w:hAnsi="Times New Roman" w:eastAsia="仿宋_GB2312"/>
                <w:sz w:val="32"/>
                <w:szCs w:val="32"/>
              </w:rPr>
            </w:pPr>
            <w:r>
              <w:rPr>
                <w:rFonts w:ascii="Times New Roman" w:hAnsi="Times New Roman" w:eastAsia="仿宋_GB2312"/>
                <w:sz w:val="32"/>
                <w:szCs w:val="32"/>
              </w:rPr>
              <w:t>155194</w:t>
            </w:r>
          </w:p>
        </w:tc>
        <w:tc>
          <w:tcPr>
            <w:tcW w:w="2504" w:type="dxa"/>
            <w:shd w:val="clear" w:color="auto" w:fill="auto"/>
            <w:tcMar>
              <w:top w:w="15" w:type="dxa"/>
              <w:left w:w="15" w:type="dxa"/>
              <w:right w:w="15" w:type="dxa"/>
            </w:tcMar>
            <w:vAlign w:val="center"/>
          </w:tcPr>
          <w:p>
            <w:pPr>
              <w:widowControl/>
              <w:adjustRightInd w:val="0"/>
              <w:snapToGrid w:val="0"/>
              <w:spacing w:line="600" w:lineRule="exact"/>
              <w:ind w:left="105" w:leftChars="50"/>
              <w:jc w:val="right"/>
              <w:textAlignment w:val="center"/>
              <w:rPr>
                <w:rFonts w:ascii="Times New Roman" w:hAnsi="Times New Roman" w:eastAsia="仿宋_GB2312"/>
                <w:sz w:val="32"/>
                <w:szCs w:val="32"/>
              </w:rPr>
            </w:pPr>
            <w:r>
              <w:rPr>
                <w:rFonts w:ascii="Times New Roman" w:hAnsi="Times New Roman" w:eastAsia="仿宋_GB2312"/>
                <w:sz w:val="32"/>
                <w:szCs w:val="32"/>
              </w:rPr>
              <w:t>23.91</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6" w:hRule="exact"/>
          <w:jc w:val="center"/>
        </w:trPr>
        <w:tc>
          <w:tcPr>
            <w:tcW w:w="3291" w:type="dxa"/>
            <w:shd w:val="clear" w:color="auto" w:fill="auto"/>
            <w:tcMar>
              <w:top w:w="15" w:type="dxa"/>
              <w:left w:w="15" w:type="dxa"/>
              <w:right w:w="15" w:type="dxa"/>
            </w:tcMar>
            <w:vAlign w:val="center"/>
          </w:tcPr>
          <w:p>
            <w:pPr>
              <w:widowControl/>
              <w:adjustRightInd w:val="0"/>
              <w:snapToGrid w:val="0"/>
              <w:spacing w:line="600" w:lineRule="exact"/>
              <w:ind w:left="105" w:leftChars="50" w:firstLine="640" w:firstLineChars="200"/>
              <w:jc w:val="left"/>
              <w:textAlignment w:val="center"/>
              <w:rPr>
                <w:rFonts w:ascii="Times New Roman" w:hAnsi="Times New Roman" w:eastAsia="仿宋_GB2312"/>
                <w:sz w:val="32"/>
                <w:szCs w:val="32"/>
              </w:rPr>
            </w:pPr>
            <w:r>
              <w:rPr>
                <w:rFonts w:ascii="Times New Roman" w:hAnsi="Times New Roman" w:eastAsia="仿宋_GB2312"/>
                <w:sz w:val="32"/>
                <w:szCs w:val="32"/>
              </w:rPr>
              <w:t>其中：65岁及以上</w:t>
            </w:r>
          </w:p>
        </w:tc>
        <w:tc>
          <w:tcPr>
            <w:tcW w:w="2503" w:type="dxa"/>
            <w:shd w:val="clear" w:color="auto" w:fill="auto"/>
            <w:tcMar>
              <w:top w:w="15" w:type="dxa"/>
              <w:left w:w="15" w:type="dxa"/>
              <w:right w:w="15" w:type="dxa"/>
            </w:tcMar>
            <w:vAlign w:val="center"/>
          </w:tcPr>
          <w:p>
            <w:pPr>
              <w:widowControl/>
              <w:adjustRightInd w:val="0"/>
              <w:snapToGrid w:val="0"/>
              <w:spacing w:line="600" w:lineRule="exact"/>
              <w:ind w:left="105" w:leftChars="50"/>
              <w:jc w:val="right"/>
              <w:textAlignment w:val="center"/>
              <w:rPr>
                <w:rFonts w:ascii="Times New Roman" w:hAnsi="Times New Roman" w:eastAsia="仿宋_GB2312"/>
                <w:sz w:val="32"/>
                <w:szCs w:val="32"/>
              </w:rPr>
            </w:pPr>
            <w:r>
              <w:rPr>
                <w:rFonts w:ascii="Times New Roman" w:hAnsi="Times New Roman" w:eastAsia="仿宋_GB2312"/>
                <w:sz w:val="32"/>
                <w:szCs w:val="32"/>
              </w:rPr>
              <w:t>113425</w:t>
            </w:r>
          </w:p>
        </w:tc>
        <w:tc>
          <w:tcPr>
            <w:tcW w:w="2504" w:type="dxa"/>
            <w:shd w:val="clear" w:color="auto" w:fill="auto"/>
            <w:tcMar>
              <w:top w:w="15" w:type="dxa"/>
              <w:left w:w="15" w:type="dxa"/>
              <w:right w:w="15" w:type="dxa"/>
            </w:tcMar>
            <w:vAlign w:val="center"/>
          </w:tcPr>
          <w:p>
            <w:pPr>
              <w:widowControl/>
              <w:adjustRightInd w:val="0"/>
              <w:snapToGrid w:val="0"/>
              <w:spacing w:line="600" w:lineRule="exact"/>
              <w:ind w:left="105" w:leftChars="50"/>
              <w:jc w:val="right"/>
              <w:textAlignment w:val="center"/>
              <w:rPr>
                <w:rFonts w:ascii="Times New Roman" w:hAnsi="Times New Roman" w:eastAsia="仿宋_GB2312"/>
                <w:sz w:val="32"/>
                <w:szCs w:val="32"/>
              </w:rPr>
            </w:pPr>
            <w:r>
              <w:rPr>
                <w:rFonts w:ascii="Times New Roman" w:hAnsi="Times New Roman" w:eastAsia="仿宋_GB2312"/>
                <w:sz w:val="32"/>
                <w:szCs w:val="32"/>
              </w:rPr>
              <w:t>17.47</w:t>
            </w:r>
          </w:p>
        </w:tc>
      </w:tr>
    </w:tbl>
    <w:p>
      <w:pPr>
        <w:widowControl/>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四、人口受教育情况</w:t>
      </w:r>
    </w:p>
    <w:p>
      <w:pPr>
        <w:spacing w:line="60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（一）受教育程度人口</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全区人口中，拥有大学（指大专及以上）文化程度的人口为113752人；拥有高中（含中专）文化程度的人口为153890人；拥有初中文化程度的人口为204484人；拥有小学文化程度的人口为114449人（以上各种受教育程度的人包括各类学校的毕业生、肄业生和在校生）。与2010年第六次全国人口普查相比，每10万人中拥有大学文化程度的由10514人上升为17523人；拥有高中文化程度的由21837人上升为23706人；拥有初中文化程度的由35947人下降为31500人；拥有小学文化程度的由22738人下降为17630人。</w:t>
      </w:r>
    </w:p>
    <w:p>
      <w:pPr>
        <w:spacing w:line="600" w:lineRule="exact"/>
        <w:ind w:firstLine="640" w:firstLineChars="200"/>
        <w:rPr>
          <w:rFonts w:ascii="Times New Roman" w:hAnsi="Times New Roman" w:eastAsia="仿宋_GB2312"/>
          <w:spacing w:val="-4"/>
          <w:kern w:val="0"/>
          <w:sz w:val="32"/>
          <w:vertAlign w:val="superscript"/>
        </w:rPr>
      </w:pPr>
      <w:r>
        <w:rPr>
          <w:rFonts w:ascii="Times New Roman" w:hAnsi="Times New Roman" w:eastAsia="仿宋_GB2312"/>
          <w:sz w:val="32"/>
          <w:szCs w:val="40"/>
        </w:rPr>
        <w:t>（二）平均受教育年限</w:t>
      </w:r>
      <w:r>
        <w:rPr>
          <w:rFonts w:ascii="Times New Roman" w:hAnsi="Times New Roman" w:eastAsia="仿宋_GB2312"/>
          <w:spacing w:val="-4"/>
          <w:kern w:val="0"/>
          <w:sz w:val="32"/>
          <w:vertAlign w:val="superscript"/>
        </w:rPr>
        <w:t>[4]</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与2010年第六次全国人口普查相比，</w:t>
      </w:r>
      <w:r>
        <w:rPr>
          <w:rFonts w:ascii="Times New Roman" w:hAnsi="Times New Roman" w:eastAsia="仿宋_GB2312"/>
          <w:sz w:val="32"/>
          <w:szCs w:val="32"/>
          <w:lang w:val="en"/>
        </w:rPr>
        <w:t>全区</w:t>
      </w:r>
      <w:r>
        <w:rPr>
          <w:rFonts w:ascii="Times New Roman" w:hAnsi="Times New Roman" w:eastAsia="仿宋_GB2312"/>
          <w:sz w:val="32"/>
          <w:szCs w:val="32"/>
        </w:rPr>
        <w:t>人口中，15岁及以上人口的平均受教育年限由9.69年增至10.51年。</w:t>
      </w:r>
    </w:p>
    <w:p>
      <w:pPr>
        <w:spacing w:line="60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（三）文盲人口</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全区人口中，文盲人口（15岁及以上不识字的人）为15784</w:t>
      </w:r>
    </w:p>
    <w:p>
      <w:pPr>
        <w:spacing w:line="600" w:lineRule="exact"/>
        <w:rPr>
          <w:rFonts w:ascii="Times New Roman" w:hAnsi="Times New Roman" w:eastAsia="仿宋_GB2312"/>
          <w:sz w:val="32"/>
          <w:szCs w:val="32"/>
        </w:rPr>
      </w:pPr>
      <w:r>
        <w:rPr>
          <w:rFonts w:ascii="Times New Roman" w:hAnsi="Times New Roman" w:eastAsia="仿宋_GB2312"/>
          <w:sz w:val="32"/>
          <w:szCs w:val="32"/>
        </w:rPr>
        <w:t>人，与2010年第六次全国人口普查相比，文盲人口减少4009人，文盲率</w:t>
      </w:r>
      <w:r>
        <w:rPr>
          <w:rFonts w:ascii="Times New Roman" w:hAnsi="Times New Roman" w:eastAsia="仿宋_GB2312"/>
          <w:sz w:val="32"/>
          <w:szCs w:val="32"/>
          <w:vertAlign w:val="superscript"/>
        </w:rPr>
        <w:t>[5]</w:t>
      </w:r>
      <w:r>
        <w:rPr>
          <w:rFonts w:ascii="Times New Roman" w:hAnsi="Times New Roman" w:eastAsia="仿宋_GB2312"/>
          <w:sz w:val="32"/>
          <w:szCs w:val="32"/>
        </w:rPr>
        <w:t>由3.08%下降为2.43%，下降0.65个百分点。</w:t>
      </w:r>
    </w:p>
    <w:p>
      <w:pPr>
        <w:widowControl/>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五、城乡人口和流动人口情况</w:t>
      </w:r>
    </w:p>
    <w:p>
      <w:pPr>
        <w:spacing w:line="60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（一）城乡</w:t>
      </w:r>
      <w:r>
        <w:rPr>
          <w:rFonts w:ascii="Times New Roman" w:hAnsi="Times New Roman" w:eastAsia="仿宋_GB2312"/>
          <w:spacing w:val="-4"/>
          <w:kern w:val="0"/>
          <w:sz w:val="32"/>
          <w:vertAlign w:val="superscript"/>
        </w:rPr>
        <w:t>[6]</w:t>
      </w:r>
      <w:r>
        <w:rPr>
          <w:rFonts w:ascii="Times New Roman" w:hAnsi="Times New Roman" w:eastAsia="仿宋_GB2312"/>
          <w:sz w:val="32"/>
          <w:szCs w:val="40"/>
        </w:rPr>
        <w:t>人口</w:t>
      </w:r>
    </w:p>
    <w:p>
      <w:pPr>
        <w:widowControl/>
        <w:spacing w:line="600" w:lineRule="exact"/>
        <w:ind w:firstLine="640" w:firstLineChars="200"/>
        <w:rPr>
          <w:rFonts w:ascii="Times New Roman" w:hAnsi="Times New Roman" w:eastAsia="仿宋_GB2312"/>
          <w:sz w:val="32"/>
          <w:szCs w:val="32"/>
        </w:rPr>
      </w:pPr>
      <w:r>
        <w:rPr>
          <w:rFonts w:ascii="Times New Roman" w:hAnsi="Times New Roman" w:eastAsia="仿宋_GB2312"/>
          <w:kern w:val="0"/>
          <w:sz w:val="32"/>
        </w:rPr>
        <w:t>全区人口中，居住在城镇的人口为447035人，占68.86%；居住在乡村的人口为202125人，占31.14%。</w:t>
      </w:r>
      <w:r>
        <w:rPr>
          <w:rFonts w:ascii="Times New Roman" w:hAnsi="Times New Roman" w:eastAsia="仿宋_GB2312"/>
          <w:sz w:val="32"/>
          <w:szCs w:val="32"/>
        </w:rPr>
        <w:t>与2010年第六次全国人口普查相比，城镇人口增加76244人，乡村人口减少69915人，城镇人口比重提高11.18个百分点。</w:t>
      </w:r>
    </w:p>
    <w:p>
      <w:pPr>
        <w:spacing w:line="600" w:lineRule="exact"/>
        <w:ind w:firstLine="640" w:firstLineChars="200"/>
        <w:rPr>
          <w:rFonts w:ascii="Times New Roman" w:hAnsi="Times New Roman" w:eastAsia="仿宋_GB2312"/>
          <w:spacing w:val="-4"/>
          <w:kern w:val="0"/>
          <w:sz w:val="32"/>
          <w:vertAlign w:val="superscript"/>
        </w:rPr>
      </w:pPr>
      <w:r>
        <w:rPr>
          <w:rFonts w:ascii="Times New Roman" w:hAnsi="Times New Roman" w:eastAsia="仿宋_GB2312"/>
          <w:sz w:val="32"/>
          <w:szCs w:val="40"/>
        </w:rPr>
        <w:t>（二）流动人口</w:t>
      </w:r>
      <w:r>
        <w:rPr>
          <w:rFonts w:ascii="Times New Roman" w:hAnsi="Times New Roman" w:eastAsia="仿宋_GB2312"/>
          <w:spacing w:val="-4"/>
          <w:kern w:val="0"/>
          <w:sz w:val="32"/>
          <w:vertAlign w:val="superscript"/>
        </w:rPr>
        <w:t>[7]</w:t>
      </w:r>
    </w:p>
    <w:p>
      <w:pPr>
        <w:widowControl/>
        <w:spacing w:line="600" w:lineRule="exact"/>
        <w:ind w:firstLine="640" w:firstLineChars="200"/>
        <w:rPr>
          <w:rFonts w:ascii="Times New Roman" w:hAnsi="Times New Roman" w:eastAsia="仿宋_GB2312"/>
          <w:kern w:val="0"/>
          <w:sz w:val="32"/>
        </w:rPr>
      </w:pPr>
      <w:r>
        <w:rPr>
          <w:rFonts w:ascii="Times New Roman" w:hAnsi="Times New Roman" w:eastAsia="仿宋_GB2312"/>
          <w:kern w:val="0"/>
          <w:sz w:val="32"/>
        </w:rPr>
        <w:t>全区</w:t>
      </w:r>
      <w:r>
        <w:rPr>
          <w:rFonts w:ascii="Times New Roman" w:hAnsi="Times New Roman" w:eastAsia="仿宋_GB2312"/>
          <w:spacing w:val="-4"/>
          <w:kern w:val="0"/>
          <w:sz w:val="32"/>
        </w:rPr>
        <w:t>人口中，人户分离人口</w:t>
      </w:r>
      <w:r>
        <w:rPr>
          <w:rFonts w:ascii="Times New Roman" w:hAnsi="Times New Roman" w:eastAsia="仿宋_GB2312"/>
          <w:spacing w:val="-4"/>
          <w:kern w:val="0"/>
          <w:sz w:val="32"/>
          <w:vertAlign w:val="superscript"/>
        </w:rPr>
        <w:t>[8]</w:t>
      </w:r>
      <w:r>
        <w:rPr>
          <w:rFonts w:ascii="Times New Roman" w:hAnsi="Times New Roman" w:eastAsia="仿宋_GB2312"/>
          <w:spacing w:val="-4"/>
          <w:kern w:val="0"/>
          <w:sz w:val="32"/>
        </w:rPr>
        <w:t>为226522人，其中，市辖区内人户分离</w:t>
      </w:r>
      <w:r>
        <w:rPr>
          <w:rFonts w:ascii="Times New Roman" w:hAnsi="Times New Roman" w:eastAsia="仿宋_GB2312"/>
          <w:spacing w:val="-4"/>
          <w:kern w:val="0"/>
          <w:sz w:val="32"/>
          <w:vertAlign w:val="superscript"/>
        </w:rPr>
        <w:t>[9]</w:t>
      </w:r>
      <w:r>
        <w:rPr>
          <w:rFonts w:ascii="Times New Roman" w:hAnsi="Times New Roman" w:eastAsia="仿宋_GB2312"/>
          <w:spacing w:val="-4"/>
          <w:kern w:val="0"/>
          <w:sz w:val="32"/>
        </w:rPr>
        <w:t>人口为133920人，流动人口为92602人。</w:t>
      </w:r>
    </w:p>
    <w:p>
      <w:pPr>
        <w:spacing w:line="600" w:lineRule="exact"/>
        <w:ind w:firstLine="624" w:firstLineChars="200"/>
        <w:rPr>
          <w:rFonts w:ascii="Times New Roman" w:hAnsi="Times New Roman" w:eastAsia="仿宋_GB2312"/>
          <w:kern w:val="0"/>
          <w:sz w:val="32"/>
        </w:rPr>
      </w:pPr>
      <w:r>
        <w:rPr>
          <w:rFonts w:ascii="Times New Roman" w:hAnsi="Times New Roman" w:eastAsia="仿宋_GB2312"/>
          <w:spacing w:val="-4"/>
          <w:kern w:val="0"/>
          <w:sz w:val="32"/>
        </w:rPr>
        <w:t>与2010年第六次全国人口普查相比，人户分离人口增加124473人，增长121.97%；市辖区内人户分离人口增加104111人，增长349.26%；流动人口增加20362人，增长28.19%</w:t>
      </w:r>
      <w:r>
        <w:rPr>
          <w:rFonts w:ascii="Times New Roman" w:hAnsi="Times New Roman" w:eastAsia="仿宋_GB2312"/>
          <w:kern w:val="0"/>
          <w:sz w:val="32"/>
        </w:rPr>
        <w:t>。</w:t>
      </w:r>
    </w:p>
    <w:p>
      <w:pPr>
        <w:widowControl/>
        <w:spacing w:line="600" w:lineRule="exact"/>
        <w:ind w:firstLine="480" w:firstLineChars="200"/>
        <w:rPr>
          <w:rFonts w:ascii="Times New Roman" w:hAnsi="Times New Roman" w:eastAsia="楷体_GB2312"/>
          <w:kern w:val="0"/>
          <w:sz w:val="24"/>
        </w:rPr>
      </w:pPr>
    </w:p>
    <w:p>
      <w:pPr>
        <w:widowControl/>
        <w:spacing w:line="600" w:lineRule="exact"/>
        <w:ind w:firstLine="480" w:firstLineChars="200"/>
        <w:rPr>
          <w:rFonts w:hint="eastAsia" w:ascii="Times New Roman" w:hAnsi="Times New Roman" w:eastAsia="楷体_GB2312"/>
          <w:kern w:val="0"/>
          <w:sz w:val="24"/>
        </w:rPr>
      </w:pPr>
    </w:p>
    <w:p>
      <w:pPr>
        <w:widowControl/>
        <w:spacing w:line="600" w:lineRule="exact"/>
        <w:ind w:firstLine="480" w:firstLineChars="200"/>
        <w:rPr>
          <w:rFonts w:ascii="Times New Roman" w:hAnsi="Times New Roman" w:eastAsia="楷体_GB2312"/>
          <w:kern w:val="0"/>
          <w:sz w:val="24"/>
        </w:rPr>
      </w:pPr>
      <w:r>
        <w:rPr>
          <w:rFonts w:ascii="Times New Roman" w:hAnsi="Times New Roman" w:eastAsia="楷体_GB2312"/>
          <w:kern w:val="0"/>
          <w:sz w:val="24"/>
        </w:rPr>
        <w:t>注释：</w:t>
      </w:r>
    </w:p>
    <w:p>
      <w:pPr>
        <w:widowControl/>
        <w:spacing w:line="600" w:lineRule="exact"/>
        <w:ind w:firstLine="480" w:firstLineChars="200"/>
        <w:rPr>
          <w:rFonts w:ascii="Times New Roman" w:hAnsi="Times New Roman" w:eastAsia="楷体_GB2312"/>
          <w:kern w:val="0"/>
          <w:sz w:val="24"/>
        </w:rPr>
      </w:pPr>
      <w:r>
        <w:rPr>
          <w:rFonts w:ascii="Times New Roman" w:hAnsi="Times New Roman" w:eastAsia="楷体_GB2312"/>
          <w:kern w:val="0"/>
          <w:sz w:val="24"/>
        </w:rPr>
        <w:t>[1]本公报数据均为初步汇总数据。</w:t>
      </w:r>
    </w:p>
    <w:p>
      <w:pPr>
        <w:widowControl/>
        <w:spacing w:line="600" w:lineRule="exact"/>
        <w:ind w:firstLine="480" w:firstLineChars="200"/>
        <w:rPr>
          <w:rFonts w:ascii="Times New Roman" w:hAnsi="Times New Roman" w:eastAsia="楷体_GB2312"/>
          <w:kern w:val="0"/>
          <w:sz w:val="24"/>
        </w:rPr>
      </w:pPr>
      <w:r>
        <w:rPr>
          <w:rFonts w:ascii="Times New Roman" w:hAnsi="Times New Roman" w:eastAsia="楷体_GB2312"/>
          <w:kern w:val="0"/>
          <w:sz w:val="24"/>
        </w:rPr>
        <w:t>[2]常住人口包括：居住在本乡镇街道且户口在本乡镇街道或户口待定的人；居住在本乡镇街道且离开户口登记地所在的乡镇街道半年以上的人；户口在本乡镇街道且外出不满半年或在境外工作学习的人。</w:t>
      </w:r>
    </w:p>
    <w:p>
      <w:pPr>
        <w:widowControl/>
        <w:spacing w:line="600" w:lineRule="exact"/>
        <w:ind w:firstLine="480" w:firstLineChars="200"/>
        <w:rPr>
          <w:rFonts w:ascii="Times New Roman" w:hAnsi="Times New Roman" w:eastAsia="楷体_GB2312"/>
          <w:kern w:val="0"/>
          <w:sz w:val="24"/>
        </w:rPr>
      </w:pPr>
      <w:r>
        <w:rPr>
          <w:rFonts w:ascii="Times New Roman" w:hAnsi="Times New Roman" w:eastAsia="楷体_GB2312"/>
          <w:kern w:val="0"/>
          <w:sz w:val="24"/>
        </w:rPr>
        <w:t>[3]家庭户是指以家庭成员关系为主、居住一处共同生活的人组成的户。</w:t>
      </w:r>
    </w:p>
    <w:p>
      <w:pPr>
        <w:spacing w:line="600" w:lineRule="exact"/>
        <w:ind w:firstLine="480" w:firstLineChars="200"/>
        <w:rPr>
          <w:rFonts w:ascii="Times New Roman" w:hAnsi="Times New Roman" w:eastAsia="楷体_GB2312"/>
          <w:kern w:val="0"/>
          <w:sz w:val="24"/>
        </w:rPr>
      </w:pPr>
      <w:r>
        <w:rPr>
          <w:rFonts w:ascii="Times New Roman" w:hAnsi="Times New Roman" w:eastAsia="楷体_GB2312"/>
          <w:kern w:val="0"/>
          <w:sz w:val="24"/>
        </w:rPr>
        <w:t>[4]平均受教育年限是将各种受教育程度折算成受教育年限计算平均数得出的，具体的折算标准是：小学=6年，初中=9年，高中=12年，大专及以上=16年。</w:t>
      </w:r>
    </w:p>
    <w:p>
      <w:pPr>
        <w:spacing w:line="600" w:lineRule="exact"/>
        <w:ind w:firstLine="480" w:firstLineChars="200"/>
        <w:rPr>
          <w:rFonts w:ascii="Times New Roman" w:hAnsi="Times New Roman" w:eastAsia="楷体_GB2312"/>
          <w:kern w:val="0"/>
          <w:sz w:val="24"/>
        </w:rPr>
      </w:pPr>
      <w:r>
        <w:rPr>
          <w:rFonts w:ascii="Times New Roman" w:hAnsi="Times New Roman" w:eastAsia="楷体_GB2312"/>
          <w:kern w:val="0"/>
          <w:sz w:val="24"/>
        </w:rPr>
        <w:t>[5]文盲率是指全区常住人口中15岁及以上不识字人口所占比例。</w:t>
      </w:r>
    </w:p>
    <w:p>
      <w:pPr>
        <w:spacing w:line="600" w:lineRule="exact"/>
        <w:ind w:firstLine="480" w:firstLineChars="200"/>
        <w:rPr>
          <w:rFonts w:ascii="Times New Roman" w:hAnsi="Times New Roman" w:eastAsia="楷体_GB2312"/>
          <w:sz w:val="24"/>
        </w:rPr>
      </w:pPr>
      <w:r>
        <w:rPr>
          <w:rFonts w:ascii="Times New Roman" w:hAnsi="Times New Roman" w:eastAsia="楷体_GB2312"/>
          <w:sz w:val="24"/>
        </w:rPr>
        <w:t>[6]城镇、乡村是按国家统计局《统计上划分城乡的规定》划分的。</w:t>
      </w:r>
    </w:p>
    <w:p>
      <w:pPr>
        <w:widowControl/>
        <w:spacing w:line="600" w:lineRule="exact"/>
        <w:ind w:firstLine="480" w:firstLineChars="200"/>
        <w:rPr>
          <w:rFonts w:ascii="Times New Roman" w:hAnsi="Times New Roman" w:eastAsia="楷体_GB2312"/>
          <w:kern w:val="0"/>
          <w:sz w:val="24"/>
          <w:szCs w:val="20"/>
        </w:rPr>
      </w:pPr>
      <w:r>
        <w:rPr>
          <w:rFonts w:ascii="Times New Roman" w:hAnsi="Times New Roman" w:eastAsia="楷体_GB2312"/>
          <w:kern w:val="0"/>
          <w:sz w:val="24"/>
          <w:szCs w:val="20"/>
        </w:rPr>
        <w:t>[7]流动人口是指人户分离人口中扣除市辖区内人户分离的人口。</w:t>
      </w:r>
    </w:p>
    <w:p>
      <w:pPr>
        <w:spacing w:line="600" w:lineRule="exact"/>
        <w:ind w:firstLine="480" w:firstLineChars="200"/>
        <w:rPr>
          <w:rFonts w:ascii="Times New Roman" w:hAnsi="Times New Roman" w:eastAsia="楷体_GB2312"/>
          <w:sz w:val="24"/>
        </w:rPr>
      </w:pPr>
      <w:r>
        <w:rPr>
          <w:rFonts w:ascii="Times New Roman" w:hAnsi="Times New Roman" w:eastAsia="楷体_GB2312"/>
          <w:sz w:val="24"/>
        </w:rPr>
        <w:t>[8]人户分离人口是指居住地与户口登记地所在的乡镇街道不一致且离开户口登记地半年以上的人口。</w:t>
      </w:r>
    </w:p>
    <w:p>
      <w:pPr>
        <w:spacing w:line="600" w:lineRule="exact"/>
        <w:ind w:firstLine="480" w:firstLineChars="200"/>
        <w:rPr>
          <w:rFonts w:ascii="Times New Roman" w:hAnsi="Times New Roman" w:eastAsia="楷体_GB2312"/>
          <w:sz w:val="24"/>
        </w:rPr>
      </w:pPr>
      <w:r>
        <w:rPr>
          <w:rFonts w:ascii="Times New Roman" w:hAnsi="Times New Roman" w:eastAsia="楷体_GB2312"/>
          <w:sz w:val="24"/>
        </w:rPr>
        <w:t>[9]市辖区内人户分离人口是指一个直辖市或地级市所辖的区内和区与区之间，居住地和户口登记地不在同一乡镇街道的人口。</w:t>
      </w:r>
    </w:p>
    <w:sectPr>
      <w:footerReference r:id="rId3" w:type="default"/>
      <w:footerReference r:id="rId4" w:type="even"/>
      <w:pgSz w:w="11906" w:h="16838"/>
      <w:pgMar w:top="1701" w:right="1474" w:bottom="1701" w:left="1474" w:header="85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wordWrap w:val="0"/>
                            <w:jc w:val="right"/>
                          </w:pPr>
                          <w:r>
                            <w:rPr>
                              <w:rFonts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wordWrap w:val="0"/>
                      <w:jc w:val="right"/>
                    </w:pPr>
                    <w:r>
                      <w:rPr>
                        <w:rFonts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1FCC02"/>
    <w:rsid w:val="00010C9C"/>
    <w:rsid w:val="0004021F"/>
    <w:rsid w:val="000446C7"/>
    <w:rsid w:val="00062D2E"/>
    <w:rsid w:val="0007061F"/>
    <w:rsid w:val="000E652E"/>
    <w:rsid w:val="00113421"/>
    <w:rsid w:val="00135B48"/>
    <w:rsid w:val="001764C7"/>
    <w:rsid w:val="00193299"/>
    <w:rsid w:val="001A0A07"/>
    <w:rsid w:val="001B17B0"/>
    <w:rsid w:val="00216A24"/>
    <w:rsid w:val="002337BF"/>
    <w:rsid w:val="00272D47"/>
    <w:rsid w:val="002F2F1C"/>
    <w:rsid w:val="0033444F"/>
    <w:rsid w:val="00334863"/>
    <w:rsid w:val="00362537"/>
    <w:rsid w:val="00362D6E"/>
    <w:rsid w:val="00384CC5"/>
    <w:rsid w:val="003A6844"/>
    <w:rsid w:val="00431F96"/>
    <w:rsid w:val="004353D8"/>
    <w:rsid w:val="00444685"/>
    <w:rsid w:val="00461086"/>
    <w:rsid w:val="00464A80"/>
    <w:rsid w:val="004E0C6C"/>
    <w:rsid w:val="004E33A2"/>
    <w:rsid w:val="0050787A"/>
    <w:rsid w:val="00524E0C"/>
    <w:rsid w:val="005306C3"/>
    <w:rsid w:val="00561432"/>
    <w:rsid w:val="0058018B"/>
    <w:rsid w:val="00593B39"/>
    <w:rsid w:val="005C40DB"/>
    <w:rsid w:val="00615204"/>
    <w:rsid w:val="006511E3"/>
    <w:rsid w:val="006A64BB"/>
    <w:rsid w:val="006C3BBD"/>
    <w:rsid w:val="006D4DBD"/>
    <w:rsid w:val="006D4E0D"/>
    <w:rsid w:val="007523EC"/>
    <w:rsid w:val="00767947"/>
    <w:rsid w:val="00770092"/>
    <w:rsid w:val="007D27AB"/>
    <w:rsid w:val="007E281C"/>
    <w:rsid w:val="008071A7"/>
    <w:rsid w:val="00824FEB"/>
    <w:rsid w:val="00852D72"/>
    <w:rsid w:val="008C0DFE"/>
    <w:rsid w:val="008D2F2A"/>
    <w:rsid w:val="008E1E67"/>
    <w:rsid w:val="008F72C5"/>
    <w:rsid w:val="00924DF3"/>
    <w:rsid w:val="00940001"/>
    <w:rsid w:val="009767DF"/>
    <w:rsid w:val="009904D7"/>
    <w:rsid w:val="00997556"/>
    <w:rsid w:val="009A05DB"/>
    <w:rsid w:val="009C29A3"/>
    <w:rsid w:val="009D1A64"/>
    <w:rsid w:val="009D333A"/>
    <w:rsid w:val="00A327E7"/>
    <w:rsid w:val="00A67725"/>
    <w:rsid w:val="00A87B6E"/>
    <w:rsid w:val="00AC3982"/>
    <w:rsid w:val="00AF58CD"/>
    <w:rsid w:val="00B17A1B"/>
    <w:rsid w:val="00B22788"/>
    <w:rsid w:val="00B304FA"/>
    <w:rsid w:val="00D3208C"/>
    <w:rsid w:val="00D660B0"/>
    <w:rsid w:val="00D74EA1"/>
    <w:rsid w:val="00D84C48"/>
    <w:rsid w:val="00D87DCD"/>
    <w:rsid w:val="00DB555C"/>
    <w:rsid w:val="00DC384A"/>
    <w:rsid w:val="00DE00DB"/>
    <w:rsid w:val="00E26AE1"/>
    <w:rsid w:val="00E45CD8"/>
    <w:rsid w:val="00E53BF7"/>
    <w:rsid w:val="00E814E9"/>
    <w:rsid w:val="00E978E9"/>
    <w:rsid w:val="00ED2086"/>
    <w:rsid w:val="00EF18DE"/>
    <w:rsid w:val="00F61070"/>
    <w:rsid w:val="00F71AB1"/>
    <w:rsid w:val="00F95268"/>
    <w:rsid w:val="00FA51B3"/>
    <w:rsid w:val="00FB524D"/>
    <w:rsid w:val="00FB699C"/>
    <w:rsid w:val="0915E067"/>
    <w:rsid w:val="0FF4E5A3"/>
    <w:rsid w:val="17ED252C"/>
    <w:rsid w:val="25A36564"/>
    <w:rsid w:val="27775F89"/>
    <w:rsid w:val="27C3EA6C"/>
    <w:rsid w:val="27FD1AE1"/>
    <w:rsid w:val="29733C1E"/>
    <w:rsid w:val="2A2E2FA6"/>
    <w:rsid w:val="2BDB9CF6"/>
    <w:rsid w:val="2BF67AFF"/>
    <w:rsid w:val="2DBA0ACE"/>
    <w:rsid w:val="2EBFE479"/>
    <w:rsid w:val="2FB41384"/>
    <w:rsid w:val="2FCDEFD9"/>
    <w:rsid w:val="2FDB2BAE"/>
    <w:rsid w:val="2FEF0B6B"/>
    <w:rsid w:val="37AA50DE"/>
    <w:rsid w:val="3AE5D581"/>
    <w:rsid w:val="3BAF6880"/>
    <w:rsid w:val="3DFB62A0"/>
    <w:rsid w:val="3DFBC5C7"/>
    <w:rsid w:val="3F3A6C46"/>
    <w:rsid w:val="3FFFA9FE"/>
    <w:rsid w:val="43AF1682"/>
    <w:rsid w:val="4F1B7155"/>
    <w:rsid w:val="51AF7107"/>
    <w:rsid w:val="53E932F0"/>
    <w:rsid w:val="57B4992F"/>
    <w:rsid w:val="57B7F3CC"/>
    <w:rsid w:val="57D59D80"/>
    <w:rsid w:val="57F821DA"/>
    <w:rsid w:val="57FFF613"/>
    <w:rsid w:val="5B9F9949"/>
    <w:rsid w:val="5CFF5981"/>
    <w:rsid w:val="5D9748BB"/>
    <w:rsid w:val="5D993DD6"/>
    <w:rsid w:val="5DDB41FE"/>
    <w:rsid w:val="5F771D43"/>
    <w:rsid w:val="5FFB0ADE"/>
    <w:rsid w:val="677F60B3"/>
    <w:rsid w:val="677FD8A6"/>
    <w:rsid w:val="67CD640C"/>
    <w:rsid w:val="6AE2C09A"/>
    <w:rsid w:val="6C9D3CD7"/>
    <w:rsid w:val="6D6F3D2D"/>
    <w:rsid w:val="6DDBA9A1"/>
    <w:rsid w:val="6DFF1C6B"/>
    <w:rsid w:val="6DFFA75F"/>
    <w:rsid w:val="6F6B1880"/>
    <w:rsid w:val="6FB9B748"/>
    <w:rsid w:val="6FEBDDD7"/>
    <w:rsid w:val="6FF339BE"/>
    <w:rsid w:val="6FFA4395"/>
    <w:rsid w:val="6FFFAD94"/>
    <w:rsid w:val="729F731B"/>
    <w:rsid w:val="736B3AAE"/>
    <w:rsid w:val="73BDBF5D"/>
    <w:rsid w:val="73DE74D3"/>
    <w:rsid w:val="74DEAD42"/>
    <w:rsid w:val="75F7921F"/>
    <w:rsid w:val="75FDC915"/>
    <w:rsid w:val="771FCC02"/>
    <w:rsid w:val="777F8C40"/>
    <w:rsid w:val="77F566C8"/>
    <w:rsid w:val="77FEC1C3"/>
    <w:rsid w:val="78FDB73E"/>
    <w:rsid w:val="7972124E"/>
    <w:rsid w:val="7B4FB469"/>
    <w:rsid w:val="7B57E863"/>
    <w:rsid w:val="7BEF2503"/>
    <w:rsid w:val="7CFB012D"/>
    <w:rsid w:val="7D7E009E"/>
    <w:rsid w:val="7DBDD1E8"/>
    <w:rsid w:val="7DEC0ADC"/>
    <w:rsid w:val="7DFBAA93"/>
    <w:rsid w:val="7E970263"/>
    <w:rsid w:val="7EBFD33B"/>
    <w:rsid w:val="7ED7A81F"/>
    <w:rsid w:val="7EFF1D17"/>
    <w:rsid w:val="7EFF4FB2"/>
    <w:rsid w:val="7EFF6B4B"/>
    <w:rsid w:val="7F57B324"/>
    <w:rsid w:val="7F946A21"/>
    <w:rsid w:val="7FDE5853"/>
    <w:rsid w:val="7FEFBC4D"/>
    <w:rsid w:val="7FF91EFB"/>
    <w:rsid w:val="8F7AB5DB"/>
    <w:rsid w:val="96DE9D4F"/>
    <w:rsid w:val="97F3C4C7"/>
    <w:rsid w:val="9B57D0E5"/>
    <w:rsid w:val="9BFFBB5F"/>
    <w:rsid w:val="9C73B1C7"/>
    <w:rsid w:val="9FF34F74"/>
    <w:rsid w:val="9FFD9013"/>
    <w:rsid w:val="A7EBA146"/>
    <w:rsid w:val="AAA70908"/>
    <w:rsid w:val="ADD4B79F"/>
    <w:rsid w:val="ADF538AA"/>
    <w:rsid w:val="AFBFD658"/>
    <w:rsid w:val="AFEF5BAE"/>
    <w:rsid w:val="B26F5B23"/>
    <w:rsid w:val="B3FED42F"/>
    <w:rsid w:val="B5F39841"/>
    <w:rsid w:val="B7E700E7"/>
    <w:rsid w:val="BB74F344"/>
    <w:rsid w:val="BBBF9FDF"/>
    <w:rsid w:val="BDDF8079"/>
    <w:rsid w:val="BDFB97F6"/>
    <w:rsid w:val="BF5BFB83"/>
    <w:rsid w:val="BF9FD4EC"/>
    <w:rsid w:val="BFCF62EB"/>
    <w:rsid w:val="BFF7D024"/>
    <w:rsid w:val="C2FF4804"/>
    <w:rsid w:val="C67FFF0E"/>
    <w:rsid w:val="C9FB471B"/>
    <w:rsid w:val="CDFC258F"/>
    <w:rsid w:val="CEB7022C"/>
    <w:rsid w:val="CED3EF51"/>
    <w:rsid w:val="CEFE4876"/>
    <w:rsid w:val="CEFEE2BD"/>
    <w:rsid w:val="CF4A1D45"/>
    <w:rsid w:val="D56F39AE"/>
    <w:rsid w:val="D57FAA59"/>
    <w:rsid w:val="D73B43FA"/>
    <w:rsid w:val="D965A40A"/>
    <w:rsid w:val="D9BF41AD"/>
    <w:rsid w:val="DAA72E50"/>
    <w:rsid w:val="DB9B3C1C"/>
    <w:rsid w:val="DBBC8780"/>
    <w:rsid w:val="DBBF2FBD"/>
    <w:rsid w:val="DCD72EAD"/>
    <w:rsid w:val="DCFAE6D8"/>
    <w:rsid w:val="DD7FA17D"/>
    <w:rsid w:val="DDE7F4CB"/>
    <w:rsid w:val="DDED5B01"/>
    <w:rsid w:val="DEBD7B10"/>
    <w:rsid w:val="DEFF0F49"/>
    <w:rsid w:val="DF14BC0F"/>
    <w:rsid w:val="DF1B1DE6"/>
    <w:rsid w:val="DFBDCA1D"/>
    <w:rsid w:val="DFF559AE"/>
    <w:rsid w:val="E7DD30EE"/>
    <w:rsid w:val="E7FF939A"/>
    <w:rsid w:val="EB7F64E9"/>
    <w:rsid w:val="EE7F49A0"/>
    <w:rsid w:val="EEFB7A40"/>
    <w:rsid w:val="EFBFF798"/>
    <w:rsid w:val="EFDBCCDB"/>
    <w:rsid w:val="F62FE9C6"/>
    <w:rsid w:val="F6B57EA6"/>
    <w:rsid w:val="F6B7A104"/>
    <w:rsid w:val="F76AE985"/>
    <w:rsid w:val="F78E2F35"/>
    <w:rsid w:val="FA9D4BD1"/>
    <w:rsid w:val="FAB61E51"/>
    <w:rsid w:val="FBB5CBB2"/>
    <w:rsid w:val="FBFE4B1D"/>
    <w:rsid w:val="FBFFF0FD"/>
    <w:rsid w:val="FC6F233C"/>
    <w:rsid w:val="FD6B5197"/>
    <w:rsid w:val="FDF5588F"/>
    <w:rsid w:val="FEBF5D3E"/>
    <w:rsid w:val="FEF6A404"/>
    <w:rsid w:val="FEFF1ACC"/>
    <w:rsid w:val="FEFF6527"/>
    <w:rsid w:val="FEFF7569"/>
    <w:rsid w:val="FF3EF718"/>
    <w:rsid w:val="FF566C4D"/>
    <w:rsid w:val="FF7D5265"/>
    <w:rsid w:val="FF7F05F0"/>
    <w:rsid w:val="FFB775A7"/>
    <w:rsid w:val="FFBF4E5D"/>
    <w:rsid w:val="FFBFC129"/>
    <w:rsid w:val="FFBFD01E"/>
    <w:rsid w:val="FFFFE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customStyle="1" w:styleId="9">
    <w:name w:val="页眉 Char"/>
    <w:basedOn w:val="8"/>
    <w:link w:val="5"/>
    <w:qFormat/>
    <w:uiPriority w:val="0"/>
    <w:rPr>
      <w:kern w:val="2"/>
      <w:sz w:val="18"/>
      <w:szCs w:val="18"/>
    </w:rPr>
  </w:style>
  <w:style w:type="paragraph" w:styleId="10">
    <w:name w:val="List Paragraph"/>
    <w:basedOn w:val="1"/>
    <w:qFormat/>
    <w:uiPriority w:val="99"/>
    <w:pPr>
      <w:ind w:firstLine="420" w:firstLineChars="200"/>
    </w:pPr>
  </w:style>
  <w:style w:type="character" w:customStyle="1" w:styleId="11">
    <w:name w:val="日期 Char"/>
    <w:basedOn w:val="8"/>
    <w:link w:val="2"/>
    <w:qFormat/>
    <w:uiPriority w:val="0"/>
    <w:rPr>
      <w:kern w:val="2"/>
      <w:sz w:val="21"/>
      <w:szCs w:val="24"/>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4</Pages>
  <Words>1472</Words>
  <Characters>1907</Characters>
  <Lines>4</Lines>
  <Paragraphs>3</Paragraphs>
  <TotalTime>232</TotalTime>
  <ScaleCrop>false</ScaleCrop>
  <LinksUpToDate>false</LinksUpToDate>
  <CharactersWithSpaces>1914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2021-06-30T00:51:00Z</dcterms:created>
  <dc:creator>李睿</dc:creator>
  <cp:lastModifiedBy>Administrator</cp:lastModifiedBy>
  <cp:lastPrinted>2021-07-08T04:00:00Z</cp:lastPrinted>
  <dcterms:modified xsi:type="dcterms:W3CDTF">2021-07-09T01:53:59Z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CACFB8A0E0EC45FAA09534381A573124</vt:lpwstr>
  </property>
</Properties>
</file>