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640" w:lineRule="exact"/>
        <w:jc w:val="center"/>
        <w:rPr>
          <w:rFonts w:hint="eastAsia" w:ascii="方正小标宋简体" w:hAnsi="黑体" w:eastAsia="方正小标宋简体"/>
          <w:sz w:val="44"/>
          <w:szCs w:val="44"/>
          <w:lang w:val="en-US" w:eastAsia="zh-CN"/>
        </w:rPr>
      </w:pPr>
      <w:r>
        <w:rPr>
          <w:rFonts w:hint="eastAsia" w:ascii="方正小标宋简体" w:hAnsi="黑体" w:eastAsia="方正小标宋简体"/>
          <w:sz w:val="44"/>
          <w:szCs w:val="44"/>
        </w:rPr>
        <w:t>临淄区</w:t>
      </w:r>
      <w:r>
        <w:rPr>
          <w:rFonts w:hint="eastAsia" w:ascii="方正小标宋简体" w:hAnsi="黑体" w:eastAsia="方正小标宋简体"/>
          <w:sz w:val="44"/>
          <w:szCs w:val="44"/>
          <w:lang w:val="en-US" w:eastAsia="zh-CN"/>
        </w:rPr>
        <w:t>行政审批服务局</w:t>
      </w:r>
    </w:p>
    <w:p>
      <w:pPr>
        <w:spacing w:line="64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20</w:t>
      </w:r>
      <w:r>
        <w:rPr>
          <w:rFonts w:ascii="方正小标宋简体" w:hAnsi="黑体" w:eastAsia="方正小标宋简体"/>
          <w:sz w:val="44"/>
          <w:szCs w:val="44"/>
        </w:rPr>
        <w:t>21</w:t>
      </w:r>
      <w:r>
        <w:rPr>
          <w:rFonts w:hint="eastAsia" w:ascii="方正小标宋简体" w:hAnsi="黑体" w:eastAsia="方正小标宋简体"/>
          <w:sz w:val="44"/>
          <w:szCs w:val="44"/>
        </w:rPr>
        <w:t>年政府信息公开工作年度报告</w:t>
      </w:r>
    </w:p>
    <w:p>
      <w:pPr>
        <w:spacing w:line="640" w:lineRule="exact"/>
        <w:jc w:val="center"/>
        <w:rPr>
          <w:rFonts w:ascii="方正小标宋简体" w:hAnsi="黑体" w:eastAsia="方正小标宋简体"/>
          <w:sz w:val="44"/>
          <w:szCs w:val="44"/>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本报告按照《国务院办公厅政府信息与政务公开办公室关于印发&lt;中华人民共和国政府信息公开工作年度报告格式&gt;的通知》(国办公开办函〔20</w:t>
      </w:r>
      <w:r>
        <w:rPr>
          <w:rFonts w:ascii="仿宋" w:hAnsi="仿宋" w:eastAsia="仿宋"/>
          <w:color w:val="000000"/>
          <w:sz w:val="32"/>
          <w:szCs w:val="32"/>
        </w:rPr>
        <w:t>21</w:t>
      </w:r>
      <w:r>
        <w:rPr>
          <w:rFonts w:hint="eastAsia" w:ascii="仿宋" w:hAnsi="仿宋" w:eastAsia="仿宋"/>
          <w:color w:val="000000"/>
          <w:sz w:val="32"/>
          <w:szCs w:val="32"/>
        </w:rPr>
        <w:t>〕</w:t>
      </w:r>
      <w:r>
        <w:rPr>
          <w:rFonts w:ascii="仿宋" w:hAnsi="仿宋" w:eastAsia="仿宋"/>
          <w:color w:val="000000"/>
          <w:sz w:val="32"/>
          <w:szCs w:val="32"/>
        </w:rPr>
        <w:t>3</w:t>
      </w:r>
      <w:r>
        <w:rPr>
          <w:rFonts w:hint="eastAsia" w:ascii="仿宋" w:hAnsi="仿宋" w:eastAsia="仿宋"/>
          <w:color w:val="000000"/>
          <w:sz w:val="32"/>
          <w:szCs w:val="32"/>
        </w:rPr>
        <w:t>0号)和《中华人民共和国政府信息公开条例》要求编制，全文包括总体情况、主动公开政府信息情况、收到和处理政府信息公开申请情况、政府信息公开行政复议及行政诉讼情况、政府信息公开工作存在的主要问题及改进情况、其他需要报告的事项。本年度报告中所列数据统计期限从20</w:t>
      </w:r>
      <w:r>
        <w:rPr>
          <w:rFonts w:ascii="仿宋" w:hAnsi="仿宋" w:eastAsia="仿宋"/>
          <w:color w:val="000000"/>
          <w:sz w:val="32"/>
          <w:szCs w:val="32"/>
        </w:rPr>
        <w:t>21</w:t>
      </w:r>
      <w:r>
        <w:rPr>
          <w:rFonts w:hint="eastAsia" w:ascii="仿宋" w:hAnsi="仿宋" w:eastAsia="仿宋"/>
          <w:color w:val="000000"/>
          <w:sz w:val="32"/>
          <w:szCs w:val="32"/>
        </w:rPr>
        <w:t>年1月1日到12月31日止。</w:t>
      </w:r>
    </w:p>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sz w:val="32"/>
          <w:szCs w:val="32"/>
        </w:rPr>
      </w:pPr>
      <w:r>
        <w:rPr>
          <w:rFonts w:hint="eastAsia" w:ascii="黑体" w:hAnsi="黑体" w:eastAsia="黑体"/>
          <w:sz w:val="32"/>
          <w:szCs w:val="32"/>
        </w:rPr>
        <w:t xml:space="preserve">    一、总体情况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临淄区行政审批服务局认真贯彻落实《中华人民共和国政府信息公开条例》以及省、市、区关于政府信息公开工作的各项要求，不断健全公开机制，强化工作措施，以高效政务公开回应社会热切关注，积极有序推进各项公开工作的开展。</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（一）202</w:t>
      </w:r>
      <w:r>
        <w:rPr>
          <w:rFonts w:hint="eastAsia" w:ascii="楷体" w:hAnsi="楷体" w:eastAsia="楷体" w:cs="楷体"/>
          <w:color w:val="000000"/>
          <w:sz w:val="32"/>
          <w:szCs w:val="32"/>
          <w:shd w:val="clear" w:color="auto" w:fill="FFFFFF"/>
          <w:lang w:val="en-US" w:eastAsia="zh-CN"/>
        </w:rPr>
        <w:t>1</w:t>
      </w:r>
      <w:r>
        <w:rPr>
          <w:rFonts w:hint="eastAsia" w:ascii="楷体" w:hAnsi="楷体" w:eastAsia="楷体" w:cs="楷体"/>
          <w:color w:val="000000"/>
          <w:sz w:val="32"/>
          <w:szCs w:val="32"/>
          <w:shd w:val="clear" w:color="auto" w:fill="FFFFFF"/>
        </w:rPr>
        <w:t>年主动公开内容</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202</w:t>
      </w:r>
      <w:r>
        <w:rPr>
          <w:rFonts w:hint="eastAsia" w:ascii="仿宋" w:hAnsi="仿宋" w:eastAsia="仿宋" w:cs="仿宋"/>
          <w:color w:val="auto"/>
          <w:sz w:val="32"/>
          <w:szCs w:val="32"/>
          <w:shd w:val="clear" w:color="auto" w:fill="FFFFFF"/>
          <w:lang w:val="en-US" w:eastAsia="zh-CN"/>
        </w:rPr>
        <w:t>1</w:t>
      </w:r>
      <w:r>
        <w:rPr>
          <w:rFonts w:hint="eastAsia" w:ascii="仿宋" w:hAnsi="仿宋" w:eastAsia="仿宋" w:cs="仿宋"/>
          <w:color w:val="auto"/>
          <w:sz w:val="32"/>
          <w:szCs w:val="32"/>
          <w:shd w:val="clear" w:color="auto" w:fill="FFFFFF"/>
        </w:rPr>
        <w:t>年主动公开信息共计6</w:t>
      </w:r>
      <w:r>
        <w:rPr>
          <w:rFonts w:hint="eastAsia" w:ascii="仿宋" w:hAnsi="仿宋" w:eastAsia="仿宋" w:cs="仿宋"/>
          <w:color w:val="auto"/>
          <w:sz w:val="32"/>
          <w:szCs w:val="32"/>
          <w:shd w:val="clear" w:color="auto" w:fill="FFFFFF"/>
          <w:lang w:val="en-US" w:eastAsia="zh-CN"/>
        </w:rPr>
        <w:t>91</w:t>
      </w:r>
      <w:r>
        <w:rPr>
          <w:rFonts w:hint="eastAsia" w:ascii="仿宋" w:hAnsi="仿宋" w:eastAsia="仿宋" w:cs="仿宋"/>
          <w:color w:val="auto"/>
          <w:sz w:val="32"/>
          <w:szCs w:val="32"/>
          <w:shd w:val="clear" w:color="auto" w:fill="FFFFFF"/>
        </w:rPr>
        <w:t>条，包含机构职能</w:t>
      </w:r>
      <w:r>
        <w:rPr>
          <w:rFonts w:hint="eastAsia" w:ascii="仿宋" w:hAnsi="仿宋" w:eastAsia="仿宋" w:cs="仿宋"/>
          <w:color w:val="auto"/>
          <w:sz w:val="32"/>
          <w:szCs w:val="32"/>
          <w:shd w:val="clear" w:color="auto" w:fill="FFFFFF"/>
          <w:lang w:val="en-US" w:eastAsia="zh-CN"/>
        </w:rPr>
        <w:t>1</w:t>
      </w:r>
      <w:r>
        <w:rPr>
          <w:rFonts w:hint="eastAsia" w:ascii="仿宋" w:hAnsi="仿宋" w:eastAsia="仿宋" w:cs="仿宋"/>
          <w:color w:val="auto"/>
          <w:sz w:val="32"/>
          <w:szCs w:val="32"/>
          <w:shd w:val="clear" w:color="auto" w:fill="FFFFFF"/>
        </w:rPr>
        <w:t>条、政策文件</w:t>
      </w:r>
      <w:r>
        <w:rPr>
          <w:rFonts w:hint="eastAsia" w:ascii="仿宋" w:hAnsi="仿宋" w:eastAsia="仿宋" w:cs="仿宋"/>
          <w:color w:val="auto"/>
          <w:sz w:val="32"/>
          <w:szCs w:val="32"/>
          <w:shd w:val="clear" w:color="auto" w:fill="FFFFFF"/>
          <w:lang w:val="en-US" w:eastAsia="zh-CN"/>
        </w:rPr>
        <w:t>27</w:t>
      </w:r>
      <w:r>
        <w:rPr>
          <w:rFonts w:hint="eastAsia" w:ascii="仿宋" w:hAnsi="仿宋" w:eastAsia="仿宋" w:cs="仿宋"/>
          <w:color w:val="auto"/>
          <w:sz w:val="32"/>
          <w:szCs w:val="32"/>
          <w:shd w:val="clear" w:color="auto" w:fill="FFFFFF"/>
        </w:rPr>
        <w:t>条、部门会议1</w:t>
      </w:r>
      <w:r>
        <w:rPr>
          <w:rFonts w:hint="eastAsia" w:ascii="仿宋" w:hAnsi="仿宋" w:eastAsia="仿宋" w:cs="仿宋"/>
          <w:color w:val="auto"/>
          <w:sz w:val="32"/>
          <w:szCs w:val="32"/>
          <w:shd w:val="clear" w:color="auto" w:fill="FFFFFF"/>
          <w:lang w:val="en-US" w:eastAsia="zh-CN"/>
        </w:rPr>
        <w:t>5</w:t>
      </w:r>
      <w:r>
        <w:rPr>
          <w:rFonts w:hint="eastAsia" w:ascii="仿宋" w:hAnsi="仿宋" w:eastAsia="仿宋" w:cs="仿宋"/>
          <w:color w:val="auto"/>
          <w:sz w:val="32"/>
          <w:szCs w:val="32"/>
          <w:shd w:val="clear" w:color="auto" w:fill="FFFFFF"/>
        </w:rPr>
        <w:t>条、规划计划</w:t>
      </w:r>
      <w:r>
        <w:rPr>
          <w:rFonts w:hint="eastAsia" w:ascii="仿宋" w:hAnsi="仿宋" w:eastAsia="仿宋" w:cs="仿宋"/>
          <w:color w:val="auto"/>
          <w:sz w:val="32"/>
          <w:szCs w:val="32"/>
          <w:shd w:val="clear" w:color="auto" w:fill="FFFFFF"/>
          <w:lang w:val="en-US" w:eastAsia="zh-CN"/>
        </w:rPr>
        <w:t>2</w:t>
      </w:r>
      <w:r>
        <w:rPr>
          <w:rFonts w:hint="eastAsia" w:ascii="仿宋" w:hAnsi="仿宋" w:eastAsia="仿宋" w:cs="仿宋"/>
          <w:color w:val="auto"/>
          <w:sz w:val="32"/>
          <w:szCs w:val="32"/>
          <w:shd w:val="clear" w:color="auto" w:fill="FFFFFF"/>
        </w:rPr>
        <w:t>条、重大建设项目3</w:t>
      </w:r>
      <w:r>
        <w:rPr>
          <w:rFonts w:hint="eastAsia" w:ascii="仿宋" w:hAnsi="仿宋" w:eastAsia="仿宋" w:cs="仿宋"/>
          <w:color w:val="auto"/>
          <w:sz w:val="32"/>
          <w:szCs w:val="32"/>
          <w:shd w:val="clear" w:color="auto" w:fill="FFFFFF"/>
          <w:lang w:val="en-US" w:eastAsia="zh-CN"/>
        </w:rPr>
        <w:t>3</w:t>
      </w:r>
      <w:r>
        <w:rPr>
          <w:rFonts w:hint="eastAsia" w:ascii="仿宋" w:hAnsi="仿宋" w:eastAsia="仿宋" w:cs="仿宋"/>
          <w:color w:val="auto"/>
          <w:sz w:val="32"/>
          <w:szCs w:val="32"/>
          <w:shd w:val="clear" w:color="auto" w:fill="FFFFFF"/>
        </w:rPr>
        <w:t>条、公共资源配置1条、民生公益</w:t>
      </w:r>
      <w:r>
        <w:rPr>
          <w:rFonts w:hint="eastAsia" w:ascii="仿宋" w:hAnsi="仿宋" w:eastAsia="仿宋" w:cs="仿宋"/>
          <w:color w:val="auto"/>
          <w:sz w:val="32"/>
          <w:szCs w:val="32"/>
          <w:shd w:val="clear" w:color="auto" w:fill="FFFFFF"/>
          <w:lang w:val="en-US" w:eastAsia="zh-CN"/>
        </w:rPr>
        <w:t>5</w:t>
      </w:r>
      <w:r>
        <w:rPr>
          <w:rFonts w:hint="eastAsia" w:ascii="仿宋" w:hAnsi="仿宋" w:eastAsia="仿宋" w:cs="仿宋"/>
          <w:color w:val="auto"/>
          <w:sz w:val="32"/>
          <w:szCs w:val="32"/>
          <w:shd w:val="clear" w:color="auto" w:fill="FFFFFF"/>
        </w:rPr>
        <w:t>条、重要部署执行公开</w:t>
      </w:r>
      <w:r>
        <w:rPr>
          <w:rFonts w:hint="eastAsia" w:ascii="仿宋" w:hAnsi="仿宋" w:eastAsia="仿宋" w:cs="仿宋"/>
          <w:color w:val="auto"/>
          <w:sz w:val="32"/>
          <w:szCs w:val="32"/>
          <w:shd w:val="clear" w:color="auto" w:fill="FFFFFF"/>
          <w:lang w:val="en-US" w:eastAsia="zh-CN"/>
        </w:rPr>
        <w:t>27</w:t>
      </w:r>
      <w:r>
        <w:rPr>
          <w:rFonts w:hint="eastAsia" w:ascii="仿宋" w:hAnsi="仿宋" w:eastAsia="仿宋" w:cs="仿宋"/>
          <w:color w:val="auto"/>
          <w:sz w:val="32"/>
          <w:szCs w:val="32"/>
          <w:shd w:val="clear" w:color="auto" w:fill="FFFFFF"/>
        </w:rPr>
        <w:t>条、管理和服务公开4</w:t>
      </w:r>
      <w:r>
        <w:rPr>
          <w:rFonts w:hint="eastAsia" w:ascii="仿宋" w:hAnsi="仿宋" w:eastAsia="仿宋" w:cs="仿宋"/>
          <w:color w:val="auto"/>
          <w:sz w:val="32"/>
          <w:szCs w:val="32"/>
          <w:shd w:val="clear" w:color="auto" w:fill="FFFFFF"/>
          <w:lang w:val="en-US" w:eastAsia="zh-CN"/>
        </w:rPr>
        <w:t>84</w:t>
      </w:r>
      <w:r>
        <w:rPr>
          <w:rFonts w:hint="eastAsia" w:ascii="仿宋" w:hAnsi="仿宋" w:eastAsia="仿宋" w:cs="仿宋"/>
          <w:color w:val="auto"/>
          <w:sz w:val="32"/>
          <w:szCs w:val="32"/>
          <w:shd w:val="clear" w:color="auto" w:fill="FFFFFF"/>
        </w:rPr>
        <w:t>条、业务工作</w:t>
      </w:r>
      <w:r>
        <w:rPr>
          <w:rFonts w:hint="eastAsia" w:ascii="仿宋" w:hAnsi="仿宋" w:eastAsia="仿宋" w:cs="仿宋"/>
          <w:color w:val="auto"/>
          <w:sz w:val="32"/>
          <w:szCs w:val="32"/>
          <w:shd w:val="clear" w:color="auto" w:fill="FFFFFF"/>
          <w:lang w:val="en-US" w:eastAsia="zh-CN"/>
        </w:rPr>
        <w:t>60</w:t>
      </w:r>
      <w:r>
        <w:rPr>
          <w:rFonts w:hint="eastAsia" w:ascii="仿宋" w:hAnsi="仿宋" w:eastAsia="仿宋" w:cs="仿宋"/>
          <w:color w:val="auto"/>
          <w:sz w:val="32"/>
          <w:szCs w:val="32"/>
          <w:shd w:val="clear" w:color="auto" w:fill="FFFFFF"/>
        </w:rPr>
        <w:t>条、政务信息公开指南1条、政府信息公开年度报告1条、政务公开保障机制1条、主动公开基本目录1条、基层政务公开标准化目录1条、其他</w:t>
      </w:r>
      <w:r>
        <w:rPr>
          <w:rFonts w:hint="eastAsia" w:ascii="仿宋" w:hAnsi="仿宋" w:eastAsia="仿宋" w:cs="仿宋"/>
          <w:color w:val="auto"/>
          <w:sz w:val="32"/>
          <w:szCs w:val="32"/>
          <w:shd w:val="clear" w:color="auto" w:fill="FFFFFF"/>
          <w:lang w:val="en-US" w:eastAsia="zh-CN"/>
        </w:rPr>
        <w:t>31</w:t>
      </w:r>
      <w:r>
        <w:rPr>
          <w:rFonts w:hint="eastAsia" w:ascii="仿宋" w:hAnsi="仿宋" w:eastAsia="仿宋" w:cs="仿宋"/>
          <w:color w:val="auto"/>
          <w:sz w:val="32"/>
          <w:szCs w:val="32"/>
          <w:shd w:val="clear" w:color="auto" w:fill="FFFFFF"/>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rPr>
          <w:rFonts w:hint="eastAsia" w:ascii="仿宋_GB2312" w:hAnsi="仿宋" w:eastAsia="仿宋_GB2312" w:cs="仿宋"/>
          <w:color w:val="auto"/>
          <w:sz w:val="32"/>
          <w:szCs w:val="32"/>
          <w:shd w:val="clear" w:color="auto" w:fill="FFFFFF"/>
          <w:lang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 w:eastAsia="仿宋_GB2312" w:cs="仿宋"/>
          <w:color w:val="auto"/>
          <w:sz w:val="32"/>
          <w:szCs w:val="32"/>
          <w:shd w:val="clear" w:color="auto" w:fill="FFFFFF"/>
          <w:lang w:eastAsia="zh-CN"/>
        </w:rPr>
      </w:pPr>
      <w:r>
        <w:rPr>
          <w:rFonts w:hint="eastAsia" w:ascii="仿宋_GB2312" w:hAnsi="仿宋" w:eastAsia="仿宋_GB2312" w:cs="仿宋"/>
          <w:color w:val="auto"/>
          <w:sz w:val="32"/>
          <w:szCs w:val="32"/>
          <w:shd w:val="clear" w:color="auto" w:fill="FFFFFF"/>
          <w:lang w:eastAsia="zh-CN"/>
        </w:rPr>
        <w:t>（</w:t>
      </w:r>
      <w:r>
        <w:rPr>
          <w:rFonts w:hint="eastAsia" w:ascii="仿宋_GB2312" w:hAnsi="仿宋" w:eastAsia="仿宋_GB2312" w:cs="仿宋"/>
          <w:color w:val="auto"/>
          <w:sz w:val="32"/>
          <w:szCs w:val="32"/>
          <w:shd w:val="clear" w:color="auto" w:fill="FFFFFF"/>
          <w:lang w:val="en-US" w:eastAsia="zh-CN"/>
        </w:rPr>
        <w:t>机构职能</w:t>
      </w:r>
      <w:r>
        <w:rPr>
          <w:rFonts w:hint="eastAsia" w:ascii="仿宋_GB2312" w:hAnsi="仿宋" w:eastAsia="仿宋_GB2312" w:cs="仿宋"/>
          <w:color w:val="auto"/>
          <w:sz w:val="32"/>
          <w:szCs w:val="32"/>
          <w:shd w:val="clear" w:color="auto" w:fill="FFFFFF"/>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rPr>
          <w:rFonts w:hint="eastAsia" w:ascii="仿宋_GB2312" w:hAnsi="仿宋" w:eastAsia="仿宋_GB2312" w:cs="仿宋"/>
          <w:color w:val="auto"/>
          <w:sz w:val="32"/>
          <w:szCs w:val="32"/>
          <w:shd w:val="clear" w:color="auto" w:fill="FFFFFF"/>
          <w:lang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 w:eastAsia="仿宋_GB2312" w:cs="仿宋"/>
          <w:color w:val="auto"/>
          <w:sz w:val="32"/>
          <w:szCs w:val="32"/>
          <w:shd w:val="clear" w:color="auto" w:fill="FFFFFF"/>
          <w:lang w:eastAsia="zh-CN"/>
        </w:rPr>
      </w:pPr>
      <w:r>
        <w:rPr>
          <w:rFonts w:hint="eastAsia" w:ascii="仿宋_GB2312" w:hAnsi="仿宋" w:eastAsia="仿宋_GB2312" w:cs="仿宋"/>
          <w:color w:val="auto"/>
          <w:sz w:val="32"/>
          <w:szCs w:val="32"/>
          <w:shd w:val="clear" w:color="auto" w:fill="FFFFFF"/>
          <w:lang w:eastAsia="zh-CN"/>
        </w:rPr>
        <w:t>（</w:t>
      </w:r>
      <w:r>
        <w:rPr>
          <w:rFonts w:hint="eastAsia" w:ascii="仿宋_GB2312" w:hAnsi="仿宋" w:eastAsia="仿宋_GB2312" w:cs="仿宋"/>
          <w:color w:val="auto"/>
          <w:sz w:val="32"/>
          <w:szCs w:val="32"/>
          <w:shd w:val="clear" w:color="auto" w:fill="FFFFFF"/>
          <w:lang w:val="en-US" w:eastAsia="zh-CN"/>
        </w:rPr>
        <w:t>政策文件</w:t>
      </w:r>
      <w:r>
        <w:rPr>
          <w:rFonts w:hint="eastAsia" w:ascii="仿宋_GB2312" w:hAnsi="仿宋" w:eastAsia="仿宋_GB2312" w:cs="仿宋"/>
          <w:color w:val="auto"/>
          <w:sz w:val="32"/>
          <w:szCs w:val="32"/>
          <w:shd w:val="clear" w:color="auto" w:fill="FFFFFF"/>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rPr>
          <w:rFonts w:hint="eastAsia" w:ascii="仿宋_GB2312" w:hAnsi="仿宋" w:eastAsia="仿宋_GB2312" w:cs="仿宋"/>
          <w:color w:val="auto"/>
          <w:sz w:val="32"/>
          <w:szCs w:val="32"/>
          <w:shd w:val="clear" w:color="auto" w:fill="FFFFFF"/>
          <w:lang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 w:eastAsia="仿宋_GB2312" w:cs="仿宋"/>
          <w:color w:val="auto"/>
          <w:sz w:val="32"/>
          <w:szCs w:val="32"/>
          <w:shd w:val="clear" w:color="auto" w:fill="FFFFFF"/>
          <w:lang w:eastAsia="zh-CN"/>
        </w:rPr>
      </w:pPr>
      <w:r>
        <w:rPr>
          <w:rFonts w:hint="eastAsia" w:ascii="仿宋_GB2312" w:hAnsi="仿宋" w:eastAsia="仿宋_GB2312" w:cs="仿宋"/>
          <w:color w:val="auto"/>
          <w:sz w:val="32"/>
          <w:szCs w:val="32"/>
          <w:shd w:val="clear" w:color="auto" w:fill="FFFFFF"/>
          <w:lang w:eastAsia="zh-CN"/>
        </w:rPr>
        <w:t>（</w:t>
      </w:r>
      <w:r>
        <w:rPr>
          <w:rFonts w:hint="eastAsia" w:ascii="仿宋_GB2312" w:hAnsi="仿宋" w:eastAsia="仿宋_GB2312" w:cs="仿宋"/>
          <w:color w:val="auto"/>
          <w:sz w:val="32"/>
          <w:szCs w:val="32"/>
          <w:shd w:val="clear" w:color="auto" w:fill="FFFFFF"/>
          <w:lang w:val="en-US" w:eastAsia="zh-CN"/>
        </w:rPr>
        <w:t>部门会议</w:t>
      </w:r>
      <w:r>
        <w:rPr>
          <w:rFonts w:hint="eastAsia" w:ascii="仿宋_GB2312" w:hAnsi="仿宋" w:eastAsia="仿宋_GB2312" w:cs="仿宋"/>
          <w:color w:val="auto"/>
          <w:sz w:val="32"/>
          <w:szCs w:val="32"/>
          <w:shd w:val="clear" w:color="auto" w:fill="FFFFFF"/>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rPr>
          <w:rFonts w:hint="eastAsia" w:ascii="仿宋_GB2312" w:hAnsi="仿宋" w:eastAsia="仿宋_GB2312" w:cs="仿宋"/>
          <w:color w:val="auto"/>
          <w:sz w:val="32"/>
          <w:szCs w:val="32"/>
          <w:shd w:val="clear" w:color="auto" w:fill="FFFFFF"/>
          <w:lang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 w:eastAsia="仿宋_GB2312" w:cs="仿宋"/>
          <w:color w:val="auto"/>
          <w:sz w:val="32"/>
          <w:szCs w:val="32"/>
          <w:shd w:val="clear" w:color="auto" w:fill="FFFFFF"/>
          <w:lang w:eastAsia="zh-CN"/>
        </w:rPr>
      </w:pPr>
      <w:r>
        <w:rPr>
          <w:rFonts w:hint="eastAsia" w:ascii="仿宋_GB2312" w:hAnsi="仿宋" w:eastAsia="仿宋_GB2312" w:cs="仿宋"/>
          <w:color w:val="auto"/>
          <w:sz w:val="32"/>
          <w:szCs w:val="32"/>
          <w:shd w:val="clear" w:color="auto" w:fill="FFFFFF"/>
          <w:lang w:eastAsia="zh-CN"/>
        </w:rPr>
        <w:t>（</w:t>
      </w:r>
      <w:r>
        <w:rPr>
          <w:rFonts w:hint="eastAsia" w:ascii="仿宋_GB2312" w:hAnsi="仿宋" w:eastAsia="仿宋_GB2312" w:cs="仿宋"/>
          <w:color w:val="auto"/>
          <w:sz w:val="32"/>
          <w:szCs w:val="32"/>
          <w:shd w:val="clear" w:color="auto" w:fill="FFFFFF"/>
          <w:lang w:val="en-US" w:eastAsia="zh-CN"/>
        </w:rPr>
        <w:t>规划计划</w:t>
      </w:r>
      <w:r>
        <w:rPr>
          <w:rFonts w:hint="eastAsia" w:ascii="仿宋_GB2312" w:hAnsi="仿宋" w:eastAsia="仿宋_GB2312" w:cs="仿宋"/>
          <w:color w:val="auto"/>
          <w:sz w:val="32"/>
          <w:szCs w:val="32"/>
          <w:shd w:val="clear" w:color="auto" w:fill="FFFFFF"/>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rPr>
          <w:rFonts w:hint="eastAsia" w:ascii="仿宋_GB2312" w:hAnsi="仿宋" w:eastAsia="仿宋_GB2312" w:cs="仿宋"/>
          <w:color w:val="auto"/>
          <w:sz w:val="32"/>
          <w:szCs w:val="32"/>
          <w:shd w:val="clear" w:color="auto" w:fill="FFFFFF"/>
          <w:lang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 w:eastAsia="仿宋_GB2312" w:cs="仿宋"/>
          <w:color w:val="auto"/>
          <w:sz w:val="32"/>
          <w:szCs w:val="32"/>
          <w:shd w:val="clear" w:color="auto" w:fill="FFFFFF"/>
          <w:lang w:eastAsia="zh-CN"/>
        </w:rPr>
      </w:pPr>
      <w:r>
        <w:rPr>
          <w:rFonts w:hint="eastAsia" w:ascii="仿宋_GB2312" w:hAnsi="仿宋" w:eastAsia="仿宋_GB2312" w:cs="仿宋"/>
          <w:color w:val="auto"/>
          <w:sz w:val="32"/>
          <w:szCs w:val="32"/>
          <w:shd w:val="clear" w:color="auto" w:fill="FFFFFF"/>
          <w:lang w:eastAsia="zh-CN"/>
        </w:rPr>
        <w:t>（</w:t>
      </w:r>
      <w:r>
        <w:rPr>
          <w:rFonts w:hint="eastAsia" w:ascii="仿宋_GB2312" w:hAnsi="仿宋" w:eastAsia="仿宋_GB2312" w:cs="仿宋"/>
          <w:color w:val="auto"/>
          <w:sz w:val="32"/>
          <w:szCs w:val="32"/>
          <w:shd w:val="clear" w:color="auto" w:fill="FFFFFF"/>
          <w:lang w:val="en-US" w:eastAsia="zh-CN"/>
        </w:rPr>
        <w:t>重大建设项目</w:t>
      </w:r>
      <w:r>
        <w:rPr>
          <w:rFonts w:hint="eastAsia" w:ascii="仿宋_GB2312" w:hAnsi="仿宋" w:eastAsia="仿宋_GB2312" w:cs="仿宋"/>
          <w:color w:val="auto"/>
          <w:sz w:val="32"/>
          <w:szCs w:val="32"/>
          <w:shd w:val="clear" w:color="auto" w:fill="FFFFFF"/>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rPr>
          <w:rFonts w:hint="eastAsia" w:ascii="仿宋_GB2312" w:hAnsi="仿宋" w:eastAsia="仿宋_GB2312" w:cs="仿宋"/>
          <w:color w:val="auto"/>
          <w:sz w:val="32"/>
          <w:szCs w:val="32"/>
          <w:shd w:val="clear" w:color="auto" w:fill="FFFFFF"/>
          <w:lang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 w:eastAsia="仿宋_GB2312" w:cs="仿宋"/>
          <w:color w:val="auto"/>
          <w:sz w:val="32"/>
          <w:szCs w:val="32"/>
          <w:shd w:val="clear" w:color="auto" w:fill="FFFFFF"/>
          <w:lang w:eastAsia="zh-CN"/>
        </w:rPr>
      </w:pPr>
      <w:r>
        <w:rPr>
          <w:rFonts w:hint="eastAsia" w:ascii="仿宋_GB2312" w:hAnsi="仿宋" w:eastAsia="仿宋_GB2312" w:cs="仿宋"/>
          <w:color w:val="auto"/>
          <w:sz w:val="32"/>
          <w:szCs w:val="32"/>
          <w:shd w:val="clear" w:color="auto" w:fill="FFFFFF"/>
          <w:lang w:eastAsia="zh-CN"/>
        </w:rPr>
        <w:t>（</w:t>
      </w:r>
      <w:r>
        <w:rPr>
          <w:rFonts w:hint="eastAsia" w:ascii="仿宋_GB2312" w:hAnsi="仿宋" w:eastAsia="仿宋_GB2312" w:cs="仿宋"/>
          <w:color w:val="auto"/>
          <w:sz w:val="32"/>
          <w:szCs w:val="32"/>
          <w:shd w:val="clear" w:color="auto" w:fill="FFFFFF"/>
          <w:lang w:val="en-US" w:eastAsia="zh-CN"/>
        </w:rPr>
        <w:t>民生公益</w:t>
      </w:r>
      <w:r>
        <w:rPr>
          <w:rFonts w:hint="eastAsia" w:ascii="仿宋_GB2312" w:hAnsi="仿宋" w:eastAsia="仿宋_GB2312" w:cs="仿宋"/>
          <w:color w:val="auto"/>
          <w:sz w:val="32"/>
          <w:szCs w:val="32"/>
          <w:shd w:val="clear" w:color="auto" w:fill="FFFFFF"/>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rPr>
          <w:rFonts w:hint="eastAsia" w:ascii="仿宋_GB2312" w:hAnsi="仿宋" w:eastAsia="仿宋_GB2312" w:cs="仿宋"/>
          <w:color w:val="auto"/>
          <w:sz w:val="32"/>
          <w:szCs w:val="32"/>
          <w:shd w:val="clear" w:color="auto" w:fill="FFFFFF"/>
          <w:lang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 w:eastAsia="仿宋_GB2312" w:cs="仿宋"/>
          <w:color w:val="auto"/>
          <w:sz w:val="32"/>
          <w:szCs w:val="32"/>
          <w:shd w:val="clear" w:color="auto" w:fill="FFFFFF"/>
          <w:lang w:eastAsia="zh-CN"/>
        </w:rPr>
      </w:pPr>
      <w:r>
        <w:rPr>
          <w:rFonts w:hint="eastAsia" w:ascii="仿宋_GB2312" w:hAnsi="仿宋" w:eastAsia="仿宋_GB2312" w:cs="仿宋"/>
          <w:color w:val="auto"/>
          <w:sz w:val="32"/>
          <w:szCs w:val="32"/>
          <w:shd w:val="clear" w:color="auto" w:fill="FFFFFF"/>
          <w:lang w:eastAsia="zh-CN"/>
        </w:rPr>
        <w:t>（</w:t>
      </w:r>
      <w:r>
        <w:rPr>
          <w:rFonts w:hint="eastAsia" w:ascii="仿宋_GB2312" w:hAnsi="仿宋" w:eastAsia="仿宋_GB2312" w:cs="仿宋"/>
          <w:color w:val="auto"/>
          <w:sz w:val="32"/>
          <w:szCs w:val="32"/>
          <w:shd w:val="clear" w:color="auto" w:fill="FFFFFF"/>
        </w:rPr>
        <w:t>重要部署执行公开</w:t>
      </w:r>
      <w:r>
        <w:rPr>
          <w:rFonts w:hint="eastAsia" w:ascii="仿宋_GB2312" w:hAnsi="仿宋" w:eastAsia="仿宋_GB2312" w:cs="仿宋"/>
          <w:color w:val="auto"/>
          <w:sz w:val="32"/>
          <w:szCs w:val="32"/>
          <w:shd w:val="clear" w:color="auto" w:fill="FFFFFF"/>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rPr>
          <w:rFonts w:hint="eastAsia" w:ascii="仿宋_GB2312" w:hAnsi="仿宋" w:eastAsia="仿宋_GB2312" w:cs="仿宋"/>
          <w:color w:val="auto"/>
          <w:sz w:val="32"/>
          <w:szCs w:val="32"/>
          <w:shd w:val="clear" w:color="auto" w:fill="FFFFFF"/>
          <w:lang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 w:eastAsia="仿宋_GB2312" w:cs="仿宋"/>
          <w:color w:val="auto"/>
          <w:sz w:val="32"/>
          <w:szCs w:val="32"/>
          <w:shd w:val="clear" w:color="auto" w:fill="FFFFFF"/>
          <w:lang w:eastAsia="zh-CN"/>
        </w:rPr>
      </w:pPr>
      <w:r>
        <w:rPr>
          <w:rFonts w:hint="eastAsia" w:ascii="仿宋_GB2312" w:hAnsi="仿宋" w:eastAsia="仿宋_GB2312" w:cs="仿宋"/>
          <w:color w:val="auto"/>
          <w:sz w:val="32"/>
          <w:szCs w:val="32"/>
          <w:shd w:val="clear" w:color="auto" w:fill="FFFFFF"/>
          <w:lang w:eastAsia="zh-CN"/>
        </w:rPr>
        <w:t>（</w:t>
      </w:r>
      <w:r>
        <w:rPr>
          <w:rFonts w:hint="eastAsia" w:ascii="仿宋_GB2312" w:hAnsi="仿宋" w:eastAsia="仿宋_GB2312" w:cs="仿宋"/>
          <w:color w:val="auto"/>
          <w:sz w:val="32"/>
          <w:szCs w:val="32"/>
          <w:shd w:val="clear" w:color="auto" w:fill="FFFFFF"/>
          <w:lang w:val="en-US" w:eastAsia="zh-CN"/>
        </w:rPr>
        <w:t>管理和公开服务</w:t>
      </w:r>
      <w:r>
        <w:rPr>
          <w:rFonts w:hint="eastAsia" w:ascii="仿宋_GB2312" w:hAnsi="仿宋" w:eastAsia="仿宋_GB2312" w:cs="仿宋"/>
          <w:color w:val="auto"/>
          <w:sz w:val="32"/>
          <w:szCs w:val="32"/>
          <w:shd w:val="clear" w:color="auto" w:fill="FFFFFF"/>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rPr>
          <w:rFonts w:hint="eastAsia" w:ascii="仿宋_GB2312" w:hAnsi="仿宋" w:eastAsia="仿宋_GB2312" w:cs="仿宋"/>
          <w:color w:val="auto"/>
          <w:sz w:val="32"/>
          <w:szCs w:val="32"/>
          <w:shd w:val="clear" w:color="auto" w:fill="FFFFFF"/>
          <w:lang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 w:eastAsia="仿宋_GB2312" w:cs="仿宋"/>
          <w:color w:val="auto"/>
          <w:sz w:val="32"/>
          <w:szCs w:val="32"/>
          <w:shd w:val="clear" w:color="auto" w:fill="FFFFFF"/>
          <w:lang w:eastAsia="zh-CN"/>
        </w:rPr>
      </w:pPr>
      <w:r>
        <w:rPr>
          <w:rFonts w:hint="eastAsia" w:ascii="仿宋_GB2312" w:hAnsi="仿宋" w:eastAsia="仿宋_GB2312" w:cs="仿宋"/>
          <w:color w:val="auto"/>
          <w:sz w:val="32"/>
          <w:szCs w:val="32"/>
          <w:shd w:val="clear" w:color="auto" w:fill="FFFFFF"/>
          <w:lang w:eastAsia="zh-CN"/>
        </w:rPr>
        <w:t>（</w:t>
      </w:r>
      <w:r>
        <w:rPr>
          <w:rFonts w:hint="eastAsia" w:ascii="仿宋_GB2312" w:hAnsi="仿宋" w:eastAsia="仿宋_GB2312" w:cs="仿宋"/>
          <w:color w:val="auto"/>
          <w:sz w:val="32"/>
          <w:szCs w:val="32"/>
          <w:shd w:val="clear" w:color="auto" w:fill="FFFFFF"/>
          <w:lang w:val="en-US" w:eastAsia="zh-CN"/>
        </w:rPr>
        <w:t>业务工作</w:t>
      </w:r>
      <w:r>
        <w:rPr>
          <w:rFonts w:hint="eastAsia" w:ascii="仿宋_GB2312" w:hAnsi="仿宋" w:eastAsia="仿宋_GB2312" w:cs="仿宋"/>
          <w:color w:val="auto"/>
          <w:sz w:val="32"/>
          <w:szCs w:val="32"/>
          <w:shd w:val="clear" w:color="auto" w:fill="FFFFFF"/>
          <w:lang w:eastAsia="zh-CN"/>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（二）202</w:t>
      </w:r>
      <w:r>
        <w:rPr>
          <w:rFonts w:hint="eastAsia" w:ascii="楷体" w:hAnsi="楷体" w:eastAsia="楷体" w:cs="楷体"/>
          <w:color w:val="000000"/>
          <w:sz w:val="32"/>
          <w:szCs w:val="32"/>
          <w:shd w:val="clear" w:color="auto" w:fill="FFFFFF"/>
          <w:lang w:val="en-US" w:eastAsia="zh-CN"/>
        </w:rPr>
        <w:t>1</w:t>
      </w:r>
      <w:r>
        <w:rPr>
          <w:rFonts w:hint="eastAsia" w:ascii="楷体" w:hAnsi="楷体" w:eastAsia="楷体" w:cs="楷体"/>
          <w:color w:val="000000"/>
          <w:sz w:val="32"/>
          <w:szCs w:val="32"/>
          <w:shd w:val="clear" w:color="auto" w:fill="FFFFFF"/>
        </w:rPr>
        <w:t>年依申请公开情况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年我局收到依申请公开</w:t>
      </w:r>
      <w:r>
        <w:rPr>
          <w:rFonts w:hint="eastAsia" w:ascii="仿宋" w:hAnsi="仿宋" w:eastAsia="仿宋" w:cs="仿宋"/>
          <w:color w:val="000000"/>
          <w:sz w:val="32"/>
          <w:szCs w:val="32"/>
          <w:shd w:val="clear" w:color="auto" w:fill="FFFFFF"/>
          <w:lang w:val="en-US" w:eastAsia="zh-CN"/>
        </w:rPr>
        <w:t>3</w:t>
      </w:r>
      <w:r>
        <w:rPr>
          <w:rFonts w:hint="eastAsia" w:ascii="仿宋" w:hAnsi="仿宋" w:eastAsia="仿宋" w:cs="仿宋"/>
          <w:color w:val="000000"/>
          <w:sz w:val="32"/>
          <w:szCs w:val="32"/>
          <w:shd w:val="clear" w:color="auto" w:fill="FFFFFF"/>
        </w:rPr>
        <w:t>件。</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楷体" w:hAnsi="楷体" w:eastAsia="楷体" w:cs="楷体"/>
          <w:sz w:val="32"/>
          <w:szCs w:val="32"/>
          <w:shd w:val="clear" w:color="auto" w:fill="FFFFFF"/>
        </w:rPr>
      </w:pPr>
      <w:r>
        <w:rPr>
          <w:rFonts w:hint="eastAsia" w:ascii="楷体" w:hAnsi="楷体" w:eastAsia="楷体" w:cs="楷体"/>
          <w:sz w:val="32"/>
          <w:szCs w:val="32"/>
          <w:shd w:val="clear" w:color="auto" w:fill="FFFFFF"/>
        </w:rPr>
        <w:t>（</w:t>
      </w:r>
      <w:r>
        <w:rPr>
          <w:rFonts w:hint="eastAsia" w:ascii="楷体" w:hAnsi="楷体" w:eastAsia="楷体" w:cs="楷体"/>
          <w:sz w:val="32"/>
          <w:szCs w:val="32"/>
          <w:shd w:val="clear" w:color="auto" w:fill="FFFFFF"/>
          <w:lang w:val="en-US" w:eastAsia="zh-CN"/>
        </w:rPr>
        <w:t>三</w:t>
      </w:r>
      <w:r>
        <w:rPr>
          <w:rFonts w:hint="eastAsia" w:ascii="楷体" w:hAnsi="楷体" w:eastAsia="楷体" w:cs="楷体"/>
          <w:sz w:val="32"/>
          <w:szCs w:val="32"/>
          <w:shd w:val="clear" w:color="auto" w:fill="FFFFFF"/>
        </w:rPr>
        <w:t>）政府信息管理。</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shd w:val="clear" w:color="auto" w:fill="FFFFFF"/>
        </w:rPr>
        <w:t>区行政审批服务局办公室全面负责全局政务公开工作，确定专人负责政务公开工作，完善《政务公开事项标准目录》《主动公开基本目录》等内容，召开专题工作会议部署该项工作，并建立长效机制，局办公室及时汇总公开信息并对照目录对需要公开的信息进行保密审核后及时发布到相应栏目。</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w:t>
      </w:r>
      <w:r>
        <w:rPr>
          <w:rFonts w:hint="eastAsia" w:ascii="楷体" w:hAnsi="楷体" w:eastAsia="楷体" w:cs="楷体"/>
          <w:color w:val="000000"/>
          <w:sz w:val="32"/>
          <w:szCs w:val="32"/>
          <w:shd w:val="clear" w:color="auto" w:fill="FFFFFF"/>
          <w:lang w:val="en-US" w:eastAsia="zh-CN"/>
        </w:rPr>
        <w:t>四</w:t>
      </w:r>
      <w:r>
        <w:rPr>
          <w:rFonts w:hint="eastAsia" w:ascii="楷体" w:hAnsi="楷体" w:eastAsia="楷体" w:cs="楷体"/>
          <w:color w:val="000000"/>
          <w:sz w:val="32"/>
          <w:szCs w:val="32"/>
          <w:shd w:val="clear" w:color="auto" w:fill="FFFFFF"/>
        </w:rPr>
        <w:t>）平台建设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i w:val="0"/>
          <w:caps w:val="0"/>
          <w:color w:val="000000"/>
          <w:spacing w:val="0"/>
          <w:sz w:val="32"/>
          <w:szCs w:val="32"/>
          <w:shd w:val="clear" w:fill="FFFFFF"/>
          <w:lang w:eastAsia="zh-CN"/>
        </w:rPr>
      </w:pPr>
      <w:r>
        <w:rPr>
          <w:rFonts w:hint="eastAsia" w:ascii="仿宋" w:hAnsi="仿宋" w:eastAsia="仿宋" w:cs="仿宋"/>
          <w:sz w:val="32"/>
          <w:szCs w:val="32"/>
        </w:rPr>
        <w:t>临淄区行政审批服务局在临淄区政府门户网站设立信息公开专栏，主动公布信息公开目录和信息公开指南等内容</w:t>
      </w:r>
      <w:r>
        <w:rPr>
          <w:rFonts w:hint="eastAsia" w:ascii="仿宋" w:hAnsi="仿宋" w:eastAsia="仿宋" w:cs="仿宋"/>
          <w:sz w:val="32"/>
          <w:szCs w:val="32"/>
          <w:lang w:eastAsia="zh-CN"/>
        </w:rPr>
        <w:t>；</w:t>
      </w:r>
      <w:r>
        <w:rPr>
          <w:rFonts w:hint="eastAsia" w:ascii="仿宋" w:hAnsi="仿宋" w:eastAsia="仿宋" w:cs="仿宋"/>
          <w:i w:val="0"/>
          <w:caps w:val="0"/>
          <w:color w:val="000000"/>
          <w:spacing w:val="0"/>
          <w:sz w:val="32"/>
          <w:szCs w:val="32"/>
          <w:shd w:val="clear" w:fill="FFFFFF"/>
        </w:rPr>
        <w:t>同时在“临淄</w:t>
      </w:r>
      <w:r>
        <w:rPr>
          <w:rFonts w:hint="eastAsia" w:ascii="仿宋" w:hAnsi="仿宋" w:eastAsia="仿宋" w:cs="仿宋"/>
          <w:i w:val="0"/>
          <w:caps w:val="0"/>
          <w:color w:val="000000"/>
          <w:spacing w:val="0"/>
          <w:sz w:val="32"/>
          <w:szCs w:val="32"/>
          <w:shd w:val="clear" w:fill="FFFFFF"/>
          <w:lang w:val="en-US" w:eastAsia="zh-CN"/>
        </w:rPr>
        <w:t>审批服务</w:t>
      </w:r>
      <w:r>
        <w:rPr>
          <w:rFonts w:hint="eastAsia" w:ascii="仿宋" w:hAnsi="仿宋" w:eastAsia="仿宋" w:cs="仿宋"/>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lang w:val="en-US" w:eastAsia="zh-CN"/>
        </w:rPr>
        <w:t>临淄政务服务</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rPr>
        <w:t>微信公众号上及时发布相关政府信息，确保政府信息依法、及时公开</w:t>
      </w:r>
      <w:r>
        <w:rPr>
          <w:rFonts w:hint="eastAsia" w:ascii="仿宋" w:hAnsi="仿宋" w:eastAsia="仿宋" w:cs="仿宋"/>
          <w:i w:val="0"/>
          <w:caps w:val="0"/>
          <w:color w:val="000000"/>
          <w:spacing w:val="0"/>
          <w:sz w:val="32"/>
          <w:szCs w:val="32"/>
          <w:shd w:val="clear" w:fill="FFFFFF"/>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（六）监督保障</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5"/>
        <w:jc w:val="both"/>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临淄区行政审批服务局专门成立政务公开工作领导小组，由主要领导担任组长，领导小组办公室设在区局办公室，配备1名同志负责政务公开工作，开展业务培训，加强对各审批科室、下属事业单位等政务信息公开工作的督促指导。强化重点领域信息公开工作，做好政务服务领域信息公示公开。工作考核方面，根据区政府政务公开办反馈的情况，及时开展自查自纠，并限期整改。社会评议方面，202</w:t>
      </w:r>
      <w:r>
        <w:rPr>
          <w:rFonts w:hint="eastAsia" w:ascii="仿宋" w:hAnsi="仿宋" w:eastAsia="仿宋" w:cs="仿宋"/>
          <w:sz w:val="32"/>
          <w:szCs w:val="32"/>
          <w:shd w:val="clear" w:color="auto" w:fill="FFFFFF"/>
          <w:lang w:val="en-US" w:eastAsia="zh-CN"/>
        </w:rPr>
        <w:t>1</w:t>
      </w:r>
      <w:r>
        <w:rPr>
          <w:rFonts w:hint="eastAsia" w:ascii="仿宋" w:hAnsi="仿宋" w:eastAsia="仿宋" w:cs="仿宋"/>
          <w:sz w:val="32"/>
          <w:szCs w:val="32"/>
          <w:shd w:val="clear" w:color="auto" w:fill="FFFFFF"/>
        </w:rPr>
        <w:t>年区行政审批服务局通过问卷调查、企业走访、电话回访等多种形式广泛开展意见建议征集，广泛听取各部门、人大、政协及办事群众意见建议，对反馈的意见建议认真梳理，形成工作台账并抓实整改落实。责任追究方面，全年未出现舆情及文件泄密事件。</w:t>
      </w:r>
    </w:p>
    <w:p>
      <w:pPr>
        <w:keepNext w:val="0"/>
        <w:keepLines w:val="0"/>
        <w:pageBreakBefore w:val="0"/>
        <w:kinsoku/>
        <w:wordWrap/>
        <w:overflowPunct/>
        <w:topLinePunct w:val="0"/>
        <w:autoSpaceDE/>
        <w:autoSpaceDN/>
        <w:bidi w:val="0"/>
        <w:adjustRightInd/>
        <w:snapToGrid/>
        <w:spacing w:line="560" w:lineRule="exact"/>
        <w:ind w:firstLine="648"/>
        <w:textAlignment w:val="auto"/>
        <w:rPr>
          <w:rFonts w:ascii="宋体" w:hAnsi="宋体" w:eastAsia="宋体" w:cs="宋体"/>
          <w:kern w:val="0"/>
          <w:szCs w:val="21"/>
        </w:rPr>
      </w:pPr>
      <w:r>
        <w:rPr>
          <w:rFonts w:hint="eastAsia" w:ascii="黑体" w:hAnsi="黑体" w:eastAsia="黑体"/>
          <w:sz w:val="32"/>
          <w:szCs w:val="32"/>
        </w:rPr>
        <w:t>二、主动公开政府信息情况</w:t>
      </w:r>
    </w:p>
    <w:tbl>
      <w:tblPr>
        <w:tblStyle w:val="11"/>
        <w:tblW w:w="8124" w:type="dxa"/>
        <w:tblInd w:w="106" w:type="dxa"/>
        <w:tblLayout w:type="fixed"/>
        <w:tblCellMar>
          <w:top w:w="0" w:type="dxa"/>
          <w:left w:w="0" w:type="dxa"/>
          <w:bottom w:w="0" w:type="dxa"/>
          <w:right w:w="0" w:type="dxa"/>
        </w:tblCellMar>
      </w:tblPr>
      <w:tblGrid>
        <w:gridCol w:w="3284"/>
        <w:gridCol w:w="1686"/>
        <w:gridCol w:w="1803"/>
        <w:gridCol w:w="1351"/>
      </w:tblGrid>
      <w:tr>
        <w:tblPrEx>
          <w:tblCellMar>
            <w:top w:w="0" w:type="dxa"/>
            <w:left w:w="0" w:type="dxa"/>
            <w:bottom w:w="0" w:type="dxa"/>
            <w:right w:w="0" w:type="dxa"/>
          </w:tblCellMar>
        </w:tblPrEx>
        <w:trPr>
          <w:trHeight w:val="621" w:hRule="exact"/>
        </w:trPr>
        <w:tc>
          <w:tcPr>
            <w:tcW w:w="8124" w:type="dxa"/>
            <w:gridSpan w:val="4"/>
            <w:tcBorders>
              <w:top w:val="single" w:color="2B283F" w:sz="8" w:space="0"/>
              <w:left w:val="single" w:color="3B3B44" w:sz="6" w:space="0"/>
              <w:bottom w:val="single" w:color="64647C" w:sz="4" w:space="0"/>
              <w:right w:val="single" w:color="3B3B44" w:sz="8" w:space="0"/>
            </w:tcBorders>
          </w:tcPr>
          <w:p>
            <w:pPr>
              <w:keepNext w:val="0"/>
              <w:keepLines w:val="0"/>
              <w:pageBreakBefore w:val="0"/>
              <w:tabs>
                <w:tab w:val="left" w:pos="1048"/>
              </w:tabs>
              <w:kinsoku/>
              <w:wordWrap/>
              <w:overflowPunct/>
              <w:topLinePunct w:val="0"/>
              <w:autoSpaceDE/>
              <w:autoSpaceDN/>
              <w:bidi w:val="0"/>
              <w:adjustRightInd/>
              <w:snapToGrid/>
              <w:spacing w:before="142" w:line="560" w:lineRule="exact"/>
              <w:ind w:left="-1" w:right="1"/>
              <w:jc w:val="center"/>
              <w:textAlignment w:val="auto"/>
              <w:rPr>
                <w:sz w:val="21"/>
                <w:lang w:eastAsia="zh-CN"/>
              </w:rPr>
            </w:pPr>
            <w:r>
              <w:rPr>
                <w:sz w:val="21"/>
                <w:lang w:eastAsia="zh-CN"/>
              </w:rPr>
              <w:t>第二十条</w:t>
            </w:r>
            <w:r>
              <w:rPr>
                <w:sz w:val="21"/>
                <w:lang w:eastAsia="zh-CN"/>
              </w:rPr>
              <w:tab/>
            </w:r>
            <w:r>
              <w:rPr>
                <w:sz w:val="21"/>
                <w:lang w:eastAsia="zh-CN"/>
              </w:rPr>
              <w:t>第 （一</w:t>
            </w:r>
            <w:r>
              <w:rPr>
                <w:rFonts w:hint="eastAsia"/>
                <w:sz w:val="21"/>
                <w:lang w:eastAsia="zh-CN"/>
              </w:rPr>
              <w:t>）</w:t>
            </w:r>
            <w:r>
              <w:rPr>
                <w:sz w:val="21"/>
                <w:lang w:eastAsia="zh-CN"/>
              </w:rPr>
              <w:t xml:space="preserve"> 项</w:t>
            </w:r>
          </w:p>
        </w:tc>
      </w:tr>
      <w:tr>
        <w:tblPrEx>
          <w:tblCellMar>
            <w:top w:w="0" w:type="dxa"/>
            <w:left w:w="0" w:type="dxa"/>
            <w:bottom w:w="0" w:type="dxa"/>
            <w:right w:w="0" w:type="dxa"/>
          </w:tblCellMar>
        </w:tblPrEx>
        <w:trPr>
          <w:trHeight w:val="616" w:hRule="exact"/>
        </w:trPr>
        <w:tc>
          <w:tcPr>
            <w:tcW w:w="3284" w:type="dxa"/>
            <w:tcBorders>
              <w:top w:val="single" w:color="64647C" w:sz="4" w:space="0"/>
              <w:left w:val="single" w:color="3B3B44" w:sz="6" w:space="0"/>
              <w:bottom w:val="single" w:color="707790" w:sz="4" w:space="0"/>
              <w:right w:val="single" w:color="7C7C83" w:sz="4" w:space="0"/>
            </w:tcBorders>
          </w:tcPr>
          <w:p>
            <w:pPr>
              <w:keepNext w:val="0"/>
              <w:keepLines w:val="0"/>
              <w:pageBreakBefore w:val="0"/>
              <w:kinsoku/>
              <w:wordWrap/>
              <w:overflowPunct/>
              <w:topLinePunct w:val="0"/>
              <w:autoSpaceDE/>
              <w:autoSpaceDN/>
              <w:bidi w:val="0"/>
              <w:adjustRightInd/>
              <w:snapToGrid/>
              <w:spacing w:before="135" w:line="560" w:lineRule="exact"/>
              <w:ind w:right="27"/>
              <w:jc w:val="center"/>
              <w:textAlignment w:val="auto"/>
              <w:rPr>
                <w:sz w:val="21"/>
                <w:lang w:eastAsia="zh-CN"/>
              </w:rPr>
            </w:pPr>
            <w:r>
              <w:rPr>
                <w:sz w:val="21"/>
                <w:lang w:eastAsia="zh-CN"/>
              </w:rPr>
              <w:t>信息内容</w:t>
            </w:r>
          </w:p>
        </w:tc>
        <w:tc>
          <w:tcPr>
            <w:tcW w:w="1686" w:type="dxa"/>
            <w:tcBorders>
              <w:top w:val="single" w:color="64647C" w:sz="4" w:space="0"/>
              <w:left w:val="single" w:color="7C7C83" w:sz="4" w:space="0"/>
              <w:bottom w:val="single" w:color="707790" w:sz="4" w:space="0"/>
              <w:right w:val="single" w:color="777780" w:sz="4" w:space="0"/>
            </w:tcBorders>
          </w:tcPr>
          <w:p>
            <w:pPr>
              <w:keepNext w:val="0"/>
              <w:keepLines w:val="0"/>
              <w:pageBreakBefore w:val="0"/>
              <w:kinsoku/>
              <w:wordWrap/>
              <w:overflowPunct/>
              <w:topLinePunct w:val="0"/>
              <w:autoSpaceDE/>
              <w:autoSpaceDN/>
              <w:bidi w:val="0"/>
              <w:adjustRightInd/>
              <w:snapToGrid/>
              <w:spacing w:before="135" w:line="560" w:lineRule="exact"/>
              <w:ind w:left="216"/>
              <w:jc w:val="center"/>
              <w:textAlignment w:val="auto"/>
              <w:rPr>
                <w:sz w:val="21"/>
                <w:lang w:eastAsia="zh-CN"/>
              </w:rPr>
            </w:pPr>
            <w:r>
              <w:rPr>
                <w:sz w:val="21"/>
                <w:lang w:eastAsia="zh-CN"/>
              </w:rPr>
              <w:t>本年制发件数</w:t>
            </w:r>
          </w:p>
        </w:tc>
        <w:tc>
          <w:tcPr>
            <w:tcW w:w="1803" w:type="dxa"/>
            <w:tcBorders>
              <w:top w:val="single" w:color="64647C" w:sz="4" w:space="0"/>
              <w:left w:val="single" w:color="777780" w:sz="4" w:space="0"/>
              <w:bottom w:val="single" w:color="835B67" w:sz="4" w:space="0"/>
              <w:right w:val="single" w:color="606064" w:sz="2" w:space="0"/>
            </w:tcBorders>
          </w:tcPr>
          <w:p>
            <w:pPr>
              <w:keepNext w:val="0"/>
              <w:keepLines w:val="0"/>
              <w:pageBreakBefore w:val="0"/>
              <w:kinsoku/>
              <w:wordWrap/>
              <w:overflowPunct/>
              <w:topLinePunct w:val="0"/>
              <w:autoSpaceDE/>
              <w:autoSpaceDN/>
              <w:bidi w:val="0"/>
              <w:adjustRightInd/>
              <w:snapToGrid/>
              <w:spacing w:before="135" w:line="560" w:lineRule="exact"/>
              <w:ind w:left="275"/>
              <w:jc w:val="center"/>
              <w:textAlignment w:val="auto"/>
              <w:rPr>
                <w:sz w:val="21"/>
                <w:lang w:eastAsia="zh-CN"/>
              </w:rPr>
            </w:pPr>
            <w:r>
              <w:rPr>
                <w:sz w:val="21"/>
                <w:lang w:eastAsia="zh-CN"/>
              </w:rPr>
              <w:t>本年废止件数</w:t>
            </w:r>
          </w:p>
        </w:tc>
        <w:tc>
          <w:tcPr>
            <w:tcW w:w="1351" w:type="dxa"/>
            <w:tcBorders>
              <w:top w:val="single" w:color="64647C" w:sz="4" w:space="0"/>
              <w:left w:val="single" w:color="606064" w:sz="2" w:space="0"/>
              <w:bottom w:val="single" w:color="835B67" w:sz="4" w:space="0"/>
              <w:right w:val="single" w:color="3B3B44" w:sz="8" w:space="0"/>
            </w:tcBorders>
          </w:tcPr>
          <w:p>
            <w:pPr>
              <w:keepNext w:val="0"/>
              <w:keepLines w:val="0"/>
              <w:pageBreakBefore w:val="0"/>
              <w:kinsoku/>
              <w:wordWrap/>
              <w:overflowPunct/>
              <w:topLinePunct w:val="0"/>
              <w:autoSpaceDE/>
              <w:autoSpaceDN/>
              <w:bidi w:val="0"/>
              <w:adjustRightInd/>
              <w:snapToGrid/>
              <w:spacing w:before="130" w:line="560" w:lineRule="exact"/>
              <w:jc w:val="center"/>
              <w:textAlignment w:val="auto"/>
              <w:rPr>
                <w:sz w:val="21"/>
                <w:lang w:eastAsia="zh-CN"/>
              </w:rPr>
            </w:pPr>
            <w:r>
              <w:rPr>
                <w:sz w:val="21"/>
                <w:lang w:eastAsia="zh-CN"/>
              </w:rPr>
              <w:t>现行有效件数</w:t>
            </w:r>
          </w:p>
        </w:tc>
      </w:tr>
      <w:tr>
        <w:tblPrEx>
          <w:tblCellMar>
            <w:top w:w="0" w:type="dxa"/>
            <w:left w:w="0" w:type="dxa"/>
            <w:bottom w:w="0" w:type="dxa"/>
            <w:right w:w="0" w:type="dxa"/>
          </w:tblCellMar>
        </w:tblPrEx>
        <w:trPr>
          <w:trHeight w:val="628" w:hRule="exact"/>
        </w:trPr>
        <w:tc>
          <w:tcPr>
            <w:tcW w:w="3284" w:type="dxa"/>
            <w:tcBorders>
              <w:top w:val="single" w:color="707790" w:sz="4" w:space="0"/>
              <w:left w:val="single" w:color="3B3B44" w:sz="6" w:space="0"/>
              <w:bottom w:val="single" w:color="747487" w:sz="4" w:space="0"/>
              <w:right w:val="single" w:color="97979C" w:sz="4" w:space="0"/>
            </w:tcBorders>
          </w:tcPr>
          <w:p>
            <w:pPr>
              <w:keepNext w:val="0"/>
              <w:keepLines w:val="0"/>
              <w:pageBreakBefore w:val="0"/>
              <w:kinsoku/>
              <w:wordWrap/>
              <w:overflowPunct/>
              <w:topLinePunct w:val="0"/>
              <w:autoSpaceDE/>
              <w:autoSpaceDN/>
              <w:bidi w:val="0"/>
              <w:adjustRightInd/>
              <w:snapToGrid/>
              <w:spacing w:before="147" w:line="560" w:lineRule="exact"/>
              <w:ind w:left="93"/>
              <w:jc w:val="center"/>
              <w:textAlignment w:val="auto"/>
              <w:rPr>
                <w:sz w:val="21"/>
                <w:lang w:eastAsia="zh-CN"/>
              </w:rPr>
            </w:pPr>
            <w:r>
              <w:rPr>
                <w:sz w:val="21"/>
                <w:lang w:eastAsia="zh-CN"/>
              </w:rPr>
              <w:t>规章</w:t>
            </w:r>
          </w:p>
        </w:tc>
        <w:tc>
          <w:tcPr>
            <w:tcW w:w="1686" w:type="dxa"/>
            <w:tcBorders>
              <w:top w:val="single" w:color="707790" w:sz="4" w:space="0"/>
              <w:left w:val="single" w:color="97979C" w:sz="4" w:space="0"/>
              <w:bottom w:val="single" w:color="747487" w:sz="4" w:space="0"/>
              <w:right w:val="single" w:color="939397" w:sz="4" w:space="0"/>
            </w:tcBorders>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sz w:val="21"/>
                <w:lang w:val="en-US" w:eastAsia="zh-CN"/>
              </w:rPr>
            </w:pPr>
            <w:r>
              <w:rPr>
                <w:rFonts w:hint="eastAsia"/>
                <w:sz w:val="21"/>
                <w:lang w:val="en-US" w:eastAsia="zh-CN"/>
              </w:rPr>
              <w:t>0</w:t>
            </w:r>
          </w:p>
        </w:tc>
        <w:tc>
          <w:tcPr>
            <w:tcW w:w="1803" w:type="dxa"/>
            <w:tcBorders>
              <w:top w:val="single" w:color="835B67" w:sz="4" w:space="0"/>
              <w:left w:val="single" w:color="939397" w:sz="4" w:space="0"/>
              <w:bottom w:val="single" w:color="546080" w:sz="2" w:space="0"/>
              <w:right w:val="single" w:color="97939C" w:sz="4" w:space="0"/>
            </w:tcBorders>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sz w:val="21"/>
                <w:lang w:val="en-US" w:eastAsia="zh-CN"/>
              </w:rPr>
            </w:pPr>
            <w:r>
              <w:rPr>
                <w:rFonts w:hint="eastAsia"/>
                <w:sz w:val="21"/>
                <w:lang w:val="en-US" w:eastAsia="zh-CN"/>
              </w:rPr>
              <w:t>0</w:t>
            </w:r>
          </w:p>
        </w:tc>
        <w:tc>
          <w:tcPr>
            <w:tcW w:w="1351" w:type="dxa"/>
            <w:tcBorders>
              <w:top w:val="single" w:color="835B67" w:sz="4" w:space="0"/>
              <w:left w:val="single" w:color="97939C" w:sz="4" w:space="0"/>
              <w:bottom w:val="single" w:color="74778C" w:sz="4" w:space="0"/>
              <w:right w:val="single" w:color="3B3B3F" w:sz="8" w:space="0"/>
            </w:tcBorders>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sz w:val="21"/>
                <w:lang w:val="en-US" w:eastAsia="zh-CN"/>
              </w:rPr>
            </w:pPr>
            <w:r>
              <w:rPr>
                <w:rFonts w:hint="eastAsia"/>
                <w:sz w:val="21"/>
                <w:lang w:val="en-US" w:eastAsia="zh-CN"/>
              </w:rPr>
              <w:t>0</w:t>
            </w:r>
          </w:p>
        </w:tc>
      </w:tr>
      <w:tr>
        <w:tblPrEx>
          <w:tblCellMar>
            <w:top w:w="0" w:type="dxa"/>
            <w:left w:w="0" w:type="dxa"/>
            <w:bottom w:w="0" w:type="dxa"/>
            <w:right w:w="0" w:type="dxa"/>
          </w:tblCellMar>
        </w:tblPrEx>
        <w:trPr>
          <w:trHeight w:val="621" w:hRule="exact"/>
        </w:trPr>
        <w:tc>
          <w:tcPr>
            <w:tcW w:w="3284" w:type="dxa"/>
            <w:tcBorders>
              <w:top w:val="single" w:color="747487" w:sz="4" w:space="0"/>
              <w:left w:val="single" w:color="3B3B44" w:sz="6" w:space="0"/>
              <w:bottom w:val="single" w:color="5B6080" w:sz="4" w:space="0"/>
              <w:right w:val="single" w:color="97979C" w:sz="4" w:space="0"/>
            </w:tcBorders>
          </w:tcPr>
          <w:p>
            <w:pPr>
              <w:keepNext w:val="0"/>
              <w:keepLines w:val="0"/>
              <w:pageBreakBefore w:val="0"/>
              <w:kinsoku/>
              <w:wordWrap/>
              <w:overflowPunct/>
              <w:topLinePunct w:val="0"/>
              <w:autoSpaceDE/>
              <w:autoSpaceDN/>
              <w:bidi w:val="0"/>
              <w:adjustRightInd/>
              <w:snapToGrid/>
              <w:spacing w:before="138" w:line="560" w:lineRule="exact"/>
              <w:ind w:left="93"/>
              <w:jc w:val="center"/>
              <w:textAlignment w:val="auto"/>
              <w:rPr>
                <w:sz w:val="21"/>
                <w:lang w:eastAsia="zh-CN"/>
              </w:rPr>
            </w:pPr>
            <w:r>
              <w:rPr>
                <w:sz w:val="21"/>
                <w:lang w:eastAsia="zh-CN"/>
              </w:rPr>
              <w:t>行政规范性文件</w:t>
            </w:r>
          </w:p>
        </w:tc>
        <w:tc>
          <w:tcPr>
            <w:tcW w:w="1686" w:type="dxa"/>
            <w:tcBorders>
              <w:top w:val="single" w:color="747487" w:sz="4" w:space="0"/>
              <w:left w:val="single" w:color="97979C" w:sz="4" w:space="0"/>
              <w:bottom w:val="single" w:color="5B6080" w:sz="4" w:space="0"/>
              <w:right w:val="single" w:color="939397" w:sz="4" w:space="0"/>
            </w:tcBorders>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sz w:val="21"/>
                <w:lang w:val="en-US" w:eastAsia="zh-CN"/>
              </w:rPr>
            </w:pPr>
            <w:r>
              <w:rPr>
                <w:rFonts w:hint="eastAsia"/>
                <w:sz w:val="21"/>
                <w:lang w:val="en-US" w:eastAsia="zh-CN"/>
              </w:rPr>
              <w:t>0</w:t>
            </w:r>
          </w:p>
        </w:tc>
        <w:tc>
          <w:tcPr>
            <w:tcW w:w="1803" w:type="dxa"/>
            <w:tcBorders>
              <w:top w:val="single" w:color="546080" w:sz="2" w:space="0"/>
              <w:left w:val="single" w:color="939397" w:sz="4" w:space="0"/>
              <w:bottom w:val="single" w:color="5B6080" w:sz="4" w:space="0"/>
              <w:right w:val="single" w:color="97939C" w:sz="4" w:space="0"/>
            </w:tcBorders>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sz w:val="21"/>
                <w:lang w:val="en-US" w:eastAsia="zh-CN"/>
              </w:rPr>
            </w:pPr>
            <w:r>
              <w:rPr>
                <w:rFonts w:hint="eastAsia"/>
                <w:sz w:val="21"/>
                <w:lang w:val="en-US" w:eastAsia="zh-CN"/>
              </w:rPr>
              <w:t>0</w:t>
            </w:r>
          </w:p>
        </w:tc>
        <w:tc>
          <w:tcPr>
            <w:tcW w:w="1351" w:type="dxa"/>
            <w:tcBorders>
              <w:top w:val="single" w:color="74778C" w:sz="4" w:space="0"/>
              <w:left w:val="single" w:color="97939C" w:sz="4" w:space="0"/>
              <w:bottom w:val="single" w:color="5B6080" w:sz="4" w:space="0"/>
              <w:right w:val="single" w:color="3B3B3F" w:sz="8" w:space="0"/>
            </w:tcBorders>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sz w:val="21"/>
                <w:lang w:val="en-US" w:eastAsia="zh-CN"/>
              </w:rPr>
            </w:pPr>
            <w:r>
              <w:rPr>
                <w:rFonts w:hint="eastAsia"/>
                <w:sz w:val="21"/>
                <w:lang w:val="en-US" w:eastAsia="zh-CN"/>
              </w:rPr>
              <w:t>0</w:t>
            </w:r>
          </w:p>
        </w:tc>
      </w:tr>
      <w:tr>
        <w:tblPrEx>
          <w:tblCellMar>
            <w:top w:w="0" w:type="dxa"/>
            <w:left w:w="0" w:type="dxa"/>
            <w:bottom w:w="0" w:type="dxa"/>
            <w:right w:w="0" w:type="dxa"/>
          </w:tblCellMar>
        </w:tblPrEx>
        <w:trPr>
          <w:trHeight w:val="621" w:hRule="exact"/>
        </w:trPr>
        <w:tc>
          <w:tcPr>
            <w:tcW w:w="8124" w:type="dxa"/>
            <w:gridSpan w:val="4"/>
            <w:tcBorders>
              <w:top w:val="single" w:color="5B6080" w:sz="4" w:space="0"/>
              <w:left w:val="single" w:color="3B3B44" w:sz="6" w:space="0"/>
              <w:bottom w:val="single" w:color="646B80" w:sz="4" w:space="0"/>
              <w:right w:val="single" w:color="3B3B3F" w:sz="8" w:space="0"/>
            </w:tcBorders>
          </w:tcPr>
          <w:p>
            <w:pPr>
              <w:keepNext w:val="0"/>
              <w:keepLines w:val="0"/>
              <w:pageBreakBefore w:val="0"/>
              <w:tabs>
                <w:tab w:val="left" w:pos="1049"/>
              </w:tabs>
              <w:kinsoku/>
              <w:wordWrap/>
              <w:overflowPunct/>
              <w:topLinePunct w:val="0"/>
              <w:autoSpaceDE/>
              <w:autoSpaceDN/>
              <w:bidi w:val="0"/>
              <w:adjustRightInd/>
              <w:snapToGrid/>
              <w:spacing w:before="140" w:line="560" w:lineRule="exact"/>
              <w:ind w:left="5"/>
              <w:jc w:val="center"/>
              <w:textAlignment w:val="auto"/>
              <w:rPr>
                <w:sz w:val="21"/>
                <w:lang w:eastAsia="zh-CN"/>
              </w:rPr>
            </w:pPr>
            <w:r>
              <w:rPr>
                <w:sz w:val="21"/>
                <w:lang w:eastAsia="zh-CN"/>
              </w:rPr>
              <w:t>第二十条</w:t>
            </w:r>
            <w:r>
              <w:rPr>
                <w:sz w:val="21"/>
                <w:lang w:eastAsia="zh-CN"/>
              </w:rPr>
              <w:tab/>
            </w:r>
            <w:r>
              <w:rPr>
                <w:sz w:val="21"/>
                <w:lang w:eastAsia="zh-CN"/>
              </w:rPr>
              <w:t>第 （五</w:t>
            </w:r>
            <w:r>
              <w:rPr>
                <w:rFonts w:hint="eastAsia"/>
                <w:sz w:val="21"/>
                <w:lang w:eastAsia="zh-CN"/>
              </w:rPr>
              <w:t>）</w:t>
            </w:r>
            <w:r>
              <w:rPr>
                <w:sz w:val="21"/>
                <w:lang w:eastAsia="zh-CN"/>
              </w:rPr>
              <w:t xml:space="preserve"> 项</w:t>
            </w:r>
          </w:p>
        </w:tc>
      </w:tr>
      <w:tr>
        <w:tblPrEx>
          <w:tblCellMar>
            <w:top w:w="0" w:type="dxa"/>
            <w:left w:w="0" w:type="dxa"/>
            <w:bottom w:w="0" w:type="dxa"/>
            <w:right w:w="0" w:type="dxa"/>
          </w:tblCellMar>
        </w:tblPrEx>
        <w:trPr>
          <w:trHeight w:val="621" w:hRule="exact"/>
        </w:trPr>
        <w:tc>
          <w:tcPr>
            <w:tcW w:w="3284" w:type="dxa"/>
            <w:tcBorders>
              <w:top w:val="single" w:color="646B80" w:sz="4" w:space="0"/>
              <w:left w:val="single" w:color="3B3B44" w:sz="6" w:space="0"/>
              <w:bottom w:val="single" w:color="80676B" w:sz="4" w:space="0"/>
              <w:right w:val="single" w:color="878787" w:sz="4" w:space="0"/>
            </w:tcBorders>
          </w:tcPr>
          <w:p>
            <w:pPr>
              <w:keepNext w:val="0"/>
              <w:keepLines w:val="0"/>
              <w:pageBreakBefore w:val="0"/>
              <w:kinsoku/>
              <w:wordWrap/>
              <w:overflowPunct/>
              <w:topLinePunct w:val="0"/>
              <w:autoSpaceDE/>
              <w:autoSpaceDN/>
              <w:bidi w:val="0"/>
              <w:adjustRightInd/>
              <w:snapToGrid/>
              <w:spacing w:before="138" w:line="560" w:lineRule="exact"/>
              <w:ind w:right="17"/>
              <w:jc w:val="center"/>
              <w:textAlignment w:val="auto"/>
              <w:rPr>
                <w:sz w:val="21"/>
                <w:lang w:eastAsia="zh-CN"/>
              </w:rPr>
            </w:pPr>
            <w:r>
              <w:rPr>
                <w:sz w:val="21"/>
                <w:lang w:eastAsia="zh-CN"/>
              </w:rPr>
              <w:t>信息内容</w:t>
            </w:r>
          </w:p>
        </w:tc>
        <w:tc>
          <w:tcPr>
            <w:tcW w:w="4840" w:type="dxa"/>
            <w:gridSpan w:val="3"/>
            <w:tcBorders>
              <w:top w:val="single" w:color="646B80" w:sz="4" w:space="0"/>
              <w:left w:val="single" w:color="878787" w:sz="4" w:space="0"/>
              <w:bottom w:val="single" w:color="7C7474" w:sz="4" w:space="0"/>
              <w:right w:val="single" w:color="3B3B3F" w:sz="8" w:space="0"/>
            </w:tcBorders>
          </w:tcPr>
          <w:p>
            <w:pPr>
              <w:keepNext w:val="0"/>
              <w:keepLines w:val="0"/>
              <w:pageBreakBefore w:val="0"/>
              <w:kinsoku/>
              <w:wordWrap/>
              <w:overflowPunct/>
              <w:topLinePunct w:val="0"/>
              <w:autoSpaceDE/>
              <w:autoSpaceDN/>
              <w:bidi w:val="0"/>
              <w:adjustRightInd/>
              <w:snapToGrid/>
              <w:spacing w:before="142" w:line="560" w:lineRule="exact"/>
              <w:ind w:right="16"/>
              <w:jc w:val="center"/>
              <w:textAlignment w:val="auto"/>
              <w:rPr>
                <w:sz w:val="21"/>
                <w:lang w:eastAsia="zh-CN"/>
              </w:rPr>
            </w:pPr>
            <w:r>
              <w:rPr>
                <w:sz w:val="21"/>
                <w:lang w:eastAsia="zh-CN"/>
              </w:rPr>
              <w:t>本年处理决定数量</w:t>
            </w:r>
          </w:p>
        </w:tc>
      </w:tr>
      <w:tr>
        <w:tblPrEx>
          <w:tblCellMar>
            <w:top w:w="0" w:type="dxa"/>
            <w:left w:w="0" w:type="dxa"/>
            <w:bottom w:w="0" w:type="dxa"/>
            <w:right w:w="0" w:type="dxa"/>
          </w:tblCellMar>
        </w:tblPrEx>
        <w:trPr>
          <w:trHeight w:val="621" w:hRule="exact"/>
        </w:trPr>
        <w:tc>
          <w:tcPr>
            <w:tcW w:w="3284" w:type="dxa"/>
            <w:tcBorders>
              <w:top w:val="single" w:color="80676B" w:sz="4" w:space="0"/>
              <w:left w:val="single" w:color="3B3B44" w:sz="6" w:space="0"/>
              <w:bottom w:val="single" w:color="646487" w:sz="4" w:space="0"/>
              <w:right w:val="single" w:color="878787" w:sz="4" w:space="0"/>
            </w:tcBorders>
          </w:tcPr>
          <w:p>
            <w:pPr>
              <w:keepNext w:val="0"/>
              <w:keepLines w:val="0"/>
              <w:pageBreakBefore w:val="0"/>
              <w:kinsoku/>
              <w:wordWrap/>
              <w:overflowPunct/>
              <w:topLinePunct w:val="0"/>
              <w:autoSpaceDE/>
              <w:autoSpaceDN/>
              <w:bidi w:val="0"/>
              <w:adjustRightInd/>
              <w:snapToGrid/>
              <w:spacing w:before="140" w:line="560" w:lineRule="exact"/>
              <w:ind w:left="98"/>
              <w:jc w:val="center"/>
              <w:textAlignment w:val="auto"/>
              <w:rPr>
                <w:sz w:val="21"/>
                <w:lang w:eastAsia="zh-CN"/>
              </w:rPr>
            </w:pPr>
            <w:r>
              <w:rPr>
                <w:sz w:val="21"/>
                <w:lang w:eastAsia="zh-CN"/>
              </w:rPr>
              <w:t>行政许可</w:t>
            </w:r>
          </w:p>
        </w:tc>
        <w:tc>
          <w:tcPr>
            <w:tcW w:w="4840" w:type="dxa"/>
            <w:gridSpan w:val="3"/>
            <w:tcBorders>
              <w:top w:val="single" w:color="7C7474" w:sz="4" w:space="0"/>
              <w:left w:val="single" w:color="878787" w:sz="4" w:space="0"/>
              <w:bottom w:val="single" w:color="646487" w:sz="4" w:space="0"/>
              <w:right w:val="single" w:color="3B3B3F" w:sz="8" w:space="0"/>
            </w:tcBorders>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sz w:val="21"/>
                <w:lang w:val="en-US" w:eastAsia="zh-CN"/>
              </w:rPr>
            </w:pPr>
            <w:r>
              <w:rPr>
                <w:rFonts w:hint="eastAsia"/>
                <w:sz w:val="21"/>
                <w:lang w:val="en-US" w:eastAsia="zh-CN"/>
              </w:rPr>
              <w:t>22467</w:t>
            </w:r>
          </w:p>
        </w:tc>
      </w:tr>
      <w:tr>
        <w:tblPrEx>
          <w:tblCellMar>
            <w:top w:w="0" w:type="dxa"/>
            <w:left w:w="0" w:type="dxa"/>
            <w:bottom w:w="0" w:type="dxa"/>
            <w:right w:w="0" w:type="dxa"/>
          </w:tblCellMar>
        </w:tblPrEx>
        <w:trPr>
          <w:trHeight w:val="623" w:hRule="exact"/>
        </w:trPr>
        <w:tc>
          <w:tcPr>
            <w:tcW w:w="8124" w:type="dxa"/>
            <w:gridSpan w:val="4"/>
            <w:tcBorders>
              <w:top w:val="single" w:color="646487" w:sz="4" w:space="0"/>
              <w:left w:val="single" w:color="3B3B44" w:sz="6" w:space="0"/>
              <w:bottom w:val="single" w:color="607087" w:sz="4" w:space="0"/>
              <w:right w:val="single" w:color="3B3B3F" w:sz="8" w:space="0"/>
            </w:tcBorders>
          </w:tcPr>
          <w:p>
            <w:pPr>
              <w:keepNext w:val="0"/>
              <w:keepLines w:val="0"/>
              <w:pageBreakBefore w:val="0"/>
              <w:tabs>
                <w:tab w:val="left" w:pos="1059"/>
              </w:tabs>
              <w:kinsoku/>
              <w:wordWrap/>
              <w:overflowPunct/>
              <w:topLinePunct w:val="0"/>
              <w:autoSpaceDE/>
              <w:autoSpaceDN/>
              <w:bidi w:val="0"/>
              <w:adjustRightInd/>
              <w:snapToGrid/>
              <w:spacing w:before="142" w:line="560" w:lineRule="exact"/>
              <w:ind w:left="15"/>
              <w:jc w:val="center"/>
              <w:textAlignment w:val="auto"/>
              <w:rPr>
                <w:sz w:val="21"/>
                <w:lang w:eastAsia="zh-CN"/>
              </w:rPr>
            </w:pPr>
            <w:r>
              <w:rPr>
                <w:sz w:val="21"/>
                <w:lang w:eastAsia="zh-CN"/>
              </w:rPr>
              <w:t>第二十条</w:t>
            </w:r>
            <w:r>
              <w:rPr>
                <w:sz w:val="21"/>
                <w:lang w:eastAsia="zh-CN"/>
              </w:rPr>
              <w:tab/>
            </w:r>
            <w:r>
              <w:rPr>
                <w:sz w:val="21"/>
                <w:lang w:eastAsia="zh-CN"/>
              </w:rPr>
              <w:t>第 （六</w:t>
            </w:r>
            <w:r>
              <w:rPr>
                <w:rFonts w:hint="eastAsia"/>
                <w:sz w:val="21"/>
                <w:lang w:eastAsia="zh-CN"/>
              </w:rPr>
              <w:t>）</w:t>
            </w:r>
            <w:r>
              <w:rPr>
                <w:sz w:val="21"/>
                <w:lang w:eastAsia="zh-CN"/>
              </w:rPr>
              <w:t xml:space="preserve"> 项</w:t>
            </w:r>
          </w:p>
        </w:tc>
      </w:tr>
      <w:tr>
        <w:tblPrEx>
          <w:tblCellMar>
            <w:top w:w="0" w:type="dxa"/>
            <w:left w:w="0" w:type="dxa"/>
            <w:bottom w:w="0" w:type="dxa"/>
            <w:right w:w="0" w:type="dxa"/>
          </w:tblCellMar>
        </w:tblPrEx>
        <w:trPr>
          <w:trHeight w:val="627" w:hRule="exact"/>
        </w:trPr>
        <w:tc>
          <w:tcPr>
            <w:tcW w:w="3284" w:type="dxa"/>
            <w:tcBorders>
              <w:top w:val="single" w:color="607087" w:sz="4" w:space="0"/>
              <w:left w:val="single" w:color="3B3B44" w:sz="6" w:space="0"/>
              <w:bottom w:val="single" w:color="8C7774" w:sz="4" w:space="0"/>
              <w:right w:val="single" w:color="909093" w:sz="4" w:space="0"/>
            </w:tcBorders>
          </w:tcPr>
          <w:p>
            <w:pPr>
              <w:keepNext w:val="0"/>
              <w:keepLines w:val="0"/>
              <w:pageBreakBefore w:val="0"/>
              <w:kinsoku/>
              <w:wordWrap/>
              <w:overflowPunct/>
              <w:topLinePunct w:val="0"/>
              <w:autoSpaceDE/>
              <w:autoSpaceDN/>
              <w:bidi w:val="0"/>
              <w:adjustRightInd/>
              <w:snapToGrid/>
              <w:spacing w:before="142" w:line="560" w:lineRule="exact"/>
              <w:ind w:right="8"/>
              <w:jc w:val="center"/>
              <w:textAlignment w:val="auto"/>
              <w:rPr>
                <w:sz w:val="21"/>
                <w:lang w:eastAsia="zh-CN"/>
              </w:rPr>
            </w:pPr>
            <w:r>
              <w:rPr>
                <w:sz w:val="21"/>
                <w:lang w:eastAsia="zh-CN"/>
              </w:rPr>
              <w:t>信息内容</w:t>
            </w:r>
          </w:p>
        </w:tc>
        <w:tc>
          <w:tcPr>
            <w:tcW w:w="4840" w:type="dxa"/>
            <w:gridSpan w:val="3"/>
            <w:tcBorders>
              <w:top w:val="single" w:color="607087" w:sz="4" w:space="0"/>
              <w:left w:val="single" w:color="909093" w:sz="4" w:space="0"/>
              <w:bottom w:val="single" w:color="747074" w:sz="4" w:space="0"/>
              <w:right w:val="single" w:color="3B3B3F" w:sz="8" w:space="0"/>
            </w:tcBorders>
          </w:tcPr>
          <w:p>
            <w:pPr>
              <w:keepNext w:val="0"/>
              <w:keepLines w:val="0"/>
              <w:pageBreakBefore w:val="0"/>
              <w:kinsoku/>
              <w:wordWrap/>
              <w:overflowPunct/>
              <w:topLinePunct w:val="0"/>
              <w:autoSpaceDE/>
              <w:autoSpaceDN/>
              <w:bidi w:val="0"/>
              <w:adjustRightInd/>
              <w:snapToGrid/>
              <w:spacing w:before="142" w:line="560" w:lineRule="exact"/>
              <w:ind w:right="13"/>
              <w:jc w:val="center"/>
              <w:textAlignment w:val="auto"/>
              <w:rPr>
                <w:sz w:val="21"/>
                <w:lang w:eastAsia="zh-CN"/>
              </w:rPr>
            </w:pPr>
            <w:r>
              <w:rPr>
                <w:sz w:val="21"/>
                <w:lang w:eastAsia="zh-CN"/>
              </w:rPr>
              <w:t>本年处理决定数量</w:t>
            </w:r>
          </w:p>
        </w:tc>
      </w:tr>
      <w:tr>
        <w:tblPrEx>
          <w:tblCellMar>
            <w:top w:w="0" w:type="dxa"/>
            <w:left w:w="0" w:type="dxa"/>
            <w:bottom w:w="0" w:type="dxa"/>
            <w:right w:w="0" w:type="dxa"/>
          </w:tblCellMar>
        </w:tblPrEx>
        <w:trPr>
          <w:trHeight w:val="624" w:hRule="exact"/>
        </w:trPr>
        <w:tc>
          <w:tcPr>
            <w:tcW w:w="3284" w:type="dxa"/>
            <w:tcBorders>
              <w:top w:val="single" w:color="8C7774" w:sz="4" w:space="0"/>
              <w:left w:val="single" w:color="3B3B44" w:sz="6" w:space="0"/>
              <w:bottom w:val="single" w:color="7C6B74" w:sz="4" w:space="0"/>
              <w:right w:val="single" w:color="909093" w:sz="4" w:space="0"/>
            </w:tcBorders>
          </w:tcPr>
          <w:p>
            <w:pPr>
              <w:keepNext w:val="0"/>
              <w:keepLines w:val="0"/>
              <w:pageBreakBefore w:val="0"/>
              <w:kinsoku/>
              <w:wordWrap/>
              <w:overflowPunct/>
              <w:topLinePunct w:val="0"/>
              <w:autoSpaceDE/>
              <w:autoSpaceDN/>
              <w:bidi w:val="0"/>
              <w:adjustRightInd/>
              <w:snapToGrid/>
              <w:spacing w:before="139" w:line="560" w:lineRule="exact"/>
              <w:ind w:left="102"/>
              <w:jc w:val="center"/>
              <w:textAlignment w:val="auto"/>
              <w:rPr>
                <w:sz w:val="21"/>
                <w:lang w:eastAsia="zh-CN"/>
              </w:rPr>
            </w:pPr>
            <w:r>
              <w:rPr>
                <w:sz w:val="21"/>
                <w:lang w:eastAsia="zh-CN"/>
              </w:rPr>
              <w:t>行政处罚</w:t>
            </w:r>
          </w:p>
        </w:tc>
        <w:tc>
          <w:tcPr>
            <w:tcW w:w="4840" w:type="dxa"/>
            <w:gridSpan w:val="3"/>
            <w:tcBorders>
              <w:top w:val="single" w:color="747074" w:sz="4" w:space="0"/>
              <w:left w:val="single" w:color="909093" w:sz="4" w:space="0"/>
              <w:bottom w:val="single" w:color="7C6B74" w:sz="4" w:space="0"/>
              <w:right w:val="single" w:color="3B3B3F" w:sz="8" w:space="0"/>
            </w:tcBorders>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sz w:val="21"/>
                <w:lang w:val="en-US" w:eastAsia="zh-CN"/>
              </w:rPr>
            </w:pPr>
            <w:r>
              <w:rPr>
                <w:rFonts w:hint="eastAsia"/>
                <w:sz w:val="21"/>
                <w:lang w:val="en-US" w:eastAsia="zh-CN"/>
              </w:rPr>
              <w:t>0</w:t>
            </w:r>
          </w:p>
        </w:tc>
      </w:tr>
      <w:tr>
        <w:tblPrEx>
          <w:tblCellMar>
            <w:top w:w="0" w:type="dxa"/>
            <w:left w:w="0" w:type="dxa"/>
            <w:bottom w:w="0" w:type="dxa"/>
            <w:right w:w="0" w:type="dxa"/>
          </w:tblCellMar>
        </w:tblPrEx>
        <w:trPr>
          <w:trHeight w:val="618" w:hRule="exact"/>
        </w:trPr>
        <w:tc>
          <w:tcPr>
            <w:tcW w:w="3284" w:type="dxa"/>
            <w:tcBorders>
              <w:top w:val="single" w:color="7C6B74" w:sz="4" w:space="0"/>
              <w:left w:val="single" w:color="3B3B44" w:sz="6" w:space="0"/>
              <w:bottom w:val="single" w:color="646080" w:sz="4" w:space="0"/>
              <w:right w:val="single" w:color="909093" w:sz="4" w:space="0"/>
            </w:tcBorders>
          </w:tcPr>
          <w:p>
            <w:pPr>
              <w:keepNext w:val="0"/>
              <w:keepLines w:val="0"/>
              <w:pageBreakBefore w:val="0"/>
              <w:kinsoku/>
              <w:wordWrap/>
              <w:overflowPunct/>
              <w:topLinePunct w:val="0"/>
              <w:autoSpaceDE/>
              <w:autoSpaceDN/>
              <w:bidi w:val="0"/>
              <w:adjustRightInd/>
              <w:snapToGrid/>
              <w:spacing w:before="138" w:line="560" w:lineRule="exact"/>
              <w:ind w:left="107"/>
              <w:jc w:val="center"/>
              <w:textAlignment w:val="auto"/>
              <w:rPr>
                <w:sz w:val="21"/>
                <w:lang w:eastAsia="zh-CN"/>
              </w:rPr>
            </w:pPr>
            <w:r>
              <w:rPr>
                <w:sz w:val="21"/>
                <w:lang w:eastAsia="zh-CN"/>
              </w:rPr>
              <w:t>行政强制</w:t>
            </w:r>
          </w:p>
        </w:tc>
        <w:tc>
          <w:tcPr>
            <w:tcW w:w="4840" w:type="dxa"/>
            <w:gridSpan w:val="3"/>
            <w:tcBorders>
              <w:top w:val="single" w:color="7C6B74" w:sz="4" w:space="0"/>
              <w:left w:val="single" w:color="909093" w:sz="4" w:space="0"/>
              <w:bottom w:val="single" w:color="646080" w:sz="4" w:space="0"/>
              <w:right w:val="single" w:color="3B3B3F" w:sz="8" w:space="0"/>
            </w:tcBorders>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sz w:val="21"/>
                <w:lang w:val="en-US" w:eastAsia="zh-CN"/>
              </w:rPr>
            </w:pPr>
            <w:r>
              <w:rPr>
                <w:rFonts w:hint="eastAsia"/>
                <w:sz w:val="21"/>
                <w:lang w:val="en-US" w:eastAsia="zh-CN"/>
              </w:rPr>
              <w:t>0</w:t>
            </w:r>
          </w:p>
        </w:tc>
      </w:tr>
      <w:tr>
        <w:tblPrEx>
          <w:tblCellMar>
            <w:top w:w="0" w:type="dxa"/>
            <w:left w:w="0" w:type="dxa"/>
            <w:bottom w:w="0" w:type="dxa"/>
            <w:right w:w="0" w:type="dxa"/>
          </w:tblCellMar>
        </w:tblPrEx>
        <w:trPr>
          <w:trHeight w:val="626" w:hRule="exact"/>
        </w:trPr>
        <w:tc>
          <w:tcPr>
            <w:tcW w:w="8124" w:type="dxa"/>
            <w:gridSpan w:val="4"/>
            <w:tcBorders>
              <w:top w:val="single" w:color="646080" w:sz="4" w:space="0"/>
              <w:left w:val="single" w:color="3B3B44" w:sz="6" w:space="0"/>
              <w:bottom w:val="nil"/>
              <w:right w:val="single" w:color="3B3B3F" w:sz="8" w:space="0"/>
            </w:tcBorders>
          </w:tcPr>
          <w:p>
            <w:pPr>
              <w:keepNext w:val="0"/>
              <w:keepLines w:val="0"/>
              <w:pageBreakBefore w:val="0"/>
              <w:tabs>
                <w:tab w:val="left" w:pos="1068"/>
              </w:tabs>
              <w:kinsoku/>
              <w:wordWrap/>
              <w:overflowPunct/>
              <w:topLinePunct w:val="0"/>
              <w:autoSpaceDE/>
              <w:autoSpaceDN/>
              <w:bidi w:val="0"/>
              <w:adjustRightInd/>
              <w:snapToGrid/>
              <w:spacing w:before="142" w:line="560" w:lineRule="exact"/>
              <w:ind w:left="25"/>
              <w:jc w:val="center"/>
              <w:textAlignment w:val="auto"/>
              <w:rPr>
                <w:sz w:val="21"/>
                <w:lang w:eastAsia="zh-CN"/>
              </w:rPr>
            </w:pPr>
            <w:r>
              <w:rPr>
                <w:sz w:val="21"/>
                <w:lang w:eastAsia="zh-CN"/>
              </w:rPr>
              <w:t>第二十条</w:t>
            </w:r>
            <w:r>
              <w:rPr>
                <w:sz w:val="21"/>
                <w:lang w:eastAsia="zh-CN"/>
              </w:rPr>
              <w:tab/>
            </w:r>
            <w:r>
              <w:rPr>
                <w:sz w:val="21"/>
                <w:lang w:eastAsia="zh-CN"/>
              </w:rPr>
              <w:t>第 （八） 项</w:t>
            </w:r>
          </w:p>
        </w:tc>
      </w:tr>
      <w:tr>
        <w:tblPrEx>
          <w:tblCellMar>
            <w:top w:w="0" w:type="dxa"/>
            <w:left w:w="0" w:type="dxa"/>
            <w:bottom w:w="0" w:type="dxa"/>
            <w:right w:w="0" w:type="dxa"/>
          </w:tblCellMar>
        </w:tblPrEx>
        <w:trPr>
          <w:trHeight w:val="621" w:hRule="exact"/>
        </w:trPr>
        <w:tc>
          <w:tcPr>
            <w:tcW w:w="3284" w:type="dxa"/>
            <w:tcBorders>
              <w:top w:val="single" w:color="6B747C" w:sz="4" w:space="0"/>
              <w:left w:val="single" w:color="5B5B60" w:sz="6" w:space="0"/>
              <w:bottom w:val="single" w:color="77778C" w:sz="4" w:space="0"/>
              <w:right w:val="single" w:color="auto" w:sz="4" w:space="0"/>
            </w:tcBorders>
          </w:tcPr>
          <w:p>
            <w:pPr>
              <w:keepNext w:val="0"/>
              <w:keepLines w:val="0"/>
              <w:pageBreakBefore w:val="0"/>
              <w:kinsoku/>
              <w:wordWrap/>
              <w:overflowPunct/>
              <w:topLinePunct w:val="0"/>
              <w:autoSpaceDE/>
              <w:autoSpaceDN/>
              <w:bidi w:val="0"/>
              <w:adjustRightInd/>
              <w:snapToGrid/>
              <w:spacing w:before="135" w:line="560" w:lineRule="exact"/>
              <w:ind w:right="1"/>
              <w:jc w:val="center"/>
              <w:textAlignment w:val="auto"/>
              <w:rPr>
                <w:sz w:val="21"/>
                <w:lang w:eastAsia="zh-CN"/>
              </w:rPr>
            </w:pPr>
            <w:r>
              <w:rPr>
                <w:sz w:val="21"/>
                <w:lang w:eastAsia="zh-CN"/>
              </w:rPr>
              <w:t>信息内容</w:t>
            </w:r>
          </w:p>
        </w:tc>
        <w:tc>
          <w:tcPr>
            <w:tcW w:w="4840"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145" w:line="560" w:lineRule="exact"/>
              <w:ind w:left="1446"/>
              <w:jc w:val="center"/>
              <w:textAlignment w:val="auto"/>
              <w:rPr>
                <w:sz w:val="21"/>
                <w:lang w:eastAsia="zh-CN"/>
              </w:rPr>
            </w:pPr>
            <w:r>
              <w:rPr>
                <w:sz w:val="21"/>
                <w:lang w:eastAsia="zh-CN"/>
              </w:rPr>
              <w:t>本年收费金额  （单位 ：万元</w:t>
            </w:r>
            <w:r>
              <w:rPr>
                <w:rFonts w:hint="eastAsia"/>
                <w:sz w:val="21"/>
                <w:lang w:eastAsia="zh-CN"/>
              </w:rPr>
              <w:t>）</w:t>
            </w:r>
          </w:p>
        </w:tc>
      </w:tr>
      <w:tr>
        <w:tblPrEx>
          <w:tblCellMar>
            <w:top w:w="0" w:type="dxa"/>
            <w:left w:w="0" w:type="dxa"/>
            <w:bottom w:w="0" w:type="dxa"/>
            <w:right w:w="0" w:type="dxa"/>
          </w:tblCellMar>
        </w:tblPrEx>
        <w:trPr>
          <w:trHeight w:val="626" w:hRule="exact"/>
        </w:trPr>
        <w:tc>
          <w:tcPr>
            <w:tcW w:w="3284" w:type="dxa"/>
            <w:tcBorders>
              <w:top w:val="single" w:color="77778C" w:sz="4" w:space="0"/>
              <w:left w:val="single" w:color="5B5B60" w:sz="6" w:space="0"/>
              <w:bottom w:val="single" w:color="3B383F" w:sz="8" w:space="0"/>
              <w:right w:val="single" w:color="8C8C93" w:sz="2" w:space="0"/>
            </w:tcBorders>
          </w:tcPr>
          <w:p>
            <w:pPr>
              <w:keepNext w:val="0"/>
              <w:keepLines w:val="0"/>
              <w:pageBreakBefore w:val="0"/>
              <w:kinsoku/>
              <w:wordWrap/>
              <w:overflowPunct/>
              <w:topLinePunct w:val="0"/>
              <w:autoSpaceDE/>
              <w:autoSpaceDN/>
              <w:bidi w:val="0"/>
              <w:adjustRightInd/>
              <w:snapToGrid/>
              <w:spacing w:before="138" w:line="560" w:lineRule="exact"/>
              <w:ind w:left="107"/>
              <w:jc w:val="center"/>
              <w:textAlignment w:val="auto"/>
              <w:rPr>
                <w:sz w:val="21"/>
                <w:lang w:eastAsia="zh-CN"/>
              </w:rPr>
            </w:pPr>
            <w:r>
              <w:rPr>
                <w:sz w:val="21"/>
                <w:lang w:eastAsia="zh-CN"/>
              </w:rPr>
              <w:t>行政事业性收费</w:t>
            </w:r>
          </w:p>
        </w:tc>
        <w:tc>
          <w:tcPr>
            <w:tcW w:w="4840" w:type="dxa"/>
            <w:gridSpan w:val="3"/>
            <w:tcBorders>
              <w:top w:val="single" w:color="77778C" w:sz="4" w:space="0"/>
              <w:left w:val="single" w:color="8C8C93" w:sz="2" w:space="0"/>
              <w:bottom w:val="single" w:color="3B383F" w:sz="8" w:space="0"/>
              <w:right w:val="single" w:color="3B3B44" w:sz="8" w:space="0"/>
            </w:tcBorders>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sz w:val="21"/>
                <w:lang w:val="en-US" w:eastAsia="zh-CN"/>
              </w:rPr>
            </w:pPr>
            <w:r>
              <w:rPr>
                <w:rFonts w:hint="eastAsia"/>
                <w:sz w:val="21"/>
                <w:lang w:val="en-US" w:eastAsia="zh-CN"/>
              </w:rPr>
              <w:t>0</w:t>
            </w:r>
          </w:p>
        </w:tc>
      </w:tr>
    </w:tbl>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三、收到和处理政府信息公开申请情况</w:t>
      </w:r>
    </w:p>
    <w:tbl>
      <w:tblPr>
        <w:tblStyle w:val="6"/>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525"/>
        <w:gridCol w:w="2634"/>
        <w:gridCol w:w="554"/>
        <w:gridCol w:w="693"/>
        <w:gridCol w:w="692"/>
        <w:gridCol w:w="693"/>
        <w:gridCol w:w="693"/>
        <w:gridCol w:w="695"/>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713" w:type="dxa"/>
            <w:gridSpan w:val="3"/>
            <w:vMerge w:val="restart"/>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rPr>
              <w:t>（本列数据的勾稽关系为：第一项加第二项之和，等于第三项加第四项之和）</w:t>
            </w:r>
          </w:p>
        </w:tc>
        <w:tc>
          <w:tcPr>
            <w:tcW w:w="4685" w:type="dxa"/>
            <w:gridSpan w:val="7"/>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713" w:type="dxa"/>
            <w:gridSpan w:val="3"/>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554" w:type="dxa"/>
            <w:vMerge w:val="restart"/>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 w:val="18"/>
                <w:szCs w:val="18"/>
              </w:rPr>
            </w:pPr>
            <w:r>
              <w:rPr>
                <w:rFonts w:hint="eastAsia"/>
                <w:szCs w:val="21"/>
              </w:rPr>
              <w:t>自然人</w:t>
            </w:r>
          </w:p>
        </w:tc>
        <w:tc>
          <w:tcPr>
            <w:tcW w:w="3466" w:type="dxa"/>
            <w:gridSpan w:val="5"/>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szCs w:val="21"/>
              </w:rPr>
              <w:t>法人或其他组织</w:t>
            </w:r>
          </w:p>
        </w:tc>
        <w:tc>
          <w:tcPr>
            <w:tcW w:w="665" w:type="dxa"/>
            <w:vMerge w:val="restart"/>
            <w:vAlign w:val="center"/>
          </w:tcPr>
          <w:p>
            <w:pPr>
              <w:keepNext w:val="0"/>
              <w:keepLines w:val="0"/>
              <w:pageBreakBefore w:val="0"/>
              <w:kinsoku/>
              <w:wordWrap/>
              <w:overflowPunct/>
              <w:topLinePunct w:val="0"/>
              <w:autoSpaceDE/>
              <w:autoSpaceDN/>
              <w:bidi w:val="0"/>
              <w:adjustRightInd/>
              <w:snapToGrid/>
              <w:spacing w:line="560" w:lineRule="exact"/>
              <w:textAlignment w:val="auto"/>
              <w:rPr>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4713" w:type="dxa"/>
            <w:gridSpan w:val="3"/>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554" w:type="dxa"/>
            <w:vMerge w:val="continue"/>
          </w:tcPr>
          <w:p>
            <w:pPr>
              <w:keepNext w:val="0"/>
              <w:keepLines w:val="0"/>
              <w:pageBreakBefore w:val="0"/>
              <w:kinsoku/>
              <w:wordWrap/>
              <w:overflowPunct/>
              <w:topLinePunct w:val="0"/>
              <w:autoSpaceDE/>
              <w:autoSpaceDN/>
              <w:bidi w:val="0"/>
              <w:adjustRightInd/>
              <w:snapToGrid/>
              <w:spacing w:line="560" w:lineRule="exact"/>
              <w:textAlignment w:val="auto"/>
              <w:rPr>
                <w:sz w:val="18"/>
                <w:szCs w:val="18"/>
              </w:rPr>
            </w:pPr>
          </w:p>
        </w:tc>
        <w:tc>
          <w:tcPr>
            <w:tcW w:w="693" w:type="dxa"/>
            <w:vAlign w:val="center"/>
          </w:tcPr>
          <w:p>
            <w:pPr>
              <w:keepNext w:val="0"/>
              <w:keepLines w:val="0"/>
              <w:pageBreakBefore w:val="0"/>
              <w:kinsoku/>
              <w:wordWrap/>
              <w:overflowPunct/>
              <w:topLinePunct w:val="0"/>
              <w:autoSpaceDE/>
              <w:autoSpaceDN/>
              <w:bidi w:val="0"/>
              <w:adjustRightInd/>
              <w:snapToGrid/>
              <w:spacing w:line="560" w:lineRule="exact"/>
              <w:textAlignment w:val="auto"/>
              <w:rPr>
                <w:szCs w:val="21"/>
              </w:rPr>
            </w:pPr>
            <w:r>
              <w:rPr>
                <w:rFonts w:hint="eastAsia"/>
                <w:szCs w:val="21"/>
              </w:rPr>
              <w:t>商业企业</w:t>
            </w:r>
          </w:p>
        </w:tc>
        <w:tc>
          <w:tcPr>
            <w:tcW w:w="692" w:type="dxa"/>
            <w:vAlign w:val="center"/>
          </w:tcPr>
          <w:p>
            <w:pPr>
              <w:keepNext w:val="0"/>
              <w:keepLines w:val="0"/>
              <w:pageBreakBefore w:val="0"/>
              <w:kinsoku/>
              <w:wordWrap/>
              <w:overflowPunct/>
              <w:topLinePunct w:val="0"/>
              <w:autoSpaceDE/>
              <w:autoSpaceDN/>
              <w:bidi w:val="0"/>
              <w:adjustRightInd/>
              <w:snapToGrid/>
              <w:spacing w:line="560" w:lineRule="exact"/>
              <w:textAlignment w:val="auto"/>
              <w:rPr>
                <w:szCs w:val="21"/>
              </w:rPr>
            </w:pPr>
            <w:r>
              <w:rPr>
                <w:rFonts w:hint="eastAsia"/>
                <w:szCs w:val="21"/>
              </w:rPr>
              <w:t>科研机构</w:t>
            </w:r>
          </w:p>
        </w:tc>
        <w:tc>
          <w:tcPr>
            <w:tcW w:w="693" w:type="dxa"/>
            <w:vAlign w:val="center"/>
          </w:tcPr>
          <w:p>
            <w:pPr>
              <w:keepNext w:val="0"/>
              <w:keepLines w:val="0"/>
              <w:pageBreakBefore w:val="0"/>
              <w:kinsoku/>
              <w:wordWrap/>
              <w:overflowPunct/>
              <w:topLinePunct w:val="0"/>
              <w:autoSpaceDE/>
              <w:autoSpaceDN/>
              <w:bidi w:val="0"/>
              <w:adjustRightInd/>
              <w:snapToGrid/>
              <w:spacing w:line="560" w:lineRule="exact"/>
              <w:textAlignment w:val="auto"/>
              <w:rPr>
                <w:szCs w:val="21"/>
              </w:rPr>
            </w:pPr>
            <w:r>
              <w:rPr>
                <w:rFonts w:hint="eastAsia"/>
                <w:szCs w:val="21"/>
              </w:rPr>
              <w:t>社会公益组织</w:t>
            </w:r>
          </w:p>
        </w:tc>
        <w:tc>
          <w:tcPr>
            <w:tcW w:w="693" w:type="dxa"/>
            <w:vAlign w:val="center"/>
          </w:tcPr>
          <w:p>
            <w:pPr>
              <w:keepNext w:val="0"/>
              <w:keepLines w:val="0"/>
              <w:pageBreakBefore w:val="0"/>
              <w:kinsoku/>
              <w:wordWrap/>
              <w:overflowPunct/>
              <w:topLinePunct w:val="0"/>
              <w:autoSpaceDE/>
              <w:autoSpaceDN/>
              <w:bidi w:val="0"/>
              <w:adjustRightInd/>
              <w:snapToGrid/>
              <w:spacing w:line="560" w:lineRule="exact"/>
              <w:textAlignment w:val="auto"/>
              <w:rPr>
                <w:szCs w:val="21"/>
              </w:rPr>
            </w:pPr>
            <w:r>
              <w:rPr>
                <w:rFonts w:hint="eastAsia"/>
                <w:szCs w:val="21"/>
              </w:rPr>
              <w:t>法律服务机构</w:t>
            </w:r>
          </w:p>
        </w:tc>
        <w:tc>
          <w:tcPr>
            <w:tcW w:w="695" w:type="dxa"/>
            <w:vAlign w:val="center"/>
          </w:tcPr>
          <w:p>
            <w:pPr>
              <w:keepNext w:val="0"/>
              <w:keepLines w:val="0"/>
              <w:pageBreakBefore w:val="0"/>
              <w:kinsoku/>
              <w:wordWrap/>
              <w:overflowPunct/>
              <w:topLinePunct w:val="0"/>
              <w:autoSpaceDE/>
              <w:autoSpaceDN/>
              <w:bidi w:val="0"/>
              <w:adjustRightInd/>
              <w:snapToGrid/>
              <w:spacing w:line="560" w:lineRule="exact"/>
              <w:textAlignment w:val="auto"/>
              <w:rPr>
                <w:szCs w:val="21"/>
              </w:rPr>
            </w:pPr>
            <w:r>
              <w:rPr>
                <w:rFonts w:hint="eastAsia"/>
                <w:szCs w:val="21"/>
              </w:rPr>
              <w:t>其他</w:t>
            </w:r>
          </w:p>
        </w:tc>
        <w:tc>
          <w:tcPr>
            <w:tcW w:w="665"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713" w:type="dxa"/>
            <w:gridSpan w:val="3"/>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rPr>
              <w:t>一、本年新收政府信息公开申请数量</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713" w:type="dxa"/>
            <w:gridSpan w:val="3"/>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rPr>
              <w:t>二、上年结转政府信息公开申请数量</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restart"/>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rPr>
              <w:t>三、本年度办理结果</w:t>
            </w:r>
          </w:p>
        </w:tc>
        <w:tc>
          <w:tcPr>
            <w:tcW w:w="4159" w:type="dxa"/>
            <w:gridSpan w:val="2"/>
          </w:tcPr>
          <w:p>
            <w:pPr>
              <w:keepNext w:val="0"/>
              <w:keepLines w:val="0"/>
              <w:pageBreakBefore w:val="0"/>
              <w:kinsoku/>
              <w:wordWrap/>
              <w:overflowPunct/>
              <w:topLinePunct w:val="0"/>
              <w:autoSpaceDE/>
              <w:autoSpaceDN/>
              <w:bidi w:val="0"/>
              <w:adjustRightInd/>
              <w:snapToGrid/>
              <w:spacing w:line="560" w:lineRule="exact"/>
              <w:textAlignment w:val="auto"/>
              <w:rPr>
                <w:rFonts w:asciiTheme="minorEastAsia" w:hAnsiTheme="minorEastAsia"/>
                <w:sz w:val="18"/>
                <w:szCs w:val="18"/>
              </w:rPr>
            </w:pPr>
            <w:r>
              <w:rPr>
                <w:rFonts w:hint="eastAsia" w:asciiTheme="minorEastAsia" w:hAnsiTheme="minorEastAsia"/>
                <w:sz w:val="18"/>
                <w:szCs w:val="18"/>
              </w:rPr>
              <w:t>（一）予以公开</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4159" w:type="dxa"/>
            <w:gridSpan w:val="2"/>
          </w:tcPr>
          <w:p>
            <w:pPr>
              <w:keepNext w:val="0"/>
              <w:keepLines w:val="0"/>
              <w:pageBreakBefore w:val="0"/>
              <w:kinsoku/>
              <w:wordWrap/>
              <w:overflowPunct/>
              <w:topLinePunct w:val="0"/>
              <w:autoSpaceDE/>
              <w:autoSpaceDN/>
              <w:bidi w:val="0"/>
              <w:adjustRightInd/>
              <w:snapToGrid/>
              <w:spacing w:line="560" w:lineRule="exact"/>
              <w:textAlignment w:val="auto"/>
              <w:rPr>
                <w:rFonts w:asciiTheme="minorEastAsia" w:hAnsiTheme="minorEastAsia"/>
                <w:sz w:val="18"/>
                <w:szCs w:val="18"/>
              </w:rPr>
            </w:pPr>
            <w:r>
              <w:rPr>
                <w:rFonts w:hint="eastAsia" w:asciiTheme="minorEastAsia" w:hAnsiTheme="minorEastAsia"/>
                <w:sz w:val="18"/>
                <w:szCs w:val="18"/>
              </w:rPr>
              <w:t>（二）部分公开（区分处理的，只计这一情形，不计其他情形）</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1525" w:type="dxa"/>
            <w:vMerge w:val="restart"/>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heme="minorEastAsia" w:hAnsiTheme="minorEastAsia"/>
                <w:sz w:val="18"/>
                <w:szCs w:val="18"/>
              </w:rPr>
            </w:pPr>
            <w:r>
              <w:rPr>
                <w:rFonts w:hint="eastAsia" w:asciiTheme="minorEastAsia" w:hAnsiTheme="minorEastAsia"/>
                <w:sz w:val="18"/>
                <w:szCs w:val="18"/>
              </w:rPr>
              <w:t>（三）不予公开</w:t>
            </w:r>
          </w:p>
        </w:tc>
        <w:tc>
          <w:tcPr>
            <w:tcW w:w="2634" w:type="dxa"/>
          </w:tcPr>
          <w:p>
            <w:pPr>
              <w:keepNext w:val="0"/>
              <w:keepLines w:val="0"/>
              <w:pageBreakBefore w:val="0"/>
              <w:kinsoku/>
              <w:wordWrap/>
              <w:overflowPunct/>
              <w:topLinePunct w:val="0"/>
              <w:autoSpaceDE/>
              <w:autoSpaceDN/>
              <w:bidi w:val="0"/>
              <w:adjustRightInd/>
              <w:snapToGrid/>
              <w:spacing w:line="560" w:lineRule="exact"/>
              <w:textAlignment w:val="auto"/>
              <w:rPr>
                <w:rFonts w:asciiTheme="minorEastAsia" w:hAnsiTheme="minorEastAsia"/>
                <w:sz w:val="18"/>
                <w:szCs w:val="18"/>
              </w:rPr>
            </w:pPr>
            <w:r>
              <w:rPr>
                <w:rFonts w:asciiTheme="minorEastAsia" w:hAnsiTheme="minorEastAsia"/>
                <w:sz w:val="18"/>
                <w:szCs w:val="18"/>
              </w:rPr>
              <w:t>1</w:t>
            </w:r>
            <w:r>
              <w:rPr>
                <w:rFonts w:hint="eastAsia" w:asciiTheme="minorEastAsia" w:hAnsiTheme="minorEastAsia"/>
                <w:sz w:val="18"/>
                <w:szCs w:val="18"/>
              </w:rPr>
              <w:t>．属于国家秘密</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1525"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heme="minorEastAsia" w:hAnsiTheme="minorEastAsia"/>
                <w:sz w:val="18"/>
                <w:szCs w:val="18"/>
              </w:rPr>
            </w:pPr>
          </w:p>
        </w:tc>
        <w:tc>
          <w:tcPr>
            <w:tcW w:w="2634" w:type="dxa"/>
          </w:tcPr>
          <w:p>
            <w:pPr>
              <w:keepNext w:val="0"/>
              <w:keepLines w:val="0"/>
              <w:pageBreakBefore w:val="0"/>
              <w:kinsoku/>
              <w:wordWrap/>
              <w:overflowPunct/>
              <w:topLinePunct w:val="0"/>
              <w:autoSpaceDE/>
              <w:autoSpaceDN/>
              <w:bidi w:val="0"/>
              <w:adjustRightInd/>
              <w:snapToGrid/>
              <w:spacing w:line="560" w:lineRule="exact"/>
              <w:textAlignment w:val="auto"/>
              <w:rPr>
                <w:rFonts w:asciiTheme="minorEastAsia" w:hAnsiTheme="minorEastAsia"/>
                <w:sz w:val="18"/>
                <w:szCs w:val="18"/>
              </w:rPr>
            </w:pPr>
            <w:r>
              <w:rPr>
                <w:rFonts w:hint="eastAsia" w:asciiTheme="minorEastAsia" w:hAnsiTheme="minorEastAsia"/>
                <w:sz w:val="18"/>
                <w:szCs w:val="18"/>
              </w:rPr>
              <w:t>2．其他法律行政法规禁止公开</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1525"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sz w:val="18"/>
                <w:szCs w:val="18"/>
              </w:rPr>
            </w:pPr>
          </w:p>
        </w:tc>
        <w:tc>
          <w:tcPr>
            <w:tcW w:w="2634" w:type="dxa"/>
          </w:tcPr>
          <w:p>
            <w:pPr>
              <w:keepNext w:val="0"/>
              <w:keepLines w:val="0"/>
              <w:pageBreakBefore w:val="0"/>
              <w:kinsoku/>
              <w:wordWrap/>
              <w:overflowPunct/>
              <w:topLinePunct w:val="0"/>
              <w:autoSpaceDE/>
              <w:autoSpaceDN/>
              <w:bidi w:val="0"/>
              <w:adjustRightInd/>
              <w:snapToGrid/>
              <w:spacing w:line="560" w:lineRule="exact"/>
              <w:textAlignment w:val="auto"/>
              <w:rPr>
                <w:rFonts w:asciiTheme="minorEastAsia" w:hAnsiTheme="minorEastAsia"/>
                <w:sz w:val="18"/>
                <w:szCs w:val="18"/>
              </w:rPr>
            </w:pPr>
            <w:r>
              <w:rPr>
                <w:rFonts w:hint="eastAsia" w:asciiTheme="minorEastAsia" w:hAnsiTheme="minorEastAsia"/>
                <w:sz w:val="18"/>
                <w:szCs w:val="18"/>
              </w:rPr>
              <w:t>3．危及“三安全一稳定”</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1525"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sz w:val="18"/>
                <w:szCs w:val="18"/>
              </w:rPr>
            </w:pPr>
          </w:p>
        </w:tc>
        <w:tc>
          <w:tcPr>
            <w:tcW w:w="2634" w:type="dxa"/>
          </w:tcPr>
          <w:p>
            <w:pPr>
              <w:keepNext w:val="0"/>
              <w:keepLines w:val="0"/>
              <w:pageBreakBefore w:val="0"/>
              <w:kinsoku/>
              <w:wordWrap/>
              <w:overflowPunct/>
              <w:topLinePunct w:val="0"/>
              <w:autoSpaceDE/>
              <w:autoSpaceDN/>
              <w:bidi w:val="0"/>
              <w:adjustRightInd/>
              <w:snapToGrid/>
              <w:spacing w:line="560" w:lineRule="exact"/>
              <w:textAlignment w:val="auto"/>
              <w:rPr>
                <w:rFonts w:asciiTheme="minorEastAsia" w:hAnsiTheme="minorEastAsia"/>
                <w:sz w:val="18"/>
                <w:szCs w:val="18"/>
              </w:rPr>
            </w:pPr>
            <w:r>
              <w:rPr>
                <w:rFonts w:hint="eastAsia" w:asciiTheme="minorEastAsia" w:hAnsiTheme="minorEastAsia"/>
                <w:sz w:val="18"/>
                <w:szCs w:val="18"/>
              </w:rPr>
              <w:t>4．保护第三方合法权益</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1</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2</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1525"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sz w:val="18"/>
                <w:szCs w:val="18"/>
              </w:rPr>
            </w:pPr>
          </w:p>
        </w:tc>
        <w:tc>
          <w:tcPr>
            <w:tcW w:w="2634" w:type="dxa"/>
          </w:tcPr>
          <w:p>
            <w:pPr>
              <w:keepNext w:val="0"/>
              <w:keepLines w:val="0"/>
              <w:pageBreakBefore w:val="0"/>
              <w:kinsoku/>
              <w:wordWrap/>
              <w:overflowPunct/>
              <w:topLinePunct w:val="0"/>
              <w:autoSpaceDE/>
              <w:autoSpaceDN/>
              <w:bidi w:val="0"/>
              <w:adjustRightInd/>
              <w:snapToGrid/>
              <w:spacing w:line="560" w:lineRule="exact"/>
              <w:textAlignment w:val="auto"/>
              <w:rPr>
                <w:rFonts w:asciiTheme="minorEastAsia" w:hAnsiTheme="minorEastAsia"/>
                <w:sz w:val="18"/>
                <w:szCs w:val="18"/>
              </w:rPr>
            </w:pPr>
            <w:r>
              <w:rPr>
                <w:rFonts w:hint="eastAsia" w:asciiTheme="minorEastAsia" w:hAnsiTheme="minorEastAsia"/>
                <w:sz w:val="18"/>
                <w:szCs w:val="18"/>
              </w:rPr>
              <w:t>5．属于三类内部事务信息</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1525"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sz w:val="18"/>
                <w:szCs w:val="18"/>
              </w:rPr>
            </w:pPr>
          </w:p>
        </w:tc>
        <w:tc>
          <w:tcPr>
            <w:tcW w:w="2634" w:type="dxa"/>
          </w:tcPr>
          <w:p>
            <w:pPr>
              <w:keepNext w:val="0"/>
              <w:keepLines w:val="0"/>
              <w:pageBreakBefore w:val="0"/>
              <w:kinsoku/>
              <w:wordWrap/>
              <w:overflowPunct/>
              <w:topLinePunct w:val="0"/>
              <w:autoSpaceDE/>
              <w:autoSpaceDN/>
              <w:bidi w:val="0"/>
              <w:adjustRightInd/>
              <w:snapToGrid/>
              <w:spacing w:line="560" w:lineRule="exact"/>
              <w:textAlignment w:val="auto"/>
              <w:rPr>
                <w:rFonts w:asciiTheme="minorEastAsia" w:hAnsiTheme="minorEastAsia"/>
                <w:sz w:val="18"/>
                <w:szCs w:val="18"/>
              </w:rPr>
            </w:pPr>
            <w:r>
              <w:rPr>
                <w:rFonts w:hint="eastAsia" w:asciiTheme="minorEastAsia" w:hAnsiTheme="minorEastAsia"/>
                <w:sz w:val="18"/>
                <w:szCs w:val="18"/>
              </w:rPr>
              <w:t>6．属于四类过程性信息</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1525"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sz w:val="18"/>
                <w:szCs w:val="18"/>
              </w:rPr>
            </w:pPr>
          </w:p>
        </w:tc>
        <w:tc>
          <w:tcPr>
            <w:tcW w:w="2634" w:type="dxa"/>
          </w:tcPr>
          <w:p>
            <w:pPr>
              <w:keepNext w:val="0"/>
              <w:keepLines w:val="0"/>
              <w:pageBreakBefore w:val="0"/>
              <w:kinsoku/>
              <w:wordWrap/>
              <w:overflowPunct/>
              <w:topLinePunct w:val="0"/>
              <w:autoSpaceDE/>
              <w:autoSpaceDN/>
              <w:bidi w:val="0"/>
              <w:adjustRightInd/>
              <w:snapToGrid/>
              <w:spacing w:line="560" w:lineRule="exact"/>
              <w:textAlignment w:val="auto"/>
              <w:rPr>
                <w:rFonts w:asciiTheme="minorEastAsia" w:hAnsiTheme="minorEastAsia"/>
                <w:sz w:val="18"/>
                <w:szCs w:val="18"/>
              </w:rPr>
            </w:pPr>
            <w:r>
              <w:rPr>
                <w:rFonts w:hint="eastAsia" w:asciiTheme="minorEastAsia" w:hAnsiTheme="minorEastAsia"/>
                <w:sz w:val="18"/>
                <w:szCs w:val="18"/>
              </w:rPr>
              <w:t>7．属于行政执法案卷</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1525"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sz w:val="18"/>
                <w:szCs w:val="18"/>
              </w:rPr>
            </w:pPr>
          </w:p>
        </w:tc>
        <w:tc>
          <w:tcPr>
            <w:tcW w:w="2634" w:type="dxa"/>
          </w:tcPr>
          <w:p>
            <w:pPr>
              <w:keepNext w:val="0"/>
              <w:keepLines w:val="0"/>
              <w:pageBreakBefore w:val="0"/>
              <w:kinsoku/>
              <w:wordWrap/>
              <w:overflowPunct/>
              <w:topLinePunct w:val="0"/>
              <w:autoSpaceDE/>
              <w:autoSpaceDN/>
              <w:bidi w:val="0"/>
              <w:adjustRightInd/>
              <w:snapToGrid/>
              <w:spacing w:line="560" w:lineRule="exact"/>
              <w:textAlignment w:val="auto"/>
              <w:rPr>
                <w:rFonts w:asciiTheme="minorEastAsia" w:hAnsiTheme="minorEastAsia"/>
                <w:sz w:val="18"/>
                <w:szCs w:val="18"/>
              </w:rPr>
            </w:pPr>
            <w:r>
              <w:rPr>
                <w:rFonts w:hint="eastAsia" w:asciiTheme="minorEastAsia" w:hAnsiTheme="minorEastAsia"/>
                <w:sz w:val="18"/>
                <w:szCs w:val="18"/>
              </w:rPr>
              <w:t>8．属于行政查询事项</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1525" w:type="dxa"/>
            <w:vMerge w:val="restart"/>
            <w:vAlign w:val="center"/>
          </w:tcPr>
          <w:p>
            <w:pPr>
              <w:keepNext w:val="0"/>
              <w:keepLines w:val="0"/>
              <w:pageBreakBefore w:val="0"/>
              <w:kinsoku/>
              <w:wordWrap/>
              <w:overflowPunct/>
              <w:topLinePunct w:val="0"/>
              <w:autoSpaceDE/>
              <w:autoSpaceDN/>
              <w:bidi w:val="0"/>
              <w:adjustRightInd/>
              <w:snapToGrid/>
              <w:spacing w:line="560" w:lineRule="exact"/>
              <w:textAlignment w:val="auto"/>
              <w:rPr>
                <w:sz w:val="18"/>
                <w:szCs w:val="18"/>
              </w:rPr>
            </w:pPr>
            <w:r>
              <w:rPr>
                <w:rFonts w:hint="eastAsia"/>
                <w:sz w:val="18"/>
                <w:szCs w:val="18"/>
              </w:rPr>
              <w:t>（四）无法提供</w:t>
            </w:r>
          </w:p>
        </w:tc>
        <w:tc>
          <w:tcPr>
            <w:tcW w:w="2634" w:type="dxa"/>
          </w:tcPr>
          <w:p>
            <w:pPr>
              <w:keepNext w:val="0"/>
              <w:keepLines w:val="0"/>
              <w:pageBreakBefore w:val="0"/>
              <w:kinsoku/>
              <w:wordWrap/>
              <w:overflowPunct/>
              <w:topLinePunct w:val="0"/>
              <w:autoSpaceDE/>
              <w:autoSpaceDN/>
              <w:bidi w:val="0"/>
              <w:adjustRightInd/>
              <w:snapToGrid/>
              <w:spacing w:line="560" w:lineRule="exact"/>
              <w:textAlignment w:val="auto"/>
              <w:rPr>
                <w:rFonts w:asciiTheme="minorEastAsia" w:hAnsiTheme="minorEastAsia"/>
                <w:sz w:val="18"/>
                <w:szCs w:val="18"/>
              </w:rPr>
            </w:pPr>
            <w:r>
              <w:rPr>
                <w:rFonts w:hint="eastAsia" w:asciiTheme="minorEastAsia" w:hAnsiTheme="minorEastAsia"/>
                <w:sz w:val="18"/>
                <w:szCs w:val="18"/>
              </w:rPr>
              <w:t>1．本机关不掌握相关政府信息</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1525"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sz w:val="18"/>
                <w:szCs w:val="18"/>
              </w:rPr>
            </w:pPr>
          </w:p>
        </w:tc>
        <w:tc>
          <w:tcPr>
            <w:tcW w:w="2634" w:type="dxa"/>
          </w:tcPr>
          <w:p>
            <w:pPr>
              <w:keepNext w:val="0"/>
              <w:keepLines w:val="0"/>
              <w:pageBreakBefore w:val="0"/>
              <w:kinsoku/>
              <w:wordWrap/>
              <w:overflowPunct/>
              <w:topLinePunct w:val="0"/>
              <w:autoSpaceDE/>
              <w:autoSpaceDN/>
              <w:bidi w:val="0"/>
              <w:adjustRightInd/>
              <w:snapToGrid/>
              <w:spacing w:line="560" w:lineRule="exact"/>
              <w:textAlignment w:val="auto"/>
              <w:rPr>
                <w:rFonts w:asciiTheme="minorEastAsia" w:hAnsiTheme="minorEastAsia"/>
                <w:sz w:val="18"/>
                <w:szCs w:val="18"/>
              </w:rPr>
            </w:pPr>
            <w:r>
              <w:rPr>
                <w:rFonts w:hint="eastAsia" w:asciiTheme="minorEastAsia" w:hAnsiTheme="minorEastAsia"/>
                <w:sz w:val="18"/>
                <w:szCs w:val="18"/>
              </w:rPr>
              <w:t>2．没有现成信息需要另行制作</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1525"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sz w:val="18"/>
                <w:szCs w:val="18"/>
              </w:rPr>
            </w:pPr>
          </w:p>
        </w:tc>
        <w:tc>
          <w:tcPr>
            <w:tcW w:w="2634" w:type="dxa"/>
          </w:tcPr>
          <w:p>
            <w:pPr>
              <w:keepNext w:val="0"/>
              <w:keepLines w:val="0"/>
              <w:pageBreakBefore w:val="0"/>
              <w:kinsoku/>
              <w:wordWrap/>
              <w:overflowPunct/>
              <w:topLinePunct w:val="0"/>
              <w:autoSpaceDE/>
              <w:autoSpaceDN/>
              <w:bidi w:val="0"/>
              <w:adjustRightInd/>
              <w:snapToGrid/>
              <w:spacing w:line="560" w:lineRule="exact"/>
              <w:textAlignment w:val="auto"/>
              <w:rPr>
                <w:rFonts w:asciiTheme="minorEastAsia" w:hAnsiTheme="minorEastAsia"/>
                <w:sz w:val="18"/>
                <w:szCs w:val="18"/>
              </w:rPr>
            </w:pPr>
            <w:r>
              <w:rPr>
                <w:rFonts w:hint="eastAsia" w:asciiTheme="minorEastAsia" w:hAnsiTheme="minorEastAsia"/>
                <w:sz w:val="18"/>
                <w:szCs w:val="18"/>
              </w:rPr>
              <w:t>3．补正后申请内容仍不明确</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1525" w:type="dxa"/>
            <w:vMerge w:val="restart"/>
            <w:vAlign w:val="center"/>
          </w:tcPr>
          <w:p>
            <w:pPr>
              <w:keepNext w:val="0"/>
              <w:keepLines w:val="0"/>
              <w:pageBreakBefore w:val="0"/>
              <w:kinsoku/>
              <w:wordWrap/>
              <w:overflowPunct/>
              <w:topLinePunct w:val="0"/>
              <w:autoSpaceDE/>
              <w:autoSpaceDN/>
              <w:bidi w:val="0"/>
              <w:adjustRightInd/>
              <w:snapToGrid/>
              <w:spacing w:line="560" w:lineRule="exact"/>
              <w:textAlignment w:val="auto"/>
              <w:rPr>
                <w:sz w:val="18"/>
                <w:szCs w:val="18"/>
              </w:rPr>
            </w:pPr>
            <w:r>
              <w:rPr>
                <w:rFonts w:hint="eastAsia"/>
                <w:sz w:val="18"/>
                <w:szCs w:val="18"/>
              </w:rPr>
              <w:t>（五）</w:t>
            </w:r>
            <w:r>
              <w:rPr>
                <w:rFonts w:hint="eastAsia" w:asciiTheme="minorEastAsia" w:hAnsiTheme="minorEastAsia"/>
                <w:sz w:val="18"/>
                <w:szCs w:val="18"/>
              </w:rPr>
              <w:t>不予处理</w:t>
            </w:r>
          </w:p>
        </w:tc>
        <w:tc>
          <w:tcPr>
            <w:tcW w:w="2634" w:type="dxa"/>
          </w:tcPr>
          <w:p>
            <w:pPr>
              <w:keepNext w:val="0"/>
              <w:keepLines w:val="0"/>
              <w:pageBreakBefore w:val="0"/>
              <w:kinsoku/>
              <w:wordWrap/>
              <w:overflowPunct/>
              <w:topLinePunct w:val="0"/>
              <w:autoSpaceDE/>
              <w:autoSpaceDN/>
              <w:bidi w:val="0"/>
              <w:adjustRightInd/>
              <w:snapToGrid/>
              <w:spacing w:line="560" w:lineRule="exact"/>
              <w:textAlignment w:val="auto"/>
              <w:rPr>
                <w:rFonts w:asciiTheme="minorEastAsia" w:hAnsiTheme="minorEastAsia"/>
                <w:sz w:val="18"/>
                <w:szCs w:val="18"/>
              </w:rPr>
            </w:pPr>
            <w:r>
              <w:rPr>
                <w:rFonts w:hint="eastAsia" w:asciiTheme="minorEastAsia" w:hAnsiTheme="minorEastAsia"/>
                <w:sz w:val="18"/>
                <w:szCs w:val="18"/>
              </w:rPr>
              <w:t>1．信访举报投诉类申请</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1525"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2634" w:type="dxa"/>
          </w:tcPr>
          <w:p>
            <w:pPr>
              <w:keepNext w:val="0"/>
              <w:keepLines w:val="0"/>
              <w:pageBreakBefore w:val="0"/>
              <w:kinsoku/>
              <w:wordWrap/>
              <w:overflowPunct/>
              <w:topLinePunct w:val="0"/>
              <w:autoSpaceDE/>
              <w:autoSpaceDN/>
              <w:bidi w:val="0"/>
              <w:adjustRightInd/>
              <w:snapToGrid/>
              <w:spacing w:line="560" w:lineRule="exact"/>
              <w:textAlignment w:val="auto"/>
              <w:rPr>
                <w:rFonts w:asciiTheme="minorEastAsia" w:hAnsiTheme="minorEastAsia"/>
                <w:sz w:val="18"/>
                <w:szCs w:val="18"/>
              </w:rPr>
            </w:pPr>
            <w:r>
              <w:rPr>
                <w:rFonts w:hint="eastAsia" w:asciiTheme="minorEastAsia" w:hAnsiTheme="minorEastAsia"/>
                <w:sz w:val="18"/>
                <w:szCs w:val="18"/>
              </w:rPr>
              <w:t>2．重复申请</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1525"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2634" w:type="dxa"/>
          </w:tcPr>
          <w:p>
            <w:pPr>
              <w:keepNext w:val="0"/>
              <w:keepLines w:val="0"/>
              <w:pageBreakBefore w:val="0"/>
              <w:kinsoku/>
              <w:wordWrap/>
              <w:overflowPunct/>
              <w:topLinePunct w:val="0"/>
              <w:autoSpaceDE/>
              <w:autoSpaceDN/>
              <w:bidi w:val="0"/>
              <w:adjustRightInd/>
              <w:snapToGrid/>
              <w:spacing w:line="560" w:lineRule="exact"/>
              <w:textAlignment w:val="auto"/>
              <w:rPr>
                <w:rFonts w:asciiTheme="minorEastAsia" w:hAnsiTheme="minorEastAsia"/>
                <w:sz w:val="18"/>
                <w:szCs w:val="18"/>
              </w:rPr>
            </w:pPr>
            <w:r>
              <w:rPr>
                <w:rFonts w:asciiTheme="minorEastAsia" w:hAnsiTheme="minorEastAsia"/>
                <w:sz w:val="18"/>
                <w:szCs w:val="18"/>
              </w:rPr>
              <w:t>3</w:t>
            </w:r>
            <w:r>
              <w:rPr>
                <w:rFonts w:hint="eastAsia" w:asciiTheme="minorEastAsia" w:hAnsiTheme="minorEastAsia"/>
                <w:sz w:val="18"/>
                <w:szCs w:val="18"/>
              </w:rPr>
              <w:t>．要求提供公开出版物</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1525"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2634" w:type="dxa"/>
          </w:tcPr>
          <w:p>
            <w:pPr>
              <w:keepNext w:val="0"/>
              <w:keepLines w:val="0"/>
              <w:pageBreakBefore w:val="0"/>
              <w:kinsoku/>
              <w:wordWrap/>
              <w:overflowPunct/>
              <w:topLinePunct w:val="0"/>
              <w:autoSpaceDE/>
              <w:autoSpaceDN/>
              <w:bidi w:val="0"/>
              <w:adjustRightInd/>
              <w:snapToGrid/>
              <w:spacing w:line="560" w:lineRule="exact"/>
              <w:textAlignment w:val="auto"/>
              <w:rPr>
                <w:rFonts w:asciiTheme="minorEastAsia" w:hAnsiTheme="minorEastAsia"/>
                <w:sz w:val="18"/>
                <w:szCs w:val="18"/>
              </w:rPr>
            </w:pPr>
            <w:r>
              <w:rPr>
                <w:rFonts w:hint="eastAsia" w:asciiTheme="minorEastAsia" w:hAnsiTheme="minorEastAsia"/>
                <w:sz w:val="18"/>
                <w:szCs w:val="18"/>
              </w:rPr>
              <w:t>4．无正当理由大量反复申请</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1525"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2634" w:type="dxa"/>
          </w:tcPr>
          <w:p>
            <w:pPr>
              <w:keepNext w:val="0"/>
              <w:keepLines w:val="0"/>
              <w:pageBreakBefore w:val="0"/>
              <w:kinsoku/>
              <w:wordWrap/>
              <w:overflowPunct/>
              <w:topLinePunct w:val="0"/>
              <w:autoSpaceDE/>
              <w:autoSpaceDN/>
              <w:bidi w:val="0"/>
              <w:adjustRightInd/>
              <w:snapToGrid/>
              <w:spacing w:line="560" w:lineRule="exact"/>
              <w:ind w:left="180" w:hanging="180" w:hangingChars="100"/>
              <w:textAlignment w:val="auto"/>
              <w:rPr>
                <w:rFonts w:asciiTheme="minorEastAsia" w:hAnsiTheme="minorEastAsia"/>
                <w:sz w:val="18"/>
                <w:szCs w:val="18"/>
              </w:rPr>
            </w:pPr>
            <w:r>
              <w:rPr>
                <w:rFonts w:hint="eastAsia" w:asciiTheme="minorEastAsia" w:hAnsiTheme="minorEastAsia"/>
                <w:sz w:val="18"/>
                <w:szCs w:val="18"/>
              </w:rPr>
              <w:t>5．要求行政机关确认或重新出具已获取信息</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1525" w:type="dxa"/>
            <w:vMerge w:val="restart"/>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sz w:val="18"/>
                <w:szCs w:val="18"/>
              </w:rPr>
              <w:t>（六）其他处理</w:t>
            </w:r>
          </w:p>
        </w:tc>
        <w:tc>
          <w:tcPr>
            <w:tcW w:w="2634" w:type="dxa"/>
          </w:tcPr>
          <w:p>
            <w:pPr>
              <w:keepNext w:val="0"/>
              <w:keepLines w:val="0"/>
              <w:pageBreakBefore w:val="0"/>
              <w:kinsoku/>
              <w:wordWrap/>
              <w:overflowPunct/>
              <w:topLinePunct w:val="0"/>
              <w:autoSpaceDE/>
              <w:autoSpaceDN/>
              <w:bidi w:val="0"/>
              <w:adjustRightInd/>
              <w:snapToGrid/>
              <w:spacing w:line="560" w:lineRule="exact"/>
              <w:ind w:left="180" w:hanging="180" w:hangingChars="100"/>
              <w:textAlignment w:val="auto"/>
              <w:rPr>
                <w:rFonts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w:t>
            </w:r>
            <w:r>
              <w:rPr>
                <w:rFonts w:hint="eastAsia" w:asciiTheme="minorEastAsia" w:hAnsiTheme="minorEastAsia"/>
                <w:sz w:val="18"/>
                <w:szCs w:val="18"/>
              </w:rPr>
              <w:t>申请人无正当理由逾期不补正、行政机关不再处理其政府信息公开申请</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1525"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2634" w:type="dxa"/>
          </w:tcPr>
          <w:p>
            <w:pPr>
              <w:keepNext w:val="0"/>
              <w:keepLines w:val="0"/>
              <w:pageBreakBefore w:val="0"/>
              <w:kinsoku/>
              <w:wordWrap/>
              <w:overflowPunct/>
              <w:topLinePunct w:val="0"/>
              <w:autoSpaceDE/>
              <w:autoSpaceDN/>
              <w:bidi w:val="0"/>
              <w:adjustRightInd/>
              <w:snapToGrid/>
              <w:spacing w:line="560" w:lineRule="exact"/>
              <w:ind w:left="180" w:hanging="180" w:hangingChars="100"/>
              <w:textAlignment w:val="auto"/>
              <w:rPr>
                <w:rFonts w:asciiTheme="minorEastAsia" w:hAnsiTheme="minorEastAsia"/>
                <w:sz w:val="18"/>
                <w:szCs w:val="18"/>
              </w:rPr>
            </w:pPr>
            <w:r>
              <w:rPr>
                <w:rFonts w:hint="eastAsia" w:asciiTheme="minorEastAsia" w:hAnsiTheme="minorEastAsia"/>
                <w:sz w:val="18"/>
                <w:szCs w:val="18"/>
              </w:rPr>
              <w:t>2</w:t>
            </w:r>
            <w:r>
              <w:rPr>
                <w:rFonts w:asciiTheme="minorEastAsia" w:hAnsiTheme="minorEastAsia"/>
                <w:sz w:val="18"/>
                <w:szCs w:val="18"/>
              </w:rPr>
              <w:t>.</w:t>
            </w:r>
            <w:r>
              <w:rPr>
                <w:rFonts w:hint="eastAsia" w:asciiTheme="minorEastAsia" w:hAnsiTheme="minorEastAsia"/>
                <w:sz w:val="18"/>
                <w:szCs w:val="18"/>
              </w:rPr>
              <w:t>申请人逾期未按收费通知 要求缴纳费用、行政机关不再处理其政府信息公开申请</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1525"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2634" w:type="dxa"/>
          </w:tcPr>
          <w:p>
            <w:pPr>
              <w:keepNext w:val="0"/>
              <w:keepLines w:val="0"/>
              <w:pageBreakBefore w:val="0"/>
              <w:kinsoku/>
              <w:wordWrap/>
              <w:overflowPunct/>
              <w:topLinePunct w:val="0"/>
              <w:autoSpaceDE/>
              <w:autoSpaceDN/>
              <w:bidi w:val="0"/>
              <w:adjustRightInd/>
              <w:snapToGrid/>
              <w:spacing w:line="560" w:lineRule="exact"/>
              <w:ind w:left="180" w:hanging="180" w:hangingChars="100"/>
              <w:textAlignment w:val="auto"/>
              <w:rPr>
                <w:rFonts w:asciiTheme="minorEastAsia" w:hAnsiTheme="minorEastAsia"/>
                <w:sz w:val="18"/>
                <w:szCs w:val="18"/>
              </w:rPr>
            </w:pPr>
            <w:r>
              <w:rPr>
                <w:rFonts w:hint="eastAsia" w:asciiTheme="minorEastAsia" w:hAnsiTheme="minorEastAsia"/>
                <w:sz w:val="18"/>
                <w:szCs w:val="18"/>
              </w:rPr>
              <w:t>3</w:t>
            </w:r>
            <w:r>
              <w:rPr>
                <w:rFonts w:asciiTheme="minorEastAsia" w:hAnsiTheme="minorEastAsia"/>
                <w:sz w:val="18"/>
                <w:szCs w:val="18"/>
              </w:rPr>
              <w:t>.</w:t>
            </w:r>
            <w:r>
              <w:rPr>
                <w:rFonts w:hint="eastAsia" w:asciiTheme="minorEastAsia" w:hAnsiTheme="minorEastAsia"/>
                <w:sz w:val="18"/>
                <w:szCs w:val="18"/>
              </w:rPr>
              <w:t>其他</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4159" w:type="dxa"/>
            <w:gridSpan w:val="2"/>
            <w:vAlign w:val="center"/>
          </w:tcPr>
          <w:p>
            <w:pPr>
              <w:keepNext w:val="0"/>
              <w:keepLines w:val="0"/>
              <w:pageBreakBefore w:val="0"/>
              <w:kinsoku/>
              <w:wordWrap/>
              <w:overflowPunct/>
              <w:topLinePunct w:val="0"/>
              <w:autoSpaceDE/>
              <w:autoSpaceDN/>
              <w:bidi w:val="0"/>
              <w:adjustRightInd/>
              <w:snapToGrid/>
              <w:spacing w:line="560" w:lineRule="exact"/>
              <w:textAlignment w:val="auto"/>
              <w:rPr>
                <w:sz w:val="18"/>
                <w:szCs w:val="18"/>
              </w:rPr>
            </w:pPr>
            <w:r>
              <w:rPr>
                <w:rFonts w:hint="eastAsia"/>
                <w:sz w:val="18"/>
                <w:szCs w:val="18"/>
              </w:rPr>
              <w:t>（七）总计</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1</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2</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713" w:type="dxa"/>
            <w:gridSpan w:val="3"/>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rPr>
              <w:t>四、结转下年度继续办理</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lang w:val="en-US" w:eastAsia="zh-CN"/>
              </w:rPr>
              <w:t>0</w:t>
            </w:r>
          </w:p>
        </w:tc>
      </w:tr>
    </w:tbl>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四、政府信息公开行政复议、行政诉讼情况</w:t>
      </w:r>
    </w:p>
    <w:tbl>
      <w:tblPr>
        <w:tblStyle w:val="6"/>
        <w:tblW w:w="9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709"/>
        <w:gridCol w:w="709"/>
        <w:gridCol w:w="706"/>
        <w:gridCol w:w="428"/>
        <w:gridCol w:w="708"/>
        <w:gridCol w:w="709"/>
        <w:gridCol w:w="709"/>
        <w:gridCol w:w="709"/>
        <w:gridCol w:w="425"/>
        <w:gridCol w:w="709"/>
        <w:gridCol w:w="708"/>
        <w:gridCol w:w="709"/>
        <w:gridCol w:w="694"/>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3207" w:type="dxa"/>
            <w:gridSpan w:val="5"/>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szCs w:val="21"/>
              </w:rPr>
              <w:t>行政复议</w:t>
            </w:r>
          </w:p>
        </w:tc>
        <w:tc>
          <w:tcPr>
            <w:tcW w:w="6505" w:type="dxa"/>
            <w:gridSpan w:val="1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55" w:type="dxa"/>
            <w:vMerge w:val="restart"/>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szCs w:val="21"/>
              </w:rPr>
              <w:t>结果维持</w:t>
            </w:r>
          </w:p>
        </w:tc>
        <w:tc>
          <w:tcPr>
            <w:tcW w:w="709" w:type="dxa"/>
            <w:vMerge w:val="restart"/>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szCs w:val="21"/>
              </w:rPr>
              <w:t>结果纠正</w:t>
            </w:r>
          </w:p>
        </w:tc>
        <w:tc>
          <w:tcPr>
            <w:tcW w:w="709" w:type="dxa"/>
            <w:vMerge w:val="restart"/>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szCs w:val="21"/>
              </w:rPr>
              <w:t>其他结果</w:t>
            </w:r>
          </w:p>
        </w:tc>
        <w:tc>
          <w:tcPr>
            <w:tcW w:w="706" w:type="dxa"/>
            <w:vMerge w:val="restart"/>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szCs w:val="21"/>
              </w:rPr>
              <w:t>尚未审结</w:t>
            </w:r>
          </w:p>
        </w:tc>
        <w:tc>
          <w:tcPr>
            <w:tcW w:w="428" w:type="dxa"/>
            <w:vMerge w:val="restart"/>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szCs w:val="21"/>
              </w:rPr>
              <w:t>总计</w:t>
            </w:r>
          </w:p>
        </w:tc>
        <w:tc>
          <w:tcPr>
            <w:tcW w:w="3260" w:type="dxa"/>
            <w:gridSpan w:val="5"/>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szCs w:val="21"/>
              </w:rPr>
              <w:t>未经复议直接起诉</w:t>
            </w:r>
          </w:p>
        </w:tc>
        <w:tc>
          <w:tcPr>
            <w:tcW w:w="3245" w:type="dxa"/>
            <w:gridSpan w:val="5"/>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655"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 w:val="18"/>
                <w:szCs w:val="18"/>
              </w:rPr>
            </w:pPr>
          </w:p>
        </w:tc>
        <w:tc>
          <w:tcPr>
            <w:tcW w:w="709"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 w:val="18"/>
                <w:szCs w:val="18"/>
              </w:rPr>
            </w:pPr>
          </w:p>
        </w:tc>
        <w:tc>
          <w:tcPr>
            <w:tcW w:w="709"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 w:val="18"/>
                <w:szCs w:val="18"/>
              </w:rPr>
            </w:pPr>
          </w:p>
        </w:tc>
        <w:tc>
          <w:tcPr>
            <w:tcW w:w="706"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p>
        </w:tc>
        <w:tc>
          <w:tcPr>
            <w:tcW w:w="428"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p>
        </w:tc>
        <w:tc>
          <w:tcPr>
            <w:tcW w:w="70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szCs w:val="21"/>
              </w:rPr>
              <w:t>结果维持</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szCs w:val="21"/>
              </w:rPr>
              <w:t>结果纠正</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szCs w:val="21"/>
              </w:rPr>
              <w:t>其他结果</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szCs w:val="21"/>
              </w:rPr>
              <w:t>尚未审结</w:t>
            </w:r>
          </w:p>
        </w:tc>
        <w:tc>
          <w:tcPr>
            <w:tcW w:w="42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szCs w:val="21"/>
              </w:rPr>
              <w:t>总计</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szCs w:val="21"/>
              </w:rPr>
              <w:t>结果维持</w:t>
            </w:r>
          </w:p>
        </w:tc>
        <w:tc>
          <w:tcPr>
            <w:tcW w:w="70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szCs w:val="21"/>
              </w:rPr>
              <w:t>结果纠正</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szCs w:val="21"/>
              </w:rPr>
              <w:t>其他结果</w:t>
            </w:r>
          </w:p>
        </w:tc>
        <w:tc>
          <w:tcPr>
            <w:tcW w:w="69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szCs w:val="21"/>
              </w:rPr>
              <w:t>尚未审结</w:t>
            </w:r>
          </w:p>
        </w:tc>
        <w:tc>
          <w:tcPr>
            <w:tcW w:w="42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5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sz w:val="18"/>
                <w:szCs w:val="18"/>
                <w:lang w:val="en-US" w:eastAsia="zh-CN"/>
              </w:rPr>
            </w:pPr>
            <w:r>
              <w:rPr>
                <w:rFonts w:hint="eastAsia"/>
                <w:sz w:val="18"/>
                <w:szCs w:val="18"/>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sz w:val="18"/>
                <w:szCs w:val="18"/>
                <w:lang w:val="en-US" w:eastAsia="zh-CN"/>
              </w:rPr>
            </w:pPr>
            <w:r>
              <w:rPr>
                <w:rFonts w:hint="eastAsia"/>
                <w:sz w:val="18"/>
                <w:szCs w:val="18"/>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sz w:val="18"/>
                <w:szCs w:val="18"/>
                <w:lang w:val="en-US" w:eastAsia="zh-CN"/>
              </w:rPr>
            </w:pPr>
            <w:r>
              <w:rPr>
                <w:rFonts w:hint="eastAsia"/>
                <w:sz w:val="18"/>
                <w:szCs w:val="18"/>
                <w:lang w:val="en-US" w:eastAsia="zh-CN"/>
              </w:rPr>
              <w:t>0</w:t>
            </w:r>
          </w:p>
        </w:tc>
        <w:tc>
          <w:tcPr>
            <w:tcW w:w="70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szCs w:val="21"/>
                <w:lang w:val="en-US" w:eastAsia="zh-CN"/>
              </w:rPr>
            </w:pPr>
            <w:r>
              <w:rPr>
                <w:rFonts w:hint="eastAsia"/>
                <w:szCs w:val="21"/>
                <w:lang w:val="en-US" w:eastAsia="zh-CN"/>
              </w:rPr>
              <w:t>0</w:t>
            </w:r>
          </w:p>
        </w:tc>
        <w:tc>
          <w:tcPr>
            <w:tcW w:w="42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szCs w:val="21"/>
                <w:lang w:val="en-US" w:eastAsia="zh-CN"/>
              </w:rPr>
            </w:pPr>
            <w:r>
              <w:rPr>
                <w:rFonts w:hint="eastAsia"/>
                <w:szCs w:val="21"/>
                <w:lang w:val="en-US" w:eastAsia="zh-CN"/>
              </w:rPr>
              <w:t>0</w:t>
            </w:r>
          </w:p>
        </w:tc>
        <w:tc>
          <w:tcPr>
            <w:tcW w:w="70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szCs w:val="21"/>
                <w:lang w:val="en-US" w:eastAsia="zh-CN"/>
              </w:rPr>
            </w:pPr>
            <w:r>
              <w:rPr>
                <w:rFonts w:hint="eastAsia"/>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szCs w:val="21"/>
                <w:lang w:val="en-US" w:eastAsia="zh-CN"/>
              </w:rPr>
            </w:pPr>
            <w:r>
              <w:rPr>
                <w:rFonts w:hint="eastAsia"/>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szCs w:val="21"/>
                <w:lang w:val="en-US" w:eastAsia="zh-CN"/>
              </w:rPr>
            </w:pPr>
            <w:r>
              <w:rPr>
                <w:rFonts w:hint="eastAsia"/>
                <w:szCs w:val="21"/>
                <w:lang w:val="en-US" w:eastAsia="zh-CN"/>
              </w:rPr>
              <w:t>1</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szCs w:val="21"/>
                <w:lang w:val="en-US" w:eastAsia="zh-CN"/>
              </w:rPr>
            </w:pPr>
            <w:r>
              <w:rPr>
                <w:rFonts w:hint="eastAsia"/>
                <w:szCs w:val="21"/>
                <w:lang w:val="en-US" w:eastAsia="zh-CN"/>
              </w:rPr>
              <w:t>0</w:t>
            </w:r>
          </w:p>
        </w:tc>
        <w:tc>
          <w:tcPr>
            <w:tcW w:w="42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szCs w:val="21"/>
                <w:lang w:val="en-US" w:eastAsia="zh-CN"/>
              </w:rPr>
            </w:pPr>
            <w:r>
              <w:rPr>
                <w:rFonts w:hint="eastAsia"/>
                <w:szCs w:val="21"/>
                <w:lang w:val="en-US" w:eastAsia="zh-CN"/>
              </w:rPr>
              <w:t>1</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szCs w:val="21"/>
                <w:lang w:val="en-US" w:eastAsia="zh-CN"/>
              </w:rPr>
            </w:pPr>
            <w:r>
              <w:rPr>
                <w:rFonts w:hint="eastAsia"/>
                <w:szCs w:val="21"/>
                <w:lang w:val="en-US" w:eastAsia="zh-CN"/>
              </w:rPr>
              <w:t>0</w:t>
            </w:r>
          </w:p>
        </w:tc>
        <w:tc>
          <w:tcPr>
            <w:tcW w:w="70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szCs w:val="21"/>
                <w:lang w:val="en-US" w:eastAsia="zh-CN"/>
              </w:rPr>
            </w:pPr>
            <w:r>
              <w:rPr>
                <w:rFonts w:hint="eastAsia"/>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szCs w:val="21"/>
                <w:lang w:val="en-US" w:eastAsia="zh-CN"/>
              </w:rPr>
            </w:pPr>
            <w:r>
              <w:rPr>
                <w:rFonts w:hint="eastAsia"/>
                <w:szCs w:val="21"/>
                <w:lang w:val="en-US" w:eastAsia="zh-CN"/>
              </w:rPr>
              <w:t>0</w:t>
            </w:r>
          </w:p>
        </w:tc>
        <w:tc>
          <w:tcPr>
            <w:tcW w:w="69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szCs w:val="21"/>
                <w:lang w:val="en-US" w:eastAsia="zh-CN"/>
              </w:rPr>
            </w:pPr>
            <w:r>
              <w:rPr>
                <w:rFonts w:hint="eastAsia"/>
                <w:szCs w:val="21"/>
                <w:lang w:val="en-US" w:eastAsia="zh-CN"/>
              </w:rPr>
              <w:t>0</w:t>
            </w:r>
          </w:p>
        </w:tc>
        <w:tc>
          <w:tcPr>
            <w:tcW w:w="42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szCs w:val="21"/>
                <w:lang w:val="en-US" w:eastAsia="zh-CN"/>
              </w:rPr>
            </w:pPr>
            <w:r>
              <w:rPr>
                <w:rFonts w:hint="eastAsia"/>
                <w:szCs w:val="21"/>
                <w:lang w:val="en-US" w:eastAsia="zh-CN"/>
              </w:rPr>
              <w:t>0</w:t>
            </w:r>
          </w:p>
        </w:tc>
      </w:tr>
    </w:tbl>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五、存在的主要问题及改进情况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（一）存在的问题</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i w:val="0"/>
          <w:caps w:val="0"/>
          <w:color w:val="000000"/>
          <w:spacing w:val="0"/>
          <w:sz w:val="32"/>
          <w:szCs w:val="32"/>
          <w:shd w:val="clear" w:fill="FFFFFF"/>
        </w:rPr>
        <w:t>一是部分工作人员对依申请政府信息公开政策掌握不准确，存在误解，信息公开水平有待提高;二是部分重点领域信息公开及时性、全面性覆盖不够;三是</w:t>
      </w:r>
      <w:r>
        <w:rPr>
          <w:rFonts w:hint="eastAsia" w:ascii="仿宋" w:hAnsi="仿宋" w:eastAsia="仿宋" w:cs="仿宋"/>
          <w:sz w:val="32"/>
          <w:szCs w:val="32"/>
        </w:rPr>
        <w:t>社会各界对政务服务事项及各类办事信息公开需求日益迫切。区行政审批服务局在政务公开方面工作标准、工作专业性方面有待加强</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（二）改进措施</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一是</w:t>
      </w:r>
      <w:r>
        <w:rPr>
          <w:rFonts w:hint="eastAsia" w:ascii="仿宋" w:hAnsi="仿宋" w:eastAsia="仿宋" w:cs="仿宋"/>
          <w:b/>
          <w:bCs/>
          <w:i w:val="0"/>
          <w:caps w:val="0"/>
          <w:color w:val="000000"/>
          <w:spacing w:val="0"/>
          <w:sz w:val="32"/>
          <w:szCs w:val="32"/>
          <w:shd w:val="clear" w:fill="FFFFFF"/>
        </w:rPr>
        <w:t>积极拓宽政府信息公开渠道和途径。</w:t>
      </w:r>
      <w:r>
        <w:rPr>
          <w:rFonts w:hint="eastAsia" w:ascii="仿宋" w:hAnsi="仿宋" w:eastAsia="仿宋" w:cs="仿宋"/>
          <w:i w:val="0"/>
          <w:caps w:val="0"/>
          <w:color w:val="000000"/>
          <w:spacing w:val="0"/>
          <w:sz w:val="32"/>
          <w:szCs w:val="32"/>
          <w:shd w:val="clear" w:fill="FFFFFF"/>
        </w:rPr>
        <w:t>借助多媒体、自媒体、电视、政府门户网站等媒介主动公开政府信息，切实保障人民群众的知情权、参与权和监督权，提升政府公信力和执行力。</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b/>
          <w:bCs/>
          <w:sz w:val="32"/>
          <w:szCs w:val="32"/>
        </w:rPr>
        <w:t>二是提升专业能力。</w:t>
      </w:r>
      <w:r>
        <w:rPr>
          <w:rFonts w:hint="eastAsia" w:ascii="仿宋" w:hAnsi="仿宋" w:eastAsia="仿宋" w:cs="仿宋"/>
          <w:i w:val="0"/>
          <w:caps w:val="0"/>
          <w:color w:val="000000"/>
          <w:spacing w:val="0"/>
          <w:sz w:val="32"/>
          <w:szCs w:val="32"/>
          <w:shd w:val="clear" w:fill="FFFFFF"/>
        </w:rPr>
        <w:t>建立培训工作常态化机制，加强工作人员对待政府信息公开的重视，采取专题培训、座谈讨论等方式，进一步加大培训力度，扩大培训范围。</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三是</w:t>
      </w:r>
      <w:r>
        <w:rPr>
          <w:rFonts w:hint="eastAsia" w:ascii="仿宋" w:hAnsi="仿宋" w:eastAsia="仿宋" w:cs="仿宋"/>
          <w:b/>
          <w:bCs/>
          <w:sz w:val="32"/>
          <w:szCs w:val="32"/>
          <w:lang w:val="en-US" w:eastAsia="zh-CN"/>
        </w:rPr>
        <w:t>健全信息发布</w:t>
      </w:r>
      <w:r>
        <w:rPr>
          <w:rFonts w:hint="eastAsia" w:ascii="仿宋" w:hAnsi="仿宋" w:eastAsia="仿宋" w:cs="仿宋"/>
          <w:b/>
          <w:bCs/>
          <w:sz w:val="32"/>
          <w:szCs w:val="32"/>
        </w:rPr>
        <w:t>工作机制。</w:t>
      </w:r>
      <w:r>
        <w:rPr>
          <w:rFonts w:hint="eastAsia" w:ascii="仿宋" w:hAnsi="仿宋" w:eastAsia="仿宋" w:cs="仿宋"/>
          <w:sz w:val="32"/>
          <w:szCs w:val="32"/>
        </w:rPr>
        <w:t>由局政务公开办公室牵头，针对主动公开目录，明确责任人和公开时限，完善工作机制，确保公开工作扎实开展。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六、其他需要报告的事项</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i w:val="0"/>
          <w:caps w:val="0"/>
          <w:color w:val="000000"/>
          <w:spacing w:val="0"/>
          <w:sz w:val="32"/>
          <w:szCs w:val="32"/>
          <w:shd w:val="clear" w:fill="FFFFFF"/>
        </w:rPr>
        <w:t>收取信息处理费情况。2021年政府信息公开未收取信息处理费。</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2、</w:t>
      </w:r>
      <w:r>
        <w:rPr>
          <w:rFonts w:hint="eastAsia" w:ascii="仿宋" w:hAnsi="仿宋" w:eastAsia="仿宋" w:cs="仿宋"/>
          <w:color w:val="000000"/>
          <w:sz w:val="32"/>
          <w:szCs w:val="32"/>
          <w:shd w:val="clear" w:color="auto" w:fill="FFFFFF"/>
        </w:rPr>
        <w:t>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年区行政</w:t>
      </w:r>
      <w:bookmarkStart w:id="0" w:name="_GoBack"/>
      <w:bookmarkEnd w:id="0"/>
      <w:r>
        <w:rPr>
          <w:rFonts w:hint="eastAsia" w:ascii="仿宋" w:hAnsi="仿宋" w:eastAsia="仿宋" w:cs="仿宋"/>
          <w:color w:val="000000"/>
          <w:sz w:val="32"/>
          <w:szCs w:val="32"/>
          <w:shd w:val="clear" w:color="auto" w:fill="FFFFFF"/>
        </w:rPr>
        <w:t>审批服务局收到区政协十届</w:t>
      </w:r>
      <w:r>
        <w:rPr>
          <w:rFonts w:hint="eastAsia" w:ascii="仿宋" w:hAnsi="仿宋" w:eastAsia="仿宋" w:cs="仿宋"/>
          <w:color w:val="000000"/>
          <w:sz w:val="32"/>
          <w:szCs w:val="32"/>
          <w:shd w:val="clear" w:color="auto" w:fill="FFFFFF"/>
          <w:lang w:val="en-US" w:eastAsia="zh-CN"/>
        </w:rPr>
        <w:t>五</w:t>
      </w:r>
      <w:r>
        <w:rPr>
          <w:rFonts w:hint="eastAsia" w:ascii="仿宋" w:hAnsi="仿宋" w:eastAsia="仿宋" w:cs="仿宋"/>
          <w:color w:val="000000"/>
          <w:sz w:val="32"/>
          <w:szCs w:val="32"/>
          <w:shd w:val="clear" w:color="auto" w:fill="FFFFFF"/>
        </w:rPr>
        <w:t>次会议</w:t>
      </w:r>
      <w:r>
        <w:rPr>
          <w:rFonts w:hint="eastAsia" w:ascii="仿宋" w:hAnsi="仿宋" w:eastAsia="仿宋" w:cs="仿宋"/>
          <w:color w:val="auto"/>
          <w:sz w:val="32"/>
          <w:szCs w:val="32"/>
          <w:shd w:val="clear" w:color="auto" w:fill="FFFFFF"/>
          <w:lang w:val="en-US" w:eastAsia="zh-CN"/>
        </w:rPr>
        <w:t>21</w:t>
      </w:r>
      <w:r>
        <w:rPr>
          <w:rFonts w:hint="eastAsia" w:ascii="仿宋" w:hAnsi="仿宋" w:eastAsia="仿宋" w:cs="仿宋"/>
          <w:color w:val="auto"/>
          <w:sz w:val="32"/>
          <w:szCs w:val="32"/>
          <w:shd w:val="clear" w:color="auto" w:fill="FFFFFF"/>
        </w:rPr>
        <w:t>号提案，区政协十届</w:t>
      </w:r>
      <w:r>
        <w:rPr>
          <w:rFonts w:hint="eastAsia" w:ascii="仿宋" w:hAnsi="仿宋" w:eastAsia="仿宋" w:cs="仿宋"/>
          <w:color w:val="auto"/>
          <w:sz w:val="32"/>
          <w:szCs w:val="32"/>
          <w:shd w:val="clear" w:color="auto" w:fill="FFFFFF"/>
          <w:lang w:val="en-US" w:eastAsia="zh-CN"/>
        </w:rPr>
        <w:t>五</w:t>
      </w:r>
      <w:r>
        <w:rPr>
          <w:rFonts w:hint="eastAsia" w:ascii="仿宋" w:hAnsi="仿宋" w:eastAsia="仿宋" w:cs="仿宋"/>
          <w:color w:val="auto"/>
          <w:sz w:val="32"/>
          <w:szCs w:val="32"/>
          <w:shd w:val="clear" w:color="auto" w:fill="FFFFFF"/>
        </w:rPr>
        <w:t>次会议</w:t>
      </w:r>
      <w:r>
        <w:rPr>
          <w:rFonts w:hint="eastAsia" w:ascii="仿宋" w:hAnsi="仿宋" w:eastAsia="仿宋" w:cs="仿宋"/>
          <w:color w:val="auto"/>
          <w:sz w:val="32"/>
          <w:szCs w:val="32"/>
          <w:shd w:val="clear" w:color="auto" w:fill="FFFFFF"/>
          <w:lang w:val="en-US" w:eastAsia="zh-CN"/>
        </w:rPr>
        <w:t>85</w:t>
      </w:r>
      <w:r>
        <w:rPr>
          <w:rFonts w:hint="eastAsia" w:ascii="仿宋" w:hAnsi="仿宋" w:eastAsia="仿宋" w:cs="仿宋"/>
          <w:color w:val="auto"/>
          <w:sz w:val="32"/>
          <w:szCs w:val="32"/>
          <w:shd w:val="clear" w:color="auto" w:fill="FFFFFF"/>
        </w:rPr>
        <w:t>号提案</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rPr>
        <w:t>区政协十届</w:t>
      </w:r>
      <w:r>
        <w:rPr>
          <w:rFonts w:hint="eastAsia" w:ascii="仿宋" w:hAnsi="仿宋" w:eastAsia="仿宋" w:cs="仿宋"/>
          <w:color w:val="auto"/>
          <w:sz w:val="32"/>
          <w:szCs w:val="32"/>
          <w:shd w:val="clear" w:color="auto" w:fill="FFFFFF"/>
          <w:lang w:val="en-US" w:eastAsia="zh-CN"/>
        </w:rPr>
        <w:t>五</w:t>
      </w:r>
      <w:r>
        <w:rPr>
          <w:rFonts w:hint="eastAsia" w:ascii="仿宋" w:hAnsi="仿宋" w:eastAsia="仿宋" w:cs="仿宋"/>
          <w:color w:val="auto"/>
          <w:sz w:val="32"/>
          <w:szCs w:val="32"/>
          <w:shd w:val="clear" w:color="auto" w:fill="FFFFFF"/>
        </w:rPr>
        <w:t>次会议</w:t>
      </w:r>
      <w:r>
        <w:rPr>
          <w:rFonts w:hint="eastAsia" w:ascii="仿宋" w:hAnsi="仿宋" w:eastAsia="仿宋" w:cs="仿宋"/>
          <w:color w:val="auto"/>
          <w:sz w:val="32"/>
          <w:szCs w:val="32"/>
          <w:shd w:val="clear" w:color="auto" w:fill="FFFFFF"/>
          <w:lang w:val="en-US" w:eastAsia="zh-CN"/>
        </w:rPr>
        <w:t>86</w:t>
      </w:r>
      <w:r>
        <w:rPr>
          <w:rFonts w:hint="eastAsia" w:ascii="仿宋" w:hAnsi="仿宋" w:eastAsia="仿宋" w:cs="仿宋"/>
          <w:color w:val="auto"/>
          <w:sz w:val="32"/>
          <w:szCs w:val="32"/>
          <w:shd w:val="clear" w:color="auto" w:fill="FFFFFF"/>
        </w:rPr>
        <w:t>号提案</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rPr>
        <w:t>共</w:t>
      </w:r>
      <w:r>
        <w:rPr>
          <w:rFonts w:hint="eastAsia" w:ascii="仿宋" w:hAnsi="仿宋" w:eastAsia="仿宋" w:cs="仿宋"/>
          <w:color w:val="auto"/>
          <w:sz w:val="32"/>
          <w:szCs w:val="32"/>
          <w:shd w:val="clear" w:color="auto" w:fill="FFFFFF"/>
          <w:lang w:val="en-US" w:eastAsia="zh-CN"/>
        </w:rPr>
        <w:t>3</w:t>
      </w:r>
      <w:r>
        <w:rPr>
          <w:rFonts w:hint="eastAsia" w:ascii="仿宋" w:hAnsi="仿宋" w:eastAsia="仿宋" w:cs="仿宋"/>
          <w:color w:val="auto"/>
          <w:sz w:val="32"/>
          <w:szCs w:val="32"/>
          <w:shd w:val="clear" w:color="auto" w:fill="FFFFFF"/>
        </w:rPr>
        <w:t>件提案。对所收到的提案建议区行政审批服务局进行了认真办理，办结率100%、满意率100%，</w:t>
      </w:r>
      <w:r>
        <w:rPr>
          <w:rFonts w:hint="eastAsia" w:ascii="仿宋" w:hAnsi="仿宋" w:eastAsia="仿宋" w:cs="仿宋"/>
          <w:color w:val="000000"/>
          <w:sz w:val="32"/>
          <w:szCs w:val="32"/>
          <w:shd w:val="clear" w:color="auto" w:fill="FFFFFF"/>
        </w:rPr>
        <w:t>并及时公开办理情况报告，接受社会监督。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3、</w:t>
      </w:r>
      <w:r>
        <w:rPr>
          <w:rFonts w:hint="eastAsia" w:ascii="仿宋" w:hAnsi="仿宋" w:eastAsia="仿宋" w:cs="仿宋"/>
          <w:i w:val="0"/>
          <w:caps w:val="0"/>
          <w:color w:val="000000"/>
          <w:spacing w:val="0"/>
          <w:sz w:val="32"/>
          <w:szCs w:val="32"/>
          <w:shd w:val="clear" w:fill="FFFFFF"/>
        </w:rPr>
        <w:t>其他无需要报告的事项。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000000"/>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166" w:firstLineChars="1302"/>
        <w:jc w:val="both"/>
        <w:textAlignment w:val="auto"/>
        <w:rPr>
          <w:rFonts w:hint="eastAsia" w:ascii="仿宋" w:hAnsi="仿宋" w:eastAsia="仿宋" w:cs="仿宋"/>
          <w:i w:val="0"/>
          <w:caps w:val="0"/>
          <w:color w:val="000000"/>
          <w:spacing w:val="0"/>
          <w:sz w:val="32"/>
          <w:szCs w:val="32"/>
          <w:shd w:val="clear" w:fill="FFFFFF"/>
          <w:lang w:val="en-US" w:eastAsia="zh-CN"/>
        </w:rPr>
      </w:pPr>
      <w:r>
        <w:rPr>
          <w:rFonts w:hint="eastAsia" w:ascii="仿宋" w:hAnsi="仿宋" w:eastAsia="仿宋" w:cs="仿宋"/>
          <w:i w:val="0"/>
          <w:caps w:val="0"/>
          <w:color w:val="000000"/>
          <w:spacing w:val="0"/>
          <w:sz w:val="32"/>
          <w:szCs w:val="32"/>
          <w:shd w:val="clear" w:fill="FFFFFF"/>
          <w:lang w:val="en-US" w:eastAsia="zh-CN"/>
        </w:rPr>
        <w:t>临淄区行政审批服务局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486" w:firstLineChars="1402"/>
        <w:jc w:val="both"/>
        <w:textAlignment w:val="auto"/>
        <w:rPr>
          <w:rFonts w:hint="eastAsia" w:ascii="仿宋" w:hAnsi="仿宋" w:eastAsia="仿宋" w:cs="仿宋"/>
          <w:i w:val="0"/>
          <w:caps w:val="0"/>
          <w:color w:val="000000"/>
          <w:spacing w:val="0"/>
          <w:sz w:val="32"/>
          <w:szCs w:val="32"/>
          <w:shd w:val="clear" w:fill="FFFFFF"/>
          <w:lang w:val="en-US" w:eastAsia="zh-CN"/>
        </w:rPr>
      </w:pPr>
      <w:r>
        <w:rPr>
          <w:rFonts w:hint="eastAsia" w:ascii="仿宋" w:hAnsi="仿宋" w:eastAsia="仿宋" w:cs="仿宋"/>
          <w:i w:val="0"/>
          <w:caps w:val="0"/>
          <w:color w:val="000000"/>
          <w:spacing w:val="0"/>
          <w:sz w:val="32"/>
          <w:szCs w:val="32"/>
          <w:shd w:val="clear" w:fill="FFFFFF"/>
          <w:lang w:val="en-US" w:eastAsia="zh-CN"/>
        </w:rPr>
        <w:t>2022年1月18日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3659"/>
      <w:docPartObj>
        <w:docPartGallery w:val="autotext"/>
      </w:docPartObj>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04258"/>
    <w:rsid w:val="00001C9E"/>
    <w:rsid w:val="0000594A"/>
    <w:rsid w:val="00013109"/>
    <w:rsid w:val="00023AAC"/>
    <w:rsid w:val="00024810"/>
    <w:rsid w:val="00030DFB"/>
    <w:rsid w:val="000414C6"/>
    <w:rsid w:val="00042CA0"/>
    <w:rsid w:val="00043D31"/>
    <w:rsid w:val="00046423"/>
    <w:rsid w:val="00052AD6"/>
    <w:rsid w:val="00055473"/>
    <w:rsid w:val="00055E11"/>
    <w:rsid w:val="00056B8B"/>
    <w:rsid w:val="00063220"/>
    <w:rsid w:val="0006628C"/>
    <w:rsid w:val="000706E1"/>
    <w:rsid w:val="00085190"/>
    <w:rsid w:val="00087FF0"/>
    <w:rsid w:val="00092898"/>
    <w:rsid w:val="00094E08"/>
    <w:rsid w:val="00097052"/>
    <w:rsid w:val="000A5D01"/>
    <w:rsid w:val="000B1602"/>
    <w:rsid w:val="000C34FF"/>
    <w:rsid w:val="000C7BD7"/>
    <w:rsid w:val="000D4473"/>
    <w:rsid w:val="000E1057"/>
    <w:rsid w:val="000F497F"/>
    <w:rsid w:val="000F7617"/>
    <w:rsid w:val="00105B3E"/>
    <w:rsid w:val="001108EA"/>
    <w:rsid w:val="001240A4"/>
    <w:rsid w:val="00125C8A"/>
    <w:rsid w:val="00127976"/>
    <w:rsid w:val="00131A3C"/>
    <w:rsid w:val="0013565C"/>
    <w:rsid w:val="00140E3F"/>
    <w:rsid w:val="00143DC5"/>
    <w:rsid w:val="00144ABF"/>
    <w:rsid w:val="00144B5F"/>
    <w:rsid w:val="00170D63"/>
    <w:rsid w:val="00172B20"/>
    <w:rsid w:val="0017420B"/>
    <w:rsid w:val="0017427C"/>
    <w:rsid w:val="00176618"/>
    <w:rsid w:val="00176B17"/>
    <w:rsid w:val="00187315"/>
    <w:rsid w:val="001900C0"/>
    <w:rsid w:val="00196FD6"/>
    <w:rsid w:val="001A21B5"/>
    <w:rsid w:val="001B26AB"/>
    <w:rsid w:val="001B4410"/>
    <w:rsid w:val="001C1DC2"/>
    <w:rsid w:val="001C4706"/>
    <w:rsid w:val="001C6DFA"/>
    <w:rsid w:val="001C6F55"/>
    <w:rsid w:val="001D41A6"/>
    <w:rsid w:val="001E0CBD"/>
    <w:rsid w:val="001E5A28"/>
    <w:rsid w:val="001E72C7"/>
    <w:rsid w:val="002019C6"/>
    <w:rsid w:val="00204AA5"/>
    <w:rsid w:val="00205590"/>
    <w:rsid w:val="002157C1"/>
    <w:rsid w:val="00216261"/>
    <w:rsid w:val="00216DF6"/>
    <w:rsid w:val="0021763D"/>
    <w:rsid w:val="00224377"/>
    <w:rsid w:val="002264B1"/>
    <w:rsid w:val="0023206E"/>
    <w:rsid w:val="00234868"/>
    <w:rsid w:val="0023602C"/>
    <w:rsid w:val="00240EAF"/>
    <w:rsid w:val="00246626"/>
    <w:rsid w:val="002572C0"/>
    <w:rsid w:val="002604BD"/>
    <w:rsid w:val="00270C0E"/>
    <w:rsid w:val="0027691A"/>
    <w:rsid w:val="00276B13"/>
    <w:rsid w:val="00276E5B"/>
    <w:rsid w:val="002774CD"/>
    <w:rsid w:val="0028009A"/>
    <w:rsid w:val="002A188B"/>
    <w:rsid w:val="002A1F5C"/>
    <w:rsid w:val="002B463A"/>
    <w:rsid w:val="002B6F68"/>
    <w:rsid w:val="002D115E"/>
    <w:rsid w:val="002D6A99"/>
    <w:rsid w:val="002D70DF"/>
    <w:rsid w:val="002E594D"/>
    <w:rsid w:val="002E6EDF"/>
    <w:rsid w:val="0031332E"/>
    <w:rsid w:val="003135A4"/>
    <w:rsid w:val="003164F6"/>
    <w:rsid w:val="00316CE4"/>
    <w:rsid w:val="003257C1"/>
    <w:rsid w:val="003318E7"/>
    <w:rsid w:val="00332905"/>
    <w:rsid w:val="00334C65"/>
    <w:rsid w:val="00357E22"/>
    <w:rsid w:val="00357E4E"/>
    <w:rsid w:val="003638D5"/>
    <w:rsid w:val="00363B37"/>
    <w:rsid w:val="0038169B"/>
    <w:rsid w:val="00383519"/>
    <w:rsid w:val="003856CA"/>
    <w:rsid w:val="00390173"/>
    <w:rsid w:val="0039072E"/>
    <w:rsid w:val="00395676"/>
    <w:rsid w:val="00397E9C"/>
    <w:rsid w:val="003A4408"/>
    <w:rsid w:val="003A617F"/>
    <w:rsid w:val="003B4A71"/>
    <w:rsid w:val="003C0527"/>
    <w:rsid w:val="003C44C8"/>
    <w:rsid w:val="003C5789"/>
    <w:rsid w:val="003D6959"/>
    <w:rsid w:val="003D7EB2"/>
    <w:rsid w:val="003E1F92"/>
    <w:rsid w:val="003E6B2B"/>
    <w:rsid w:val="003F2DA8"/>
    <w:rsid w:val="003F38D1"/>
    <w:rsid w:val="003F538D"/>
    <w:rsid w:val="00405DB6"/>
    <w:rsid w:val="00414EEE"/>
    <w:rsid w:val="00420F86"/>
    <w:rsid w:val="00423431"/>
    <w:rsid w:val="00434746"/>
    <w:rsid w:val="00446210"/>
    <w:rsid w:val="00460593"/>
    <w:rsid w:val="0046437F"/>
    <w:rsid w:val="004713FB"/>
    <w:rsid w:val="00473626"/>
    <w:rsid w:val="00481ED7"/>
    <w:rsid w:val="00481FD3"/>
    <w:rsid w:val="004847BC"/>
    <w:rsid w:val="0048518B"/>
    <w:rsid w:val="004936CF"/>
    <w:rsid w:val="00495EBA"/>
    <w:rsid w:val="004A6081"/>
    <w:rsid w:val="004B1B2D"/>
    <w:rsid w:val="004B36CF"/>
    <w:rsid w:val="004B3DE8"/>
    <w:rsid w:val="004B53B3"/>
    <w:rsid w:val="004B7413"/>
    <w:rsid w:val="004D2882"/>
    <w:rsid w:val="004D7633"/>
    <w:rsid w:val="004D788E"/>
    <w:rsid w:val="004E5DF1"/>
    <w:rsid w:val="004F244D"/>
    <w:rsid w:val="004F2625"/>
    <w:rsid w:val="004F39DF"/>
    <w:rsid w:val="005026C8"/>
    <w:rsid w:val="00503B08"/>
    <w:rsid w:val="00504DE1"/>
    <w:rsid w:val="005162AB"/>
    <w:rsid w:val="00523B84"/>
    <w:rsid w:val="0052540C"/>
    <w:rsid w:val="00531036"/>
    <w:rsid w:val="00533338"/>
    <w:rsid w:val="0053359A"/>
    <w:rsid w:val="00540904"/>
    <w:rsid w:val="00543FE0"/>
    <w:rsid w:val="005637BC"/>
    <w:rsid w:val="00564F0C"/>
    <w:rsid w:val="00567AE3"/>
    <w:rsid w:val="0057319B"/>
    <w:rsid w:val="005771DE"/>
    <w:rsid w:val="00580B3B"/>
    <w:rsid w:val="005818BC"/>
    <w:rsid w:val="00582EFB"/>
    <w:rsid w:val="00584920"/>
    <w:rsid w:val="00586957"/>
    <w:rsid w:val="00593F9E"/>
    <w:rsid w:val="0059666D"/>
    <w:rsid w:val="005A3BFA"/>
    <w:rsid w:val="005C071E"/>
    <w:rsid w:val="005D4DA2"/>
    <w:rsid w:val="005D7981"/>
    <w:rsid w:val="005E2D72"/>
    <w:rsid w:val="005E5225"/>
    <w:rsid w:val="005E5EA6"/>
    <w:rsid w:val="005F07DB"/>
    <w:rsid w:val="005F410F"/>
    <w:rsid w:val="005F7CFA"/>
    <w:rsid w:val="006001B7"/>
    <w:rsid w:val="00604767"/>
    <w:rsid w:val="00607754"/>
    <w:rsid w:val="00607BD2"/>
    <w:rsid w:val="00614243"/>
    <w:rsid w:val="00615468"/>
    <w:rsid w:val="0062406E"/>
    <w:rsid w:val="00630352"/>
    <w:rsid w:val="00633AD3"/>
    <w:rsid w:val="00634DDC"/>
    <w:rsid w:val="006359EF"/>
    <w:rsid w:val="006364F7"/>
    <w:rsid w:val="00640DE1"/>
    <w:rsid w:val="006419CD"/>
    <w:rsid w:val="00641A49"/>
    <w:rsid w:val="00641B33"/>
    <w:rsid w:val="00651342"/>
    <w:rsid w:val="0065594E"/>
    <w:rsid w:val="00660AAE"/>
    <w:rsid w:val="006634C0"/>
    <w:rsid w:val="00675D05"/>
    <w:rsid w:val="00677652"/>
    <w:rsid w:val="006821DB"/>
    <w:rsid w:val="00687144"/>
    <w:rsid w:val="0069301A"/>
    <w:rsid w:val="00693534"/>
    <w:rsid w:val="00697E19"/>
    <w:rsid w:val="00697EE4"/>
    <w:rsid w:val="006A1171"/>
    <w:rsid w:val="006A5226"/>
    <w:rsid w:val="006A5288"/>
    <w:rsid w:val="006B72A8"/>
    <w:rsid w:val="006C2EA0"/>
    <w:rsid w:val="006C58BC"/>
    <w:rsid w:val="006C656F"/>
    <w:rsid w:val="006E0094"/>
    <w:rsid w:val="006E2256"/>
    <w:rsid w:val="006E2790"/>
    <w:rsid w:val="006E63B8"/>
    <w:rsid w:val="007011FB"/>
    <w:rsid w:val="007061A3"/>
    <w:rsid w:val="007129AD"/>
    <w:rsid w:val="00714451"/>
    <w:rsid w:val="00717EE3"/>
    <w:rsid w:val="007218A5"/>
    <w:rsid w:val="007234A6"/>
    <w:rsid w:val="00723B47"/>
    <w:rsid w:val="00723D67"/>
    <w:rsid w:val="00724A6A"/>
    <w:rsid w:val="00731CB1"/>
    <w:rsid w:val="00732D81"/>
    <w:rsid w:val="00733F31"/>
    <w:rsid w:val="00736923"/>
    <w:rsid w:val="00736C50"/>
    <w:rsid w:val="00741A40"/>
    <w:rsid w:val="00746739"/>
    <w:rsid w:val="00755418"/>
    <w:rsid w:val="007611C0"/>
    <w:rsid w:val="007720F2"/>
    <w:rsid w:val="00772EA0"/>
    <w:rsid w:val="007745BE"/>
    <w:rsid w:val="00781A3D"/>
    <w:rsid w:val="00791D32"/>
    <w:rsid w:val="007A02B5"/>
    <w:rsid w:val="007A39A8"/>
    <w:rsid w:val="007A3DB5"/>
    <w:rsid w:val="007A46E1"/>
    <w:rsid w:val="007A4F8C"/>
    <w:rsid w:val="007B346E"/>
    <w:rsid w:val="007B68D1"/>
    <w:rsid w:val="007C2141"/>
    <w:rsid w:val="007C53E0"/>
    <w:rsid w:val="007C5C81"/>
    <w:rsid w:val="007D0AF2"/>
    <w:rsid w:val="007D3AB6"/>
    <w:rsid w:val="007D4916"/>
    <w:rsid w:val="007D59C4"/>
    <w:rsid w:val="007D71FE"/>
    <w:rsid w:val="007E07E3"/>
    <w:rsid w:val="007E2505"/>
    <w:rsid w:val="007E55EA"/>
    <w:rsid w:val="007F22F8"/>
    <w:rsid w:val="007F43FC"/>
    <w:rsid w:val="00802361"/>
    <w:rsid w:val="00804E65"/>
    <w:rsid w:val="00805ABE"/>
    <w:rsid w:val="00813BC0"/>
    <w:rsid w:val="00820BB8"/>
    <w:rsid w:val="00830865"/>
    <w:rsid w:val="0083723A"/>
    <w:rsid w:val="00842C3D"/>
    <w:rsid w:val="00842E24"/>
    <w:rsid w:val="00852EEB"/>
    <w:rsid w:val="008556C2"/>
    <w:rsid w:val="00855B3A"/>
    <w:rsid w:val="00856193"/>
    <w:rsid w:val="008579AB"/>
    <w:rsid w:val="008608A2"/>
    <w:rsid w:val="008613A8"/>
    <w:rsid w:val="00873E0F"/>
    <w:rsid w:val="00875291"/>
    <w:rsid w:val="00881404"/>
    <w:rsid w:val="00892DC4"/>
    <w:rsid w:val="008977A9"/>
    <w:rsid w:val="008A0545"/>
    <w:rsid w:val="008A171F"/>
    <w:rsid w:val="008A3BC0"/>
    <w:rsid w:val="008A66F8"/>
    <w:rsid w:val="008B2FD1"/>
    <w:rsid w:val="008B5D19"/>
    <w:rsid w:val="008B6607"/>
    <w:rsid w:val="008C2625"/>
    <w:rsid w:val="008C37A3"/>
    <w:rsid w:val="008D2DBD"/>
    <w:rsid w:val="008D6B7B"/>
    <w:rsid w:val="008F142B"/>
    <w:rsid w:val="008F188C"/>
    <w:rsid w:val="008F51FF"/>
    <w:rsid w:val="00904289"/>
    <w:rsid w:val="00906B9B"/>
    <w:rsid w:val="00912FB0"/>
    <w:rsid w:val="00913531"/>
    <w:rsid w:val="0092086C"/>
    <w:rsid w:val="00920A8C"/>
    <w:rsid w:val="0092182B"/>
    <w:rsid w:val="00930D46"/>
    <w:rsid w:val="00935E77"/>
    <w:rsid w:val="00940C11"/>
    <w:rsid w:val="009515FD"/>
    <w:rsid w:val="0096093C"/>
    <w:rsid w:val="00962CD0"/>
    <w:rsid w:val="00966C94"/>
    <w:rsid w:val="0097065C"/>
    <w:rsid w:val="00975A80"/>
    <w:rsid w:val="0098598B"/>
    <w:rsid w:val="00993C26"/>
    <w:rsid w:val="009B0107"/>
    <w:rsid w:val="009B7848"/>
    <w:rsid w:val="009C460B"/>
    <w:rsid w:val="009D452F"/>
    <w:rsid w:val="009E68DF"/>
    <w:rsid w:val="009F4FD2"/>
    <w:rsid w:val="00A03AC4"/>
    <w:rsid w:val="00A03E53"/>
    <w:rsid w:val="00A06E87"/>
    <w:rsid w:val="00A1342F"/>
    <w:rsid w:val="00A143E6"/>
    <w:rsid w:val="00A22178"/>
    <w:rsid w:val="00A25860"/>
    <w:rsid w:val="00A353B4"/>
    <w:rsid w:val="00A35AE0"/>
    <w:rsid w:val="00A36C3E"/>
    <w:rsid w:val="00A47C35"/>
    <w:rsid w:val="00A55405"/>
    <w:rsid w:val="00A6302E"/>
    <w:rsid w:val="00A65792"/>
    <w:rsid w:val="00A7163D"/>
    <w:rsid w:val="00A75587"/>
    <w:rsid w:val="00A759E5"/>
    <w:rsid w:val="00A82619"/>
    <w:rsid w:val="00A86F1B"/>
    <w:rsid w:val="00A919F7"/>
    <w:rsid w:val="00A93492"/>
    <w:rsid w:val="00A944C5"/>
    <w:rsid w:val="00AA3C78"/>
    <w:rsid w:val="00AA7AEC"/>
    <w:rsid w:val="00AA7B4B"/>
    <w:rsid w:val="00AB031E"/>
    <w:rsid w:val="00AB09E9"/>
    <w:rsid w:val="00AC222F"/>
    <w:rsid w:val="00AD1A81"/>
    <w:rsid w:val="00AD1C82"/>
    <w:rsid w:val="00AD1D6B"/>
    <w:rsid w:val="00AD49B5"/>
    <w:rsid w:val="00AD76B6"/>
    <w:rsid w:val="00AE6C57"/>
    <w:rsid w:val="00AF2313"/>
    <w:rsid w:val="00AF50F4"/>
    <w:rsid w:val="00B0337D"/>
    <w:rsid w:val="00B1769A"/>
    <w:rsid w:val="00B23183"/>
    <w:rsid w:val="00B245B9"/>
    <w:rsid w:val="00B33075"/>
    <w:rsid w:val="00B414D1"/>
    <w:rsid w:val="00B459E2"/>
    <w:rsid w:val="00B53141"/>
    <w:rsid w:val="00B559FA"/>
    <w:rsid w:val="00B811E5"/>
    <w:rsid w:val="00B8236F"/>
    <w:rsid w:val="00B835A5"/>
    <w:rsid w:val="00B91004"/>
    <w:rsid w:val="00BA000D"/>
    <w:rsid w:val="00BA45ED"/>
    <w:rsid w:val="00BA486D"/>
    <w:rsid w:val="00BC0376"/>
    <w:rsid w:val="00BC0DDF"/>
    <w:rsid w:val="00BC34AC"/>
    <w:rsid w:val="00BD1CAC"/>
    <w:rsid w:val="00BD4F6B"/>
    <w:rsid w:val="00BD789A"/>
    <w:rsid w:val="00BE03F8"/>
    <w:rsid w:val="00BE26F0"/>
    <w:rsid w:val="00BE3FA5"/>
    <w:rsid w:val="00BE4FAC"/>
    <w:rsid w:val="00BF3636"/>
    <w:rsid w:val="00BF42A9"/>
    <w:rsid w:val="00C04961"/>
    <w:rsid w:val="00C055A1"/>
    <w:rsid w:val="00C11BC3"/>
    <w:rsid w:val="00C11D2B"/>
    <w:rsid w:val="00C17388"/>
    <w:rsid w:val="00C206ED"/>
    <w:rsid w:val="00C217D5"/>
    <w:rsid w:val="00C234EF"/>
    <w:rsid w:val="00C307E5"/>
    <w:rsid w:val="00C61A42"/>
    <w:rsid w:val="00C63784"/>
    <w:rsid w:val="00C665B4"/>
    <w:rsid w:val="00C71268"/>
    <w:rsid w:val="00C75B28"/>
    <w:rsid w:val="00C762CA"/>
    <w:rsid w:val="00C83C1A"/>
    <w:rsid w:val="00C90488"/>
    <w:rsid w:val="00C90FBF"/>
    <w:rsid w:val="00C957F6"/>
    <w:rsid w:val="00CA24FE"/>
    <w:rsid w:val="00CA4E64"/>
    <w:rsid w:val="00CB7A70"/>
    <w:rsid w:val="00CC09E5"/>
    <w:rsid w:val="00CC51DA"/>
    <w:rsid w:val="00CD6DCF"/>
    <w:rsid w:val="00CE33B0"/>
    <w:rsid w:val="00CE7BFF"/>
    <w:rsid w:val="00CF2399"/>
    <w:rsid w:val="00CF3DD6"/>
    <w:rsid w:val="00CF509B"/>
    <w:rsid w:val="00CF7DF1"/>
    <w:rsid w:val="00D06B46"/>
    <w:rsid w:val="00D16C7E"/>
    <w:rsid w:val="00D17DF3"/>
    <w:rsid w:val="00D201BD"/>
    <w:rsid w:val="00D21479"/>
    <w:rsid w:val="00D2358D"/>
    <w:rsid w:val="00D25962"/>
    <w:rsid w:val="00D33F3A"/>
    <w:rsid w:val="00D4484C"/>
    <w:rsid w:val="00D53AC2"/>
    <w:rsid w:val="00D54B78"/>
    <w:rsid w:val="00D7609C"/>
    <w:rsid w:val="00D7673F"/>
    <w:rsid w:val="00D81D7A"/>
    <w:rsid w:val="00D96A77"/>
    <w:rsid w:val="00DA076B"/>
    <w:rsid w:val="00DA1BF9"/>
    <w:rsid w:val="00DA443C"/>
    <w:rsid w:val="00DA4831"/>
    <w:rsid w:val="00DA546B"/>
    <w:rsid w:val="00DA5691"/>
    <w:rsid w:val="00DC2AFC"/>
    <w:rsid w:val="00DE0CC2"/>
    <w:rsid w:val="00DE7D42"/>
    <w:rsid w:val="00DF0951"/>
    <w:rsid w:val="00DF3C2A"/>
    <w:rsid w:val="00DF59E8"/>
    <w:rsid w:val="00DF60AB"/>
    <w:rsid w:val="00DF7204"/>
    <w:rsid w:val="00E01F0F"/>
    <w:rsid w:val="00E03F11"/>
    <w:rsid w:val="00E04258"/>
    <w:rsid w:val="00E07D70"/>
    <w:rsid w:val="00E377B4"/>
    <w:rsid w:val="00E42C13"/>
    <w:rsid w:val="00E42DE7"/>
    <w:rsid w:val="00E447EA"/>
    <w:rsid w:val="00E54057"/>
    <w:rsid w:val="00E56D7E"/>
    <w:rsid w:val="00E62601"/>
    <w:rsid w:val="00E651F4"/>
    <w:rsid w:val="00E712E4"/>
    <w:rsid w:val="00E7522E"/>
    <w:rsid w:val="00E756BB"/>
    <w:rsid w:val="00E82A61"/>
    <w:rsid w:val="00E86BFA"/>
    <w:rsid w:val="00E9136E"/>
    <w:rsid w:val="00E92569"/>
    <w:rsid w:val="00E9689B"/>
    <w:rsid w:val="00EA0FDD"/>
    <w:rsid w:val="00EA3993"/>
    <w:rsid w:val="00EC48E7"/>
    <w:rsid w:val="00EC7F71"/>
    <w:rsid w:val="00ED1769"/>
    <w:rsid w:val="00ED2198"/>
    <w:rsid w:val="00ED2963"/>
    <w:rsid w:val="00ED4E74"/>
    <w:rsid w:val="00EE3275"/>
    <w:rsid w:val="00EF7239"/>
    <w:rsid w:val="00F00F32"/>
    <w:rsid w:val="00F0322D"/>
    <w:rsid w:val="00F0408E"/>
    <w:rsid w:val="00F22E87"/>
    <w:rsid w:val="00F40BD5"/>
    <w:rsid w:val="00F45E29"/>
    <w:rsid w:val="00F503E6"/>
    <w:rsid w:val="00F60260"/>
    <w:rsid w:val="00F651BF"/>
    <w:rsid w:val="00F6601D"/>
    <w:rsid w:val="00F71A9E"/>
    <w:rsid w:val="00F739B0"/>
    <w:rsid w:val="00F9603E"/>
    <w:rsid w:val="00FA2749"/>
    <w:rsid w:val="00FA3378"/>
    <w:rsid w:val="00FA4017"/>
    <w:rsid w:val="00FA67ED"/>
    <w:rsid w:val="00FB0E1B"/>
    <w:rsid w:val="00FB16F3"/>
    <w:rsid w:val="00FB45EE"/>
    <w:rsid w:val="00FB5467"/>
    <w:rsid w:val="00FB7C20"/>
    <w:rsid w:val="00FC66CE"/>
    <w:rsid w:val="00FD0EE2"/>
    <w:rsid w:val="00FD598D"/>
    <w:rsid w:val="00FD7A66"/>
    <w:rsid w:val="00FE1203"/>
    <w:rsid w:val="00FE1DCB"/>
    <w:rsid w:val="00FE2E48"/>
    <w:rsid w:val="00FE3091"/>
    <w:rsid w:val="19274786"/>
    <w:rsid w:val="1F807702"/>
    <w:rsid w:val="1FD35E05"/>
    <w:rsid w:val="23402606"/>
    <w:rsid w:val="32700456"/>
    <w:rsid w:val="334A6E71"/>
    <w:rsid w:val="367A54EC"/>
    <w:rsid w:val="380A35FE"/>
    <w:rsid w:val="3A37578A"/>
    <w:rsid w:val="41E57EEC"/>
    <w:rsid w:val="4CE71842"/>
    <w:rsid w:val="4DE93206"/>
    <w:rsid w:val="5A0370B1"/>
    <w:rsid w:val="68832525"/>
    <w:rsid w:val="6C392935"/>
    <w:rsid w:val="7DF376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hint="eastAsia" w:ascii="宋体" w:hAnsi="宋体" w:eastAsia="宋体" w:cs="宋体"/>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qFormat/>
    <w:uiPriority w:val="99"/>
    <w:rPr>
      <w:kern w:val="2"/>
      <w:sz w:val="18"/>
      <w:szCs w:val="18"/>
    </w:rPr>
  </w:style>
  <w:style w:type="character" w:customStyle="1" w:styleId="9">
    <w:name w:val="页脚 字符"/>
    <w:basedOn w:val="7"/>
    <w:link w:val="2"/>
    <w:qFormat/>
    <w:uiPriority w:val="99"/>
    <w:rPr>
      <w:kern w:val="2"/>
      <w:sz w:val="18"/>
      <w:szCs w:val="18"/>
    </w:rPr>
  </w:style>
  <w:style w:type="paragraph" w:customStyle="1" w:styleId="10">
    <w:name w:val="正文1"/>
    <w:qFormat/>
    <w:uiPriority w:val="0"/>
    <w:pPr>
      <w:widowControl w:val="0"/>
      <w:jc w:val="both"/>
    </w:pPr>
    <w:rPr>
      <w:rFonts w:hint="eastAsia" w:ascii="Times New Roman" w:hAnsi="Times New Roman" w:eastAsia="宋体" w:cs="Times New Roman"/>
      <w:kern w:val="2"/>
      <w:sz w:val="21"/>
      <w:szCs w:val="22"/>
      <w:lang w:val="en-US" w:eastAsia="zh-CN" w:bidi="ar-SA"/>
    </w:rPr>
  </w:style>
  <w:style w:type="table" w:customStyle="1" w:styleId="11">
    <w:name w:val="Table Normal"/>
    <w:semiHidden/>
    <w:unhideWhenUsed/>
    <w:qFormat/>
    <w:uiPriority w:val="2"/>
    <w:pPr>
      <w:widowControl w:val="0"/>
    </w:pPr>
    <w:rPr>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11</Pages>
  <Words>2603</Words>
  <Characters>2669</Characters>
  <Lines>10</Lines>
  <Paragraphs>2</Paragraphs>
  <TotalTime>3</TotalTime>
  <ScaleCrop>false</ScaleCrop>
  <LinksUpToDate>false</LinksUpToDate>
  <CharactersWithSpaces>2708</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2020-01-06T10:32:00Z</dcterms:created>
  <dc:creator>China</dc:creator>
  <cp:lastModifiedBy>八七</cp:lastModifiedBy>
  <dcterms:modified xsi:type="dcterms:W3CDTF">2022-01-18T02:13:36Z</dcterms:modified>
  <cp:revision>1868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