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640" w:lineRule="exact"/>
        <w:jc w:val="center"/>
        <w:rPr>
          <w:rFonts w:hint="eastAsia" w:ascii="方正小标宋简体" w:hAnsi="黑体" w:eastAsia="方正小标宋简体"/>
          <w:sz w:val="44"/>
          <w:szCs w:val="44"/>
          <w:lang w:eastAsia="zh-CN"/>
        </w:rPr>
      </w:pPr>
      <w:r>
        <w:rPr>
          <w:rFonts w:hint="eastAsia" w:ascii="方正小标宋简体" w:hAnsi="黑体" w:eastAsia="方正小标宋简体"/>
          <w:sz w:val="44"/>
          <w:szCs w:val="44"/>
        </w:rPr>
        <w:t>临淄区</w:t>
      </w:r>
      <w:r>
        <w:rPr>
          <w:rFonts w:hint="eastAsia" w:ascii="方正小标宋简体" w:hAnsi="黑体" w:eastAsia="方正小标宋简体"/>
          <w:sz w:val="44"/>
          <w:szCs w:val="44"/>
          <w:lang w:eastAsia="zh-CN"/>
        </w:rPr>
        <w:t>凤凰镇</w:t>
      </w:r>
    </w:p>
    <w:p>
      <w:pPr>
        <w:spacing w:line="64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20</w:t>
      </w:r>
      <w:r>
        <w:rPr>
          <w:rFonts w:ascii="方正小标宋简体" w:hAnsi="黑体" w:eastAsia="方正小标宋简体"/>
          <w:sz w:val="44"/>
          <w:szCs w:val="44"/>
        </w:rPr>
        <w:t>21</w:t>
      </w:r>
      <w:r>
        <w:rPr>
          <w:rFonts w:hint="eastAsia" w:ascii="方正小标宋简体" w:hAnsi="黑体" w:eastAsia="方正小标宋简体"/>
          <w:sz w:val="44"/>
          <w:szCs w:val="44"/>
        </w:rPr>
        <w:t>年政府信息公开工作年度报告</w:t>
      </w:r>
    </w:p>
    <w:p>
      <w:pPr>
        <w:spacing w:line="640" w:lineRule="exact"/>
        <w:jc w:val="center"/>
        <w:rPr>
          <w:rFonts w:ascii="方正小标宋简体" w:hAnsi="黑体" w:eastAsia="方正小标宋简体"/>
          <w:sz w:val="44"/>
          <w:szCs w:val="44"/>
        </w:rPr>
      </w:pP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本报告按照《国务院办公厅政府信息与政务公开办公室关于印发&lt;中华人民共和国政府信息公开工作年度报告格式&gt;的通知》(国办公开办函〔20</w:t>
      </w:r>
      <w:r>
        <w:rPr>
          <w:rFonts w:ascii="仿宋" w:hAnsi="仿宋" w:eastAsia="仿宋"/>
          <w:color w:val="000000" w:themeColor="text1"/>
          <w:sz w:val="32"/>
          <w:szCs w:val="32"/>
          <w14:textFill>
            <w14:solidFill>
              <w14:schemeClr w14:val="tx1"/>
            </w14:solidFill>
          </w14:textFill>
        </w:rPr>
        <w:t>21</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3</w:t>
      </w:r>
      <w:r>
        <w:rPr>
          <w:rFonts w:hint="eastAsia" w:ascii="仿宋" w:hAnsi="仿宋" w:eastAsia="仿宋"/>
          <w:color w:val="000000" w:themeColor="text1"/>
          <w:sz w:val="32"/>
          <w:szCs w:val="32"/>
          <w14:textFill>
            <w14:solidFill>
              <w14:schemeClr w14:val="tx1"/>
            </w14:solidFill>
          </w14:textFill>
        </w:rPr>
        <w:t>0号)和《中华人民共和国政府信息公开条例》要求编制，全文包括总体情况、主动公开政府信息情况、收到和处理政府信息公开申请情况、政府信息公开行政复议及行政诉讼情况、政府信息公开工作存在的主要问题及改进情况、其他需要报告的事项。本年度报告中所列数据统计期限从20</w:t>
      </w:r>
      <w:r>
        <w:rPr>
          <w:rFonts w:ascii="仿宋" w:hAnsi="仿宋" w:eastAsia="仿宋"/>
          <w:color w:val="000000" w:themeColor="text1"/>
          <w:sz w:val="32"/>
          <w:szCs w:val="32"/>
          <w14:textFill>
            <w14:solidFill>
              <w14:schemeClr w14:val="tx1"/>
            </w14:solidFill>
          </w14:textFill>
        </w:rPr>
        <w:t>21</w:t>
      </w:r>
      <w:r>
        <w:rPr>
          <w:rFonts w:hint="eastAsia" w:ascii="仿宋" w:hAnsi="仿宋" w:eastAsia="仿宋"/>
          <w:color w:val="000000" w:themeColor="text1"/>
          <w:sz w:val="32"/>
          <w:szCs w:val="32"/>
          <w14:textFill>
            <w14:solidFill>
              <w14:schemeClr w14:val="tx1"/>
            </w14:solidFill>
          </w14:textFill>
        </w:rPr>
        <w:t>年1月1日到12月31日止。</w:t>
      </w:r>
    </w:p>
    <w:p>
      <w:pPr>
        <w:rPr>
          <w:rFonts w:ascii="黑体" w:hAnsi="黑体" w:eastAsia="黑体"/>
          <w:sz w:val="32"/>
          <w:szCs w:val="32"/>
        </w:rPr>
      </w:pPr>
      <w:r>
        <w:rPr>
          <w:rFonts w:hint="eastAsia" w:ascii="黑体" w:hAnsi="黑体" w:eastAsia="黑体"/>
          <w:sz w:val="32"/>
          <w:szCs w:val="32"/>
        </w:rPr>
        <w:t xml:space="preserve">    一、总体情况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firstLine="643"/>
        <w:rPr>
          <w:rFonts w:hint="eastAsia" w:ascii="微软雅黑" w:hAnsi="微软雅黑" w:eastAsia="微软雅黑" w:cs="微软雅黑"/>
          <w:b w:val="0"/>
          <w:bCs w:val="0"/>
          <w:i w:val="0"/>
          <w:iCs w:val="0"/>
          <w:caps w:val="0"/>
          <w:color w:val="000000"/>
          <w:spacing w:val="0"/>
          <w:sz w:val="32"/>
          <w:szCs w:val="32"/>
        </w:rPr>
      </w:pPr>
      <w:r>
        <w:rPr>
          <w:rStyle w:val="8"/>
          <w:rFonts w:ascii="楷体_GB2312" w:hAnsi="微软雅黑" w:eastAsia="楷体_GB2312" w:cs="楷体_GB2312"/>
          <w:b w:val="0"/>
          <w:bCs w:val="0"/>
          <w:i w:val="0"/>
          <w:iCs w:val="0"/>
          <w:caps w:val="0"/>
          <w:color w:val="000000"/>
          <w:spacing w:val="0"/>
          <w:sz w:val="32"/>
          <w:szCs w:val="32"/>
        </w:rPr>
        <w:t>（一）主动</w:t>
      </w:r>
      <w:bookmarkStart w:id="0" w:name="_GoBack"/>
      <w:bookmarkEnd w:id="0"/>
      <w:r>
        <w:rPr>
          <w:rStyle w:val="8"/>
          <w:rFonts w:ascii="楷体_GB2312" w:hAnsi="微软雅黑" w:eastAsia="楷体_GB2312" w:cs="楷体_GB2312"/>
          <w:b w:val="0"/>
          <w:bCs w:val="0"/>
          <w:i w:val="0"/>
          <w:iCs w:val="0"/>
          <w:caps w:val="0"/>
          <w:color w:val="000000"/>
          <w:spacing w:val="0"/>
          <w:sz w:val="32"/>
          <w:szCs w:val="32"/>
        </w:rPr>
        <w:t>公开</w:t>
      </w:r>
      <w:r>
        <w:rPr>
          <w:rStyle w:val="8"/>
          <w:rFonts w:hint="eastAsia" w:ascii="楷体_GB2312" w:hAnsi="微软雅黑" w:eastAsia="楷体_GB2312" w:cs="楷体_GB2312"/>
          <w:b w:val="0"/>
          <w:bCs w:val="0"/>
          <w:i w:val="0"/>
          <w:iCs w:val="0"/>
          <w:caps w:val="0"/>
          <w:color w:val="000000"/>
          <w:spacing w:val="0"/>
          <w:sz w:val="32"/>
          <w:szCs w:val="32"/>
          <w:lang w:eastAsia="zh-CN"/>
        </w:rPr>
        <w:t>信息</w:t>
      </w:r>
      <w:r>
        <w:rPr>
          <w:rStyle w:val="8"/>
          <w:rFonts w:ascii="楷体_GB2312" w:hAnsi="微软雅黑" w:eastAsia="楷体_GB2312" w:cs="楷体_GB2312"/>
          <w:b w:val="0"/>
          <w:bCs w:val="0"/>
          <w:i w:val="0"/>
          <w:iCs w:val="0"/>
          <w:caps w:val="0"/>
          <w:color w:val="000000"/>
          <w:spacing w:val="0"/>
          <w:sz w:val="32"/>
          <w:szCs w:val="32"/>
        </w:rPr>
        <w:t>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firstLine="640"/>
        <w:jc w:val="left"/>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按照《中华人民共和国政府信息公开条例》要求，凤凰镇本着政务公开法制化、标准化、规范化的原则，认真做好政务信息主动公开工作。现就我镇2021年政府信息公开情况进行梳理和汇总。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2021年，我镇主要通过凤凰镇人民政府信息公开网站、“凤凰新视窗”和“智慧凤凰”等微信公众号等平台，发布各类信息200余条，涵盖机构职能、业务工作、规划计划、农业农村等内容，做到了主动公开、依法公开，切实保障了公民、法人和其他组织的知情权。其中，通过凤凰镇人民政府信息公开网站发布信息83条，通过“凤凰新视窗”微信公众号推送文章119篇；撰写政务公开工作稿15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drawing>
          <wp:inline distT="0" distB="0" distL="114300" distR="114300">
            <wp:extent cx="5268595" cy="3902710"/>
            <wp:effectExtent l="0" t="0" r="4445"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268595" cy="3902710"/>
                    </a:xfrm>
                    <a:prstGeom prst="rect">
                      <a:avLst/>
                    </a:prstGeom>
                    <a:noFill/>
                    <a:ln>
                      <a:noFill/>
                    </a:ln>
                  </pic:spPr>
                </pic:pic>
              </a:graphicData>
            </a:graphic>
          </wp:inline>
        </w:drawing>
      </w:r>
      <w:r>
        <w:drawing>
          <wp:inline distT="0" distB="0" distL="114300" distR="114300">
            <wp:extent cx="5314950" cy="2596515"/>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314950" cy="259651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firstLine="643"/>
        <w:rPr>
          <w:rFonts w:hint="eastAsia" w:ascii="微软雅黑" w:hAnsi="微软雅黑" w:eastAsia="微软雅黑" w:cs="微软雅黑"/>
          <w:b w:val="0"/>
          <w:bCs w:val="0"/>
          <w:i w:val="0"/>
          <w:iCs w:val="0"/>
          <w:caps w:val="0"/>
          <w:color w:val="000000"/>
          <w:spacing w:val="0"/>
          <w:sz w:val="19"/>
          <w:szCs w:val="19"/>
        </w:rPr>
      </w:pPr>
      <w:r>
        <w:rPr>
          <w:rStyle w:val="8"/>
          <w:rFonts w:hint="eastAsia" w:ascii="楷体_GB2312" w:hAnsi="微软雅黑" w:eastAsia="楷体_GB2312" w:cs="楷体_GB2312"/>
          <w:b w:val="0"/>
          <w:bCs w:val="0"/>
          <w:i w:val="0"/>
          <w:iCs w:val="0"/>
          <w:caps w:val="0"/>
          <w:color w:val="000000"/>
          <w:spacing w:val="0"/>
          <w:sz w:val="32"/>
          <w:szCs w:val="32"/>
        </w:rPr>
        <w:t>（二）依申请</w:t>
      </w:r>
      <w:r>
        <w:rPr>
          <w:rStyle w:val="8"/>
          <w:rFonts w:hint="eastAsia" w:ascii="楷体_GB2312" w:hAnsi="微软雅黑" w:eastAsia="楷体_GB2312" w:cs="楷体_GB2312"/>
          <w:b w:val="0"/>
          <w:bCs w:val="0"/>
          <w:i w:val="0"/>
          <w:iCs w:val="0"/>
          <w:caps w:val="0"/>
          <w:color w:val="000000"/>
          <w:spacing w:val="0"/>
          <w:sz w:val="32"/>
          <w:szCs w:val="32"/>
          <w:lang w:eastAsia="zh-CN"/>
        </w:rPr>
        <w:t>公开工作</w:t>
      </w:r>
      <w:r>
        <w:rPr>
          <w:rStyle w:val="8"/>
          <w:rFonts w:hint="eastAsia" w:ascii="楷体_GB2312" w:hAnsi="微软雅黑" w:eastAsia="楷体_GB2312" w:cs="楷体_GB2312"/>
          <w:b w:val="0"/>
          <w:bCs w:val="0"/>
          <w:i w:val="0"/>
          <w:iCs w:val="0"/>
          <w:caps w:val="0"/>
          <w:color w:val="000000"/>
          <w:spacing w:val="0"/>
          <w:sz w:val="32"/>
          <w:szCs w:val="32"/>
        </w:rPr>
        <w:t>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2021年共收到和处理政府信息公开申请0件，未收取关于依申请公开费用。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firstLine="640"/>
        <w:jc w:val="left"/>
        <w:rPr>
          <w:rFonts w:hint="eastAsia" w:ascii="微软雅黑" w:hAnsi="微软雅黑" w:eastAsia="楷体_GB2312" w:cs="微软雅黑"/>
          <w:b w:val="0"/>
          <w:bCs w:val="0"/>
          <w:i w:val="0"/>
          <w:iCs w:val="0"/>
          <w:caps w:val="0"/>
          <w:color w:val="000000"/>
          <w:spacing w:val="0"/>
          <w:sz w:val="19"/>
          <w:szCs w:val="19"/>
          <w:lang w:eastAsia="zh-CN"/>
        </w:rPr>
      </w:pPr>
      <w:r>
        <w:rPr>
          <w:rStyle w:val="8"/>
          <w:rFonts w:hint="eastAsia" w:ascii="楷体_GB2312" w:hAnsi="微软雅黑" w:eastAsia="楷体_GB2312" w:cs="楷体_GB2312"/>
          <w:b w:val="0"/>
          <w:bCs w:val="0"/>
          <w:i w:val="0"/>
          <w:iCs w:val="0"/>
          <w:caps w:val="0"/>
          <w:color w:val="000000"/>
          <w:spacing w:val="0"/>
          <w:sz w:val="32"/>
          <w:szCs w:val="32"/>
        </w:rPr>
        <w:t>（三）政府信息</w:t>
      </w:r>
      <w:r>
        <w:rPr>
          <w:rStyle w:val="8"/>
          <w:rFonts w:hint="eastAsia" w:ascii="楷体_GB2312" w:hAnsi="微软雅黑" w:eastAsia="楷体_GB2312" w:cs="楷体_GB2312"/>
          <w:b w:val="0"/>
          <w:bCs w:val="0"/>
          <w:i w:val="0"/>
          <w:iCs w:val="0"/>
          <w:caps w:val="0"/>
          <w:color w:val="000000"/>
          <w:spacing w:val="0"/>
          <w:sz w:val="32"/>
          <w:szCs w:val="32"/>
          <w:lang w:eastAsia="zh-CN"/>
        </w:rPr>
        <w:t>管理情况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我镇坚持以人民为中心，认真学习并贯彻落实国家和省市区关于全面深化政务公开的工作要求，确保让政务公开工作在当地经济社会运行的方方面面落地有声、开花结果。</w:t>
      </w: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43" w:firstLineChars="20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b/>
          <w:bCs/>
          <w:color w:val="000000" w:themeColor="text1"/>
          <w:kern w:val="2"/>
          <w:sz w:val="32"/>
          <w:szCs w:val="32"/>
          <w:lang w:val="en-US" w:eastAsia="zh-CN" w:bidi="ar-SA"/>
          <w14:textFill>
            <w14:solidFill>
              <w14:schemeClr w14:val="tx1"/>
            </w14:solidFill>
          </w14:textFill>
        </w:rPr>
        <w:t>1、做好公开内容日常维护。</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我镇严格按照上级文件要求，不断拓展政务信息公开的平台和方式，持续细化主动公开的具体内容。2021年，我镇打造的“智慧凤凰”小程序，包含了党内法规、教育教学、党建引领等多个板块，成为政务公开工作进一步拓展的新渠道。落实专人专责，健全主动公开栏目内容的日常检查、维护和更新机制，杜绝信息缺失问题。</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jc w:val="both"/>
        <w:rPr>
          <w:rFonts w:hint="default" w:ascii="仿宋" w:hAnsi="仿宋" w:eastAsia="仿宋" w:cstheme="minorBidi"/>
          <w:color w:val="000000" w:themeColor="text1"/>
          <w:kern w:val="2"/>
          <w:sz w:val="32"/>
          <w:szCs w:val="32"/>
          <w:lang w:val="en-US" w:eastAsia="zh-CN" w:bidi="ar-SA"/>
          <w14:textFill>
            <w14:solidFill>
              <w14:schemeClr w14:val="tx1"/>
            </w14:solidFill>
          </w14:textFill>
        </w:rPr>
      </w:pPr>
      <w:r>
        <w:drawing>
          <wp:inline distT="0" distB="0" distL="114300" distR="114300">
            <wp:extent cx="2586355" cy="2831465"/>
            <wp:effectExtent l="0" t="0" r="444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2586355" cy="2831465"/>
                    </a:xfrm>
                    <a:prstGeom prst="rect">
                      <a:avLst/>
                    </a:prstGeom>
                    <a:noFill/>
                    <a:ln>
                      <a:noFill/>
                    </a:ln>
                  </pic:spPr>
                </pic:pic>
              </a:graphicData>
            </a:graphic>
          </wp:inline>
        </w:drawing>
      </w:r>
      <w:r>
        <w:drawing>
          <wp:inline distT="0" distB="0" distL="114300" distR="114300">
            <wp:extent cx="2586355" cy="2831465"/>
            <wp:effectExtent l="0" t="0" r="4445"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2586355" cy="283146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b/>
          <w:bCs/>
          <w:color w:val="000000" w:themeColor="text1"/>
          <w:kern w:val="2"/>
          <w:sz w:val="32"/>
          <w:szCs w:val="32"/>
          <w:lang w:val="en-US" w:eastAsia="zh-CN" w:bidi="ar-SA"/>
          <w14:textFill>
            <w14:solidFill>
              <w14:schemeClr w14:val="tx1"/>
            </w14:solidFill>
          </w14:textFill>
        </w:rPr>
        <w:t>2、加强重点领域信息公开。</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我镇主动公开与群众切身利益相关的政策、重要部署，通过多种渠道，向社会公开重大民生项目进展情况和工作成效，主动、及时公开我镇政府工作报告，切实保障群众的知情权和监督权。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firstLine="640" w:firstLineChars="200"/>
        <w:jc w:val="left"/>
        <w:rPr>
          <w:rFonts w:hint="eastAsia" w:ascii="微软雅黑" w:hAnsi="微软雅黑" w:eastAsia="楷体_GB2312" w:cs="微软雅黑"/>
          <w:b w:val="0"/>
          <w:bCs w:val="0"/>
          <w:i w:val="0"/>
          <w:iCs w:val="0"/>
          <w:caps w:val="0"/>
          <w:color w:val="000000"/>
          <w:spacing w:val="0"/>
          <w:sz w:val="19"/>
          <w:szCs w:val="19"/>
          <w:lang w:eastAsia="zh-CN"/>
        </w:rPr>
      </w:pPr>
      <w:r>
        <w:rPr>
          <w:rStyle w:val="8"/>
          <w:rFonts w:hint="eastAsia" w:ascii="楷体_GB2312" w:hAnsi="微软雅黑" w:eastAsia="楷体_GB2312" w:cs="楷体_GB2312"/>
          <w:b w:val="0"/>
          <w:bCs w:val="0"/>
          <w:i w:val="0"/>
          <w:iCs w:val="0"/>
          <w:caps w:val="0"/>
          <w:color w:val="000000"/>
          <w:spacing w:val="0"/>
          <w:sz w:val="32"/>
          <w:szCs w:val="32"/>
        </w:rPr>
        <w:t>（四）</w:t>
      </w:r>
      <w:r>
        <w:rPr>
          <w:rStyle w:val="8"/>
          <w:rFonts w:hint="eastAsia" w:ascii="楷体_GB2312" w:hAnsi="微软雅黑" w:eastAsia="楷体_GB2312" w:cs="楷体_GB2312"/>
          <w:b w:val="0"/>
          <w:bCs w:val="0"/>
          <w:i w:val="0"/>
          <w:iCs w:val="0"/>
          <w:caps w:val="0"/>
          <w:color w:val="000000"/>
          <w:spacing w:val="0"/>
          <w:sz w:val="32"/>
          <w:szCs w:val="32"/>
          <w:lang w:eastAsia="zh-CN"/>
        </w:rPr>
        <w:t>政府信息公开</w:t>
      </w:r>
      <w:r>
        <w:rPr>
          <w:rStyle w:val="8"/>
          <w:rFonts w:hint="eastAsia" w:ascii="楷体_GB2312" w:hAnsi="微软雅黑" w:eastAsia="楷体_GB2312" w:cs="楷体_GB2312"/>
          <w:b w:val="0"/>
          <w:bCs w:val="0"/>
          <w:i w:val="0"/>
          <w:iCs w:val="0"/>
          <w:caps w:val="0"/>
          <w:color w:val="000000"/>
          <w:spacing w:val="0"/>
          <w:sz w:val="32"/>
          <w:szCs w:val="32"/>
        </w:rPr>
        <w:t>平台建设</w:t>
      </w:r>
      <w:r>
        <w:rPr>
          <w:rStyle w:val="8"/>
          <w:rFonts w:hint="eastAsia" w:ascii="楷体_GB2312" w:hAnsi="微软雅黑" w:eastAsia="楷体_GB2312" w:cs="楷体_GB2312"/>
          <w:b w:val="0"/>
          <w:bCs w:val="0"/>
          <w:i w:val="0"/>
          <w:iCs w:val="0"/>
          <w:caps w:val="0"/>
          <w:color w:val="000000"/>
          <w:spacing w:val="0"/>
          <w:sz w:val="32"/>
          <w:szCs w:val="32"/>
          <w:lang w:eastAsia="zh-CN"/>
        </w:rPr>
        <w:t>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我镇聚焦数字政府建设，深入推进政务信息公开网站建设，加强政务新媒体监管。按照区政府的统一要求，我镇及时编制更新信息公开目录，不断完善和补充业务工作、政府工作报告、法规公文、财政信息等栏目。在公开过程中，严格审核公开内容，确保信息公开的规范性和时效性；不断提高信息公开质量，全力满足群众需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jc w:val="both"/>
        <w:rPr>
          <w:rFonts w:hint="default" w:ascii="仿宋" w:hAnsi="仿宋" w:eastAsia="仿宋" w:cstheme="minorBidi"/>
          <w:color w:val="000000" w:themeColor="text1"/>
          <w:kern w:val="2"/>
          <w:sz w:val="32"/>
          <w:szCs w:val="32"/>
          <w:lang w:val="en-US" w:eastAsia="zh-CN" w:bidi="ar-SA"/>
          <w14:textFill>
            <w14:solidFill>
              <w14:schemeClr w14:val="tx1"/>
            </w14:solidFill>
          </w14:textFill>
        </w:rPr>
      </w:pPr>
      <w:r>
        <w:drawing>
          <wp:inline distT="0" distB="0" distL="114300" distR="114300">
            <wp:extent cx="2644775" cy="2171065"/>
            <wp:effectExtent l="0" t="0" r="698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644775" cy="2171065"/>
                    </a:xfrm>
                    <a:prstGeom prst="rect">
                      <a:avLst/>
                    </a:prstGeom>
                    <a:noFill/>
                    <a:ln>
                      <a:noFill/>
                    </a:ln>
                  </pic:spPr>
                </pic:pic>
              </a:graphicData>
            </a:graphic>
          </wp:inline>
        </w:drawing>
      </w:r>
      <w:r>
        <w:drawing>
          <wp:inline distT="0" distB="0" distL="114300" distR="114300">
            <wp:extent cx="2577465" cy="2166620"/>
            <wp:effectExtent l="0" t="0" r="1333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577465" cy="216662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firstLine="643"/>
        <w:jc w:val="left"/>
        <w:rPr>
          <w:rFonts w:hint="eastAsia" w:ascii="微软雅黑" w:hAnsi="微软雅黑" w:eastAsia="楷体_GB2312" w:cs="微软雅黑"/>
          <w:b w:val="0"/>
          <w:bCs w:val="0"/>
          <w:i w:val="0"/>
          <w:iCs w:val="0"/>
          <w:caps w:val="0"/>
          <w:color w:val="000000"/>
          <w:spacing w:val="0"/>
          <w:sz w:val="19"/>
          <w:szCs w:val="19"/>
          <w:lang w:eastAsia="zh-CN"/>
        </w:rPr>
      </w:pPr>
      <w:r>
        <w:rPr>
          <w:rStyle w:val="8"/>
          <w:rFonts w:hint="eastAsia" w:ascii="楷体_GB2312" w:hAnsi="微软雅黑" w:eastAsia="楷体_GB2312" w:cs="楷体_GB2312"/>
          <w:b w:val="0"/>
          <w:bCs w:val="0"/>
          <w:i w:val="0"/>
          <w:iCs w:val="0"/>
          <w:caps w:val="0"/>
          <w:color w:val="000000"/>
          <w:spacing w:val="0"/>
          <w:sz w:val="32"/>
          <w:szCs w:val="32"/>
        </w:rPr>
        <w:t>（五）</w:t>
      </w:r>
      <w:r>
        <w:rPr>
          <w:rStyle w:val="8"/>
          <w:rFonts w:hint="eastAsia" w:ascii="楷体_GB2312" w:hAnsi="微软雅黑" w:eastAsia="楷体_GB2312" w:cs="楷体_GB2312"/>
          <w:b w:val="0"/>
          <w:bCs w:val="0"/>
          <w:i w:val="0"/>
          <w:iCs w:val="0"/>
          <w:caps w:val="0"/>
          <w:color w:val="000000"/>
          <w:spacing w:val="0"/>
          <w:sz w:val="32"/>
          <w:szCs w:val="32"/>
          <w:lang w:eastAsia="zh-CN"/>
        </w:rPr>
        <w:t>政府信息公开</w:t>
      </w:r>
      <w:r>
        <w:rPr>
          <w:rStyle w:val="8"/>
          <w:rFonts w:hint="eastAsia" w:ascii="楷体_GB2312" w:hAnsi="微软雅黑" w:eastAsia="楷体_GB2312" w:cs="楷体_GB2312"/>
          <w:b w:val="0"/>
          <w:bCs w:val="0"/>
          <w:i w:val="0"/>
          <w:iCs w:val="0"/>
          <w:caps w:val="0"/>
          <w:color w:val="000000"/>
          <w:spacing w:val="0"/>
          <w:sz w:val="32"/>
          <w:szCs w:val="32"/>
        </w:rPr>
        <w:t>监督保障</w:t>
      </w:r>
      <w:r>
        <w:rPr>
          <w:rStyle w:val="8"/>
          <w:rFonts w:hint="eastAsia" w:ascii="楷体_GB2312" w:hAnsi="微软雅黑" w:eastAsia="楷体_GB2312" w:cs="楷体_GB2312"/>
          <w:b w:val="0"/>
          <w:bCs w:val="0"/>
          <w:i w:val="0"/>
          <w:iCs w:val="0"/>
          <w:caps w:val="0"/>
          <w:color w:val="000000"/>
          <w:spacing w:val="0"/>
          <w:sz w:val="32"/>
          <w:szCs w:val="32"/>
          <w:lang w:eastAsia="zh-CN"/>
        </w:rPr>
        <w:t>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_GB2312" w:hAnsi="微软雅黑" w:eastAsia="仿宋_GB2312" w:cs="仿宋_GB2312"/>
          <w:i w:val="0"/>
          <w:iCs w:val="0"/>
          <w:caps w:val="0"/>
          <w:color w:val="FF0000"/>
          <w:spacing w:val="0"/>
          <w:sz w:val="32"/>
          <w:szCs w:val="32"/>
          <w:lang w:val="en-US" w:eastAsia="zh-CN"/>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 我镇积极推动实现“三个转变”，完善政务公开监督保障体制机制。除安排主要负责政务公开的工作人员外，各委办专门安排一名信息员，及时跟进政务公开工作，实现由“少数专兼职人员抓”向“全体政府工作人员人人参与政务公开”的转变；将政务公开工作纳入日常工作安排，实现由集中突击向主动搞好政务公开的转变；积极主动找差距、补短板，实现</w:t>
      </w:r>
      <w:r>
        <w:rPr>
          <w:rFonts w:hint="eastAsia" w:ascii="仿宋" w:hAnsi="仿宋" w:eastAsia="仿宋" w:cstheme="minorBidi"/>
          <w:color w:val="auto"/>
          <w:kern w:val="2"/>
          <w:sz w:val="32"/>
          <w:szCs w:val="32"/>
          <w:lang w:val="en-US" w:eastAsia="zh-CN" w:bidi="ar-SA"/>
        </w:rPr>
        <w:t>由“被动迎评考”向“主动搞好政务公开”转变。</w:t>
      </w:r>
    </w:p>
    <w:p>
      <w:pPr>
        <w:ind w:firstLine="648"/>
        <w:rPr>
          <w:rFonts w:ascii="黑体" w:hAnsi="黑体" w:eastAsia="黑体"/>
          <w:sz w:val="32"/>
          <w:szCs w:val="32"/>
        </w:rPr>
      </w:pPr>
      <w:r>
        <w:rPr>
          <w:rFonts w:hint="eastAsia" w:ascii="黑体" w:hAnsi="黑体" w:eastAsia="黑体"/>
          <w:sz w:val="32"/>
          <w:szCs w:val="32"/>
        </w:rPr>
        <w:t>二、主动公开政府信息情况</w:t>
      </w:r>
    </w:p>
    <w:p>
      <w:pPr>
        <w:spacing w:before="9"/>
        <w:jc w:val="left"/>
        <w:rPr>
          <w:rFonts w:ascii="宋体" w:hAnsi="宋体" w:eastAsia="宋体" w:cs="宋体"/>
          <w:kern w:val="0"/>
          <w:szCs w:val="21"/>
        </w:rPr>
      </w:pPr>
    </w:p>
    <w:tbl>
      <w:tblPr>
        <w:tblStyle w:val="12"/>
        <w:tblW w:w="8124" w:type="dxa"/>
        <w:tblInd w:w="106" w:type="dxa"/>
        <w:tblLayout w:type="fixed"/>
        <w:tblCellMar>
          <w:top w:w="0" w:type="dxa"/>
          <w:left w:w="0" w:type="dxa"/>
          <w:bottom w:w="0" w:type="dxa"/>
          <w:right w:w="0" w:type="dxa"/>
        </w:tblCellMar>
      </w:tblPr>
      <w:tblGrid>
        <w:gridCol w:w="3284"/>
        <w:gridCol w:w="1686"/>
        <w:gridCol w:w="1803"/>
        <w:gridCol w:w="1351"/>
      </w:tblGrid>
      <w:tr>
        <w:tblPrEx>
          <w:tblCellMar>
            <w:top w:w="0" w:type="dxa"/>
            <w:left w:w="0" w:type="dxa"/>
            <w:bottom w:w="0" w:type="dxa"/>
            <w:right w:w="0" w:type="dxa"/>
          </w:tblCellMar>
        </w:tblPrEx>
        <w:trPr>
          <w:trHeight w:val="621" w:hRule="exact"/>
        </w:trPr>
        <w:tc>
          <w:tcPr>
            <w:tcW w:w="8124" w:type="dxa"/>
            <w:gridSpan w:val="4"/>
            <w:tcBorders>
              <w:top w:val="single" w:color="2B283F" w:sz="8" w:space="0"/>
              <w:left w:val="single" w:color="3B3B44" w:sz="6" w:space="0"/>
              <w:bottom w:val="single" w:color="64647C" w:sz="4" w:space="0"/>
              <w:right w:val="single" w:color="3B3B44" w:sz="8" w:space="0"/>
            </w:tcBorders>
          </w:tcPr>
          <w:p>
            <w:pPr>
              <w:tabs>
                <w:tab w:val="left" w:pos="1048"/>
              </w:tabs>
              <w:spacing w:before="142"/>
              <w:ind w:left="-1" w:right="1"/>
              <w:jc w:val="center"/>
              <w:rPr>
                <w:sz w:val="21"/>
                <w:lang w:eastAsia="zh-CN"/>
              </w:rPr>
            </w:pPr>
            <w:r>
              <w:rPr>
                <w:sz w:val="21"/>
                <w:lang w:eastAsia="zh-CN"/>
              </w:rPr>
              <w:t>第二十条</w:t>
            </w:r>
            <w:r>
              <w:rPr>
                <w:sz w:val="21"/>
                <w:lang w:eastAsia="zh-CN"/>
              </w:rPr>
              <w:tab/>
            </w:r>
            <w:r>
              <w:rPr>
                <w:sz w:val="21"/>
                <w:lang w:eastAsia="zh-CN"/>
              </w:rPr>
              <w:t>第 （一</w:t>
            </w:r>
            <w:r>
              <w:rPr>
                <w:rFonts w:hint="eastAsia"/>
                <w:sz w:val="21"/>
                <w:lang w:eastAsia="zh-CN"/>
              </w:rPr>
              <w:t>）</w:t>
            </w:r>
            <w:r>
              <w:rPr>
                <w:sz w:val="21"/>
                <w:lang w:eastAsia="zh-CN"/>
              </w:rPr>
              <w:t xml:space="preserve"> 项</w:t>
            </w:r>
          </w:p>
        </w:tc>
      </w:tr>
      <w:tr>
        <w:tblPrEx>
          <w:tblCellMar>
            <w:top w:w="0" w:type="dxa"/>
            <w:left w:w="0" w:type="dxa"/>
            <w:bottom w:w="0" w:type="dxa"/>
            <w:right w:w="0" w:type="dxa"/>
          </w:tblCellMar>
        </w:tblPrEx>
        <w:trPr>
          <w:trHeight w:val="616" w:hRule="exact"/>
        </w:trPr>
        <w:tc>
          <w:tcPr>
            <w:tcW w:w="3284" w:type="dxa"/>
            <w:tcBorders>
              <w:top w:val="single" w:color="64647C" w:sz="4" w:space="0"/>
              <w:left w:val="single" w:color="3B3B44" w:sz="6" w:space="0"/>
              <w:bottom w:val="single" w:color="707790" w:sz="4" w:space="0"/>
              <w:right w:val="single" w:color="7C7C83" w:sz="4" w:space="0"/>
            </w:tcBorders>
          </w:tcPr>
          <w:p>
            <w:pPr>
              <w:spacing w:before="135"/>
              <w:ind w:right="27"/>
              <w:jc w:val="center"/>
              <w:rPr>
                <w:sz w:val="21"/>
                <w:lang w:eastAsia="zh-CN"/>
              </w:rPr>
            </w:pPr>
            <w:r>
              <w:rPr>
                <w:sz w:val="21"/>
                <w:lang w:eastAsia="zh-CN"/>
              </w:rPr>
              <w:t>信息内容</w:t>
            </w:r>
          </w:p>
        </w:tc>
        <w:tc>
          <w:tcPr>
            <w:tcW w:w="1686" w:type="dxa"/>
            <w:tcBorders>
              <w:top w:val="single" w:color="64647C" w:sz="4" w:space="0"/>
              <w:left w:val="single" w:color="7C7C83" w:sz="4" w:space="0"/>
              <w:bottom w:val="single" w:color="707790" w:sz="4" w:space="0"/>
              <w:right w:val="single" w:color="777780" w:sz="4" w:space="0"/>
            </w:tcBorders>
          </w:tcPr>
          <w:p>
            <w:pPr>
              <w:spacing w:before="135"/>
              <w:ind w:left="216"/>
              <w:jc w:val="left"/>
              <w:rPr>
                <w:sz w:val="21"/>
                <w:lang w:eastAsia="zh-CN"/>
              </w:rPr>
            </w:pPr>
            <w:r>
              <w:rPr>
                <w:sz w:val="21"/>
                <w:lang w:eastAsia="zh-CN"/>
              </w:rPr>
              <w:t>本年制发件数</w:t>
            </w:r>
          </w:p>
        </w:tc>
        <w:tc>
          <w:tcPr>
            <w:tcW w:w="1803" w:type="dxa"/>
            <w:tcBorders>
              <w:top w:val="single" w:color="64647C" w:sz="4" w:space="0"/>
              <w:left w:val="single" w:color="777780" w:sz="4" w:space="0"/>
              <w:bottom w:val="single" w:color="835B67" w:sz="4" w:space="0"/>
              <w:right w:val="single" w:color="606064" w:sz="2" w:space="0"/>
            </w:tcBorders>
          </w:tcPr>
          <w:p>
            <w:pPr>
              <w:spacing w:before="135"/>
              <w:ind w:left="275"/>
              <w:jc w:val="left"/>
              <w:rPr>
                <w:sz w:val="21"/>
                <w:lang w:eastAsia="zh-CN"/>
              </w:rPr>
            </w:pPr>
            <w:r>
              <w:rPr>
                <w:sz w:val="21"/>
                <w:lang w:eastAsia="zh-CN"/>
              </w:rPr>
              <w:t>本年废止件数</w:t>
            </w:r>
          </w:p>
        </w:tc>
        <w:tc>
          <w:tcPr>
            <w:tcW w:w="1351" w:type="dxa"/>
            <w:tcBorders>
              <w:top w:val="single" w:color="64647C" w:sz="4" w:space="0"/>
              <w:left w:val="single" w:color="606064" w:sz="2" w:space="0"/>
              <w:bottom w:val="single" w:color="835B67" w:sz="4" w:space="0"/>
              <w:right w:val="single" w:color="3B3B44" w:sz="8" w:space="0"/>
            </w:tcBorders>
          </w:tcPr>
          <w:p>
            <w:pPr>
              <w:spacing w:before="130"/>
              <w:jc w:val="center"/>
              <w:rPr>
                <w:sz w:val="21"/>
                <w:lang w:eastAsia="zh-CN"/>
              </w:rPr>
            </w:pPr>
            <w:r>
              <w:rPr>
                <w:sz w:val="21"/>
                <w:lang w:eastAsia="zh-CN"/>
              </w:rPr>
              <w:t>现行有效件数</w:t>
            </w:r>
          </w:p>
        </w:tc>
      </w:tr>
      <w:tr>
        <w:tblPrEx>
          <w:tblCellMar>
            <w:top w:w="0" w:type="dxa"/>
            <w:left w:w="0" w:type="dxa"/>
            <w:bottom w:w="0" w:type="dxa"/>
            <w:right w:w="0" w:type="dxa"/>
          </w:tblCellMar>
        </w:tblPrEx>
        <w:trPr>
          <w:trHeight w:val="628" w:hRule="exact"/>
        </w:trPr>
        <w:tc>
          <w:tcPr>
            <w:tcW w:w="3284" w:type="dxa"/>
            <w:tcBorders>
              <w:top w:val="single" w:color="707790" w:sz="4" w:space="0"/>
              <w:left w:val="single" w:color="3B3B44" w:sz="6" w:space="0"/>
              <w:bottom w:val="single" w:color="747487" w:sz="4" w:space="0"/>
              <w:right w:val="single" w:color="97979C" w:sz="4" w:space="0"/>
            </w:tcBorders>
          </w:tcPr>
          <w:p>
            <w:pPr>
              <w:spacing w:before="147"/>
              <w:ind w:left="93"/>
              <w:jc w:val="left"/>
              <w:rPr>
                <w:sz w:val="21"/>
                <w:lang w:eastAsia="zh-CN"/>
              </w:rPr>
            </w:pPr>
            <w:r>
              <w:rPr>
                <w:sz w:val="21"/>
                <w:lang w:eastAsia="zh-CN"/>
              </w:rPr>
              <w:t>规章</w:t>
            </w:r>
          </w:p>
        </w:tc>
        <w:tc>
          <w:tcPr>
            <w:tcW w:w="1686" w:type="dxa"/>
            <w:tcBorders>
              <w:top w:val="single" w:color="707790" w:sz="4" w:space="0"/>
              <w:left w:val="single" w:color="97979C" w:sz="4" w:space="0"/>
              <w:bottom w:val="single" w:color="747487" w:sz="4" w:space="0"/>
              <w:right w:val="single" w:color="939397" w:sz="4" w:space="0"/>
            </w:tcBorders>
            <w:vAlign w:val="center"/>
          </w:tcPr>
          <w:p>
            <w:pPr>
              <w:jc w:val="center"/>
              <w:rPr>
                <w:rFonts w:hint="default"/>
                <w:sz w:val="21"/>
                <w:lang w:val="en-US" w:eastAsia="zh-CN"/>
              </w:rPr>
            </w:pPr>
            <w:r>
              <w:rPr>
                <w:rFonts w:hint="eastAsia"/>
                <w:sz w:val="21"/>
                <w:lang w:val="en-US" w:eastAsia="zh-CN"/>
              </w:rPr>
              <w:t>0</w:t>
            </w:r>
          </w:p>
        </w:tc>
        <w:tc>
          <w:tcPr>
            <w:tcW w:w="1803" w:type="dxa"/>
            <w:tcBorders>
              <w:top w:val="single" w:color="835B67" w:sz="4" w:space="0"/>
              <w:left w:val="single" w:color="939397" w:sz="4" w:space="0"/>
              <w:bottom w:val="single" w:color="546080" w:sz="2" w:space="0"/>
              <w:right w:val="single" w:color="97939C" w:sz="4" w:space="0"/>
            </w:tcBorders>
            <w:vAlign w:val="center"/>
          </w:tcPr>
          <w:p>
            <w:pPr>
              <w:jc w:val="center"/>
              <w:rPr>
                <w:rFonts w:hint="default"/>
                <w:sz w:val="21"/>
                <w:lang w:val="en-US" w:eastAsia="zh-CN"/>
              </w:rPr>
            </w:pPr>
            <w:r>
              <w:rPr>
                <w:rFonts w:hint="eastAsia"/>
                <w:sz w:val="21"/>
                <w:lang w:val="en-US" w:eastAsia="zh-CN"/>
              </w:rPr>
              <w:t>0</w:t>
            </w:r>
          </w:p>
        </w:tc>
        <w:tc>
          <w:tcPr>
            <w:tcW w:w="1351" w:type="dxa"/>
            <w:tcBorders>
              <w:top w:val="single" w:color="835B67" w:sz="4" w:space="0"/>
              <w:left w:val="single" w:color="97939C" w:sz="4" w:space="0"/>
              <w:bottom w:val="single" w:color="74778C" w:sz="4" w:space="0"/>
              <w:right w:val="single" w:color="3B3B3F" w:sz="8" w:space="0"/>
            </w:tcBorders>
            <w:vAlign w:val="center"/>
          </w:tcPr>
          <w:p>
            <w:pPr>
              <w:jc w:val="center"/>
              <w:rPr>
                <w:rFonts w:hint="default"/>
                <w:sz w:val="21"/>
                <w:lang w:val="en-US" w:eastAsia="zh-CN"/>
              </w:rPr>
            </w:pPr>
            <w:r>
              <w:rPr>
                <w:rFonts w:hint="eastAsia"/>
                <w:sz w:val="21"/>
                <w:lang w:val="en-US" w:eastAsia="zh-CN"/>
              </w:rPr>
              <w:t>0</w:t>
            </w:r>
          </w:p>
        </w:tc>
      </w:tr>
      <w:tr>
        <w:tblPrEx>
          <w:tblCellMar>
            <w:top w:w="0" w:type="dxa"/>
            <w:left w:w="0" w:type="dxa"/>
            <w:bottom w:w="0" w:type="dxa"/>
            <w:right w:w="0" w:type="dxa"/>
          </w:tblCellMar>
        </w:tblPrEx>
        <w:trPr>
          <w:trHeight w:val="621" w:hRule="exact"/>
        </w:trPr>
        <w:tc>
          <w:tcPr>
            <w:tcW w:w="3284" w:type="dxa"/>
            <w:tcBorders>
              <w:top w:val="single" w:color="747487" w:sz="4" w:space="0"/>
              <w:left w:val="single" w:color="3B3B44" w:sz="6" w:space="0"/>
              <w:bottom w:val="single" w:color="5B6080" w:sz="4" w:space="0"/>
              <w:right w:val="single" w:color="97979C" w:sz="4" w:space="0"/>
            </w:tcBorders>
          </w:tcPr>
          <w:p>
            <w:pPr>
              <w:spacing w:before="138"/>
              <w:ind w:left="93"/>
              <w:jc w:val="left"/>
              <w:rPr>
                <w:sz w:val="21"/>
                <w:lang w:eastAsia="zh-CN"/>
              </w:rPr>
            </w:pPr>
            <w:r>
              <w:rPr>
                <w:sz w:val="21"/>
                <w:lang w:eastAsia="zh-CN"/>
              </w:rPr>
              <w:t>行政规范性文件</w:t>
            </w:r>
          </w:p>
        </w:tc>
        <w:tc>
          <w:tcPr>
            <w:tcW w:w="1686" w:type="dxa"/>
            <w:tcBorders>
              <w:top w:val="single" w:color="747487" w:sz="4" w:space="0"/>
              <w:left w:val="single" w:color="97979C" w:sz="4" w:space="0"/>
              <w:bottom w:val="single" w:color="5B6080" w:sz="4" w:space="0"/>
              <w:right w:val="single" w:color="939397" w:sz="4" w:space="0"/>
            </w:tcBorders>
            <w:vAlign w:val="center"/>
          </w:tcPr>
          <w:p>
            <w:pPr>
              <w:jc w:val="center"/>
              <w:rPr>
                <w:rFonts w:hint="default"/>
                <w:sz w:val="21"/>
                <w:lang w:val="en-US" w:eastAsia="zh-CN"/>
              </w:rPr>
            </w:pPr>
            <w:r>
              <w:rPr>
                <w:rFonts w:hint="eastAsia"/>
                <w:sz w:val="21"/>
                <w:lang w:val="en-US" w:eastAsia="zh-CN"/>
              </w:rPr>
              <w:t>0</w:t>
            </w:r>
          </w:p>
        </w:tc>
        <w:tc>
          <w:tcPr>
            <w:tcW w:w="1803" w:type="dxa"/>
            <w:tcBorders>
              <w:top w:val="single" w:color="546080" w:sz="2" w:space="0"/>
              <w:left w:val="single" w:color="939397" w:sz="4" w:space="0"/>
              <w:bottom w:val="single" w:color="5B6080" w:sz="4" w:space="0"/>
              <w:right w:val="single" w:color="97939C" w:sz="4" w:space="0"/>
            </w:tcBorders>
            <w:vAlign w:val="center"/>
          </w:tcPr>
          <w:p>
            <w:pPr>
              <w:jc w:val="center"/>
              <w:rPr>
                <w:rFonts w:hint="default"/>
                <w:sz w:val="21"/>
                <w:lang w:val="en-US" w:eastAsia="zh-CN"/>
              </w:rPr>
            </w:pPr>
            <w:r>
              <w:rPr>
                <w:rFonts w:hint="eastAsia"/>
                <w:sz w:val="21"/>
                <w:lang w:val="en-US" w:eastAsia="zh-CN"/>
              </w:rPr>
              <w:t>0</w:t>
            </w:r>
          </w:p>
        </w:tc>
        <w:tc>
          <w:tcPr>
            <w:tcW w:w="1351" w:type="dxa"/>
            <w:tcBorders>
              <w:top w:val="single" w:color="74778C" w:sz="4" w:space="0"/>
              <w:left w:val="single" w:color="97939C" w:sz="4" w:space="0"/>
              <w:bottom w:val="single" w:color="5B6080" w:sz="4" w:space="0"/>
              <w:right w:val="single" w:color="3B3B3F" w:sz="8" w:space="0"/>
            </w:tcBorders>
            <w:vAlign w:val="center"/>
          </w:tcPr>
          <w:p>
            <w:pPr>
              <w:jc w:val="center"/>
              <w:rPr>
                <w:rFonts w:hint="default"/>
                <w:sz w:val="21"/>
                <w:lang w:val="en-US" w:eastAsia="zh-CN"/>
              </w:rPr>
            </w:pPr>
            <w:r>
              <w:rPr>
                <w:rFonts w:hint="eastAsia"/>
                <w:sz w:val="21"/>
                <w:lang w:val="en-US" w:eastAsia="zh-CN"/>
              </w:rPr>
              <w:t>0</w:t>
            </w:r>
          </w:p>
        </w:tc>
      </w:tr>
      <w:tr>
        <w:tblPrEx>
          <w:tblCellMar>
            <w:top w:w="0" w:type="dxa"/>
            <w:left w:w="0" w:type="dxa"/>
            <w:bottom w:w="0" w:type="dxa"/>
            <w:right w:w="0" w:type="dxa"/>
          </w:tblCellMar>
        </w:tblPrEx>
        <w:trPr>
          <w:trHeight w:val="621" w:hRule="exact"/>
        </w:trPr>
        <w:tc>
          <w:tcPr>
            <w:tcW w:w="8124" w:type="dxa"/>
            <w:gridSpan w:val="4"/>
            <w:tcBorders>
              <w:top w:val="single" w:color="5B6080" w:sz="4" w:space="0"/>
              <w:left w:val="single" w:color="3B3B44" w:sz="6" w:space="0"/>
              <w:bottom w:val="single" w:color="646B80" w:sz="4" w:space="0"/>
              <w:right w:val="single" w:color="3B3B3F" w:sz="8" w:space="0"/>
            </w:tcBorders>
          </w:tcPr>
          <w:p>
            <w:pPr>
              <w:tabs>
                <w:tab w:val="left" w:pos="1049"/>
              </w:tabs>
              <w:spacing w:before="140"/>
              <w:ind w:left="5"/>
              <w:jc w:val="center"/>
              <w:rPr>
                <w:sz w:val="21"/>
                <w:lang w:eastAsia="zh-CN"/>
              </w:rPr>
            </w:pPr>
            <w:r>
              <w:rPr>
                <w:sz w:val="21"/>
                <w:lang w:eastAsia="zh-CN"/>
              </w:rPr>
              <w:t>第二十条</w:t>
            </w:r>
            <w:r>
              <w:rPr>
                <w:sz w:val="21"/>
                <w:lang w:eastAsia="zh-CN"/>
              </w:rPr>
              <w:tab/>
            </w:r>
            <w:r>
              <w:rPr>
                <w:sz w:val="21"/>
                <w:lang w:eastAsia="zh-CN"/>
              </w:rPr>
              <w:t>第 （五</w:t>
            </w:r>
            <w:r>
              <w:rPr>
                <w:rFonts w:hint="eastAsia"/>
                <w:sz w:val="21"/>
                <w:lang w:eastAsia="zh-CN"/>
              </w:rPr>
              <w:t>）</w:t>
            </w:r>
            <w:r>
              <w:rPr>
                <w:sz w:val="21"/>
                <w:lang w:eastAsia="zh-CN"/>
              </w:rPr>
              <w:t xml:space="preserve"> 项</w:t>
            </w:r>
          </w:p>
        </w:tc>
      </w:tr>
      <w:tr>
        <w:tblPrEx>
          <w:tblCellMar>
            <w:top w:w="0" w:type="dxa"/>
            <w:left w:w="0" w:type="dxa"/>
            <w:bottom w:w="0" w:type="dxa"/>
            <w:right w:w="0" w:type="dxa"/>
          </w:tblCellMar>
        </w:tblPrEx>
        <w:trPr>
          <w:trHeight w:val="621" w:hRule="exact"/>
        </w:trPr>
        <w:tc>
          <w:tcPr>
            <w:tcW w:w="3284" w:type="dxa"/>
            <w:tcBorders>
              <w:top w:val="single" w:color="646B80" w:sz="4" w:space="0"/>
              <w:left w:val="single" w:color="3B3B44" w:sz="6" w:space="0"/>
              <w:bottom w:val="single" w:color="80676B" w:sz="4" w:space="0"/>
              <w:right w:val="single" w:color="878787" w:sz="4" w:space="0"/>
            </w:tcBorders>
          </w:tcPr>
          <w:p>
            <w:pPr>
              <w:spacing w:before="138"/>
              <w:ind w:right="17"/>
              <w:jc w:val="center"/>
              <w:rPr>
                <w:sz w:val="21"/>
                <w:lang w:eastAsia="zh-CN"/>
              </w:rPr>
            </w:pPr>
            <w:r>
              <w:rPr>
                <w:sz w:val="21"/>
                <w:lang w:eastAsia="zh-CN"/>
              </w:rPr>
              <w:t>信息内容</w:t>
            </w:r>
          </w:p>
        </w:tc>
        <w:tc>
          <w:tcPr>
            <w:tcW w:w="4840" w:type="dxa"/>
            <w:gridSpan w:val="3"/>
            <w:tcBorders>
              <w:top w:val="single" w:color="646B80" w:sz="4" w:space="0"/>
              <w:left w:val="single" w:color="878787" w:sz="4" w:space="0"/>
              <w:bottom w:val="single" w:color="7C7474" w:sz="4" w:space="0"/>
              <w:right w:val="single" w:color="3B3B3F" w:sz="8" w:space="0"/>
            </w:tcBorders>
          </w:tcPr>
          <w:p>
            <w:pPr>
              <w:spacing w:before="142"/>
              <w:ind w:right="16"/>
              <w:jc w:val="center"/>
              <w:rPr>
                <w:sz w:val="21"/>
                <w:lang w:eastAsia="zh-CN"/>
              </w:rPr>
            </w:pPr>
            <w:r>
              <w:rPr>
                <w:sz w:val="21"/>
                <w:lang w:eastAsia="zh-CN"/>
              </w:rPr>
              <w:t>本年处理决定数量</w:t>
            </w:r>
          </w:p>
        </w:tc>
      </w:tr>
      <w:tr>
        <w:tblPrEx>
          <w:tblCellMar>
            <w:top w:w="0" w:type="dxa"/>
            <w:left w:w="0" w:type="dxa"/>
            <w:bottom w:w="0" w:type="dxa"/>
            <w:right w:w="0" w:type="dxa"/>
          </w:tblCellMar>
        </w:tblPrEx>
        <w:trPr>
          <w:trHeight w:val="621" w:hRule="exact"/>
        </w:trPr>
        <w:tc>
          <w:tcPr>
            <w:tcW w:w="3284" w:type="dxa"/>
            <w:tcBorders>
              <w:top w:val="single" w:color="80676B" w:sz="4" w:space="0"/>
              <w:left w:val="single" w:color="3B3B44" w:sz="6" w:space="0"/>
              <w:bottom w:val="single" w:color="646487" w:sz="4" w:space="0"/>
              <w:right w:val="single" w:color="878787" w:sz="4" w:space="0"/>
            </w:tcBorders>
          </w:tcPr>
          <w:p>
            <w:pPr>
              <w:spacing w:before="140"/>
              <w:ind w:left="98"/>
              <w:jc w:val="left"/>
              <w:rPr>
                <w:sz w:val="21"/>
                <w:lang w:eastAsia="zh-CN"/>
              </w:rPr>
            </w:pPr>
            <w:r>
              <w:rPr>
                <w:sz w:val="21"/>
                <w:lang w:eastAsia="zh-CN"/>
              </w:rPr>
              <w:t>行政许可</w:t>
            </w:r>
          </w:p>
        </w:tc>
        <w:tc>
          <w:tcPr>
            <w:tcW w:w="4840" w:type="dxa"/>
            <w:gridSpan w:val="3"/>
            <w:tcBorders>
              <w:top w:val="single" w:color="7C7474" w:sz="4" w:space="0"/>
              <w:left w:val="single" w:color="878787" w:sz="4" w:space="0"/>
              <w:bottom w:val="single" w:color="646487" w:sz="4" w:space="0"/>
              <w:right w:val="single" w:color="3B3B3F" w:sz="8" w:space="0"/>
            </w:tcBorders>
            <w:vAlign w:val="center"/>
          </w:tcPr>
          <w:p>
            <w:pPr>
              <w:jc w:val="center"/>
              <w:rPr>
                <w:rFonts w:hint="default"/>
                <w:sz w:val="21"/>
                <w:lang w:val="en-US" w:eastAsia="zh-CN"/>
              </w:rPr>
            </w:pPr>
            <w:r>
              <w:rPr>
                <w:rFonts w:hint="eastAsia"/>
                <w:sz w:val="21"/>
                <w:lang w:val="en-US" w:eastAsia="zh-CN"/>
              </w:rPr>
              <w:t>0</w:t>
            </w:r>
          </w:p>
        </w:tc>
      </w:tr>
      <w:tr>
        <w:tblPrEx>
          <w:tblCellMar>
            <w:top w:w="0" w:type="dxa"/>
            <w:left w:w="0" w:type="dxa"/>
            <w:bottom w:w="0" w:type="dxa"/>
            <w:right w:w="0" w:type="dxa"/>
          </w:tblCellMar>
        </w:tblPrEx>
        <w:trPr>
          <w:trHeight w:val="623" w:hRule="exact"/>
        </w:trPr>
        <w:tc>
          <w:tcPr>
            <w:tcW w:w="8124" w:type="dxa"/>
            <w:gridSpan w:val="4"/>
            <w:tcBorders>
              <w:top w:val="single" w:color="646487" w:sz="4" w:space="0"/>
              <w:left w:val="single" w:color="3B3B44" w:sz="6" w:space="0"/>
              <w:bottom w:val="single" w:color="607087" w:sz="4" w:space="0"/>
              <w:right w:val="single" w:color="3B3B3F" w:sz="8" w:space="0"/>
            </w:tcBorders>
          </w:tcPr>
          <w:p>
            <w:pPr>
              <w:tabs>
                <w:tab w:val="left" w:pos="1059"/>
              </w:tabs>
              <w:spacing w:before="142"/>
              <w:ind w:left="15"/>
              <w:jc w:val="center"/>
              <w:rPr>
                <w:sz w:val="21"/>
                <w:lang w:eastAsia="zh-CN"/>
              </w:rPr>
            </w:pPr>
            <w:r>
              <w:rPr>
                <w:sz w:val="21"/>
                <w:lang w:eastAsia="zh-CN"/>
              </w:rPr>
              <w:t>第二十条</w:t>
            </w:r>
            <w:r>
              <w:rPr>
                <w:sz w:val="21"/>
                <w:lang w:eastAsia="zh-CN"/>
              </w:rPr>
              <w:tab/>
            </w:r>
            <w:r>
              <w:rPr>
                <w:sz w:val="21"/>
                <w:lang w:eastAsia="zh-CN"/>
              </w:rPr>
              <w:t>第 （六</w:t>
            </w:r>
            <w:r>
              <w:rPr>
                <w:rFonts w:hint="eastAsia"/>
                <w:sz w:val="21"/>
                <w:lang w:eastAsia="zh-CN"/>
              </w:rPr>
              <w:t>）</w:t>
            </w:r>
            <w:r>
              <w:rPr>
                <w:sz w:val="21"/>
                <w:lang w:eastAsia="zh-CN"/>
              </w:rPr>
              <w:t xml:space="preserve"> 项</w:t>
            </w:r>
          </w:p>
        </w:tc>
      </w:tr>
      <w:tr>
        <w:tblPrEx>
          <w:tblCellMar>
            <w:top w:w="0" w:type="dxa"/>
            <w:left w:w="0" w:type="dxa"/>
            <w:bottom w:w="0" w:type="dxa"/>
            <w:right w:w="0" w:type="dxa"/>
          </w:tblCellMar>
        </w:tblPrEx>
        <w:trPr>
          <w:trHeight w:val="627" w:hRule="exact"/>
        </w:trPr>
        <w:tc>
          <w:tcPr>
            <w:tcW w:w="3284" w:type="dxa"/>
            <w:tcBorders>
              <w:top w:val="single" w:color="607087" w:sz="4" w:space="0"/>
              <w:left w:val="single" w:color="3B3B44" w:sz="6" w:space="0"/>
              <w:bottom w:val="single" w:color="8C7774" w:sz="4" w:space="0"/>
              <w:right w:val="single" w:color="909093" w:sz="4" w:space="0"/>
            </w:tcBorders>
          </w:tcPr>
          <w:p>
            <w:pPr>
              <w:spacing w:before="142"/>
              <w:ind w:right="8"/>
              <w:jc w:val="center"/>
              <w:rPr>
                <w:sz w:val="21"/>
                <w:lang w:eastAsia="zh-CN"/>
              </w:rPr>
            </w:pPr>
            <w:r>
              <w:rPr>
                <w:sz w:val="21"/>
                <w:lang w:eastAsia="zh-CN"/>
              </w:rPr>
              <w:t>信息内容</w:t>
            </w:r>
          </w:p>
        </w:tc>
        <w:tc>
          <w:tcPr>
            <w:tcW w:w="4840" w:type="dxa"/>
            <w:gridSpan w:val="3"/>
            <w:tcBorders>
              <w:top w:val="single" w:color="607087" w:sz="4" w:space="0"/>
              <w:left w:val="single" w:color="909093" w:sz="4" w:space="0"/>
              <w:bottom w:val="single" w:color="747074" w:sz="4" w:space="0"/>
              <w:right w:val="single" w:color="3B3B3F" w:sz="8" w:space="0"/>
            </w:tcBorders>
          </w:tcPr>
          <w:p>
            <w:pPr>
              <w:spacing w:before="142"/>
              <w:ind w:right="13"/>
              <w:jc w:val="center"/>
              <w:rPr>
                <w:sz w:val="21"/>
                <w:lang w:eastAsia="zh-CN"/>
              </w:rPr>
            </w:pPr>
            <w:r>
              <w:rPr>
                <w:sz w:val="21"/>
                <w:lang w:eastAsia="zh-CN"/>
              </w:rPr>
              <w:t>本年处理决定数量</w:t>
            </w:r>
          </w:p>
        </w:tc>
      </w:tr>
      <w:tr>
        <w:tblPrEx>
          <w:tblCellMar>
            <w:top w:w="0" w:type="dxa"/>
            <w:left w:w="0" w:type="dxa"/>
            <w:bottom w:w="0" w:type="dxa"/>
            <w:right w:w="0" w:type="dxa"/>
          </w:tblCellMar>
        </w:tblPrEx>
        <w:trPr>
          <w:trHeight w:val="624" w:hRule="exact"/>
        </w:trPr>
        <w:tc>
          <w:tcPr>
            <w:tcW w:w="3284" w:type="dxa"/>
            <w:tcBorders>
              <w:top w:val="single" w:color="8C7774" w:sz="4" w:space="0"/>
              <w:left w:val="single" w:color="3B3B44" w:sz="6" w:space="0"/>
              <w:bottom w:val="single" w:color="7C6B74" w:sz="4" w:space="0"/>
              <w:right w:val="single" w:color="909093" w:sz="4" w:space="0"/>
            </w:tcBorders>
          </w:tcPr>
          <w:p>
            <w:pPr>
              <w:spacing w:before="139"/>
              <w:ind w:left="102"/>
              <w:jc w:val="left"/>
              <w:rPr>
                <w:sz w:val="21"/>
                <w:lang w:eastAsia="zh-CN"/>
              </w:rPr>
            </w:pPr>
            <w:r>
              <w:rPr>
                <w:sz w:val="21"/>
                <w:lang w:eastAsia="zh-CN"/>
              </w:rPr>
              <w:t>行政处罚</w:t>
            </w:r>
          </w:p>
        </w:tc>
        <w:tc>
          <w:tcPr>
            <w:tcW w:w="4840" w:type="dxa"/>
            <w:gridSpan w:val="3"/>
            <w:tcBorders>
              <w:top w:val="single" w:color="747074" w:sz="4" w:space="0"/>
              <w:left w:val="single" w:color="909093" w:sz="4" w:space="0"/>
              <w:bottom w:val="single" w:color="7C6B74" w:sz="4" w:space="0"/>
              <w:right w:val="single" w:color="3B3B3F" w:sz="8" w:space="0"/>
            </w:tcBorders>
            <w:vAlign w:val="center"/>
          </w:tcPr>
          <w:p>
            <w:pPr>
              <w:jc w:val="center"/>
              <w:rPr>
                <w:rFonts w:hint="default"/>
                <w:sz w:val="21"/>
                <w:lang w:val="en-US" w:eastAsia="zh-CN"/>
              </w:rPr>
            </w:pPr>
            <w:r>
              <w:rPr>
                <w:rFonts w:hint="eastAsia"/>
                <w:sz w:val="21"/>
                <w:lang w:val="en-US" w:eastAsia="zh-CN"/>
              </w:rPr>
              <w:t>0</w:t>
            </w:r>
          </w:p>
        </w:tc>
      </w:tr>
      <w:tr>
        <w:tblPrEx>
          <w:tblCellMar>
            <w:top w:w="0" w:type="dxa"/>
            <w:left w:w="0" w:type="dxa"/>
            <w:bottom w:w="0" w:type="dxa"/>
            <w:right w:w="0" w:type="dxa"/>
          </w:tblCellMar>
        </w:tblPrEx>
        <w:trPr>
          <w:trHeight w:val="618" w:hRule="exact"/>
        </w:trPr>
        <w:tc>
          <w:tcPr>
            <w:tcW w:w="3284" w:type="dxa"/>
            <w:tcBorders>
              <w:top w:val="single" w:color="7C6B74" w:sz="4" w:space="0"/>
              <w:left w:val="single" w:color="3B3B44" w:sz="6" w:space="0"/>
              <w:bottom w:val="single" w:color="646080" w:sz="4" w:space="0"/>
              <w:right w:val="single" w:color="909093" w:sz="4" w:space="0"/>
            </w:tcBorders>
          </w:tcPr>
          <w:p>
            <w:pPr>
              <w:spacing w:before="138"/>
              <w:ind w:left="107"/>
              <w:jc w:val="left"/>
              <w:rPr>
                <w:sz w:val="21"/>
                <w:lang w:eastAsia="zh-CN"/>
              </w:rPr>
            </w:pPr>
            <w:r>
              <w:rPr>
                <w:sz w:val="21"/>
                <w:lang w:eastAsia="zh-CN"/>
              </w:rPr>
              <w:t>行政强制</w:t>
            </w:r>
          </w:p>
        </w:tc>
        <w:tc>
          <w:tcPr>
            <w:tcW w:w="4840" w:type="dxa"/>
            <w:gridSpan w:val="3"/>
            <w:tcBorders>
              <w:top w:val="single" w:color="7C6B74" w:sz="4" w:space="0"/>
              <w:left w:val="single" w:color="909093" w:sz="4" w:space="0"/>
              <w:bottom w:val="single" w:color="646080" w:sz="4" w:space="0"/>
              <w:right w:val="single" w:color="3B3B3F" w:sz="8" w:space="0"/>
            </w:tcBorders>
            <w:vAlign w:val="center"/>
          </w:tcPr>
          <w:p>
            <w:pPr>
              <w:jc w:val="center"/>
              <w:rPr>
                <w:rFonts w:hint="default"/>
                <w:sz w:val="21"/>
                <w:lang w:val="en-US" w:eastAsia="zh-CN"/>
              </w:rPr>
            </w:pPr>
            <w:r>
              <w:rPr>
                <w:rFonts w:hint="eastAsia"/>
                <w:sz w:val="21"/>
                <w:lang w:val="en-US" w:eastAsia="zh-CN"/>
              </w:rPr>
              <w:t>0</w:t>
            </w:r>
          </w:p>
        </w:tc>
      </w:tr>
      <w:tr>
        <w:tblPrEx>
          <w:tblCellMar>
            <w:top w:w="0" w:type="dxa"/>
            <w:left w:w="0" w:type="dxa"/>
            <w:bottom w:w="0" w:type="dxa"/>
            <w:right w:w="0" w:type="dxa"/>
          </w:tblCellMar>
        </w:tblPrEx>
        <w:trPr>
          <w:trHeight w:val="626" w:hRule="exact"/>
        </w:trPr>
        <w:tc>
          <w:tcPr>
            <w:tcW w:w="8124" w:type="dxa"/>
            <w:gridSpan w:val="4"/>
            <w:tcBorders>
              <w:top w:val="single" w:color="646080" w:sz="4" w:space="0"/>
              <w:left w:val="single" w:color="3B3B44" w:sz="6" w:space="0"/>
              <w:bottom w:val="nil"/>
              <w:right w:val="single" w:color="3B3B3F" w:sz="8" w:space="0"/>
            </w:tcBorders>
          </w:tcPr>
          <w:p>
            <w:pPr>
              <w:tabs>
                <w:tab w:val="left" w:pos="1068"/>
              </w:tabs>
              <w:spacing w:before="142"/>
              <w:ind w:left="25"/>
              <w:jc w:val="center"/>
              <w:rPr>
                <w:sz w:val="21"/>
                <w:lang w:eastAsia="zh-CN"/>
              </w:rPr>
            </w:pPr>
            <w:r>
              <w:rPr>
                <w:sz w:val="21"/>
                <w:lang w:eastAsia="zh-CN"/>
              </w:rPr>
              <w:t>第二十条</w:t>
            </w:r>
            <w:r>
              <w:rPr>
                <w:sz w:val="21"/>
                <w:lang w:eastAsia="zh-CN"/>
              </w:rPr>
              <w:tab/>
            </w:r>
            <w:r>
              <w:rPr>
                <w:sz w:val="21"/>
                <w:lang w:eastAsia="zh-CN"/>
              </w:rPr>
              <w:t>第 （八） 项</w:t>
            </w:r>
          </w:p>
        </w:tc>
      </w:tr>
      <w:tr>
        <w:tblPrEx>
          <w:tblCellMar>
            <w:top w:w="0" w:type="dxa"/>
            <w:left w:w="0" w:type="dxa"/>
            <w:bottom w:w="0" w:type="dxa"/>
            <w:right w:w="0" w:type="dxa"/>
          </w:tblCellMar>
        </w:tblPrEx>
        <w:trPr>
          <w:trHeight w:val="621" w:hRule="exact"/>
        </w:trPr>
        <w:tc>
          <w:tcPr>
            <w:tcW w:w="3284" w:type="dxa"/>
            <w:tcBorders>
              <w:top w:val="single" w:color="6B747C" w:sz="4" w:space="0"/>
              <w:left w:val="single" w:color="5B5B60" w:sz="6" w:space="0"/>
              <w:bottom w:val="single" w:color="77778C" w:sz="4" w:space="0"/>
              <w:right w:val="single" w:color="auto" w:sz="4" w:space="0"/>
            </w:tcBorders>
          </w:tcPr>
          <w:p>
            <w:pPr>
              <w:spacing w:before="135"/>
              <w:ind w:right="1"/>
              <w:jc w:val="center"/>
              <w:rPr>
                <w:sz w:val="21"/>
                <w:lang w:eastAsia="zh-CN"/>
              </w:rPr>
            </w:pPr>
            <w:r>
              <w:rPr>
                <w:sz w:val="21"/>
                <w:lang w:eastAsia="zh-CN"/>
              </w:rPr>
              <w:t>信息内容</w:t>
            </w:r>
          </w:p>
        </w:tc>
        <w:tc>
          <w:tcPr>
            <w:tcW w:w="4840" w:type="dxa"/>
            <w:gridSpan w:val="3"/>
            <w:tcBorders>
              <w:top w:val="single" w:color="auto" w:sz="4" w:space="0"/>
              <w:left w:val="single" w:color="auto" w:sz="4" w:space="0"/>
              <w:bottom w:val="single" w:color="auto" w:sz="4" w:space="0"/>
              <w:right w:val="single" w:color="auto" w:sz="4" w:space="0"/>
            </w:tcBorders>
          </w:tcPr>
          <w:p>
            <w:pPr>
              <w:spacing w:before="145"/>
              <w:ind w:left="1446"/>
              <w:jc w:val="left"/>
              <w:rPr>
                <w:sz w:val="21"/>
                <w:lang w:eastAsia="zh-CN"/>
              </w:rPr>
            </w:pPr>
            <w:r>
              <w:rPr>
                <w:sz w:val="21"/>
                <w:lang w:eastAsia="zh-CN"/>
              </w:rPr>
              <w:t>本年收费金额  （单位 ：万元</w:t>
            </w:r>
            <w:r>
              <w:rPr>
                <w:rFonts w:hint="eastAsia"/>
                <w:sz w:val="21"/>
                <w:lang w:eastAsia="zh-CN"/>
              </w:rPr>
              <w:t>）</w:t>
            </w:r>
          </w:p>
        </w:tc>
      </w:tr>
      <w:tr>
        <w:tblPrEx>
          <w:tblCellMar>
            <w:top w:w="0" w:type="dxa"/>
            <w:left w:w="0" w:type="dxa"/>
            <w:bottom w:w="0" w:type="dxa"/>
            <w:right w:w="0" w:type="dxa"/>
          </w:tblCellMar>
        </w:tblPrEx>
        <w:trPr>
          <w:trHeight w:val="626" w:hRule="exact"/>
        </w:trPr>
        <w:tc>
          <w:tcPr>
            <w:tcW w:w="3284" w:type="dxa"/>
            <w:tcBorders>
              <w:top w:val="single" w:color="77778C" w:sz="4" w:space="0"/>
              <w:left w:val="single" w:color="5B5B60" w:sz="6" w:space="0"/>
              <w:bottom w:val="single" w:color="3B383F" w:sz="8" w:space="0"/>
              <w:right w:val="single" w:color="8C8C93" w:sz="2" w:space="0"/>
            </w:tcBorders>
          </w:tcPr>
          <w:p>
            <w:pPr>
              <w:spacing w:before="138"/>
              <w:ind w:left="107"/>
              <w:jc w:val="left"/>
              <w:rPr>
                <w:sz w:val="21"/>
                <w:lang w:eastAsia="zh-CN"/>
              </w:rPr>
            </w:pPr>
            <w:r>
              <w:rPr>
                <w:sz w:val="21"/>
                <w:lang w:eastAsia="zh-CN"/>
              </w:rPr>
              <w:t>行政事业性收费</w:t>
            </w:r>
          </w:p>
        </w:tc>
        <w:tc>
          <w:tcPr>
            <w:tcW w:w="4840" w:type="dxa"/>
            <w:gridSpan w:val="3"/>
            <w:tcBorders>
              <w:top w:val="single" w:color="77778C" w:sz="4" w:space="0"/>
              <w:left w:val="single" w:color="8C8C93" w:sz="2" w:space="0"/>
              <w:bottom w:val="single" w:color="3B383F" w:sz="8" w:space="0"/>
              <w:right w:val="single" w:color="3B3B44" w:sz="8" w:space="0"/>
            </w:tcBorders>
            <w:vAlign w:val="center"/>
          </w:tcPr>
          <w:p>
            <w:pPr>
              <w:jc w:val="center"/>
              <w:rPr>
                <w:rFonts w:hint="default"/>
                <w:sz w:val="21"/>
                <w:lang w:val="en-US" w:eastAsia="zh-CN"/>
              </w:rPr>
            </w:pPr>
            <w:r>
              <w:rPr>
                <w:rFonts w:hint="eastAsia"/>
                <w:sz w:val="21"/>
                <w:lang w:val="en-US" w:eastAsia="zh-CN"/>
              </w:rPr>
              <w:t>0</w:t>
            </w:r>
          </w:p>
        </w:tc>
      </w:tr>
    </w:tbl>
    <w:p>
      <w:pPr>
        <w:rPr>
          <w:rFonts w:ascii="黑体" w:hAnsi="黑体" w:eastAsia="黑体"/>
          <w:sz w:val="32"/>
          <w:szCs w:val="32"/>
        </w:rPr>
      </w:pPr>
    </w:p>
    <w:p>
      <w:pPr>
        <w:ind w:firstLine="640" w:firstLineChars="200"/>
        <w:rPr>
          <w:rFonts w:ascii="黑体" w:hAnsi="黑体" w:eastAsia="黑体"/>
          <w:sz w:val="32"/>
          <w:szCs w:val="32"/>
        </w:rPr>
      </w:pPr>
      <w:r>
        <w:rPr>
          <w:rFonts w:hint="eastAsia" w:ascii="黑体" w:hAnsi="黑体" w:eastAsia="黑体"/>
          <w:sz w:val="32"/>
          <w:szCs w:val="32"/>
        </w:rPr>
        <w:t>三、收到和处理政府信息公开申请情况</w:t>
      </w:r>
    </w:p>
    <w:tbl>
      <w:tblPr>
        <w:tblStyle w:val="6"/>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525"/>
        <w:gridCol w:w="2634"/>
        <w:gridCol w:w="554"/>
        <w:gridCol w:w="693"/>
        <w:gridCol w:w="692"/>
        <w:gridCol w:w="693"/>
        <w:gridCol w:w="693"/>
        <w:gridCol w:w="695"/>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713" w:type="dxa"/>
            <w:gridSpan w:val="3"/>
            <w:vMerge w:val="restart"/>
            <w:vAlign w:val="center"/>
          </w:tcPr>
          <w:p>
            <w:r>
              <w:rPr>
                <w:rFonts w:hint="eastAsia"/>
              </w:rPr>
              <w:t>（本列数据的勾稽关系为：第一项加第二项之和，等于第三项加第四项之和）</w:t>
            </w:r>
          </w:p>
        </w:tc>
        <w:tc>
          <w:tcPr>
            <w:tcW w:w="4685" w:type="dxa"/>
            <w:gridSpan w:val="7"/>
            <w:vAlign w:val="center"/>
          </w:tcPr>
          <w:p>
            <w:pPr>
              <w:jc w:val="center"/>
              <w:rPr>
                <w:szCs w:val="21"/>
              </w:rPr>
            </w:pPr>
            <w:r>
              <w:rPr>
                <w:rFonts w:hint="eastAsia"/>
                <w:szCs w:val="21"/>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713" w:type="dxa"/>
            <w:gridSpan w:val="3"/>
            <w:vMerge w:val="continue"/>
          </w:tcPr>
          <w:p/>
        </w:tc>
        <w:tc>
          <w:tcPr>
            <w:tcW w:w="554" w:type="dxa"/>
            <w:vMerge w:val="restart"/>
            <w:vAlign w:val="center"/>
          </w:tcPr>
          <w:p>
            <w:pPr>
              <w:jc w:val="center"/>
              <w:rPr>
                <w:sz w:val="18"/>
                <w:szCs w:val="18"/>
              </w:rPr>
            </w:pPr>
            <w:r>
              <w:rPr>
                <w:rFonts w:hint="eastAsia"/>
                <w:szCs w:val="21"/>
              </w:rPr>
              <w:t>自然人</w:t>
            </w:r>
          </w:p>
        </w:tc>
        <w:tc>
          <w:tcPr>
            <w:tcW w:w="3466" w:type="dxa"/>
            <w:gridSpan w:val="5"/>
            <w:vAlign w:val="center"/>
          </w:tcPr>
          <w:p>
            <w:pPr>
              <w:jc w:val="center"/>
              <w:rPr>
                <w:szCs w:val="21"/>
              </w:rPr>
            </w:pPr>
            <w:r>
              <w:rPr>
                <w:rFonts w:hint="eastAsia"/>
                <w:szCs w:val="21"/>
              </w:rPr>
              <w:t>法人或其他组织</w:t>
            </w:r>
          </w:p>
        </w:tc>
        <w:tc>
          <w:tcPr>
            <w:tcW w:w="665" w:type="dxa"/>
            <w:vMerge w:val="restart"/>
            <w:vAlign w:val="center"/>
          </w:tcPr>
          <w:p>
            <w:pPr>
              <w:rPr>
                <w:szCs w:val="21"/>
              </w:rPr>
            </w:pPr>
            <w:r>
              <w:rPr>
                <w:rFonts w:hint="eastAsia"/>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4713" w:type="dxa"/>
            <w:gridSpan w:val="3"/>
            <w:vMerge w:val="continue"/>
          </w:tcPr>
          <w:p/>
        </w:tc>
        <w:tc>
          <w:tcPr>
            <w:tcW w:w="554" w:type="dxa"/>
            <w:vMerge w:val="continue"/>
          </w:tcPr>
          <w:p>
            <w:pPr>
              <w:rPr>
                <w:sz w:val="18"/>
                <w:szCs w:val="18"/>
              </w:rPr>
            </w:pPr>
          </w:p>
        </w:tc>
        <w:tc>
          <w:tcPr>
            <w:tcW w:w="693" w:type="dxa"/>
            <w:vAlign w:val="center"/>
          </w:tcPr>
          <w:p>
            <w:pPr>
              <w:rPr>
                <w:szCs w:val="21"/>
              </w:rPr>
            </w:pPr>
            <w:r>
              <w:rPr>
                <w:rFonts w:hint="eastAsia"/>
                <w:szCs w:val="21"/>
              </w:rPr>
              <w:t>商业企业</w:t>
            </w:r>
          </w:p>
        </w:tc>
        <w:tc>
          <w:tcPr>
            <w:tcW w:w="692" w:type="dxa"/>
            <w:vAlign w:val="center"/>
          </w:tcPr>
          <w:p>
            <w:pPr>
              <w:rPr>
                <w:szCs w:val="21"/>
              </w:rPr>
            </w:pPr>
            <w:r>
              <w:rPr>
                <w:rFonts w:hint="eastAsia"/>
                <w:szCs w:val="21"/>
              </w:rPr>
              <w:t>科研机构</w:t>
            </w:r>
          </w:p>
        </w:tc>
        <w:tc>
          <w:tcPr>
            <w:tcW w:w="693" w:type="dxa"/>
            <w:vAlign w:val="center"/>
          </w:tcPr>
          <w:p>
            <w:pPr>
              <w:rPr>
                <w:szCs w:val="21"/>
              </w:rPr>
            </w:pPr>
            <w:r>
              <w:rPr>
                <w:rFonts w:hint="eastAsia"/>
                <w:szCs w:val="21"/>
              </w:rPr>
              <w:t>社会公益组织</w:t>
            </w:r>
          </w:p>
        </w:tc>
        <w:tc>
          <w:tcPr>
            <w:tcW w:w="693" w:type="dxa"/>
            <w:vAlign w:val="center"/>
          </w:tcPr>
          <w:p>
            <w:pPr>
              <w:rPr>
                <w:szCs w:val="21"/>
              </w:rPr>
            </w:pPr>
            <w:r>
              <w:rPr>
                <w:rFonts w:hint="eastAsia"/>
                <w:szCs w:val="21"/>
              </w:rPr>
              <w:t>法律服务机构</w:t>
            </w:r>
          </w:p>
        </w:tc>
        <w:tc>
          <w:tcPr>
            <w:tcW w:w="695" w:type="dxa"/>
            <w:vAlign w:val="center"/>
          </w:tcPr>
          <w:p>
            <w:pPr>
              <w:rPr>
                <w:szCs w:val="21"/>
              </w:rPr>
            </w:pPr>
            <w:r>
              <w:rPr>
                <w:rFonts w:hint="eastAsia"/>
                <w:szCs w:val="21"/>
              </w:rPr>
              <w:t>其他</w:t>
            </w:r>
          </w:p>
        </w:tc>
        <w:tc>
          <w:tcPr>
            <w:tcW w:w="665" w:type="dxa"/>
            <w:vMerge w:val="continue"/>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713" w:type="dxa"/>
            <w:gridSpan w:val="3"/>
          </w:tcPr>
          <w:p>
            <w:r>
              <w:rPr>
                <w:rFonts w:hint="eastAsia"/>
              </w:rPr>
              <w:t>一、本年新收政府信息公开申请数量</w:t>
            </w:r>
          </w:p>
        </w:tc>
        <w:tc>
          <w:tcPr>
            <w:tcW w:w="554" w:type="dxa"/>
            <w:vAlign w:val="center"/>
          </w:tcPr>
          <w:p>
            <w:pPr>
              <w:jc w:val="center"/>
              <w:rPr>
                <w:rFonts w:hint="eastAsia" w:eastAsiaTheme="minorEastAsia"/>
                <w:lang w:val="en-US" w:eastAsia="zh-CN"/>
              </w:rPr>
            </w:pPr>
            <w:r>
              <w:rPr>
                <w:rFonts w:hint="eastAsia"/>
                <w:lang w:val="en-US" w:eastAsia="zh-CN"/>
              </w:rPr>
              <w:t>0</w:t>
            </w:r>
          </w:p>
        </w:tc>
        <w:tc>
          <w:tcPr>
            <w:tcW w:w="693" w:type="dxa"/>
            <w:vAlign w:val="center"/>
          </w:tcPr>
          <w:p>
            <w:pPr>
              <w:jc w:val="center"/>
              <w:rPr>
                <w:szCs w:val="21"/>
              </w:rPr>
            </w:pPr>
            <w:r>
              <w:rPr>
                <w:rFonts w:hint="eastAsia"/>
                <w:lang w:val="en-US" w:eastAsia="zh-CN"/>
              </w:rPr>
              <w:t>0</w:t>
            </w:r>
          </w:p>
        </w:tc>
        <w:tc>
          <w:tcPr>
            <w:tcW w:w="692" w:type="dxa"/>
            <w:vAlign w:val="center"/>
          </w:tcPr>
          <w:p>
            <w:pPr>
              <w:jc w:val="center"/>
              <w:rPr>
                <w:szCs w:val="21"/>
              </w:rPr>
            </w:pPr>
            <w:r>
              <w:rPr>
                <w:rFonts w:hint="eastAsia"/>
                <w:lang w:val="en-US" w:eastAsia="zh-CN"/>
              </w:rPr>
              <w:t>0</w:t>
            </w:r>
          </w:p>
        </w:tc>
        <w:tc>
          <w:tcPr>
            <w:tcW w:w="693" w:type="dxa"/>
            <w:vAlign w:val="center"/>
          </w:tcPr>
          <w:p>
            <w:pPr>
              <w:jc w:val="center"/>
              <w:rPr>
                <w:szCs w:val="21"/>
              </w:rPr>
            </w:pPr>
            <w:r>
              <w:rPr>
                <w:rFonts w:hint="eastAsia"/>
                <w:lang w:val="en-US" w:eastAsia="zh-CN"/>
              </w:rPr>
              <w:t>0</w:t>
            </w:r>
          </w:p>
        </w:tc>
        <w:tc>
          <w:tcPr>
            <w:tcW w:w="693" w:type="dxa"/>
            <w:vAlign w:val="center"/>
          </w:tcPr>
          <w:p>
            <w:pPr>
              <w:jc w:val="center"/>
              <w:rPr>
                <w:szCs w:val="21"/>
              </w:rPr>
            </w:pPr>
            <w:r>
              <w:rPr>
                <w:rFonts w:hint="eastAsia"/>
                <w:lang w:val="en-US" w:eastAsia="zh-CN"/>
              </w:rPr>
              <w:t>0</w:t>
            </w:r>
          </w:p>
        </w:tc>
        <w:tc>
          <w:tcPr>
            <w:tcW w:w="695" w:type="dxa"/>
            <w:vAlign w:val="center"/>
          </w:tcPr>
          <w:p>
            <w:pPr>
              <w:jc w:val="center"/>
              <w:rPr>
                <w:szCs w:val="21"/>
              </w:rPr>
            </w:pPr>
            <w:r>
              <w:rPr>
                <w:rFonts w:hint="eastAsia"/>
                <w:lang w:val="en-US" w:eastAsia="zh-CN"/>
              </w:rPr>
              <w:t>0</w:t>
            </w:r>
          </w:p>
        </w:tc>
        <w:tc>
          <w:tcPr>
            <w:tcW w:w="665" w:type="dxa"/>
            <w:vAlign w:val="center"/>
          </w:tcPr>
          <w:p>
            <w:pPr>
              <w:jc w:val="center"/>
              <w:rPr>
                <w:szCs w:val="21"/>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713" w:type="dxa"/>
            <w:gridSpan w:val="3"/>
          </w:tcPr>
          <w:p>
            <w:r>
              <w:rPr>
                <w:rFonts w:hint="eastAsia"/>
              </w:rPr>
              <w:t>二、上年结转政府信息公开申请数量</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54" w:type="dxa"/>
            <w:vMerge w:val="restart"/>
            <w:vAlign w:val="center"/>
          </w:tcPr>
          <w:p>
            <w:r>
              <w:rPr>
                <w:rFonts w:hint="eastAsia"/>
              </w:rPr>
              <w:t>三、本年度办理结果</w:t>
            </w:r>
          </w:p>
        </w:tc>
        <w:tc>
          <w:tcPr>
            <w:tcW w:w="4159" w:type="dxa"/>
            <w:gridSpan w:val="2"/>
          </w:tcPr>
          <w:p>
            <w:pPr>
              <w:rPr>
                <w:rFonts w:asciiTheme="minorEastAsia" w:hAnsiTheme="minorEastAsia"/>
                <w:sz w:val="18"/>
                <w:szCs w:val="18"/>
              </w:rPr>
            </w:pPr>
            <w:r>
              <w:rPr>
                <w:rFonts w:hint="eastAsia" w:asciiTheme="minorEastAsia" w:hAnsiTheme="minorEastAsia"/>
                <w:sz w:val="18"/>
                <w:szCs w:val="18"/>
              </w:rPr>
              <w:t>（一）予以公开</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4159" w:type="dxa"/>
            <w:gridSpan w:val="2"/>
          </w:tcPr>
          <w:p>
            <w:pPr>
              <w:rPr>
                <w:rFonts w:asciiTheme="minorEastAsia" w:hAnsiTheme="minorEastAsia"/>
                <w:sz w:val="18"/>
                <w:szCs w:val="18"/>
              </w:rPr>
            </w:pPr>
            <w:r>
              <w:rPr>
                <w:rFonts w:hint="eastAsia" w:asciiTheme="minorEastAsia" w:hAnsiTheme="minorEastAsia"/>
                <w:sz w:val="18"/>
                <w:szCs w:val="18"/>
              </w:rPr>
              <w:t>（二）部分公开（区分处理的，只计这一情形，不计其他情形）</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54" w:type="dxa"/>
            <w:vMerge w:val="continue"/>
          </w:tcPr>
          <w:p/>
        </w:tc>
        <w:tc>
          <w:tcPr>
            <w:tcW w:w="1525" w:type="dxa"/>
            <w:vMerge w:val="restart"/>
            <w:vAlign w:val="center"/>
          </w:tcPr>
          <w:p>
            <w:pPr>
              <w:rPr>
                <w:rFonts w:asciiTheme="minorEastAsia" w:hAnsiTheme="minorEastAsia"/>
                <w:sz w:val="18"/>
                <w:szCs w:val="18"/>
              </w:rPr>
            </w:pPr>
            <w:r>
              <w:rPr>
                <w:rFonts w:hint="eastAsia" w:asciiTheme="minorEastAsia" w:hAnsiTheme="minorEastAsia"/>
                <w:sz w:val="18"/>
                <w:szCs w:val="18"/>
              </w:rPr>
              <w:t>（三）不予公开</w:t>
            </w:r>
          </w:p>
        </w:tc>
        <w:tc>
          <w:tcPr>
            <w:tcW w:w="2634" w:type="dxa"/>
          </w:tcPr>
          <w:p>
            <w:pPr>
              <w:rPr>
                <w:rFonts w:asciiTheme="minorEastAsia" w:hAnsiTheme="minorEastAsia"/>
                <w:sz w:val="18"/>
                <w:szCs w:val="18"/>
              </w:rPr>
            </w:pPr>
            <w:r>
              <w:rPr>
                <w:rFonts w:asciiTheme="minorEastAsia" w:hAnsiTheme="minorEastAsia"/>
                <w:sz w:val="18"/>
                <w:szCs w:val="18"/>
              </w:rPr>
              <w:t>1</w:t>
            </w:r>
            <w:r>
              <w:rPr>
                <w:rFonts w:hint="eastAsia" w:asciiTheme="minorEastAsia" w:hAnsiTheme="minorEastAsia"/>
                <w:sz w:val="18"/>
                <w:szCs w:val="18"/>
              </w:rPr>
              <w:t>．属于国家秘密</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dxa"/>
            <w:vMerge w:val="continue"/>
          </w:tcPr>
          <w:p/>
        </w:tc>
        <w:tc>
          <w:tcPr>
            <w:tcW w:w="1525" w:type="dxa"/>
            <w:vMerge w:val="continue"/>
            <w:vAlign w:val="center"/>
          </w:tcPr>
          <w:p>
            <w:pPr>
              <w:rPr>
                <w:rFonts w:asciiTheme="minorEastAsia" w:hAnsiTheme="minorEastAsia"/>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2．其他法律行政法规禁止公开</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3．危及“三安全一稳定”</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4．保护第三方合法权益</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5．属于三类内部事务信息</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6．属于四类过程性信息</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7．属于行政执法案卷</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8．属于行政查询事项</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54" w:type="dxa"/>
            <w:vMerge w:val="continue"/>
          </w:tcPr>
          <w:p/>
        </w:tc>
        <w:tc>
          <w:tcPr>
            <w:tcW w:w="1525" w:type="dxa"/>
            <w:vMerge w:val="restart"/>
            <w:vAlign w:val="center"/>
          </w:tcPr>
          <w:p>
            <w:pPr>
              <w:rPr>
                <w:sz w:val="18"/>
                <w:szCs w:val="18"/>
              </w:rPr>
            </w:pPr>
            <w:r>
              <w:rPr>
                <w:rFonts w:hint="eastAsia"/>
                <w:sz w:val="18"/>
                <w:szCs w:val="18"/>
              </w:rPr>
              <w:t>（四）无法提供</w:t>
            </w:r>
          </w:p>
        </w:tc>
        <w:tc>
          <w:tcPr>
            <w:tcW w:w="2634" w:type="dxa"/>
          </w:tcPr>
          <w:p>
            <w:pPr>
              <w:rPr>
                <w:rFonts w:asciiTheme="minorEastAsia" w:hAnsiTheme="minorEastAsia"/>
                <w:sz w:val="18"/>
                <w:szCs w:val="18"/>
              </w:rPr>
            </w:pPr>
            <w:r>
              <w:rPr>
                <w:rFonts w:hint="eastAsia" w:asciiTheme="minorEastAsia" w:hAnsiTheme="minorEastAsia"/>
                <w:sz w:val="18"/>
                <w:szCs w:val="18"/>
              </w:rPr>
              <w:t>1．本机关不掌握相关政府信息</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2．没有现成信息需要另行制作</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3．补正后申请内容仍不明确</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54" w:type="dxa"/>
            <w:vMerge w:val="continue"/>
          </w:tcPr>
          <w:p/>
        </w:tc>
        <w:tc>
          <w:tcPr>
            <w:tcW w:w="1525" w:type="dxa"/>
            <w:vMerge w:val="restart"/>
            <w:vAlign w:val="center"/>
          </w:tcPr>
          <w:p>
            <w:pPr>
              <w:rPr>
                <w:sz w:val="18"/>
                <w:szCs w:val="18"/>
              </w:rPr>
            </w:pPr>
            <w:r>
              <w:rPr>
                <w:rFonts w:hint="eastAsia"/>
                <w:sz w:val="18"/>
                <w:szCs w:val="18"/>
              </w:rPr>
              <w:t>（五）</w:t>
            </w:r>
            <w:r>
              <w:rPr>
                <w:rFonts w:hint="eastAsia" w:asciiTheme="minorEastAsia" w:hAnsiTheme="minorEastAsia"/>
                <w:sz w:val="18"/>
                <w:szCs w:val="18"/>
              </w:rPr>
              <w:t>不予处理</w:t>
            </w:r>
          </w:p>
        </w:tc>
        <w:tc>
          <w:tcPr>
            <w:tcW w:w="2634" w:type="dxa"/>
          </w:tcPr>
          <w:p>
            <w:pPr>
              <w:rPr>
                <w:rFonts w:asciiTheme="minorEastAsia" w:hAnsiTheme="minorEastAsia"/>
                <w:sz w:val="18"/>
                <w:szCs w:val="18"/>
              </w:rPr>
            </w:pPr>
            <w:r>
              <w:rPr>
                <w:rFonts w:hint="eastAsia" w:asciiTheme="minorEastAsia" w:hAnsiTheme="minorEastAsia"/>
                <w:sz w:val="18"/>
                <w:szCs w:val="18"/>
              </w:rPr>
              <w:t>1．信访举报投诉类申请</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1525" w:type="dxa"/>
            <w:vMerge w:val="continue"/>
          </w:tcPr>
          <w:p/>
        </w:tc>
        <w:tc>
          <w:tcPr>
            <w:tcW w:w="2634" w:type="dxa"/>
          </w:tcPr>
          <w:p>
            <w:pPr>
              <w:rPr>
                <w:rFonts w:asciiTheme="minorEastAsia" w:hAnsiTheme="minorEastAsia"/>
                <w:sz w:val="18"/>
                <w:szCs w:val="18"/>
              </w:rPr>
            </w:pPr>
            <w:r>
              <w:rPr>
                <w:rFonts w:hint="eastAsia" w:asciiTheme="minorEastAsia" w:hAnsiTheme="minorEastAsia"/>
                <w:sz w:val="18"/>
                <w:szCs w:val="18"/>
              </w:rPr>
              <w:t>2．重复申请</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54" w:type="dxa"/>
            <w:vMerge w:val="continue"/>
          </w:tcPr>
          <w:p/>
        </w:tc>
        <w:tc>
          <w:tcPr>
            <w:tcW w:w="1525" w:type="dxa"/>
            <w:vMerge w:val="continue"/>
          </w:tcPr>
          <w:p/>
        </w:tc>
        <w:tc>
          <w:tcPr>
            <w:tcW w:w="2634" w:type="dxa"/>
          </w:tcPr>
          <w:p>
            <w:pPr>
              <w:rPr>
                <w:rFonts w:asciiTheme="minorEastAsia" w:hAnsiTheme="minorEastAsia"/>
                <w:sz w:val="18"/>
                <w:szCs w:val="18"/>
              </w:rPr>
            </w:pPr>
            <w:r>
              <w:rPr>
                <w:rFonts w:asciiTheme="minorEastAsia" w:hAnsiTheme="minorEastAsia"/>
                <w:sz w:val="18"/>
                <w:szCs w:val="18"/>
              </w:rPr>
              <w:t>3</w:t>
            </w:r>
            <w:r>
              <w:rPr>
                <w:rFonts w:hint="eastAsia" w:asciiTheme="minorEastAsia" w:hAnsiTheme="minorEastAsia"/>
                <w:sz w:val="18"/>
                <w:szCs w:val="18"/>
              </w:rPr>
              <w:t>．要求提供公开出版物</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54" w:type="dxa"/>
            <w:vMerge w:val="continue"/>
          </w:tcPr>
          <w:p/>
        </w:tc>
        <w:tc>
          <w:tcPr>
            <w:tcW w:w="1525" w:type="dxa"/>
            <w:vMerge w:val="continue"/>
          </w:tcPr>
          <w:p/>
        </w:tc>
        <w:tc>
          <w:tcPr>
            <w:tcW w:w="2634" w:type="dxa"/>
          </w:tcPr>
          <w:p>
            <w:pPr>
              <w:rPr>
                <w:rFonts w:asciiTheme="minorEastAsia" w:hAnsiTheme="minorEastAsia"/>
                <w:sz w:val="18"/>
                <w:szCs w:val="18"/>
              </w:rPr>
            </w:pPr>
            <w:r>
              <w:rPr>
                <w:rFonts w:hint="eastAsia" w:asciiTheme="minorEastAsia" w:hAnsiTheme="minorEastAsia"/>
                <w:sz w:val="18"/>
                <w:szCs w:val="18"/>
              </w:rPr>
              <w:t>4．无正当理由大量反复申请</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1525" w:type="dxa"/>
            <w:vMerge w:val="continue"/>
          </w:tcPr>
          <w:p/>
        </w:tc>
        <w:tc>
          <w:tcPr>
            <w:tcW w:w="2634" w:type="dxa"/>
          </w:tcPr>
          <w:p>
            <w:pPr>
              <w:ind w:left="180" w:hanging="180" w:hangingChars="100"/>
              <w:rPr>
                <w:rFonts w:asciiTheme="minorEastAsia" w:hAnsiTheme="minorEastAsia"/>
                <w:sz w:val="18"/>
                <w:szCs w:val="18"/>
              </w:rPr>
            </w:pPr>
            <w:r>
              <w:rPr>
                <w:rFonts w:hint="eastAsia" w:asciiTheme="minorEastAsia" w:hAnsiTheme="minorEastAsia"/>
                <w:sz w:val="18"/>
                <w:szCs w:val="18"/>
              </w:rPr>
              <w:t>5．要求行政机关确认或重新出具已获取信息</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1525" w:type="dxa"/>
            <w:vMerge w:val="restart"/>
            <w:vAlign w:val="center"/>
          </w:tcPr>
          <w:p>
            <w:r>
              <w:rPr>
                <w:rFonts w:hint="eastAsia"/>
                <w:sz w:val="18"/>
                <w:szCs w:val="18"/>
              </w:rPr>
              <w:t>（六）其他处理</w:t>
            </w:r>
          </w:p>
        </w:tc>
        <w:tc>
          <w:tcPr>
            <w:tcW w:w="2634" w:type="dxa"/>
          </w:tcPr>
          <w:p>
            <w:pPr>
              <w:ind w:left="180" w:hanging="180" w:hangingChars="100"/>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w:t>
            </w:r>
            <w:r>
              <w:rPr>
                <w:rFonts w:hint="eastAsia" w:asciiTheme="minorEastAsia" w:hAnsiTheme="minorEastAsia"/>
                <w:sz w:val="18"/>
                <w:szCs w:val="18"/>
              </w:rPr>
              <w:t>申请人无正当理由逾期不补正、行政机关不再处理其政府信息公开申请</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1525" w:type="dxa"/>
            <w:vMerge w:val="continue"/>
          </w:tcPr>
          <w:p/>
        </w:tc>
        <w:tc>
          <w:tcPr>
            <w:tcW w:w="2634" w:type="dxa"/>
          </w:tcPr>
          <w:p>
            <w:pPr>
              <w:ind w:left="180" w:hanging="180" w:hangingChars="100"/>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w:t>
            </w:r>
            <w:r>
              <w:rPr>
                <w:rFonts w:hint="eastAsia" w:asciiTheme="minorEastAsia" w:hAnsiTheme="minorEastAsia"/>
                <w:sz w:val="18"/>
                <w:szCs w:val="18"/>
              </w:rPr>
              <w:t>申请人逾期未按收费通知 要求缴纳费用、行政机关不再处理其政府信息公开申请</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1525" w:type="dxa"/>
            <w:vMerge w:val="continue"/>
          </w:tcPr>
          <w:p/>
        </w:tc>
        <w:tc>
          <w:tcPr>
            <w:tcW w:w="2634" w:type="dxa"/>
          </w:tcPr>
          <w:p>
            <w:pPr>
              <w:ind w:left="180" w:hanging="180" w:hangingChars="100"/>
              <w:rPr>
                <w:rFonts w:asciiTheme="minorEastAsia" w:hAnsiTheme="minorEastAsia"/>
                <w:sz w:val="18"/>
                <w:szCs w:val="18"/>
              </w:rPr>
            </w:pPr>
            <w:r>
              <w:rPr>
                <w:rFonts w:hint="eastAsia" w:asciiTheme="minorEastAsia" w:hAnsiTheme="minorEastAsia"/>
                <w:sz w:val="18"/>
                <w:szCs w:val="18"/>
              </w:rPr>
              <w:t>3</w:t>
            </w:r>
            <w:r>
              <w:rPr>
                <w:rFonts w:asciiTheme="minorEastAsia" w:hAnsiTheme="minorEastAsia"/>
                <w:sz w:val="18"/>
                <w:szCs w:val="18"/>
              </w:rPr>
              <w:t>.</w:t>
            </w:r>
            <w:r>
              <w:rPr>
                <w:rFonts w:hint="eastAsia" w:asciiTheme="minorEastAsia" w:hAnsiTheme="minorEastAsia"/>
                <w:sz w:val="18"/>
                <w:szCs w:val="18"/>
              </w:rPr>
              <w:t>其他</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54" w:type="dxa"/>
            <w:vMerge w:val="continue"/>
          </w:tcPr>
          <w:p/>
        </w:tc>
        <w:tc>
          <w:tcPr>
            <w:tcW w:w="4159" w:type="dxa"/>
            <w:gridSpan w:val="2"/>
            <w:vAlign w:val="center"/>
          </w:tcPr>
          <w:p>
            <w:pPr>
              <w:rPr>
                <w:sz w:val="18"/>
                <w:szCs w:val="18"/>
              </w:rPr>
            </w:pPr>
            <w:r>
              <w:rPr>
                <w:rFonts w:hint="eastAsia"/>
                <w:sz w:val="18"/>
                <w:szCs w:val="18"/>
              </w:rPr>
              <w:t>（七）总计</w:t>
            </w:r>
          </w:p>
        </w:tc>
        <w:tc>
          <w:tcPr>
            <w:tcW w:w="554" w:type="dxa"/>
            <w:vAlign w:val="center"/>
          </w:tcPr>
          <w:p>
            <w:pPr>
              <w:jc w:val="center"/>
              <w:rPr>
                <w:rFonts w:hint="eastAsia" w:eastAsiaTheme="minorEastAsia"/>
                <w:lang w:val="en-US" w:eastAsia="zh-CN"/>
              </w:rP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13" w:type="dxa"/>
            <w:gridSpan w:val="3"/>
            <w:vAlign w:val="center"/>
          </w:tcPr>
          <w:p>
            <w:r>
              <w:rPr>
                <w:rFonts w:hint="eastAsia"/>
              </w:rPr>
              <w:t>四、结转下年度继续办理</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bl>
    <w:p/>
    <w:p>
      <w:pPr>
        <w:ind w:firstLine="640" w:firstLineChars="200"/>
        <w:rPr>
          <w:rFonts w:ascii="黑体" w:hAnsi="黑体" w:eastAsia="黑体"/>
          <w:sz w:val="32"/>
          <w:szCs w:val="32"/>
        </w:rPr>
      </w:pPr>
      <w:r>
        <w:rPr>
          <w:rFonts w:hint="eastAsia" w:ascii="黑体" w:hAnsi="黑体" w:eastAsia="黑体"/>
          <w:sz w:val="32"/>
          <w:szCs w:val="32"/>
        </w:rPr>
        <w:t>四、政府信息公开行政复议、行政诉讼情况</w:t>
      </w:r>
    </w:p>
    <w:tbl>
      <w:tblPr>
        <w:tblStyle w:val="6"/>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09"/>
        <w:gridCol w:w="709"/>
        <w:gridCol w:w="706"/>
        <w:gridCol w:w="428"/>
        <w:gridCol w:w="708"/>
        <w:gridCol w:w="709"/>
        <w:gridCol w:w="709"/>
        <w:gridCol w:w="709"/>
        <w:gridCol w:w="425"/>
        <w:gridCol w:w="709"/>
        <w:gridCol w:w="708"/>
        <w:gridCol w:w="709"/>
        <w:gridCol w:w="694"/>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207" w:type="dxa"/>
            <w:gridSpan w:val="5"/>
            <w:vAlign w:val="center"/>
          </w:tcPr>
          <w:p>
            <w:pPr>
              <w:jc w:val="center"/>
              <w:rPr>
                <w:szCs w:val="21"/>
              </w:rPr>
            </w:pPr>
            <w:r>
              <w:rPr>
                <w:rFonts w:hint="eastAsia"/>
                <w:szCs w:val="21"/>
              </w:rPr>
              <w:t>行政复议</w:t>
            </w:r>
          </w:p>
        </w:tc>
        <w:tc>
          <w:tcPr>
            <w:tcW w:w="6505" w:type="dxa"/>
            <w:gridSpan w:val="10"/>
            <w:vAlign w:val="center"/>
          </w:tcPr>
          <w:p>
            <w:pPr>
              <w:jc w:val="center"/>
              <w:rPr>
                <w:szCs w:val="21"/>
              </w:rPr>
            </w:pPr>
            <w:r>
              <w:rPr>
                <w:rFonts w:hint="eastAsia"/>
                <w:szCs w:val="21"/>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55" w:type="dxa"/>
            <w:vMerge w:val="restart"/>
            <w:vAlign w:val="center"/>
          </w:tcPr>
          <w:p>
            <w:pPr>
              <w:jc w:val="center"/>
              <w:rPr>
                <w:szCs w:val="21"/>
              </w:rPr>
            </w:pPr>
            <w:r>
              <w:rPr>
                <w:rFonts w:hint="eastAsia"/>
                <w:szCs w:val="21"/>
              </w:rPr>
              <w:t>结果维持</w:t>
            </w:r>
          </w:p>
        </w:tc>
        <w:tc>
          <w:tcPr>
            <w:tcW w:w="709" w:type="dxa"/>
            <w:vMerge w:val="restart"/>
            <w:vAlign w:val="center"/>
          </w:tcPr>
          <w:p>
            <w:pPr>
              <w:jc w:val="center"/>
              <w:rPr>
                <w:szCs w:val="21"/>
              </w:rPr>
            </w:pPr>
            <w:r>
              <w:rPr>
                <w:rFonts w:hint="eastAsia"/>
                <w:szCs w:val="21"/>
              </w:rPr>
              <w:t>结果纠正</w:t>
            </w:r>
          </w:p>
        </w:tc>
        <w:tc>
          <w:tcPr>
            <w:tcW w:w="709" w:type="dxa"/>
            <w:vMerge w:val="restart"/>
            <w:vAlign w:val="center"/>
          </w:tcPr>
          <w:p>
            <w:pPr>
              <w:jc w:val="center"/>
              <w:rPr>
                <w:szCs w:val="21"/>
              </w:rPr>
            </w:pPr>
            <w:r>
              <w:rPr>
                <w:rFonts w:hint="eastAsia"/>
                <w:szCs w:val="21"/>
              </w:rPr>
              <w:t>其他结果</w:t>
            </w:r>
          </w:p>
        </w:tc>
        <w:tc>
          <w:tcPr>
            <w:tcW w:w="706" w:type="dxa"/>
            <w:vMerge w:val="restart"/>
            <w:vAlign w:val="center"/>
          </w:tcPr>
          <w:p>
            <w:pPr>
              <w:jc w:val="center"/>
              <w:rPr>
                <w:szCs w:val="21"/>
              </w:rPr>
            </w:pPr>
            <w:r>
              <w:rPr>
                <w:rFonts w:hint="eastAsia"/>
                <w:szCs w:val="21"/>
              </w:rPr>
              <w:t>尚未审结</w:t>
            </w:r>
          </w:p>
        </w:tc>
        <w:tc>
          <w:tcPr>
            <w:tcW w:w="428" w:type="dxa"/>
            <w:vMerge w:val="restart"/>
            <w:vAlign w:val="center"/>
          </w:tcPr>
          <w:p>
            <w:pPr>
              <w:jc w:val="center"/>
              <w:rPr>
                <w:szCs w:val="21"/>
              </w:rPr>
            </w:pPr>
            <w:r>
              <w:rPr>
                <w:rFonts w:hint="eastAsia"/>
                <w:szCs w:val="21"/>
              </w:rPr>
              <w:t>总计</w:t>
            </w:r>
          </w:p>
        </w:tc>
        <w:tc>
          <w:tcPr>
            <w:tcW w:w="3260" w:type="dxa"/>
            <w:gridSpan w:val="5"/>
            <w:vAlign w:val="center"/>
          </w:tcPr>
          <w:p>
            <w:pPr>
              <w:jc w:val="center"/>
              <w:rPr>
                <w:szCs w:val="21"/>
              </w:rPr>
            </w:pPr>
            <w:r>
              <w:rPr>
                <w:rFonts w:hint="eastAsia"/>
                <w:szCs w:val="21"/>
              </w:rPr>
              <w:t>未经复议直接起诉</w:t>
            </w:r>
          </w:p>
        </w:tc>
        <w:tc>
          <w:tcPr>
            <w:tcW w:w="3245" w:type="dxa"/>
            <w:gridSpan w:val="5"/>
            <w:vAlign w:val="center"/>
          </w:tcPr>
          <w:p>
            <w:pPr>
              <w:jc w:val="center"/>
              <w:rPr>
                <w:szCs w:val="21"/>
              </w:rPr>
            </w:pPr>
            <w:r>
              <w:rPr>
                <w:rFonts w:hint="eastAsia"/>
                <w:szCs w:val="21"/>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55" w:type="dxa"/>
            <w:vMerge w:val="continue"/>
            <w:vAlign w:val="center"/>
          </w:tcPr>
          <w:p>
            <w:pPr>
              <w:jc w:val="center"/>
              <w:rPr>
                <w:sz w:val="18"/>
                <w:szCs w:val="18"/>
              </w:rPr>
            </w:pPr>
          </w:p>
        </w:tc>
        <w:tc>
          <w:tcPr>
            <w:tcW w:w="709" w:type="dxa"/>
            <w:vMerge w:val="continue"/>
            <w:vAlign w:val="center"/>
          </w:tcPr>
          <w:p>
            <w:pPr>
              <w:jc w:val="center"/>
              <w:rPr>
                <w:sz w:val="18"/>
                <w:szCs w:val="18"/>
              </w:rPr>
            </w:pPr>
          </w:p>
        </w:tc>
        <w:tc>
          <w:tcPr>
            <w:tcW w:w="709" w:type="dxa"/>
            <w:vMerge w:val="continue"/>
            <w:vAlign w:val="center"/>
          </w:tcPr>
          <w:p>
            <w:pPr>
              <w:jc w:val="center"/>
              <w:rPr>
                <w:sz w:val="18"/>
                <w:szCs w:val="18"/>
              </w:rPr>
            </w:pPr>
          </w:p>
        </w:tc>
        <w:tc>
          <w:tcPr>
            <w:tcW w:w="706" w:type="dxa"/>
            <w:vMerge w:val="continue"/>
            <w:vAlign w:val="center"/>
          </w:tcPr>
          <w:p>
            <w:pPr>
              <w:jc w:val="center"/>
              <w:rPr>
                <w:szCs w:val="21"/>
              </w:rPr>
            </w:pPr>
          </w:p>
        </w:tc>
        <w:tc>
          <w:tcPr>
            <w:tcW w:w="428" w:type="dxa"/>
            <w:vMerge w:val="continue"/>
            <w:vAlign w:val="center"/>
          </w:tcPr>
          <w:p>
            <w:pPr>
              <w:jc w:val="center"/>
              <w:rPr>
                <w:szCs w:val="21"/>
              </w:rPr>
            </w:pPr>
          </w:p>
        </w:tc>
        <w:tc>
          <w:tcPr>
            <w:tcW w:w="708" w:type="dxa"/>
            <w:vAlign w:val="center"/>
          </w:tcPr>
          <w:p>
            <w:pPr>
              <w:jc w:val="center"/>
              <w:rPr>
                <w:szCs w:val="21"/>
              </w:rPr>
            </w:pPr>
            <w:r>
              <w:rPr>
                <w:rFonts w:hint="eastAsia"/>
                <w:szCs w:val="21"/>
              </w:rPr>
              <w:t>结果维持</w:t>
            </w:r>
          </w:p>
        </w:tc>
        <w:tc>
          <w:tcPr>
            <w:tcW w:w="709" w:type="dxa"/>
            <w:vAlign w:val="center"/>
          </w:tcPr>
          <w:p>
            <w:pPr>
              <w:jc w:val="center"/>
              <w:rPr>
                <w:szCs w:val="21"/>
              </w:rPr>
            </w:pPr>
            <w:r>
              <w:rPr>
                <w:rFonts w:hint="eastAsia"/>
                <w:szCs w:val="21"/>
              </w:rPr>
              <w:t>结果纠正</w:t>
            </w:r>
          </w:p>
        </w:tc>
        <w:tc>
          <w:tcPr>
            <w:tcW w:w="709" w:type="dxa"/>
            <w:vAlign w:val="center"/>
          </w:tcPr>
          <w:p>
            <w:pPr>
              <w:jc w:val="center"/>
              <w:rPr>
                <w:szCs w:val="21"/>
              </w:rPr>
            </w:pPr>
            <w:r>
              <w:rPr>
                <w:rFonts w:hint="eastAsia"/>
                <w:szCs w:val="21"/>
              </w:rPr>
              <w:t>其他结果</w:t>
            </w:r>
          </w:p>
        </w:tc>
        <w:tc>
          <w:tcPr>
            <w:tcW w:w="709" w:type="dxa"/>
            <w:vAlign w:val="center"/>
          </w:tcPr>
          <w:p>
            <w:pPr>
              <w:jc w:val="center"/>
              <w:rPr>
                <w:szCs w:val="21"/>
              </w:rPr>
            </w:pPr>
            <w:r>
              <w:rPr>
                <w:rFonts w:hint="eastAsia"/>
                <w:szCs w:val="21"/>
              </w:rPr>
              <w:t>尚未审结</w:t>
            </w:r>
          </w:p>
        </w:tc>
        <w:tc>
          <w:tcPr>
            <w:tcW w:w="425" w:type="dxa"/>
            <w:vAlign w:val="center"/>
          </w:tcPr>
          <w:p>
            <w:pPr>
              <w:jc w:val="center"/>
              <w:rPr>
                <w:szCs w:val="21"/>
              </w:rPr>
            </w:pPr>
            <w:r>
              <w:rPr>
                <w:rFonts w:hint="eastAsia"/>
                <w:szCs w:val="21"/>
              </w:rPr>
              <w:t>总计</w:t>
            </w:r>
          </w:p>
        </w:tc>
        <w:tc>
          <w:tcPr>
            <w:tcW w:w="709" w:type="dxa"/>
            <w:vAlign w:val="center"/>
          </w:tcPr>
          <w:p>
            <w:pPr>
              <w:jc w:val="center"/>
              <w:rPr>
                <w:szCs w:val="21"/>
              </w:rPr>
            </w:pPr>
            <w:r>
              <w:rPr>
                <w:rFonts w:hint="eastAsia"/>
                <w:szCs w:val="21"/>
              </w:rPr>
              <w:t>结果维持</w:t>
            </w:r>
          </w:p>
        </w:tc>
        <w:tc>
          <w:tcPr>
            <w:tcW w:w="708" w:type="dxa"/>
            <w:vAlign w:val="center"/>
          </w:tcPr>
          <w:p>
            <w:pPr>
              <w:jc w:val="center"/>
              <w:rPr>
                <w:szCs w:val="21"/>
              </w:rPr>
            </w:pPr>
            <w:r>
              <w:rPr>
                <w:rFonts w:hint="eastAsia"/>
                <w:szCs w:val="21"/>
              </w:rPr>
              <w:t>结果纠正</w:t>
            </w:r>
          </w:p>
        </w:tc>
        <w:tc>
          <w:tcPr>
            <w:tcW w:w="709" w:type="dxa"/>
            <w:vAlign w:val="center"/>
          </w:tcPr>
          <w:p>
            <w:pPr>
              <w:jc w:val="center"/>
              <w:rPr>
                <w:szCs w:val="21"/>
              </w:rPr>
            </w:pPr>
            <w:r>
              <w:rPr>
                <w:rFonts w:hint="eastAsia"/>
                <w:szCs w:val="21"/>
              </w:rPr>
              <w:t>其他结果</w:t>
            </w:r>
          </w:p>
        </w:tc>
        <w:tc>
          <w:tcPr>
            <w:tcW w:w="694" w:type="dxa"/>
            <w:vAlign w:val="center"/>
          </w:tcPr>
          <w:p>
            <w:pPr>
              <w:jc w:val="center"/>
              <w:rPr>
                <w:szCs w:val="21"/>
              </w:rPr>
            </w:pPr>
            <w:r>
              <w:rPr>
                <w:rFonts w:hint="eastAsia"/>
                <w:szCs w:val="21"/>
              </w:rPr>
              <w:t>尚未审结</w:t>
            </w:r>
          </w:p>
        </w:tc>
        <w:tc>
          <w:tcPr>
            <w:tcW w:w="425" w:type="dxa"/>
            <w:vAlign w:val="center"/>
          </w:tcPr>
          <w:p>
            <w:pPr>
              <w:jc w:val="center"/>
              <w:rPr>
                <w:szCs w:val="21"/>
              </w:rPr>
            </w:pPr>
            <w:r>
              <w:rPr>
                <w:rFonts w:hint="eastAsia"/>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55" w:type="dxa"/>
            <w:vAlign w:val="center"/>
          </w:tcPr>
          <w:p>
            <w:pPr>
              <w:jc w:val="center"/>
              <w:rPr>
                <w:sz w:val="18"/>
                <w:szCs w:val="18"/>
              </w:rPr>
            </w:pPr>
            <w:r>
              <w:rPr>
                <w:rFonts w:hint="eastAsia"/>
                <w:lang w:val="en-US" w:eastAsia="zh-CN"/>
              </w:rPr>
              <w:t>0</w:t>
            </w:r>
          </w:p>
        </w:tc>
        <w:tc>
          <w:tcPr>
            <w:tcW w:w="709" w:type="dxa"/>
            <w:vAlign w:val="center"/>
          </w:tcPr>
          <w:p>
            <w:pPr>
              <w:jc w:val="center"/>
              <w:rPr>
                <w:sz w:val="18"/>
                <w:szCs w:val="18"/>
              </w:rPr>
            </w:pPr>
            <w:r>
              <w:rPr>
                <w:rFonts w:hint="eastAsia"/>
                <w:lang w:val="en-US" w:eastAsia="zh-CN"/>
              </w:rPr>
              <w:t>0</w:t>
            </w:r>
          </w:p>
        </w:tc>
        <w:tc>
          <w:tcPr>
            <w:tcW w:w="709" w:type="dxa"/>
            <w:vAlign w:val="center"/>
          </w:tcPr>
          <w:p>
            <w:pPr>
              <w:jc w:val="center"/>
              <w:rPr>
                <w:sz w:val="18"/>
                <w:szCs w:val="18"/>
              </w:rPr>
            </w:pPr>
            <w:r>
              <w:rPr>
                <w:rFonts w:hint="eastAsia"/>
                <w:lang w:val="en-US" w:eastAsia="zh-CN"/>
              </w:rPr>
              <w:t>0</w:t>
            </w:r>
          </w:p>
        </w:tc>
        <w:tc>
          <w:tcPr>
            <w:tcW w:w="706" w:type="dxa"/>
            <w:vAlign w:val="center"/>
          </w:tcPr>
          <w:p>
            <w:pPr>
              <w:jc w:val="center"/>
              <w:rPr>
                <w:szCs w:val="21"/>
              </w:rPr>
            </w:pPr>
            <w:r>
              <w:rPr>
                <w:rFonts w:hint="eastAsia"/>
                <w:lang w:val="en-US" w:eastAsia="zh-CN"/>
              </w:rPr>
              <w:t>0</w:t>
            </w:r>
          </w:p>
        </w:tc>
        <w:tc>
          <w:tcPr>
            <w:tcW w:w="428" w:type="dxa"/>
            <w:vAlign w:val="center"/>
          </w:tcPr>
          <w:p>
            <w:pPr>
              <w:jc w:val="center"/>
              <w:rPr>
                <w:szCs w:val="21"/>
              </w:rPr>
            </w:pPr>
            <w:r>
              <w:rPr>
                <w:rFonts w:hint="eastAsia"/>
                <w:lang w:val="en-US" w:eastAsia="zh-CN"/>
              </w:rPr>
              <w:t>0</w:t>
            </w:r>
          </w:p>
        </w:tc>
        <w:tc>
          <w:tcPr>
            <w:tcW w:w="708" w:type="dxa"/>
            <w:vAlign w:val="center"/>
          </w:tcPr>
          <w:p>
            <w:pPr>
              <w:jc w:val="center"/>
              <w:rPr>
                <w:szCs w:val="21"/>
              </w:rPr>
            </w:pPr>
            <w:r>
              <w:rPr>
                <w:rFonts w:hint="eastAsia"/>
                <w:lang w:val="en-US" w:eastAsia="zh-CN"/>
              </w:rPr>
              <w:t>0</w:t>
            </w:r>
          </w:p>
        </w:tc>
        <w:tc>
          <w:tcPr>
            <w:tcW w:w="709" w:type="dxa"/>
            <w:vAlign w:val="center"/>
          </w:tcPr>
          <w:p>
            <w:pPr>
              <w:jc w:val="center"/>
              <w:rPr>
                <w:szCs w:val="21"/>
              </w:rPr>
            </w:pPr>
            <w:r>
              <w:rPr>
                <w:rFonts w:hint="eastAsia"/>
                <w:lang w:val="en-US" w:eastAsia="zh-CN"/>
              </w:rPr>
              <w:t>0</w:t>
            </w:r>
          </w:p>
        </w:tc>
        <w:tc>
          <w:tcPr>
            <w:tcW w:w="709" w:type="dxa"/>
            <w:vAlign w:val="center"/>
          </w:tcPr>
          <w:p>
            <w:pPr>
              <w:jc w:val="center"/>
              <w:rPr>
                <w:szCs w:val="21"/>
              </w:rPr>
            </w:pPr>
            <w:r>
              <w:rPr>
                <w:rFonts w:hint="eastAsia"/>
                <w:lang w:val="en-US" w:eastAsia="zh-CN"/>
              </w:rPr>
              <w:t>0</w:t>
            </w:r>
          </w:p>
        </w:tc>
        <w:tc>
          <w:tcPr>
            <w:tcW w:w="709" w:type="dxa"/>
            <w:vAlign w:val="center"/>
          </w:tcPr>
          <w:p>
            <w:pPr>
              <w:jc w:val="center"/>
              <w:rPr>
                <w:szCs w:val="21"/>
              </w:rPr>
            </w:pPr>
            <w:r>
              <w:rPr>
                <w:rFonts w:hint="eastAsia"/>
                <w:lang w:val="en-US" w:eastAsia="zh-CN"/>
              </w:rPr>
              <w:t>0</w:t>
            </w:r>
          </w:p>
        </w:tc>
        <w:tc>
          <w:tcPr>
            <w:tcW w:w="425" w:type="dxa"/>
            <w:vAlign w:val="center"/>
          </w:tcPr>
          <w:p>
            <w:pPr>
              <w:jc w:val="center"/>
              <w:rPr>
                <w:szCs w:val="21"/>
              </w:rPr>
            </w:pPr>
            <w:r>
              <w:rPr>
                <w:rFonts w:hint="eastAsia"/>
                <w:lang w:val="en-US" w:eastAsia="zh-CN"/>
              </w:rPr>
              <w:t>0</w:t>
            </w:r>
          </w:p>
        </w:tc>
        <w:tc>
          <w:tcPr>
            <w:tcW w:w="709" w:type="dxa"/>
            <w:vAlign w:val="center"/>
          </w:tcPr>
          <w:p>
            <w:pPr>
              <w:jc w:val="center"/>
              <w:rPr>
                <w:szCs w:val="21"/>
              </w:rPr>
            </w:pPr>
            <w:r>
              <w:rPr>
                <w:rFonts w:hint="eastAsia"/>
                <w:lang w:val="en-US" w:eastAsia="zh-CN"/>
              </w:rPr>
              <w:t>0</w:t>
            </w:r>
          </w:p>
        </w:tc>
        <w:tc>
          <w:tcPr>
            <w:tcW w:w="708" w:type="dxa"/>
            <w:vAlign w:val="center"/>
          </w:tcPr>
          <w:p>
            <w:pPr>
              <w:jc w:val="center"/>
              <w:rPr>
                <w:szCs w:val="21"/>
              </w:rPr>
            </w:pPr>
            <w:r>
              <w:rPr>
                <w:rFonts w:hint="eastAsia"/>
                <w:lang w:val="en-US" w:eastAsia="zh-CN"/>
              </w:rPr>
              <w:t>0</w:t>
            </w:r>
          </w:p>
        </w:tc>
        <w:tc>
          <w:tcPr>
            <w:tcW w:w="709" w:type="dxa"/>
            <w:vAlign w:val="center"/>
          </w:tcPr>
          <w:p>
            <w:pPr>
              <w:jc w:val="center"/>
              <w:rPr>
                <w:szCs w:val="21"/>
              </w:rPr>
            </w:pPr>
            <w:r>
              <w:rPr>
                <w:rFonts w:hint="eastAsia"/>
                <w:lang w:val="en-US" w:eastAsia="zh-CN"/>
              </w:rPr>
              <w:t>0</w:t>
            </w:r>
          </w:p>
        </w:tc>
        <w:tc>
          <w:tcPr>
            <w:tcW w:w="694" w:type="dxa"/>
            <w:vAlign w:val="center"/>
          </w:tcPr>
          <w:p>
            <w:pPr>
              <w:jc w:val="center"/>
              <w:rPr>
                <w:szCs w:val="21"/>
              </w:rPr>
            </w:pPr>
            <w:r>
              <w:rPr>
                <w:rFonts w:hint="eastAsia"/>
                <w:lang w:val="en-US" w:eastAsia="zh-CN"/>
              </w:rPr>
              <w:t>0</w:t>
            </w:r>
          </w:p>
        </w:tc>
        <w:tc>
          <w:tcPr>
            <w:tcW w:w="425" w:type="dxa"/>
            <w:vAlign w:val="center"/>
          </w:tcPr>
          <w:p>
            <w:pPr>
              <w:jc w:val="center"/>
              <w:rPr>
                <w:szCs w:val="21"/>
              </w:rPr>
            </w:pPr>
            <w:r>
              <w:rPr>
                <w:rFonts w:hint="eastAsia"/>
                <w:lang w:val="en-US" w:eastAsia="zh-CN"/>
              </w:rPr>
              <w:t>0</w:t>
            </w:r>
          </w:p>
        </w:tc>
      </w:tr>
    </w:tbl>
    <w:p>
      <w:pPr>
        <w:rPr>
          <w:rFonts w:ascii="黑体" w:hAnsi="黑体" w:eastAsia="黑体"/>
          <w:sz w:val="32"/>
          <w:szCs w:val="32"/>
        </w:rPr>
      </w:pPr>
    </w:p>
    <w:p>
      <w:pPr>
        <w:ind w:firstLine="640" w:firstLineChars="200"/>
        <w:rPr>
          <w:rFonts w:ascii="黑体" w:hAnsi="黑体" w:eastAsia="黑体"/>
          <w:sz w:val="32"/>
          <w:szCs w:val="32"/>
        </w:rPr>
      </w:pPr>
      <w:r>
        <w:rPr>
          <w:rFonts w:hint="eastAsia" w:ascii="黑体" w:hAnsi="黑体" w:eastAsia="黑体"/>
          <w:sz w:val="32"/>
          <w:szCs w:val="32"/>
        </w:rPr>
        <w:t>五、存在的主要问题及改进情况</w:t>
      </w:r>
    </w:p>
    <w:p>
      <w:pPr>
        <w:spacing w:line="560" w:lineRule="exact"/>
        <w:ind w:firstLine="640" w:firstLineChars="200"/>
        <w:rPr>
          <w:rFonts w:hint="eastAsia" w:ascii="楷体_GB2312" w:hAnsi="楷体_GB2312" w:eastAsia="楷体_GB2312" w:cs="楷体_GB2312"/>
          <w:b w:val="0"/>
          <w:bCs w:val="0"/>
          <w:color w:val="000000"/>
          <w:sz w:val="32"/>
          <w:szCs w:val="32"/>
          <w:lang w:val="en-US" w:eastAsia="zh-CN"/>
        </w:rPr>
      </w:pPr>
      <w:r>
        <w:rPr>
          <w:rFonts w:hint="eastAsia" w:ascii="楷体_GB2312" w:hAnsi="楷体_GB2312" w:eastAsia="楷体_GB2312" w:cs="楷体_GB2312"/>
          <w:b w:val="0"/>
          <w:bCs w:val="0"/>
          <w:color w:val="000000"/>
          <w:sz w:val="32"/>
          <w:szCs w:val="32"/>
          <w:lang w:val="en-US" w:eastAsia="zh-CN"/>
        </w:rPr>
        <w:t>（一）存在问题</w:t>
      </w:r>
    </w:p>
    <w:p>
      <w:pPr>
        <w:spacing w:line="560" w:lineRule="exact"/>
        <w:ind w:firstLine="640"/>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一是培训考核不到位。对于各委办信息员的培训次数较少，缺少激励问责机制。二是主动公开内容不够更全面，未实现面面俱到。</w:t>
      </w:r>
    </w:p>
    <w:p>
      <w:pPr>
        <w:spacing w:line="560" w:lineRule="exact"/>
        <w:ind w:firstLine="640" w:firstLineChars="200"/>
        <w:rPr>
          <w:rFonts w:hint="eastAsia" w:ascii="楷体_GB2312" w:hAnsi="楷体_GB2312" w:eastAsia="楷体_GB2312" w:cs="楷体_GB2312"/>
          <w:b w:val="0"/>
          <w:bCs w:val="0"/>
          <w:color w:val="000000"/>
          <w:sz w:val="32"/>
          <w:szCs w:val="32"/>
          <w:lang w:val="en-US" w:eastAsia="zh-CN"/>
        </w:rPr>
      </w:pPr>
      <w:r>
        <w:rPr>
          <w:rFonts w:hint="eastAsia" w:ascii="楷体_GB2312" w:hAnsi="楷体_GB2312" w:eastAsia="楷体_GB2312" w:cs="楷体_GB2312"/>
          <w:b w:val="0"/>
          <w:bCs w:val="0"/>
          <w:color w:val="000000"/>
          <w:sz w:val="32"/>
          <w:szCs w:val="32"/>
          <w:lang w:val="en-US" w:eastAsia="zh-CN"/>
        </w:rPr>
        <w:t>（二）整改措施</w:t>
      </w:r>
    </w:p>
    <w:p>
      <w:pPr>
        <w:numPr>
          <w:ilvl w:val="0"/>
          <w:numId w:val="0"/>
        </w:numPr>
        <w:spacing w:line="560" w:lineRule="exact"/>
        <w:ind w:firstLine="640" w:firstLineChars="200"/>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一是完善政务公开培训工作，对各委办的信息员进行培训。建立健全政务公开考核制度，对政务公开工作推进有力、贡献突出的人员给予表扬。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firstLine="640" w:firstLineChars="200"/>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二是按照基层政务公开标准化等要求，明确各委办在政务公开方面的职责分工，不断完善、丰富政务公开内容，提高信息公开质量。</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六、其他需要报告的事项</w:t>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收取信息处理费情况</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40" w:firstLineChars="20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未收取关于依申请公开费用。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（二）人大代表建议和政协提案办理情况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2021年，通过网站公开人大代表建议办理情况0件，公开政协委员提案办理情况0件。</w:t>
      </w: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640" w:leftChars="0" w:right="0" w:rightChars="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（三）年度工作要点落实情况</w:t>
      </w: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40" w:firstLineChars="20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我镇积极开展政务公开培训工作，落实专人专责。及时做好2021年机构职能板块调整、政务公开保障机制板块细化、主动公开基本目录更新等工作。加强对政务信息公开平台的日常维护，僵局杜绝出现平台“空壳”化、“僵尸”化。</w:t>
      </w: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40" w:firstLineChars="20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（四）政务公开工作创新情况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_GB2312" w:hAnsi="微软雅黑" w:eastAsia="仿宋_GB2312" w:cs="仿宋_GB2312"/>
          <w:i w:val="0"/>
          <w:iCs w:val="0"/>
          <w:caps w:val="0"/>
          <w:color w:val="000000"/>
          <w:spacing w:val="0"/>
          <w:sz w:val="32"/>
          <w:szCs w:val="32"/>
          <w:lang w:val="en-US" w:eastAsia="zh-CN"/>
        </w:rPr>
      </w:pPr>
      <w:r>
        <w:rPr>
          <w:rFonts w:ascii="仿宋" w:hAnsi="仿宋" w:eastAsia="仿宋" w:cs="仿宋"/>
          <w:i w:val="0"/>
          <w:iCs w:val="0"/>
          <w:caps w:val="0"/>
          <w:color w:val="333333"/>
          <w:spacing w:val="0"/>
          <w:sz w:val="32"/>
          <w:szCs w:val="32"/>
          <w:bdr w:val="none" w:color="auto" w:sz="0" w:space="0"/>
        </w:rPr>
        <w:t>重视政务公开学习培训工作</w:t>
      </w:r>
      <w:r>
        <w:rPr>
          <w:rFonts w:hint="eastAsia" w:ascii="仿宋" w:hAnsi="仿宋" w:eastAsia="仿宋" w:cs="仿宋"/>
          <w:i w:val="0"/>
          <w:iCs w:val="0"/>
          <w:caps w:val="0"/>
          <w:color w:val="333333"/>
          <w:spacing w:val="0"/>
          <w:sz w:val="32"/>
          <w:szCs w:val="32"/>
          <w:bdr w:val="none" w:color="auto" w:sz="0" w:space="0"/>
          <w:lang w:eastAsia="zh-CN"/>
        </w:rPr>
        <w:t>，</w:t>
      </w:r>
      <w:r>
        <w:rPr>
          <w:rFonts w:hint="eastAsia" w:ascii="仿宋" w:hAnsi="仿宋" w:eastAsia="仿宋" w:cs="仿宋"/>
          <w:i w:val="0"/>
          <w:iCs w:val="0"/>
          <w:caps w:val="0"/>
          <w:color w:val="333333"/>
          <w:spacing w:val="0"/>
          <w:sz w:val="32"/>
          <w:szCs w:val="32"/>
          <w:bdr w:val="none" w:color="auto" w:sz="0" w:space="0"/>
        </w:rPr>
        <w:t>积极组织具体</w:t>
      </w:r>
      <w:r>
        <w:rPr>
          <w:rFonts w:hint="eastAsia" w:ascii="仿宋" w:hAnsi="仿宋" w:eastAsia="仿宋" w:cs="仿宋"/>
          <w:i w:val="0"/>
          <w:iCs w:val="0"/>
          <w:caps w:val="0"/>
          <w:color w:val="333333"/>
          <w:spacing w:val="0"/>
          <w:sz w:val="32"/>
          <w:szCs w:val="32"/>
          <w:bdr w:val="none" w:color="auto" w:sz="0" w:space="0"/>
          <w:lang w:eastAsia="zh-CN"/>
        </w:rPr>
        <w:t>委办信息员参加</w:t>
      </w:r>
      <w:r>
        <w:rPr>
          <w:rFonts w:hint="eastAsia" w:ascii="仿宋" w:hAnsi="仿宋" w:eastAsia="仿宋" w:cs="仿宋"/>
          <w:i w:val="0"/>
          <w:iCs w:val="0"/>
          <w:caps w:val="0"/>
          <w:color w:val="333333"/>
          <w:spacing w:val="0"/>
          <w:sz w:val="32"/>
          <w:szCs w:val="32"/>
          <w:bdr w:val="none" w:color="auto" w:sz="0" w:space="0"/>
        </w:rPr>
        <w:t>政务公开工作培训，</w:t>
      </w:r>
      <w:r>
        <w:rPr>
          <w:rFonts w:hint="eastAsia" w:ascii="仿宋" w:hAnsi="仿宋" w:eastAsia="仿宋" w:cs="仿宋"/>
          <w:i w:val="0"/>
          <w:iCs w:val="0"/>
          <w:caps w:val="0"/>
          <w:color w:val="333333"/>
          <w:spacing w:val="0"/>
          <w:sz w:val="32"/>
          <w:szCs w:val="32"/>
          <w:bdr w:val="none" w:color="auto" w:sz="0" w:space="0"/>
          <w:lang w:eastAsia="zh-CN"/>
        </w:rPr>
        <w:t>明确“管业务就要管公开”的原则，把业务工作同政务公开工作同部署、同推进、同落实。</w:t>
      </w:r>
    </w:p>
    <w:p>
      <w:pPr>
        <w:spacing w:line="560" w:lineRule="exact"/>
        <w:ind w:firstLine="640" w:firstLineChars="200"/>
        <w:rPr>
          <w:rFonts w:ascii="仿宋" w:hAnsi="仿宋" w:eastAsia="仿宋"/>
          <w:color w:val="000000"/>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535BCDE-32C0-4CE4-844D-1756F0701C8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embedRegular r:id="rId2" w:fontKey="{112D5A7C-80BE-4F60-A671-05933B405DEF}"/>
  </w:font>
  <w:font w:name="仿宋">
    <w:panose1 w:val="02010609060101010101"/>
    <w:charset w:val="86"/>
    <w:family w:val="modern"/>
    <w:pitch w:val="default"/>
    <w:sig w:usb0="800002BF" w:usb1="38CF7CFA" w:usb2="00000016" w:usb3="00000000" w:csb0="00040001" w:csb1="00000000"/>
    <w:embedRegular r:id="rId3" w:fontKey="{5CF6EE81-B5F4-4E39-B18C-5A0E8CF26E66}"/>
  </w:font>
  <w:font w:name="微软雅黑">
    <w:panose1 w:val="020B0503020204020204"/>
    <w:charset w:val="86"/>
    <w:family w:val="auto"/>
    <w:pitch w:val="default"/>
    <w:sig w:usb0="80000287" w:usb1="280F3C52" w:usb2="00000016" w:usb3="00000000" w:csb0="0004001F" w:csb1="00000000"/>
    <w:embedRegular r:id="rId4" w:fontKey="{DCB8C3F0-8722-4829-A892-84112078D2F4}"/>
  </w:font>
  <w:font w:name="楷体_GB2312">
    <w:panose1 w:val="02010609030101010101"/>
    <w:charset w:val="86"/>
    <w:family w:val="auto"/>
    <w:pitch w:val="default"/>
    <w:sig w:usb0="00000001" w:usb1="080E0000" w:usb2="00000000" w:usb3="00000000" w:csb0="00040000" w:csb1="00000000"/>
    <w:embedRegular r:id="rId5" w:fontKey="{466BF486-89C2-4305-A4A0-AC331FF42838}"/>
  </w:font>
  <w:font w:name="仿宋_GB2312">
    <w:panose1 w:val="02010609030101010101"/>
    <w:charset w:val="86"/>
    <w:family w:val="auto"/>
    <w:pitch w:val="default"/>
    <w:sig w:usb0="00000001" w:usb1="080E0000" w:usb2="00000000" w:usb3="00000000" w:csb0="00040000" w:csb1="00000000"/>
    <w:embedRegular r:id="rId6" w:fontKey="{2D108A0E-A900-4A82-A580-10C8C98E06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3659"/>
      <w:docPartObj>
        <w:docPartGallery w:val="autotext"/>
      </w:docPartObj>
    </w:sdtPr>
    <w:sdtContent>
      <w:p>
        <w:pPr>
          <w:pStyle w:val="2"/>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E6C6D1"/>
    <w:multiLevelType w:val="singleLevel"/>
    <w:tmpl w:val="C8E6C6D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258"/>
    <w:rsid w:val="00001C9E"/>
    <w:rsid w:val="0000594A"/>
    <w:rsid w:val="00013109"/>
    <w:rsid w:val="00023AAC"/>
    <w:rsid w:val="00024810"/>
    <w:rsid w:val="00030DFB"/>
    <w:rsid w:val="000414C6"/>
    <w:rsid w:val="00042CA0"/>
    <w:rsid w:val="00043D31"/>
    <w:rsid w:val="00046423"/>
    <w:rsid w:val="00052AD6"/>
    <w:rsid w:val="00055473"/>
    <w:rsid w:val="00055E11"/>
    <w:rsid w:val="00056B8B"/>
    <w:rsid w:val="00063220"/>
    <w:rsid w:val="0006628C"/>
    <w:rsid w:val="000706E1"/>
    <w:rsid w:val="00085190"/>
    <w:rsid w:val="00087FF0"/>
    <w:rsid w:val="00092898"/>
    <w:rsid w:val="00094E08"/>
    <w:rsid w:val="00097052"/>
    <w:rsid w:val="000A5D01"/>
    <w:rsid w:val="000B1602"/>
    <w:rsid w:val="000C34FF"/>
    <w:rsid w:val="000C7BD7"/>
    <w:rsid w:val="000D4473"/>
    <w:rsid w:val="000E1057"/>
    <w:rsid w:val="000F497F"/>
    <w:rsid w:val="000F7617"/>
    <w:rsid w:val="00105B3E"/>
    <w:rsid w:val="001108EA"/>
    <w:rsid w:val="001240A4"/>
    <w:rsid w:val="00125C8A"/>
    <w:rsid w:val="00127976"/>
    <w:rsid w:val="00131A3C"/>
    <w:rsid w:val="0013565C"/>
    <w:rsid w:val="00140E3F"/>
    <w:rsid w:val="00143DC5"/>
    <w:rsid w:val="00144ABF"/>
    <w:rsid w:val="00144B5F"/>
    <w:rsid w:val="00170D63"/>
    <w:rsid w:val="00172B20"/>
    <w:rsid w:val="0017420B"/>
    <w:rsid w:val="0017427C"/>
    <w:rsid w:val="00176618"/>
    <w:rsid w:val="00176B17"/>
    <w:rsid w:val="00187315"/>
    <w:rsid w:val="001900C0"/>
    <w:rsid w:val="00196FD6"/>
    <w:rsid w:val="001A21B5"/>
    <w:rsid w:val="001B26AB"/>
    <w:rsid w:val="001B4410"/>
    <w:rsid w:val="001C1DC2"/>
    <w:rsid w:val="001C4706"/>
    <w:rsid w:val="001C6DFA"/>
    <w:rsid w:val="001C6F55"/>
    <w:rsid w:val="001D41A6"/>
    <w:rsid w:val="001E0CBD"/>
    <w:rsid w:val="001E5A28"/>
    <w:rsid w:val="001E72C7"/>
    <w:rsid w:val="002019C6"/>
    <w:rsid w:val="00204AA5"/>
    <w:rsid w:val="00205590"/>
    <w:rsid w:val="002157C1"/>
    <w:rsid w:val="00216261"/>
    <w:rsid w:val="00216DF6"/>
    <w:rsid w:val="0021763D"/>
    <w:rsid w:val="00224377"/>
    <w:rsid w:val="002264B1"/>
    <w:rsid w:val="0023206E"/>
    <w:rsid w:val="00234868"/>
    <w:rsid w:val="0023602C"/>
    <w:rsid w:val="00240EAF"/>
    <w:rsid w:val="00246626"/>
    <w:rsid w:val="002572C0"/>
    <w:rsid w:val="002604BD"/>
    <w:rsid w:val="00270C0E"/>
    <w:rsid w:val="0027691A"/>
    <w:rsid w:val="00276B13"/>
    <w:rsid w:val="00276E5B"/>
    <w:rsid w:val="002774CD"/>
    <w:rsid w:val="0028009A"/>
    <w:rsid w:val="002A188B"/>
    <w:rsid w:val="002A1F5C"/>
    <w:rsid w:val="002B463A"/>
    <w:rsid w:val="002B6F68"/>
    <w:rsid w:val="002D115E"/>
    <w:rsid w:val="002D6A99"/>
    <w:rsid w:val="002D70DF"/>
    <w:rsid w:val="002E594D"/>
    <w:rsid w:val="002E6EDF"/>
    <w:rsid w:val="0031332E"/>
    <w:rsid w:val="003135A4"/>
    <w:rsid w:val="003164F6"/>
    <w:rsid w:val="00316CE4"/>
    <w:rsid w:val="003257C1"/>
    <w:rsid w:val="003318E7"/>
    <w:rsid w:val="00332905"/>
    <w:rsid w:val="00334C65"/>
    <w:rsid w:val="00357E22"/>
    <w:rsid w:val="00357E4E"/>
    <w:rsid w:val="003638D5"/>
    <w:rsid w:val="00363B37"/>
    <w:rsid w:val="0038169B"/>
    <w:rsid w:val="00383519"/>
    <w:rsid w:val="003856CA"/>
    <w:rsid w:val="00390173"/>
    <w:rsid w:val="0039072E"/>
    <w:rsid w:val="00395676"/>
    <w:rsid w:val="00397E9C"/>
    <w:rsid w:val="003A4408"/>
    <w:rsid w:val="003A617F"/>
    <w:rsid w:val="003B4A71"/>
    <w:rsid w:val="003C0527"/>
    <w:rsid w:val="003C44C8"/>
    <w:rsid w:val="003C5789"/>
    <w:rsid w:val="003D6959"/>
    <w:rsid w:val="003D7EB2"/>
    <w:rsid w:val="003E1F92"/>
    <w:rsid w:val="003E6B2B"/>
    <w:rsid w:val="003F2DA8"/>
    <w:rsid w:val="003F38D1"/>
    <w:rsid w:val="003F538D"/>
    <w:rsid w:val="00405DB6"/>
    <w:rsid w:val="00414EEE"/>
    <w:rsid w:val="00420F86"/>
    <w:rsid w:val="00423431"/>
    <w:rsid w:val="00434746"/>
    <w:rsid w:val="00446210"/>
    <w:rsid w:val="00460593"/>
    <w:rsid w:val="0046437F"/>
    <w:rsid w:val="004713FB"/>
    <w:rsid w:val="00473626"/>
    <w:rsid w:val="00481ED7"/>
    <w:rsid w:val="00481FD3"/>
    <w:rsid w:val="004847BC"/>
    <w:rsid w:val="0048518B"/>
    <w:rsid w:val="004936CF"/>
    <w:rsid w:val="00495EBA"/>
    <w:rsid w:val="004A6081"/>
    <w:rsid w:val="004B1B2D"/>
    <w:rsid w:val="004B36CF"/>
    <w:rsid w:val="004B3DE8"/>
    <w:rsid w:val="004B53B3"/>
    <w:rsid w:val="004B7413"/>
    <w:rsid w:val="004D2882"/>
    <w:rsid w:val="004D7633"/>
    <w:rsid w:val="004D788E"/>
    <w:rsid w:val="004E5DF1"/>
    <w:rsid w:val="004F244D"/>
    <w:rsid w:val="004F2625"/>
    <w:rsid w:val="004F39DF"/>
    <w:rsid w:val="005026C8"/>
    <w:rsid w:val="00503B08"/>
    <w:rsid w:val="00504DE1"/>
    <w:rsid w:val="005162AB"/>
    <w:rsid w:val="00523B84"/>
    <w:rsid w:val="0052540C"/>
    <w:rsid w:val="00531036"/>
    <w:rsid w:val="00533338"/>
    <w:rsid w:val="0053359A"/>
    <w:rsid w:val="00540904"/>
    <w:rsid w:val="00543FE0"/>
    <w:rsid w:val="005637BC"/>
    <w:rsid w:val="00564F0C"/>
    <w:rsid w:val="00567AE3"/>
    <w:rsid w:val="0057319B"/>
    <w:rsid w:val="005771DE"/>
    <w:rsid w:val="00580B3B"/>
    <w:rsid w:val="005818BC"/>
    <w:rsid w:val="00582EFB"/>
    <w:rsid w:val="00584920"/>
    <w:rsid w:val="00586957"/>
    <w:rsid w:val="00593F9E"/>
    <w:rsid w:val="0059666D"/>
    <w:rsid w:val="005A3BFA"/>
    <w:rsid w:val="005C071E"/>
    <w:rsid w:val="005D4DA2"/>
    <w:rsid w:val="005D7981"/>
    <w:rsid w:val="005E2D72"/>
    <w:rsid w:val="005E5225"/>
    <w:rsid w:val="005E5EA6"/>
    <w:rsid w:val="005F07DB"/>
    <w:rsid w:val="005F410F"/>
    <w:rsid w:val="005F7CFA"/>
    <w:rsid w:val="006001B7"/>
    <w:rsid w:val="00604767"/>
    <w:rsid w:val="00607754"/>
    <w:rsid w:val="00607BD2"/>
    <w:rsid w:val="00614243"/>
    <w:rsid w:val="00615468"/>
    <w:rsid w:val="0062406E"/>
    <w:rsid w:val="00630352"/>
    <w:rsid w:val="00633AD3"/>
    <w:rsid w:val="00634DDC"/>
    <w:rsid w:val="006359EF"/>
    <w:rsid w:val="006364F7"/>
    <w:rsid w:val="00640DE1"/>
    <w:rsid w:val="006419CD"/>
    <w:rsid w:val="00641A49"/>
    <w:rsid w:val="00641B33"/>
    <w:rsid w:val="00651342"/>
    <w:rsid w:val="0065594E"/>
    <w:rsid w:val="00660AAE"/>
    <w:rsid w:val="006634C0"/>
    <w:rsid w:val="00675D05"/>
    <w:rsid w:val="00677652"/>
    <w:rsid w:val="006821DB"/>
    <w:rsid w:val="00687144"/>
    <w:rsid w:val="0069301A"/>
    <w:rsid w:val="00693534"/>
    <w:rsid w:val="00697E19"/>
    <w:rsid w:val="00697EE4"/>
    <w:rsid w:val="006A1171"/>
    <w:rsid w:val="006A5226"/>
    <w:rsid w:val="006A5288"/>
    <w:rsid w:val="006B72A8"/>
    <w:rsid w:val="006C2EA0"/>
    <w:rsid w:val="006C58BC"/>
    <w:rsid w:val="006C656F"/>
    <w:rsid w:val="006E0094"/>
    <w:rsid w:val="006E2256"/>
    <w:rsid w:val="006E2790"/>
    <w:rsid w:val="006E63B8"/>
    <w:rsid w:val="007011FB"/>
    <w:rsid w:val="007061A3"/>
    <w:rsid w:val="007129AD"/>
    <w:rsid w:val="00714451"/>
    <w:rsid w:val="00717EE3"/>
    <w:rsid w:val="007218A5"/>
    <w:rsid w:val="007234A6"/>
    <w:rsid w:val="00723B47"/>
    <w:rsid w:val="00723D67"/>
    <w:rsid w:val="00724A6A"/>
    <w:rsid w:val="00731CB1"/>
    <w:rsid w:val="00732D81"/>
    <w:rsid w:val="00733F31"/>
    <w:rsid w:val="00736923"/>
    <w:rsid w:val="00736C50"/>
    <w:rsid w:val="00741A40"/>
    <w:rsid w:val="00746739"/>
    <w:rsid w:val="00755418"/>
    <w:rsid w:val="007611C0"/>
    <w:rsid w:val="007720F2"/>
    <w:rsid w:val="00772EA0"/>
    <w:rsid w:val="007745BE"/>
    <w:rsid w:val="00781A3D"/>
    <w:rsid w:val="00791D32"/>
    <w:rsid w:val="007A02B5"/>
    <w:rsid w:val="007A39A8"/>
    <w:rsid w:val="007A3DB5"/>
    <w:rsid w:val="007A46E1"/>
    <w:rsid w:val="007A4F8C"/>
    <w:rsid w:val="007B346E"/>
    <w:rsid w:val="007B68D1"/>
    <w:rsid w:val="007C2141"/>
    <w:rsid w:val="007C53E0"/>
    <w:rsid w:val="007C5C81"/>
    <w:rsid w:val="007D0AF2"/>
    <w:rsid w:val="007D3AB6"/>
    <w:rsid w:val="007D4916"/>
    <w:rsid w:val="007D59C4"/>
    <w:rsid w:val="007D71FE"/>
    <w:rsid w:val="007E07E3"/>
    <w:rsid w:val="007E2505"/>
    <w:rsid w:val="007E55EA"/>
    <w:rsid w:val="007F22F8"/>
    <w:rsid w:val="007F43FC"/>
    <w:rsid w:val="00802361"/>
    <w:rsid w:val="00804E65"/>
    <w:rsid w:val="00805ABE"/>
    <w:rsid w:val="00813BC0"/>
    <w:rsid w:val="00820BB8"/>
    <w:rsid w:val="00830865"/>
    <w:rsid w:val="0083723A"/>
    <w:rsid w:val="00842C3D"/>
    <w:rsid w:val="00842E24"/>
    <w:rsid w:val="00852EEB"/>
    <w:rsid w:val="008556C2"/>
    <w:rsid w:val="00855B3A"/>
    <w:rsid w:val="00856193"/>
    <w:rsid w:val="008579AB"/>
    <w:rsid w:val="008608A2"/>
    <w:rsid w:val="008613A8"/>
    <w:rsid w:val="00873E0F"/>
    <w:rsid w:val="00875291"/>
    <w:rsid w:val="00881404"/>
    <w:rsid w:val="00892DC4"/>
    <w:rsid w:val="008977A9"/>
    <w:rsid w:val="008A0545"/>
    <w:rsid w:val="008A171F"/>
    <w:rsid w:val="008A3BC0"/>
    <w:rsid w:val="008A66F8"/>
    <w:rsid w:val="008B2FD1"/>
    <w:rsid w:val="008B5D19"/>
    <w:rsid w:val="008B6607"/>
    <w:rsid w:val="008C2625"/>
    <w:rsid w:val="008C37A3"/>
    <w:rsid w:val="008D2DBD"/>
    <w:rsid w:val="008D6B7B"/>
    <w:rsid w:val="008F142B"/>
    <w:rsid w:val="008F188C"/>
    <w:rsid w:val="008F51FF"/>
    <w:rsid w:val="00904289"/>
    <w:rsid w:val="00906B9B"/>
    <w:rsid w:val="00912FB0"/>
    <w:rsid w:val="00913531"/>
    <w:rsid w:val="0092086C"/>
    <w:rsid w:val="00920A8C"/>
    <w:rsid w:val="0092182B"/>
    <w:rsid w:val="00930D46"/>
    <w:rsid w:val="00935E77"/>
    <w:rsid w:val="00940C11"/>
    <w:rsid w:val="009515FD"/>
    <w:rsid w:val="0096093C"/>
    <w:rsid w:val="00962CD0"/>
    <w:rsid w:val="00966C94"/>
    <w:rsid w:val="0097065C"/>
    <w:rsid w:val="00975A80"/>
    <w:rsid w:val="0098598B"/>
    <w:rsid w:val="00993C26"/>
    <w:rsid w:val="009B0107"/>
    <w:rsid w:val="009B7848"/>
    <w:rsid w:val="009C460B"/>
    <w:rsid w:val="009D452F"/>
    <w:rsid w:val="009E68DF"/>
    <w:rsid w:val="009F4FD2"/>
    <w:rsid w:val="00A03AC4"/>
    <w:rsid w:val="00A03E53"/>
    <w:rsid w:val="00A06E87"/>
    <w:rsid w:val="00A1342F"/>
    <w:rsid w:val="00A143E6"/>
    <w:rsid w:val="00A22178"/>
    <w:rsid w:val="00A25860"/>
    <w:rsid w:val="00A353B4"/>
    <w:rsid w:val="00A35AE0"/>
    <w:rsid w:val="00A36C3E"/>
    <w:rsid w:val="00A47C35"/>
    <w:rsid w:val="00A55405"/>
    <w:rsid w:val="00A6302E"/>
    <w:rsid w:val="00A65792"/>
    <w:rsid w:val="00A7163D"/>
    <w:rsid w:val="00A75587"/>
    <w:rsid w:val="00A759E5"/>
    <w:rsid w:val="00A82619"/>
    <w:rsid w:val="00A86F1B"/>
    <w:rsid w:val="00A919F7"/>
    <w:rsid w:val="00A93492"/>
    <w:rsid w:val="00A944C5"/>
    <w:rsid w:val="00AA3C78"/>
    <w:rsid w:val="00AA7AEC"/>
    <w:rsid w:val="00AA7B4B"/>
    <w:rsid w:val="00AB031E"/>
    <w:rsid w:val="00AB09E9"/>
    <w:rsid w:val="00AC222F"/>
    <w:rsid w:val="00AD1A81"/>
    <w:rsid w:val="00AD1C82"/>
    <w:rsid w:val="00AD1D6B"/>
    <w:rsid w:val="00AD49B5"/>
    <w:rsid w:val="00AD76B6"/>
    <w:rsid w:val="00AE6C57"/>
    <w:rsid w:val="00AF2313"/>
    <w:rsid w:val="00AF50F4"/>
    <w:rsid w:val="00B0337D"/>
    <w:rsid w:val="00B1769A"/>
    <w:rsid w:val="00B23183"/>
    <w:rsid w:val="00B245B9"/>
    <w:rsid w:val="00B33075"/>
    <w:rsid w:val="00B414D1"/>
    <w:rsid w:val="00B459E2"/>
    <w:rsid w:val="00B53141"/>
    <w:rsid w:val="00B559FA"/>
    <w:rsid w:val="00B811E5"/>
    <w:rsid w:val="00B8236F"/>
    <w:rsid w:val="00B835A5"/>
    <w:rsid w:val="00B91004"/>
    <w:rsid w:val="00BA000D"/>
    <w:rsid w:val="00BA45ED"/>
    <w:rsid w:val="00BA486D"/>
    <w:rsid w:val="00BC0376"/>
    <w:rsid w:val="00BC0DDF"/>
    <w:rsid w:val="00BC34AC"/>
    <w:rsid w:val="00BD1CAC"/>
    <w:rsid w:val="00BD4F6B"/>
    <w:rsid w:val="00BD789A"/>
    <w:rsid w:val="00BE03F8"/>
    <w:rsid w:val="00BE26F0"/>
    <w:rsid w:val="00BE3FA5"/>
    <w:rsid w:val="00BE4FAC"/>
    <w:rsid w:val="00BF3636"/>
    <w:rsid w:val="00BF42A9"/>
    <w:rsid w:val="00C04961"/>
    <w:rsid w:val="00C055A1"/>
    <w:rsid w:val="00C11BC3"/>
    <w:rsid w:val="00C11D2B"/>
    <w:rsid w:val="00C17388"/>
    <w:rsid w:val="00C206ED"/>
    <w:rsid w:val="00C217D5"/>
    <w:rsid w:val="00C234EF"/>
    <w:rsid w:val="00C307E5"/>
    <w:rsid w:val="00C61A42"/>
    <w:rsid w:val="00C63784"/>
    <w:rsid w:val="00C665B4"/>
    <w:rsid w:val="00C71268"/>
    <w:rsid w:val="00C75B28"/>
    <w:rsid w:val="00C762CA"/>
    <w:rsid w:val="00C83C1A"/>
    <w:rsid w:val="00C90488"/>
    <w:rsid w:val="00C90FBF"/>
    <w:rsid w:val="00C957F6"/>
    <w:rsid w:val="00CA24FE"/>
    <w:rsid w:val="00CA4E64"/>
    <w:rsid w:val="00CB7A70"/>
    <w:rsid w:val="00CC09E5"/>
    <w:rsid w:val="00CC51DA"/>
    <w:rsid w:val="00CD6DCF"/>
    <w:rsid w:val="00CE33B0"/>
    <w:rsid w:val="00CE7BFF"/>
    <w:rsid w:val="00CF2399"/>
    <w:rsid w:val="00CF3DD6"/>
    <w:rsid w:val="00CF509B"/>
    <w:rsid w:val="00CF7DF1"/>
    <w:rsid w:val="00D06B46"/>
    <w:rsid w:val="00D16C7E"/>
    <w:rsid w:val="00D17DF3"/>
    <w:rsid w:val="00D201BD"/>
    <w:rsid w:val="00D21479"/>
    <w:rsid w:val="00D2358D"/>
    <w:rsid w:val="00D25962"/>
    <w:rsid w:val="00D33F3A"/>
    <w:rsid w:val="00D4484C"/>
    <w:rsid w:val="00D53AC2"/>
    <w:rsid w:val="00D54B78"/>
    <w:rsid w:val="00D7609C"/>
    <w:rsid w:val="00D7673F"/>
    <w:rsid w:val="00D81D7A"/>
    <w:rsid w:val="00D96A77"/>
    <w:rsid w:val="00DA076B"/>
    <w:rsid w:val="00DA1BF9"/>
    <w:rsid w:val="00DA443C"/>
    <w:rsid w:val="00DA4831"/>
    <w:rsid w:val="00DA546B"/>
    <w:rsid w:val="00DA5691"/>
    <w:rsid w:val="00DC2AFC"/>
    <w:rsid w:val="00DE0CC2"/>
    <w:rsid w:val="00DE7D42"/>
    <w:rsid w:val="00DF0951"/>
    <w:rsid w:val="00DF3C2A"/>
    <w:rsid w:val="00DF59E8"/>
    <w:rsid w:val="00DF60AB"/>
    <w:rsid w:val="00DF7204"/>
    <w:rsid w:val="00E01F0F"/>
    <w:rsid w:val="00E03F11"/>
    <w:rsid w:val="00E04258"/>
    <w:rsid w:val="00E07D70"/>
    <w:rsid w:val="00E377B4"/>
    <w:rsid w:val="00E42C13"/>
    <w:rsid w:val="00E42DE7"/>
    <w:rsid w:val="00E447EA"/>
    <w:rsid w:val="00E54057"/>
    <w:rsid w:val="00E56D7E"/>
    <w:rsid w:val="00E62601"/>
    <w:rsid w:val="00E651F4"/>
    <w:rsid w:val="00E712E4"/>
    <w:rsid w:val="00E7522E"/>
    <w:rsid w:val="00E756BB"/>
    <w:rsid w:val="00E82A61"/>
    <w:rsid w:val="00E86BFA"/>
    <w:rsid w:val="00E9136E"/>
    <w:rsid w:val="00E92569"/>
    <w:rsid w:val="00E9689B"/>
    <w:rsid w:val="00EA0FDD"/>
    <w:rsid w:val="00EA3993"/>
    <w:rsid w:val="00EC48E7"/>
    <w:rsid w:val="00EC7F71"/>
    <w:rsid w:val="00ED1769"/>
    <w:rsid w:val="00ED2198"/>
    <w:rsid w:val="00ED2963"/>
    <w:rsid w:val="00ED4E74"/>
    <w:rsid w:val="00EE3275"/>
    <w:rsid w:val="00EF7239"/>
    <w:rsid w:val="00F00F32"/>
    <w:rsid w:val="00F0322D"/>
    <w:rsid w:val="00F0408E"/>
    <w:rsid w:val="00F22E87"/>
    <w:rsid w:val="00F40BD5"/>
    <w:rsid w:val="00F45E29"/>
    <w:rsid w:val="00F503E6"/>
    <w:rsid w:val="00F60260"/>
    <w:rsid w:val="00F651BF"/>
    <w:rsid w:val="00F6601D"/>
    <w:rsid w:val="00F71A9E"/>
    <w:rsid w:val="00F739B0"/>
    <w:rsid w:val="00F9603E"/>
    <w:rsid w:val="00FA2749"/>
    <w:rsid w:val="00FA3378"/>
    <w:rsid w:val="00FA4017"/>
    <w:rsid w:val="00FA67ED"/>
    <w:rsid w:val="00FB0E1B"/>
    <w:rsid w:val="00FB16F3"/>
    <w:rsid w:val="00FB45EE"/>
    <w:rsid w:val="00FB5467"/>
    <w:rsid w:val="00FB7C20"/>
    <w:rsid w:val="00FC66CE"/>
    <w:rsid w:val="00FD0EE2"/>
    <w:rsid w:val="00FD598D"/>
    <w:rsid w:val="00FD7A66"/>
    <w:rsid w:val="00FE1203"/>
    <w:rsid w:val="00FE1DCB"/>
    <w:rsid w:val="00FE2E48"/>
    <w:rsid w:val="00FE3091"/>
    <w:rsid w:val="03C6030B"/>
    <w:rsid w:val="082F3244"/>
    <w:rsid w:val="0E0F65EA"/>
    <w:rsid w:val="1236694F"/>
    <w:rsid w:val="13C103E6"/>
    <w:rsid w:val="1932366B"/>
    <w:rsid w:val="1955741E"/>
    <w:rsid w:val="21022930"/>
    <w:rsid w:val="26EA7A50"/>
    <w:rsid w:val="343C2486"/>
    <w:rsid w:val="4DE93206"/>
    <w:rsid w:val="4F61287E"/>
    <w:rsid w:val="57D04F5B"/>
    <w:rsid w:val="59004688"/>
    <w:rsid w:val="6BC95214"/>
    <w:rsid w:val="709D58D7"/>
    <w:rsid w:val="7134176B"/>
    <w:rsid w:val="79202AC9"/>
    <w:rsid w:val="79256621"/>
    <w:rsid w:val="7AD1680C"/>
    <w:rsid w:val="7E2D4A9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hint="eastAsia" w:ascii="宋体" w:hAnsi="宋体" w:eastAsia="宋体" w:cs="宋体"/>
      <w:kern w:val="0"/>
      <w:sz w:val="24"/>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customStyle="1" w:styleId="9">
    <w:name w:val="页眉 字符"/>
    <w:basedOn w:val="7"/>
    <w:link w:val="3"/>
    <w:qFormat/>
    <w:uiPriority w:val="99"/>
    <w:rPr>
      <w:kern w:val="2"/>
      <w:sz w:val="18"/>
      <w:szCs w:val="18"/>
    </w:rPr>
  </w:style>
  <w:style w:type="character" w:customStyle="1" w:styleId="10">
    <w:name w:val="页脚 字符"/>
    <w:basedOn w:val="7"/>
    <w:link w:val="2"/>
    <w:qFormat/>
    <w:uiPriority w:val="99"/>
    <w:rPr>
      <w:kern w:val="2"/>
      <w:sz w:val="18"/>
      <w:szCs w:val="18"/>
    </w:rPr>
  </w:style>
  <w:style w:type="paragraph" w:customStyle="1" w:styleId="11">
    <w:name w:val="正文1"/>
    <w:qFormat/>
    <w:uiPriority w:val="0"/>
    <w:pPr>
      <w:widowControl w:val="0"/>
      <w:jc w:val="both"/>
    </w:pPr>
    <w:rPr>
      <w:rFonts w:hint="eastAsia" w:ascii="Times New Roman" w:hAnsi="Times New Roman" w:eastAsia="宋体" w:cs="Times New Roman"/>
      <w:kern w:val="2"/>
      <w:sz w:val="21"/>
      <w:szCs w:val="22"/>
      <w:lang w:val="en-US" w:eastAsia="zh-CN" w:bidi="ar-SA"/>
    </w:rPr>
  </w:style>
  <w:style w:type="table" w:customStyle="1" w:styleId="12">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Pages>
  <Words>218</Words>
  <Characters>1243</Characters>
  <Lines>10</Lines>
  <Paragraphs>2</Paragraphs>
  <TotalTime>21</TotalTime>
  <ScaleCrop>false</ScaleCrop>
  <LinksUpToDate>false</LinksUpToDate>
  <CharactersWithSpaces>1459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2020-01-06T10:32:00Z</dcterms:created>
  <dc:creator>China</dc:creator>
  <cp:lastModifiedBy>李宏浙</cp:lastModifiedBy>
  <cp:lastPrinted>2022-01-18T00:17:00Z</cp:lastPrinted>
  <dcterms:modified xsi:type="dcterms:W3CDTF">2022-01-19T01:48:02Z</dcterms:modified>
  <cp:revision>1868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3CA7D5A813234A4482E044B913BF69BF</vt:lpwstr>
  </property>
</Properties>
</file>