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 xml:space="preserve">临淄区综合行政执法局 </w:t>
      </w: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ascii="仿宋" w:hAnsi="仿宋" w:eastAsia="仿宋" w:cs="仿宋"/>
          <w:i w:val="0"/>
          <w:caps w:val="0"/>
          <w:color w:val="000000"/>
          <w:spacing w:val="0"/>
          <w:sz w:val="32"/>
          <w:szCs w:val="32"/>
        </w:rPr>
      </w:pP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ascii="仿宋体" w:hAnsi="仿宋体" w:cs="仿宋体"/>
          <w:i w:val="0"/>
          <w:caps w:val="0"/>
          <w:color w:val="000000"/>
          <w:spacing w:val="0"/>
          <w:sz w:val="24"/>
          <w:szCs w:val="24"/>
        </w:rPr>
      </w:pPr>
      <w:r>
        <w:rPr>
          <w:rFonts w:hint="eastAsia" w:ascii="黑体" w:hAnsi="黑体" w:eastAsia="黑体" w:cstheme="minorBidi"/>
          <w:kern w:val="2"/>
          <w:sz w:val="32"/>
          <w:szCs w:val="32"/>
          <w:lang w:val="en-US" w:eastAsia="zh-CN" w:bidi="ar-SA"/>
        </w:rPr>
        <w:t> 一、总体情况</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2021年，我单位认真贯彻《中华人民共和国政府信息公开条例》和省、市、区关于政务公开和政府信息公开的有关要求，紧密结合机构职能和工作实际，认真有序推进政府信息公开工作，具体报告如下：</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（一）主动公开。</w:t>
      </w:r>
      <w:r>
        <w:rPr>
          <w:rFonts w:hint="eastAsia" w:ascii="仿宋" w:hAnsi="仿宋" w:eastAsia="仿宋"/>
          <w:color w:val="000000"/>
          <w:sz w:val="32"/>
          <w:szCs w:val="32"/>
        </w:rPr>
        <w:t>2021年度本机关主动公开政府信息86条，具体情况如下：其中业务工作8条、机构职能2条、法规公文5条、政府会议2条、民生公益3条、重要部署执行公开2条、财政信息5条、管理和服务公开6条、政府信息公开年报1条、基层政务公开标准化目录3条、主动公开基本目录1条、政务公开保障机制5条、政府信息公开制度2条、生态环境2条、公共监管4条。通过“临淄区综合行政执法局”微信公众平台发布信息35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rPr>
        <w:drawing>
          <wp:inline distT="0" distB="0" distL="114300" distR="114300">
            <wp:extent cx="10515600" cy="5905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515600" cy="5905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rPr>
        <w:drawing>
          <wp:inline distT="0" distB="0" distL="114300" distR="114300">
            <wp:extent cx="10906125" cy="53244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0906125" cy="5324475"/>
                    </a:xfrm>
                    <a:prstGeom prst="rect">
                      <a:avLst/>
                    </a:prstGeom>
                    <a:noFill/>
                    <a:ln w="9525">
                      <a:noFill/>
                    </a:ln>
                  </pic:spPr>
                </pic:pic>
              </a:graphicData>
            </a:graphic>
          </wp:inline>
        </w:drawing>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（二）依申请公开。</w:t>
      </w:r>
      <w:r>
        <w:rPr>
          <w:rFonts w:hint="eastAsia" w:ascii="仿宋" w:hAnsi="仿宋" w:eastAsia="仿宋"/>
          <w:color w:val="000000"/>
          <w:sz w:val="32"/>
          <w:szCs w:val="32"/>
        </w:rPr>
        <w:t>2021年，我单位受理依申请公开0件，无结转下年度继续办理件。</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（三）政府信息管理。</w:t>
      </w:r>
      <w:r>
        <w:rPr>
          <w:rFonts w:hint="eastAsia" w:ascii="仿宋" w:hAnsi="仿宋" w:eastAsia="仿宋"/>
          <w:color w:val="000000"/>
          <w:sz w:val="32"/>
          <w:szCs w:val="32"/>
        </w:rPr>
        <w:t>2021年政务公开工作由局办公室负责牵头统筹，确定专人负责，局机关各科室、各直属事业单位按职责分工分别负责，严格按照“谁主管、谁公开、谁负责”的原则开展信息公开工作。制定完善《临淄区综合行政执法局政务公开保密审查制度》《政务公开事项标准目录》《主动公开基本目录》，确保政务公开工作有章可循，有制可依，严格规范政府信息公开的保密审查和公开属性的确定程序，层层把关审核公开事项，及时准确发布到相应栏目。</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（四）政府信息公开平台建设。</w:t>
      </w:r>
      <w:r>
        <w:rPr>
          <w:rFonts w:hint="eastAsia" w:ascii="仿宋" w:hAnsi="仿宋" w:eastAsia="仿宋"/>
          <w:color w:val="000000"/>
          <w:sz w:val="32"/>
          <w:szCs w:val="32"/>
        </w:rPr>
        <w:t>在临淄区门户网站设立临淄区综合行政执法局政府信息公开专栏，主动公布信息公开目录和信息公开指南等内容，结合工作实际，设置“业务工作”“民生公益”“管理和服务公开”“公共监管”等栏目，及时维护和更新。</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（五）监督保障。</w:t>
      </w:r>
      <w:r>
        <w:rPr>
          <w:rFonts w:hint="eastAsia" w:ascii="仿宋" w:hAnsi="仿宋" w:eastAsia="仿宋"/>
          <w:color w:val="000000"/>
          <w:sz w:val="32"/>
          <w:szCs w:val="32"/>
        </w:rPr>
        <w:t>根据政府信息公开工作要求，我局成立了政府信息公开工作领导小组，办公室设在局办公室，由办公室一名在职在编人员具体负责政务公开工作。领导小组办公室牵头负责推进、指导、协调、监督本单位政务公开工作，研究制定政务公开工作制度，组织维护和更新本局公开的信息，协调做好政务公开审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1"/>
          <w:szCs w:val="21"/>
        </w:rPr>
        <w:t> </w:t>
      </w:r>
    </w:p>
    <w:tbl>
      <w:tblPr>
        <w:tblStyle w:val="4"/>
        <w:tblW w:w="8124" w:type="dxa"/>
        <w:tblInd w:w="0" w:type="dxa"/>
        <w:shd w:val="clear" w:color="auto" w:fill="auto"/>
        <w:tblLayout w:type="autofit"/>
        <w:tblCellMar>
          <w:top w:w="0" w:type="dxa"/>
          <w:left w:w="0" w:type="dxa"/>
          <w:bottom w:w="0" w:type="dxa"/>
          <w:right w:w="0" w:type="dxa"/>
        </w:tblCellMar>
      </w:tblPr>
      <w:tblGrid>
        <w:gridCol w:w="3284"/>
        <w:gridCol w:w="1686"/>
        <w:gridCol w:w="1803"/>
        <w:gridCol w:w="1351"/>
      </w:tblGrid>
      <w:tr>
        <w:tblPrEx>
          <w:shd w:val="clear" w:color="auto" w:fill="auto"/>
          <w:tblCellMar>
            <w:top w:w="0" w:type="dxa"/>
            <w:left w:w="0" w:type="dxa"/>
            <w:bottom w:w="0" w:type="dxa"/>
            <w:right w:w="0" w:type="dxa"/>
          </w:tblCellMar>
        </w:tblPrEx>
        <w:trPr>
          <w:trHeight w:val="621" w:hRule="atLeast"/>
        </w:trPr>
        <w:tc>
          <w:tcPr>
            <w:tcW w:w="8124" w:type="dxa"/>
            <w:gridSpan w:val="4"/>
            <w:tcBorders>
              <w:top w:val="single" w:color="2B283F" w:sz="8" w:space="0"/>
              <w:left w:val="single" w:color="3B3B44" w:sz="8" w:space="0"/>
              <w:bottom w:val="single" w:color="64647C" w:sz="8" w:space="0"/>
              <w:right w:val="single" w:color="3B3B44"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1" w:right="1"/>
              <w:jc w:val="center"/>
              <w:rPr>
                <w:sz w:val="24"/>
                <w:szCs w:val="24"/>
              </w:rPr>
            </w:pPr>
            <w:r>
              <w:rPr>
                <w:rFonts w:ascii="Calibri" w:hAnsi="Calibri" w:eastAsia="微软雅黑" w:cs="Calibri"/>
                <w:i w:val="0"/>
                <w:caps w:val="0"/>
                <w:color w:val="000000"/>
                <w:spacing w:val="0"/>
                <w:sz w:val="21"/>
                <w:szCs w:val="21"/>
              </w:rPr>
              <w:t>第二十条</w:t>
            </w:r>
            <w:r>
              <w:rPr>
                <w:rFonts w:hint="default" w:ascii="Calibri" w:hAnsi="Calibri" w:eastAsia="微软雅黑" w:cs="Calibri"/>
                <w:i w:val="0"/>
                <w:caps w:val="0"/>
                <w:color w:val="000000"/>
                <w:spacing w:val="0"/>
                <w:sz w:val="21"/>
                <w:szCs w:val="21"/>
              </w:rPr>
              <w:t> 第 （一</w:t>
            </w: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 项</w:t>
            </w:r>
          </w:p>
        </w:tc>
      </w:tr>
      <w:tr>
        <w:tblPrEx>
          <w:tblCellMar>
            <w:top w:w="0" w:type="dxa"/>
            <w:left w:w="0" w:type="dxa"/>
            <w:bottom w:w="0" w:type="dxa"/>
            <w:right w:w="0" w:type="dxa"/>
          </w:tblCellMar>
        </w:tblPrEx>
        <w:trPr>
          <w:trHeight w:val="616" w:hRule="atLeast"/>
        </w:trPr>
        <w:tc>
          <w:tcPr>
            <w:tcW w:w="3284" w:type="dxa"/>
            <w:tcBorders>
              <w:top w:val="nil"/>
              <w:left w:val="single" w:color="3B3B44" w:sz="8" w:space="0"/>
              <w:bottom w:val="single" w:color="707790" w:sz="8" w:space="0"/>
              <w:right w:val="single" w:color="7C7C83"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27"/>
              <w:jc w:val="center"/>
              <w:rPr>
                <w:sz w:val="24"/>
                <w:szCs w:val="24"/>
              </w:rPr>
            </w:pPr>
            <w:r>
              <w:rPr>
                <w:rFonts w:hint="default" w:ascii="Calibri" w:hAnsi="Calibri" w:eastAsia="微软雅黑" w:cs="Calibri"/>
                <w:i w:val="0"/>
                <w:caps w:val="0"/>
                <w:color w:val="000000"/>
                <w:spacing w:val="0"/>
                <w:sz w:val="21"/>
                <w:szCs w:val="21"/>
              </w:rPr>
              <w:t>信息内容</w:t>
            </w:r>
          </w:p>
        </w:tc>
        <w:tc>
          <w:tcPr>
            <w:tcW w:w="1686" w:type="dxa"/>
            <w:tcBorders>
              <w:top w:val="single" w:color="64647C" w:sz="8" w:space="0"/>
              <w:left w:val="nil"/>
              <w:bottom w:val="single" w:color="707790" w:sz="8" w:space="0"/>
              <w:right w:val="single" w:color="777780"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16" w:right="0"/>
              <w:jc w:val="left"/>
              <w:rPr>
                <w:sz w:val="24"/>
                <w:szCs w:val="24"/>
              </w:rPr>
            </w:pPr>
            <w:r>
              <w:rPr>
                <w:rFonts w:hint="default" w:ascii="Calibri" w:hAnsi="Calibri" w:eastAsia="微软雅黑" w:cs="Calibri"/>
                <w:i w:val="0"/>
                <w:caps w:val="0"/>
                <w:color w:val="000000"/>
                <w:spacing w:val="0"/>
                <w:sz w:val="21"/>
                <w:szCs w:val="21"/>
              </w:rPr>
              <w:t>本年制发件数</w:t>
            </w:r>
          </w:p>
        </w:tc>
        <w:tc>
          <w:tcPr>
            <w:tcW w:w="1803" w:type="dxa"/>
            <w:tcBorders>
              <w:top w:val="single" w:color="64647C" w:sz="8" w:space="0"/>
              <w:left w:val="nil"/>
              <w:bottom w:val="single" w:color="835B67" w:sz="8" w:space="0"/>
              <w:right w:val="single" w:color="606064"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75" w:right="0"/>
              <w:jc w:val="left"/>
              <w:rPr>
                <w:sz w:val="24"/>
                <w:szCs w:val="24"/>
              </w:rPr>
            </w:pPr>
            <w:r>
              <w:rPr>
                <w:rFonts w:hint="default" w:ascii="Calibri" w:hAnsi="Calibri" w:eastAsia="微软雅黑" w:cs="Calibri"/>
                <w:i w:val="0"/>
                <w:caps w:val="0"/>
                <w:color w:val="000000"/>
                <w:spacing w:val="0"/>
                <w:sz w:val="21"/>
                <w:szCs w:val="21"/>
              </w:rPr>
              <w:t>本年废止件数</w:t>
            </w:r>
          </w:p>
        </w:tc>
        <w:tc>
          <w:tcPr>
            <w:tcW w:w="1351" w:type="dxa"/>
            <w:tcBorders>
              <w:top w:val="single" w:color="64647C" w:sz="8" w:space="0"/>
              <w:left w:val="nil"/>
              <w:bottom w:val="single" w:color="835B67" w:sz="8" w:space="0"/>
              <w:right w:val="single" w:color="3B3B44"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0" w:afterAutospacing="0"/>
              <w:ind w:left="0" w:right="0"/>
              <w:jc w:val="center"/>
              <w:rPr>
                <w:sz w:val="24"/>
                <w:szCs w:val="24"/>
              </w:rPr>
            </w:pPr>
            <w:r>
              <w:rPr>
                <w:rFonts w:hint="default" w:ascii="Calibri" w:hAnsi="Calibri" w:eastAsia="微软雅黑" w:cs="Calibri"/>
                <w:i w:val="0"/>
                <w:caps w:val="0"/>
                <w:color w:val="000000"/>
                <w:spacing w:val="0"/>
                <w:sz w:val="21"/>
                <w:szCs w:val="21"/>
              </w:rPr>
              <w:t>现行有效件数</w:t>
            </w:r>
          </w:p>
        </w:tc>
      </w:tr>
      <w:tr>
        <w:tblPrEx>
          <w:tblCellMar>
            <w:top w:w="0" w:type="dxa"/>
            <w:left w:w="0" w:type="dxa"/>
            <w:bottom w:w="0" w:type="dxa"/>
            <w:right w:w="0" w:type="dxa"/>
          </w:tblCellMar>
        </w:tblPrEx>
        <w:trPr>
          <w:trHeight w:val="628" w:hRule="atLeast"/>
        </w:trPr>
        <w:tc>
          <w:tcPr>
            <w:tcW w:w="3284" w:type="dxa"/>
            <w:tcBorders>
              <w:top w:val="nil"/>
              <w:left w:val="single" w:color="3B3B44" w:sz="8" w:space="0"/>
              <w:bottom w:val="single" w:color="747487" w:sz="8" w:space="0"/>
              <w:right w:val="single" w:color="97979C"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0" w:afterAutospacing="0"/>
              <w:ind w:left="93" w:right="0"/>
              <w:jc w:val="left"/>
              <w:rPr>
                <w:sz w:val="24"/>
                <w:szCs w:val="24"/>
              </w:rPr>
            </w:pPr>
            <w:r>
              <w:rPr>
                <w:rFonts w:hint="default" w:ascii="Calibri" w:hAnsi="Calibri" w:eastAsia="微软雅黑" w:cs="Calibri"/>
                <w:i w:val="0"/>
                <w:caps w:val="0"/>
                <w:color w:val="000000"/>
                <w:spacing w:val="0"/>
                <w:sz w:val="21"/>
                <w:szCs w:val="21"/>
              </w:rPr>
              <w:t>规章</w:t>
            </w:r>
          </w:p>
        </w:tc>
        <w:tc>
          <w:tcPr>
            <w:tcW w:w="1686" w:type="dxa"/>
            <w:tcBorders>
              <w:top w:val="nil"/>
              <w:left w:val="nil"/>
              <w:bottom w:val="single" w:color="747487" w:sz="8" w:space="0"/>
              <w:right w:val="single" w:color="939397"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c>
          <w:tcPr>
            <w:tcW w:w="1803" w:type="dxa"/>
            <w:tcBorders>
              <w:top w:val="nil"/>
              <w:left w:val="nil"/>
              <w:bottom w:val="single" w:color="546080" w:sz="8" w:space="0"/>
              <w:right w:val="single" w:color="97939C"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c>
          <w:tcPr>
            <w:tcW w:w="1351" w:type="dxa"/>
            <w:tcBorders>
              <w:top w:val="nil"/>
              <w:left w:val="nil"/>
              <w:bottom w:val="single" w:color="74778C" w:sz="8" w:space="0"/>
              <w:right w:val="single" w:color="3B3B3F"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5B6080" w:sz="8" w:space="0"/>
              <w:right w:val="single" w:color="97979C"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93" w:right="0"/>
              <w:jc w:val="left"/>
              <w:rPr>
                <w:sz w:val="24"/>
                <w:szCs w:val="24"/>
              </w:rPr>
            </w:pPr>
            <w:r>
              <w:rPr>
                <w:rFonts w:hint="default" w:ascii="Calibri" w:hAnsi="Calibri" w:eastAsia="微软雅黑" w:cs="Calibri"/>
                <w:i w:val="0"/>
                <w:caps w:val="0"/>
                <w:color w:val="000000"/>
                <w:spacing w:val="0"/>
                <w:sz w:val="21"/>
                <w:szCs w:val="21"/>
              </w:rPr>
              <w:t>行政规范性文件</w:t>
            </w:r>
          </w:p>
        </w:tc>
        <w:tc>
          <w:tcPr>
            <w:tcW w:w="1686" w:type="dxa"/>
            <w:tcBorders>
              <w:top w:val="nil"/>
              <w:left w:val="nil"/>
              <w:bottom w:val="single" w:color="5B6080" w:sz="8" w:space="0"/>
              <w:right w:val="single" w:color="939397"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c>
          <w:tcPr>
            <w:tcW w:w="1803" w:type="dxa"/>
            <w:tcBorders>
              <w:top w:val="nil"/>
              <w:left w:val="nil"/>
              <w:bottom w:val="single" w:color="5B6080" w:sz="8" w:space="0"/>
              <w:right w:val="single" w:color="97939C"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c>
          <w:tcPr>
            <w:tcW w:w="1351" w:type="dxa"/>
            <w:tcBorders>
              <w:top w:val="nil"/>
              <w:left w:val="nil"/>
              <w:bottom w:val="single" w:color="5B6080" w:sz="8" w:space="0"/>
              <w:right w:val="single" w:color="3B3B3F"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r>
      <w:tr>
        <w:tblPrEx>
          <w:tblCellMar>
            <w:top w:w="0" w:type="dxa"/>
            <w:left w:w="0" w:type="dxa"/>
            <w:bottom w:w="0" w:type="dxa"/>
            <w:right w:w="0" w:type="dxa"/>
          </w:tblCellMar>
        </w:tblPrEx>
        <w:trPr>
          <w:trHeight w:val="621" w:hRule="atLeast"/>
        </w:trPr>
        <w:tc>
          <w:tcPr>
            <w:tcW w:w="8124" w:type="dxa"/>
            <w:gridSpan w:val="4"/>
            <w:tcBorders>
              <w:top w:val="nil"/>
              <w:left w:val="single" w:color="3B3B44" w:sz="8" w:space="0"/>
              <w:bottom w:val="single" w:color="646B80" w:sz="8" w:space="0"/>
              <w:right w:val="single" w:color="3B3B3F"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ind w:left="5" w:right="0"/>
              <w:jc w:val="center"/>
              <w:rPr>
                <w:sz w:val="24"/>
                <w:szCs w:val="24"/>
              </w:rPr>
            </w:pPr>
            <w:r>
              <w:rPr>
                <w:rFonts w:hint="default" w:ascii="Calibri" w:hAnsi="Calibri" w:eastAsia="微软雅黑" w:cs="Calibri"/>
                <w:i w:val="0"/>
                <w:caps w:val="0"/>
                <w:color w:val="000000"/>
                <w:spacing w:val="0"/>
                <w:sz w:val="21"/>
                <w:szCs w:val="21"/>
              </w:rPr>
              <w:t>第二十条 第 （五</w:t>
            </w: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 项</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80676B" w:sz="8" w:space="0"/>
              <w:right w:val="single" w:color="878787"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0" w:right="17"/>
              <w:jc w:val="center"/>
              <w:rPr>
                <w:sz w:val="24"/>
                <w:szCs w:val="24"/>
              </w:rPr>
            </w:pPr>
            <w:r>
              <w:rPr>
                <w:rFonts w:hint="default" w:ascii="Calibri" w:hAnsi="Calibri" w:eastAsia="微软雅黑" w:cs="Calibri"/>
                <w:i w:val="0"/>
                <w:caps w:val="0"/>
                <w:color w:val="000000"/>
                <w:spacing w:val="0"/>
                <w:sz w:val="21"/>
                <w:szCs w:val="21"/>
              </w:rPr>
              <w:t>信息内容</w:t>
            </w:r>
          </w:p>
        </w:tc>
        <w:tc>
          <w:tcPr>
            <w:tcW w:w="4840" w:type="dxa"/>
            <w:gridSpan w:val="3"/>
            <w:tcBorders>
              <w:top w:val="single" w:color="646B80" w:sz="8" w:space="0"/>
              <w:left w:val="nil"/>
              <w:bottom w:val="single" w:color="7C7474" w:sz="8" w:space="0"/>
              <w:right w:val="single" w:color="3B3B3F"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16"/>
              <w:jc w:val="center"/>
              <w:rPr>
                <w:sz w:val="24"/>
                <w:szCs w:val="24"/>
              </w:rPr>
            </w:pPr>
            <w:r>
              <w:rPr>
                <w:rFonts w:hint="default" w:ascii="Calibri" w:hAnsi="Calibri" w:eastAsia="微软雅黑" w:cs="Calibri"/>
                <w:i w:val="0"/>
                <w:caps w:val="0"/>
                <w:color w:val="000000"/>
                <w:spacing w:val="0"/>
                <w:sz w:val="21"/>
                <w:szCs w:val="21"/>
              </w:rPr>
              <w:t>本年处理决定数量</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646487" w:sz="8" w:space="0"/>
              <w:right w:val="single" w:color="878787"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ind w:left="98" w:right="0"/>
              <w:jc w:val="left"/>
              <w:rPr>
                <w:sz w:val="24"/>
                <w:szCs w:val="24"/>
              </w:rPr>
            </w:pPr>
            <w:r>
              <w:rPr>
                <w:rFonts w:hint="default" w:ascii="Calibri" w:hAnsi="Calibri" w:eastAsia="微软雅黑" w:cs="Calibri"/>
                <w:i w:val="0"/>
                <w:caps w:val="0"/>
                <w:color w:val="000000"/>
                <w:spacing w:val="0"/>
                <w:sz w:val="21"/>
                <w:szCs w:val="21"/>
              </w:rPr>
              <w:t>行政许可</w:t>
            </w:r>
          </w:p>
        </w:tc>
        <w:tc>
          <w:tcPr>
            <w:tcW w:w="4840" w:type="dxa"/>
            <w:gridSpan w:val="3"/>
            <w:tcBorders>
              <w:top w:val="nil"/>
              <w:left w:val="nil"/>
              <w:bottom w:val="single" w:color="646487" w:sz="8" w:space="0"/>
              <w:right w:val="single" w:color="3B3B3F"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45</w:t>
            </w:r>
          </w:p>
        </w:tc>
      </w:tr>
      <w:tr>
        <w:tblPrEx>
          <w:tblCellMar>
            <w:top w:w="0" w:type="dxa"/>
            <w:left w:w="0" w:type="dxa"/>
            <w:bottom w:w="0" w:type="dxa"/>
            <w:right w:w="0" w:type="dxa"/>
          </w:tblCellMar>
        </w:tblPrEx>
        <w:trPr>
          <w:trHeight w:val="623" w:hRule="atLeast"/>
        </w:trPr>
        <w:tc>
          <w:tcPr>
            <w:tcW w:w="8124" w:type="dxa"/>
            <w:gridSpan w:val="4"/>
            <w:tcBorders>
              <w:top w:val="nil"/>
              <w:left w:val="single" w:color="3B3B44" w:sz="8" w:space="0"/>
              <w:bottom w:val="single" w:color="607087" w:sz="8" w:space="0"/>
              <w:right w:val="single" w:color="3B3B3F"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15" w:right="0"/>
              <w:jc w:val="center"/>
              <w:rPr>
                <w:sz w:val="24"/>
                <w:szCs w:val="24"/>
              </w:rPr>
            </w:pPr>
            <w:r>
              <w:rPr>
                <w:rFonts w:hint="default" w:ascii="Calibri" w:hAnsi="Calibri" w:eastAsia="微软雅黑" w:cs="Calibri"/>
                <w:i w:val="0"/>
                <w:caps w:val="0"/>
                <w:color w:val="000000"/>
                <w:spacing w:val="0"/>
                <w:sz w:val="21"/>
                <w:szCs w:val="21"/>
              </w:rPr>
              <w:t>第二十条 第 （六</w:t>
            </w:r>
            <w:r>
              <w:rPr>
                <w:rFonts w:hint="eastAsia" w:ascii="宋体" w:hAnsi="宋体" w:eastAsia="宋体" w:cs="宋体"/>
                <w:i w:val="0"/>
                <w:caps w:val="0"/>
                <w:color w:val="000000"/>
                <w:spacing w:val="0"/>
                <w:sz w:val="21"/>
                <w:szCs w:val="21"/>
              </w:rPr>
              <w:t>）</w:t>
            </w:r>
            <w:r>
              <w:rPr>
                <w:rFonts w:hint="default" w:ascii="Calibri" w:hAnsi="Calibri" w:eastAsia="微软雅黑" w:cs="Calibri"/>
                <w:i w:val="0"/>
                <w:caps w:val="0"/>
                <w:color w:val="000000"/>
                <w:spacing w:val="0"/>
                <w:sz w:val="21"/>
                <w:szCs w:val="21"/>
              </w:rPr>
              <w:t> 项</w:t>
            </w:r>
          </w:p>
        </w:tc>
      </w:tr>
      <w:tr>
        <w:tblPrEx>
          <w:tblCellMar>
            <w:top w:w="0" w:type="dxa"/>
            <w:left w:w="0" w:type="dxa"/>
            <w:bottom w:w="0" w:type="dxa"/>
            <w:right w:w="0" w:type="dxa"/>
          </w:tblCellMar>
        </w:tblPrEx>
        <w:trPr>
          <w:trHeight w:val="627" w:hRule="atLeast"/>
        </w:trPr>
        <w:tc>
          <w:tcPr>
            <w:tcW w:w="3284" w:type="dxa"/>
            <w:tcBorders>
              <w:top w:val="nil"/>
              <w:left w:val="single" w:color="3B3B44" w:sz="8" w:space="0"/>
              <w:bottom w:val="single" w:color="8C7774" w:sz="8" w:space="0"/>
              <w:right w:val="single" w:color="909093"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8"/>
              <w:jc w:val="center"/>
              <w:rPr>
                <w:sz w:val="24"/>
                <w:szCs w:val="24"/>
              </w:rPr>
            </w:pPr>
            <w:r>
              <w:rPr>
                <w:rFonts w:hint="default" w:ascii="Calibri" w:hAnsi="Calibri" w:eastAsia="微软雅黑" w:cs="Calibri"/>
                <w:i w:val="0"/>
                <w:caps w:val="0"/>
                <w:color w:val="000000"/>
                <w:spacing w:val="0"/>
                <w:sz w:val="21"/>
                <w:szCs w:val="21"/>
              </w:rPr>
              <w:t>信息内容</w:t>
            </w:r>
          </w:p>
        </w:tc>
        <w:tc>
          <w:tcPr>
            <w:tcW w:w="4840" w:type="dxa"/>
            <w:gridSpan w:val="3"/>
            <w:tcBorders>
              <w:top w:val="single" w:color="607087" w:sz="8" w:space="0"/>
              <w:left w:val="nil"/>
              <w:bottom w:val="single" w:color="747074" w:sz="8" w:space="0"/>
              <w:right w:val="single" w:color="3B3B3F"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13"/>
              <w:jc w:val="center"/>
              <w:rPr>
                <w:sz w:val="24"/>
                <w:szCs w:val="24"/>
              </w:rPr>
            </w:pPr>
            <w:r>
              <w:rPr>
                <w:rFonts w:hint="default" w:ascii="Calibri" w:hAnsi="Calibri" w:eastAsia="微软雅黑" w:cs="Calibri"/>
                <w:i w:val="0"/>
                <w:caps w:val="0"/>
                <w:color w:val="000000"/>
                <w:spacing w:val="0"/>
                <w:sz w:val="21"/>
                <w:szCs w:val="21"/>
              </w:rPr>
              <w:t>本年处理决定数量</w:t>
            </w:r>
          </w:p>
        </w:tc>
      </w:tr>
      <w:tr>
        <w:tblPrEx>
          <w:tblCellMar>
            <w:top w:w="0" w:type="dxa"/>
            <w:left w:w="0" w:type="dxa"/>
            <w:bottom w:w="0" w:type="dxa"/>
            <w:right w:w="0" w:type="dxa"/>
          </w:tblCellMar>
        </w:tblPrEx>
        <w:trPr>
          <w:trHeight w:val="624" w:hRule="atLeast"/>
        </w:trPr>
        <w:tc>
          <w:tcPr>
            <w:tcW w:w="3284" w:type="dxa"/>
            <w:tcBorders>
              <w:top w:val="nil"/>
              <w:left w:val="single" w:color="3B3B44" w:sz="8" w:space="0"/>
              <w:bottom w:val="single" w:color="7C6B74" w:sz="8" w:space="0"/>
              <w:right w:val="single" w:color="909093"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9" w:beforeAutospacing="0" w:after="0" w:afterAutospacing="0"/>
              <w:ind w:left="102" w:right="0"/>
              <w:jc w:val="left"/>
              <w:rPr>
                <w:sz w:val="24"/>
                <w:szCs w:val="24"/>
              </w:rPr>
            </w:pPr>
            <w:r>
              <w:rPr>
                <w:rFonts w:hint="default" w:ascii="Calibri" w:hAnsi="Calibri" w:eastAsia="微软雅黑" w:cs="Calibri"/>
                <w:i w:val="0"/>
                <w:caps w:val="0"/>
                <w:color w:val="000000"/>
                <w:spacing w:val="0"/>
                <w:sz w:val="21"/>
                <w:szCs w:val="21"/>
              </w:rPr>
              <w:t>行政处罚</w:t>
            </w:r>
          </w:p>
        </w:tc>
        <w:tc>
          <w:tcPr>
            <w:tcW w:w="4840" w:type="dxa"/>
            <w:gridSpan w:val="3"/>
            <w:tcBorders>
              <w:top w:val="nil"/>
              <w:left w:val="nil"/>
              <w:bottom w:val="single" w:color="7C6B74" w:sz="8" w:space="0"/>
              <w:right w:val="single" w:color="3B3B3F"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40</w:t>
            </w:r>
          </w:p>
        </w:tc>
      </w:tr>
      <w:tr>
        <w:tblPrEx>
          <w:tblCellMar>
            <w:top w:w="0" w:type="dxa"/>
            <w:left w:w="0" w:type="dxa"/>
            <w:bottom w:w="0" w:type="dxa"/>
            <w:right w:w="0" w:type="dxa"/>
          </w:tblCellMar>
        </w:tblPrEx>
        <w:trPr>
          <w:trHeight w:val="618" w:hRule="atLeast"/>
        </w:trPr>
        <w:tc>
          <w:tcPr>
            <w:tcW w:w="3284" w:type="dxa"/>
            <w:tcBorders>
              <w:top w:val="nil"/>
              <w:left w:val="single" w:color="3B3B44" w:sz="8" w:space="0"/>
              <w:bottom w:val="single" w:color="646080" w:sz="8" w:space="0"/>
              <w:right w:val="single" w:color="909093"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107" w:right="0"/>
              <w:jc w:val="left"/>
              <w:rPr>
                <w:sz w:val="24"/>
                <w:szCs w:val="24"/>
              </w:rPr>
            </w:pPr>
            <w:r>
              <w:rPr>
                <w:rFonts w:hint="default" w:ascii="Calibri" w:hAnsi="Calibri" w:eastAsia="微软雅黑" w:cs="Calibri"/>
                <w:i w:val="0"/>
                <w:caps w:val="0"/>
                <w:color w:val="000000"/>
                <w:spacing w:val="0"/>
                <w:sz w:val="21"/>
                <w:szCs w:val="21"/>
              </w:rPr>
              <w:t>行政强制</w:t>
            </w:r>
          </w:p>
        </w:tc>
        <w:tc>
          <w:tcPr>
            <w:tcW w:w="4840" w:type="dxa"/>
            <w:gridSpan w:val="3"/>
            <w:tcBorders>
              <w:top w:val="nil"/>
              <w:left w:val="nil"/>
              <w:bottom w:val="single" w:color="646080" w:sz="8" w:space="0"/>
              <w:right w:val="single" w:color="3B3B3F"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1</w:t>
            </w:r>
          </w:p>
        </w:tc>
      </w:tr>
      <w:tr>
        <w:tblPrEx>
          <w:tblCellMar>
            <w:top w:w="0" w:type="dxa"/>
            <w:left w:w="0" w:type="dxa"/>
            <w:bottom w:w="0" w:type="dxa"/>
            <w:right w:w="0" w:type="dxa"/>
          </w:tblCellMar>
        </w:tblPrEx>
        <w:trPr>
          <w:trHeight w:val="626" w:hRule="atLeast"/>
        </w:trPr>
        <w:tc>
          <w:tcPr>
            <w:tcW w:w="8124" w:type="dxa"/>
            <w:gridSpan w:val="4"/>
            <w:tcBorders>
              <w:top w:val="nil"/>
              <w:left w:val="single" w:color="3B3B44" w:sz="8" w:space="0"/>
              <w:bottom w:val="nil"/>
              <w:right w:val="single" w:color="3B3B3F"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25" w:right="0"/>
              <w:jc w:val="center"/>
              <w:rPr>
                <w:sz w:val="24"/>
                <w:szCs w:val="24"/>
              </w:rPr>
            </w:pPr>
            <w:r>
              <w:rPr>
                <w:rFonts w:hint="default" w:ascii="Calibri" w:hAnsi="Calibri" w:eastAsia="微软雅黑" w:cs="Calibri"/>
                <w:i w:val="0"/>
                <w:caps w:val="0"/>
                <w:color w:val="000000"/>
                <w:spacing w:val="0"/>
                <w:sz w:val="21"/>
                <w:szCs w:val="21"/>
              </w:rPr>
              <w:t>第二十条 第 （八） 项</w:t>
            </w:r>
          </w:p>
        </w:tc>
      </w:tr>
      <w:tr>
        <w:tblPrEx>
          <w:tblCellMar>
            <w:top w:w="0" w:type="dxa"/>
            <w:left w:w="0" w:type="dxa"/>
            <w:bottom w:w="0" w:type="dxa"/>
            <w:right w:w="0" w:type="dxa"/>
          </w:tblCellMar>
        </w:tblPrEx>
        <w:trPr>
          <w:trHeight w:val="621" w:hRule="atLeast"/>
        </w:trPr>
        <w:tc>
          <w:tcPr>
            <w:tcW w:w="3284" w:type="dxa"/>
            <w:tcBorders>
              <w:top w:val="single" w:color="6B747C" w:sz="8" w:space="0"/>
              <w:left w:val="single" w:color="5B5B60" w:sz="8" w:space="0"/>
              <w:bottom w:val="single" w:color="77778C"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1"/>
              <w:jc w:val="center"/>
              <w:rPr>
                <w:sz w:val="24"/>
                <w:szCs w:val="24"/>
              </w:rPr>
            </w:pPr>
            <w:r>
              <w:rPr>
                <w:rFonts w:hint="default" w:ascii="Calibri" w:hAnsi="Calibri" w:eastAsia="微软雅黑" w:cs="Calibri"/>
                <w:i w:val="0"/>
                <w:caps w:val="0"/>
                <w:color w:val="000000"/>
                <w:spacing w:val="0"/>
                <w:sz w:val="21"/>
                <w:szCs w:val="21"/>
              </w:rPr>
              <w:t>信息内容</w:t>
            </w:r>
          </w:p>
        </w:tc>
        <w:tc>
          <w:tcPr>
            <w:tcW w:w="4840" w:type="dxa"/>
            <w:gridSpan w:val="3"/>
            <w:tcBorders>
              <w:top w:val="single" w:color="auto" w:sz="8" w:space="0"/>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1446" w:right="0"/>
              <w:jc w:val="left"/>
              <w:rPr>
                <w:sz w:val="24"/>
                <w:szCs w:val="24"/>
              </w:rPr>
            </w:pPr>
            <w:r>
              <w:rPr>
                <w:rFonts w:hint="default" w:ascii="Calibri" w:hAnsi="Calibri" w:eastAsia="微软雅黑" w:cs="Calibri"/>
                <w:i w:val="0"/>
                <w:caps w:val="0"/>
                <w:color w:val="000000"/>
                <w:spacing w:val="0"/>
                <w:sz w:val="21"/>
                <w:szCs w:val="21"/>
              </w:rPr>
              <w:t>本年收费金额  （单位 ：万元</w:t>
            </w:r>
            <w:r>
              <w:rPr>
                <w:rFonts w:hint="eastAsia" w:ascii="宋体" w:hAnsi="宋体" w:eastAsia="宋体" w:cs="宋体"/>
                <w:i w:val="0"/>
                <w:caps w:val="0"/>
                <w:color w:val="000000"/>
                <w:spacing w:val="0"/>
                <w:sz w:val="21"/>
                <w:szCs w:val="21"/>
              </w:rPr>
              <w:t>）</w:t>
            </w:r>
          </w:p>
        </w:tc>
      </w:tr>
      <w:tr>
        <w:tblPrEx>
          <w:tblCellMar>
            <w:top w:w="0" w:type="dxa"/>
            <w:left w:w="0" w:type="dxa"/>
            <w:bottom w:w="0" w:type="dxa"/>
            <w:right w:w="0" w:type="dxa"/>
          </w:tblCellMar>
        </w:tblPrEx>
        <w:trPr>
          <w:trHeight w:val="626" w:hRule="atLeast"/>
        </w:trPr>
        <w:tc>
          <w:tcPr>
            <w:tcW w:w="3284" w:type="dxa"/>
            <w:tcBorders>
              <w:top w:val="nil"/>
              <w:left w:val="single" w:color="5B5B60" w:sz="8" w:space="0"/>
              <w:bottom w:val="single" w:color="3B383F" w:sz="8" w:space="0"/>
              <w:right w:val="single" w:color="8C8C93"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107" w:right="0"/>
              <w:jc w:val="left"/>
              <w:rPr>
                <w:sz w:val="24"/>
                <w:szCs w:val="24"/>
              </w:rPr>
            </w:pPr>
            <w:r>
              <w:rPr>
                <w:rFonts w:hint="default" w:ascii="Calibri" w:hAnsi="Calibri" w:eastAsia="微软雅黑" w:cs="Calibri"/>
                <w:i w:val="0"/>
                <w:caps w:val="0"/>
                <w:color w:val="000000"/>
                <w:spacing w:val="0"/>
                <w:sz w:val="21"/>
                <w:szCs w:val="21"/>
              </w:rPr>
              <w:t>行政事业性收费</w:t>
            </w:r>
          </w:p>
        </w:tc>
        <w:tc>
          <w:tcPr>
            <w:tcW w:w="4840" w:type="dxa"/>
            <w:gridSpan w:val="3"/>
            <w:tcBorders>
              <w:top w:val="nil"/>
              <w:left w:val="nil"/>
              <w:bottom w:val="single" w:color="3B383F" w:sz="8" w:space="0"/>
              <w:right w:val="single" w:color="3B3B44"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caps w:val="0"/>
                <w:color w:val="000000"/>
                <w:spacing w:val="0"/>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default" w:ascii="仿宋体" w:hAnsi="仿宋体" w:cs="仿宋体"/>
          <w:i w:val="0"/>
          <w:caps w:val="0"/>
          <w:color w:val="000000"/>
          <w:spacing w:val="0"/>
          <w:sz w:val="24"/>
          <w:szCs w:val="24"/>
        </w:rPr>
      </w:pPr>
      <w:r>
        <w:rPr>
          <w:rFonts w:hint="eastAsia" w:ascii="黑体" w:hAnsi="宋体" w:eastAsia="黑体" w:cs="黑体"/>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default"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三、收到和处理政府信息公开申请情况</w:t>
      </w:r>
    </w:p>
    <w:tbl>
      <w:tblPr>
        <w:tblStyle w:val="4"/>
        <w:tblW w:w="93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1510"/>
        <w:gridCol w:w="2599"/>
        <w:gridCol w:w="552"/>
        <w:gridCol w:w="688"/>
        <w:gridCol w:w="687"/>
        <w:gridCol w:w="688"/>
        <w:gridCol w:w="688"/>
        <w:gridCol w:w="690"/>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7" w:hRule="atLeast"/>
          <w:jc w:val="center"/>
        </w:trPr>
        <w:tc>
          <w:tcPr>
            <w:tcW w:w="471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（本列数据的勾稽关系为：第一项加第二项之和，等于第三项加第四项之和）</w:t>
            </w:r>
          </w:p>
        </w:tc>
        <w:tc>
          <w:tcPr>
            <w:tcW w:w="468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471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自然人</w:t>
            </w:r>
          </w:p>
        </w:tc>
        <w:tc>
          <w:tcPr>
            <w:tcW w:w="346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法人或其他组织</w:t>
            </w:r>
          </w:p>
        </w:tc>
        <w:tc>
          <w:tcPr>
            <w:tcW w:w="66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471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商业企业</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科研机构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其他</w:t>
            </w:r>
          </w:p>
        </w:tc>
        <w:tc>
          <w:tcPr>
            <w:tcW w:w="66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8" w:hRule="atLeast"/>
          <w:jc w:val="center"/>
        </w:trPr>
        <w:tc>
          <w:tcPr>
            <w:tcW w:w="47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一、本年新收政府信息公开申请数量</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47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二、上年结转政府信息公开申请数量</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5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三、本年度办理结果</w:t>
            </w:r>
          </w:p>
        </w:tc>
        <w:tc>
          <w:tcPr>
            <w:tcW w:w="4159"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（一）予以公开</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159"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（二）部分公开（区分处理的，只计这一情形，不计其他情形）</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9"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（三）不予公开</w:t>
            </w: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1．属于国家秘密</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2．其他法律行政法规禁止公开</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8"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3．危及“三安全一稳定”</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4．保护第三方合法权益</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5．属于三类内部事务信息</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6．属于四类过程性信息</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7．属于行政执法案卷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8．属于行政查询事项</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1"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（四）无法提供</w:t>
            </w: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1．本机关不掌握相关政府信息</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2．没有现成信息需要另行制作</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3．补正后申请内容仍不明确</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（五）不予处理</w:t>
            </w: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1．信访举报投诉类申请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2．重复申请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2"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3．要求提供公开出版物</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4．无正当理由大量反复申请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sz w:val="24"/>
                <w:szCs w:val="24"/>
              </w:rPr>
            </w:pPr>
            <w:r>
              <w:rPr>
                <w:rFonts w:hint="eastAsia" w:ascii="宋体" w:hAnsi="宋体" w:eastAsia="宋体" w:cs="宋体"/>
                <w:sz w:val="18"/>
                <w:szCs w:val="18"/>
              </w:rPr>
              <w:t>5．要求行政机关确认或重新出具已获取信息</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（六）其他处理</w:t>
            </w: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sz w:val="24"/>
                <w:szCs w:val="24"/>
              </w:rPr>
            </w:pPr>
            <w:r>
              <w:rPr>
                <w:rFonts w:hint="eastAsia" w:ascii="宋体" w:hAnsi="宋体" w:eastAsia="宋体" w:cs="宋体"/>
                <w:sz w:val="18"/>
                <w:szCs w:val="18"/>
              </w:rPr>
              <w:t>1.申请人无正当理由逾期不补正、行政机关不再处理其政府信息公开申请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sz w:val="24"/>
                <w:szCs w:val="24"/>
              </w:rPr>
            </w:pPr>
            <w:r>
              <w:rPr>
                <w:rFonts w:hint="eastAsia" w:ascii="宋体" w:hAnsi="宋体" w:eastAsia="宋体" w:cs="宋体"/>
                <w:sz w:val="18"/>
                <w:szCs w:val="18"/>
              </w:rPr>
              <w:t>2.申请人逾期未按收费通知 要求缴纳费用、行政机关不再处理其政府信息公开申请</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rPr>
                <w:sz w:val="24"/>
                <w:szCs w:val="24"/>
              </w:rPr>
            </w:pPr>
            <w:r>
              <w:rPr>
                <w:rFonts w:hint="eastAsia" w:ascii="宋体" w:hAnsi="宋体" w:eastAsia="宋体" w:cs="宋体"/>
                <w:sz w:val="18"/>
                <w:szCs w:val="18"/>
              </w:rPr>
              <w:t>3.其他</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5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1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18"/>
                <w:szCs w:val="18"/>
              </w:rPr>
              <w:t>（七）总计</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471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z w:val="21"/>
                <w:szCs w:val="21"/>
              </w:rPr>
              <w:t>四、结转下年度继续办理</w:t>
            </w:r>
          </w:p>
        </w:tc>
        <w:tc>
          <w:tcPr>
            <w:tcW w:w="5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default" w:ascii="仿宋体" w:hAnsi="仿宋体" w:cs="仿宋体"/>
          <w:i w:val="0"/>
          <w:caps w:val="0"/>
          <w:color w:val="000000"/>
          <w:spacing w:val="0"/>
          <w:sz w:val="24"/>
          <w:szCs w:val="24"/>
        </w:rPr>
      </w:pPr>
      <w:r>
        <w:rPr>
          <w:rFonts w:hint="default" w:ascii="Calibri" w:hAnsi="Calibri" w:cs="Calibri"/>
          <w:i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四、政府信息公开行政复议、行政诉讼情况</w:t>
      </w:r>
    </w:p>
    <w:tbl>
      <w:tblPr>
        <w:tblStyle w:val="4"/>
        <w:tblW w:w="97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4"/>
        <w:gridCol w:w="708"/>
        <w:gridCol w:w="709"/>
        <w:gridCol w:w="706"/>
        <w:gridCol w:w="428"/>
        <w:gridCol w:w="708"/>
        <w:gridCol w:w="709"/>
        <w:gridCol w:w="709"/>
        <w:gridCol w:w="709"/>
        <w:gridCol w:w="426"/>
        <w:gridCol w:w="709"/>
        <w:gridCol w:w="708"/>
        <w:gridCol w:w="709"/>
        <w:gridCol w:w="694"/>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4" w:hRule="atLeast"/>
          <w:jc w:val="center"/>
        </w:trPr>
        <w:tc>
          <w:tcPr>
            <w:tcW w:w="3207"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行政复议</w:t>
            </w:r>
          </w:p>
        </w:tc>
        <w:tc>
          <w:tcPr>
            <w:tcW w:w="6505"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65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结果维持</w:t>
            </w:r>
          </w:p>
        </w:tc>
        <w:tc>
          <w:tcPr>
            <w:tcW w:w="70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结果纠正</w:t>
            </w:r>
          </w:p>
        </w:tc>
        <w:tc>
          <w:tcPr>
            <w:tcW w:w="70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其他结果</w:t>
            </w:r>
          </w:p>
        </w:tc>
        <w:tc>
          <w:tcPr>
            <w:tcW w:w="70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尚未审结</w:t>
            </w:r>
          </w:p>
        </w:tc>
        <w:tc>
          <w:tcPr>
            <w:tcW w:w="42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总计</w:t>
            </w:r>
          </w:p>
        </w:tc>
        <w:tc>
          <w:tcPr>
            <w:tcW w:w="326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未经复议直接起诉</w:t>
            </w:r>
          </w:p>
        </w:tc>
        <w:tc>
          <w:tcPr>
            <w:tcW w:w="324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 w:hRule="atLeast"/>
          <w:jc w:val="center"/>
        </w:trPr>
        <w:tc>
          <w:tcPr>
            <w:tcW w:w="65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2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结果维持</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其他结果</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尚未审结</w:t>
            </w:r>
          </w:p>
        </w:tc>
        <w:tc>
          <w:tcPr>
            <w:tcW w:w="4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总计</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结果维持</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其他结果</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尚未审结</w:t>
            </w:r>
          </w:p>
        </w:tc>
        <w:tc>
          <w:tcPr>
            <w:tcW w:w="4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6" w:hRule="atLeast"/>
          <w:jc w:val="center"/>
        </w:trPr>
        <w:tc>
          <w:tcPr>
            <w:tcW w:w="65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4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1</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1"/>
                <w:szCs w:val="21"/>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default" w:ascii="仿宋体" w:hAnsi="仿宋体" w:cs="仿宋体"/>
          <w:i w:val="0"/>
          <w:caps w:val="0"/>
          <w:color w:val="000000"/>
          <w:spacing w:val="0"/>
          <w:sz w:val="24"/>
          <w:szCs w:val="24"/>
        </w:rPr>
      </w:pPr>
      <w:r>
        <w:rPr>
          <w:rFonts w:hint="eastAsia" w:ascii="黑体" w:hAnsi="宋体" w:eastAsia="黑体" w:cs="黑体"/>
          <w:i w:val="0"/>
          <w:caps w:val="0"/>
          <w:color w:val="000000"/>
          <w:spacing w:val="0"/>
          <w:sz w:val="32"/>
          <w:szCs w:val="32"/>
        </w:rPr>
        <w:t> </w:t>
      </w:r>
    </w:p>
    <w:p>
      <w:pPr>
        <w:ind w:firstLine="640" w:firstLineChars="200"/>
        <w:rPr>
          <w:rFonts w:hint="eastAsia" w:ascii="黑体" w:hAnsi="黑体" w:eastAsia="黑体"/>
          <w:sz w:val="32"/>
          <w:szCs w:val="32"/>
        </w:rPr>
      </w:pPr>
      <w:r>
        <w:rPr>
          <w:rFonts w:hint="eastAsia" w:ascii="黑体" w:hAnsi="黑体" w:eastAsia="黑体"/>
          <w:sz w:val="32"/>
          <w:szCs w:val="32"/>
        </w:rPr>
        <w:t>五、存在的主要问题及改进情况</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1.存在的主要问题。</w:t>
      </w:r>
      <w:r>
        <w:rPr>
          <w:rFonts w:hint="eastAsia" w:ascii="仿宋" w:hAnsi="仿宋" w:eastAsia="仿宋"/>
          <w:color w:val="000000"/>
          <w:sz w:val="32"/>
          <w:szCs w:val="32"/>
        </w:rPr>
        <w:t>2021年，临淄区综合行政执法局政府信息公开工作与上年相比虽然已经取得明显进步，但是距离上级要求和群众期待依然存在一定差距。一是政府信息公开的主动意识不足，公开广度和力度需要进一步提高。二是政府信息公开的形式和途径不够丰富。</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2.改进情况。</w:t>
      </w:r>
      <w:r>
        <w:rPr>
          <w:rFonts w:hint="eastAsia" w:ascii="仿宋" w:hAnsi="仿宋" w:eastAsia="仿宋"/>
          <w:color w:val="000000"/>
          <w:sz w:val="32"/>
          <w:szCs w:val="32"/>
        </w:rPr>
        <w:t>一是强化公开意识，提高公开效率。根据政策文件和上级有关政府信息公开工作的部署和要求，严格依法落实政府信息公开工作，提升全体工作人员主动公开的意识和能力，规范、积极、高效完成各项公开工作。二是拓宽公开广度，增强公开力度。依法、依规提升公开的广度和深度，增加公开的强度和力度，确保政府信息公开工作高质量落实。三是丰富公开形式，完善公开途径。持续优化平台和栏目建设，进一步增加视频等适应时代发展、满足群众需求的公开形式。完善公开途径，在网站公开的同时，提升电视、广播、微博、微信公众号等其他媒体的公开力度，提高群众查找、阅读信息的舒适性和便捷性。</w:t>
      </w:r>
    </w:p>
    <w:p>
      <w:pPr>
        <w:ind w:firstLine="640" w:firstLineChars="200"/>
        <w:rPr>
          <w:rFonts w:hint="eastAsia" w:ascii="黑体" w:hAnsi="黑体" w:eastAsia="黑体"/>
          <w:sz w:val="32"/>
          <w:szCs w:val="32"/>
        </w:rPr>
      </w:pPr>
      <w:r>
        <w:rPr>
          <w:rFonts w:hint="eastAsia" w:ascii="黑体" w:hAnsi="黑体" w:eastAsia="黑体"/>
          <w:sz w:val="32"/>
          <w:szCs w:val="32"/>
        </w:rPr>
        <w:t>六、其他需要报告的事项</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（一）收取信息处理费情况。</w:t>
      </w:r>
      <w:r>
        <w:rPr>
          <w:rFonts w:hint="eastAsia" w:ascii="仿宋" w:hAnsi="仿宋" w:eastAsia="仿宋"/>
          <w:color w:val="000000"/>
          <w:sz w:val="32"/>
          <w:szCs w:val="32"/>
        </w:rPr>
        <w:t>本年度未有收取信息处理费情况。</w:t>
      </w:r>
    </w:p>
    <w:p>
      <w:pPr>
        <w:ind w:firstLine="640" w:firstLineChars="200"/>
        <w:rPr>
          <w:rFonts w:hint="eastAsia" w:ascii="仿宋" w:hAnsi="仿宋" w:eastAsia="仿宋"/>
          <w:color w:val="000000"/>
          <w:sz w:val="32"/>
          <w:szCs w:val="32"/>
        </w:rPr>
      </w:pPr>
      <w:r>
        <w:rPr>
          <w:rFonts w:hint="eastAsia" w:ascii="楷体" w:hAnsi="楷体" w:eastAsia="楷体"/>
          <w:color w:val="000000"/>
          <w:sz w:val="32"/>
          <w:szCs w:val="32"/>
        </w:rPr>
        <w:t>（二）建议提案办理公开情况。</w:t>
      </w:r>
      <w:r>
        <w:rPr>
          <w:rFonts w:hint="eastAsia" w:ascii="仿宋" w:hAnsi="仿宋" w:eastAsia="仿宋"/>
          <w:color w:val="000000"/>
          <w:sz w:val="32"/>
          <w:szCs w:val="32"/>
        </w:rPr>
        <w:t>2021年区综合行政执法局共收到区十八届人大五次会议2号、43号、60号、61号、62号、69号、82号7项建议，区政协十届五次会议1号、5号、6号、10号、44号、56号、59号、90号、91号、92号、93号、95号、96号、97号、98号、109号、112号17项提案。对收到的全部提案建议区综合行政执法局进行了认真办理，办结率100%、满意率100%，并及时公开办理情况报告，接受社会监督。</w:t>
      </w:r>
    </w:p>
    <w:p>
      <w:pPr>
        <w:ind w:firstLine="640" w:firstLineChars="200"/>
        <w:rPr>
          <w:rFonts w:hint="eastAsia" w:ascii="仿宋" w:hAnsi="仿宋" w:eastAsia="仿宋"/>
          <w:color w:val="000000"/>
          <w:sz w:val="32"/>
          <w:szCs w:val="32"/>
        </w:rPr>
      </w:pPr>
      <w:bookmarkStart w:id="0" w:name="_GoBack"/>
      <w:r>
        <w:rPr>
          <w:rFonts w:hint="eastAsia" w:ascii="楷体" w:hAnsi="楷体" w:eastAsia="楷体"/>
          <w:color w:val="000000"/>
          <w:sz w:val="32"/>
          <w:szCs w:val="32"/>
        </w:rPr>
        <w:t>（三）政务公开工作创新情况。</w:t>
      </w:r>
      <w:bookmarkEnd w:id="0"/>
      <w:r>
        <w:rPr>
          <w:rFonts w:hint="eastAsia" w:ascii="仿宋" w:hAnsi="仿宋" w:eastAsia="仿宋"/>
          <w:color w:val="000000"/>
          <w:sz w:val="32"/>
          <w:szCs w:val="32"/>
        </w:rPr>
        <w:t>通过“临淄区综合行政执法局”微信公众号、临淄电视台、临淄广播电视台等新闻媒体公布政务公开事项，拓宽政务公开信息发布渠道，扩大政务公开信息覆盖面，做实信息公开工作。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体">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0B4C37"/>
    <w:rsid w:val="72B3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2022-01-19T01:47:00Z</dcterms:created>
  <dc:creator>Administrator</dc:creator>
  <cp:lastModifiedBy>Administrator</cp:lastModifiedBy>
  <dcterms:modified xsi:type="dcterms:W3CDTF">2022-01-19T01:52:31Z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