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服务内容包括：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CT、心电图远程会诊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服务流程：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就诊者在医院进行相关检查后，通过相关系统上传到，医联体医院相关科室进行阅片出具检查报告。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收费：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淄博市一级医疗机构收费标准，门诊、住院享受医保报销。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DA2ZjkyYzg0MjJjM2U1MTQxOWUwZGVlMjlkZjAifQ=="/>
  </w:docVars>
  <w:rsids>
    <w:rsidRoot w:val="5B631BA5"/>
    <w:rsid w:val="36A943FA"/>
    <w:rsid w:val="5B631BA5"/>
    <w:rsid w:val="5C9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5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2022-09-22T03:24:00Z</dcterms:created>
  <dc:creator>『酷酷的小丸子』</dc:creator>
  <cp:lastModifiedBy>Administrator</cp:lastModifiedBy>
  <dcterms:modified xsi:type="dcterms:W3CDTF">2022-10-10T06:34:07Z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33EB75CE84DB4E2E87264D685364082D</vt:lpwstr>
  </property>
</Properties>
</file>