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8E226">
      <w:pPr>
        <w:pStyle w:val="5"/>
        <w:widowControl/>
        <w:spacing w:beforeAutospacing="0" w:afterAutospacing="0"/>
        <w:jc w:val="center"/>
        <w:outlineLvl w:val="0"/>
        <w:rPr>
          <w:rFonts w:ascii="微软雅黑" w:hAnsi="微软雅黑" w:eastAsia="微软雅黑" w:cs="微软雅黑"/>
          <w:color w:val="000000"/>
        </w:rPr>
      </w:pPr>
      <w:bookmarkStart w:id="0" w:name="_GoBack"/>
      <w:r>
        <w:rPr>
          <w:rFonts w:hint="eastAsia" w:ascii="方正小标宋简体" w:hAnsi="方正小标宋简体" w:eastAsia="方正小标宋简体" w:cs="方正小标宋简体"/>
          <w:color w:val="000000"/>
          <w:sz w:val="36"/>
          <w:szCs w:val="36"/>
        </w:rPr>
        <w:t>临淄区</w:t>
      </w:r>
      <w:r>
        <w:rPr>
          <w:rFonts w:hint="eastAsia" w:ascii="方正小标宋简体" w:hAnsi="方正小标宋简体" w:eastAsia="方正小标宋简体" w:cs="方正小标宋简体"/>
          <w:color w:val="000000"/>
          <w:sz w:val="36"/>
          <w:szCs w:val="36"/>
          <w:lang w:val="en-US" w:eastAsia="zh-CN"/>
        </w:rPr>
        <w:t>工业和信息化</w:t>
      </w:r>
      <w:r>
        <w:rPr>
          <w:rFonts w:hint="eastAsia" w:ascii="方正小标宋简体" w:hAnsi="方正小标宋简体" w:eastAsia="方正小标宋简体" w:cs="方正小标宋简体"/>
          <w:color w:val="000000"/>
          <w:sz w:val="36"/>
          <w:szCs w:val="36"/>
        </w:rPr>
        <w:t>局202</w:t>
      </w:r>
      <w:r>
        <w:rPr>
          <w:rFonts w:hint="eastAsia" w:ascii="方正小标宋简体" w:hAnsi="方正小标宋简体" w:eastAsia="方正小标宋简体" w:cs="方正小标宋简体"/>
          <w:color w:val="000000"/>
          <w:sz w:val="36"/>
          <w:szCs w:val="36"/>
          <w:lang w:val="en-US" w:eastAsia="zh-CN"/>
        </w:rPr>
        <w:t>6</w:t>
      </w:r>
      <w:r>
        <w:rPr>
          <w:rFonts w:hint="eastAsia" w:ascii="方正小标宋简体" w:hAnsi="方正小标宋简体" w:eastAsia="方正小标宋简体" w:cs="方正小标宋简体"/>
          <w:color w:val="000000"/>
          <w:sz w:val="36"/>
          <w:szCs w:val="36"/>
        </w:rPr>
        <w:t>年度“双随机、一公开”抽查工作计划</w:t>
      </w:r>
      <w:bookmarkEnd w:id="0"/>
    </w:p>
    <w:p w14:paraId="156C8D87">
      <w:pPr>
        <w:pStyle w:val="5"/>
        <w:widowControl/>
        <w:spacing w:beforeAutospacing="0" w:afterAutospacing="0"/>
        <w:jc w:val="center"/>
        <w:rPr>
          <w:rFonts w:ascii="微软雅黑" w:hAnsi="微软雅黑" w:eastAsia="微软雅黑" w:cs="微软雅黑"/>
          <w:color w:val="000000"/>
        </w:rPr>
      </w:pPr>
    </w:p>
    <w:tbl>
      <w:tblPr>
        <w:tblStyle w:val="7"/>
        <w:tblW w:w="14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282"/>
        <w:gridCol w:w="3734"/>
        <w:gridCol w:w="1427"/>
        <w:gridCol w:w="1134"/>
        <w:gridCol w:w="1445"/>
        <w:gridCol w:w="1207"/>
        <w:gridCol w:w="988"/>
        <w:gridCol w:w="1281"/>
        <w:gridCol w:w="1069"/>
      </w:tblGrid>
      <w:tr w14:paraId="3637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trPr>
        <w:tc>
          <w:tcPr>
            <w:tcW w:w="669" w:type="dxa"/>
            <w:noWrap w:val="0"/>
            <w:vAlign w:val="center"/>
          </w:tcPr>
          <w:p w14:paraId="710B7D88">
            <w:pPr>
              <w:shd w:val="clear" w:color="auto" w:fill="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序号</w:t>
            </w:r>
          </w:p>
        </w:tc>
        <w:tc>
          <w:tcPr>
            <w:tcW w:w="1282" w:type="dxa"/>
            <w:noWrap w:val="0"/>
            <w:vAlign w:val="center"/>
          </w:tcPr>
          <w:p w14:paraId="633B550C">
            <w:pPr>
              <w:shd w:val="clear" w:color="auto" w:fill="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抽查类别</w:t>
            </w:r>
          </w:p>
        </w:tc>
        <w:tc>
          <w:tcPr>
            <w:tcW w:w="3734" w:type="dxa"/>
            <w:noWrap w:val="0"/>
            <w:vAlign w:val="center"/>
          </w:tcPr>
          <w:p w14:paraId="22BBA5E9">
            <w:pPr>
              <w:shd w:val="clear" w:color="auto" w:fill="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抽查事项</w:t>
            </w:r>
          </w:p>
        </w:tc>
        <w:tc>
          <w:tcPr>
            <w:tcW w:w="1427" w:type="dxa"/>
            <w:noWrap w:val="0"/>
            <w:vAlign w:val="center"/>
          </w:tcPr>
          <w:p w14:paraId="35C7C493">
            <w:pPr>
              <w:shd w:val="clear" w:color="auto" w:fill="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检查对象</w:t>
            </w:r>
          </w:p>
        </w:tc>
        <w:tc>
          <w:tcPr>
            <w:tcW w:w="1134" w:type="dxa"/>
            <w:noWrap w:val="0"/>
            <w:vAlign w:val="center"/>
          </w:tcPr>
          <w:p w14:paraId="5F2CE4AE">
            <w:pPr>
              <w:shd w:val="clear" w:color="auto" w:fill="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事项类别</w:t>
            </w:r>
          </w:p>
        </w:tc>
        <w:tc>
          <w:tcPr>
            <w:tcW w:w="1445" w:type="dxa"/>
            <w:noWrap w:val="0"/>
            <w:vAlign w:val="center"/>
          </w:tcPr>
          <w:p w14:paraId="0BCF31A5">
            <w:pPr>
              <w:shd w:val="clear" w:color="auto" w:fill="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抽查比列及频次</w:t>
            </w:r>
          </w:p>
        </w:tc>
        <w:tc>
          <w:tcPr>
            <w:tcW w:w="1207" w:type="dxa"/>
            <w:noWrap w:val="0"/>
            <w:vAlign w:val="center"/>
          </w:tcPr>
          <w:p w14:paraId="112CE5B0">
            <w:pPr>
              <w:shd w:val="clear" w:color="auto" w:fill="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预估抽查对象数</w:t>
            </w:r>
          </w:p>
        </w:tc>
        <w:tc>
          <w:tcPr>
            <w:tcW w:w="988" w:type="dxa"/>
            <w:noWrap w:val="0"/>
            <w:vAlign w:val="center"/>
          </w:tcPr>
          <w:p w14:paraId="39CED867">
            <w:pPr>
              <w:shd w:val="clear" w:color="auto" w:fill="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检查时间</w:t>
            </w:r>
          </w:p>
        </w:tc>
        <w:tc>
          <w:tcPr>
            <w:tcW w:w="1281" w:type="dxa"/>
            <w:noWrap w:val="0"/>
            <w:vAlign w:val="center"/>
          </w:tcPr>
          <w:p w14:paraId="0FF56D9F">
            <w:pPr>
              <w:shd w:val="clear" w:color="auto" w:fill="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检查主体</w:t>
            </w:r>
          </w:p>
        </w:tc>
        <w:tc>
          <w:tcPr>
            <w:tcW w:w="1069" w:type="dxa"/>
            <w:noWrap w:val="0"/>
            <w:vAlign w:val="center"/>
          </w:tcPr>
          <w:p w14:paraId="36F06090">
            <w:pPr>
              <w:shd w:val="clear" w:color="auto" w:fill="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责任科室</w:t>
            </w:r>
          </w:p>
        </w:tc>
      </w:tr>
      <w:tr w14:paraId="412E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669" w:type="dxa"/>
            <w:noWrap w:val="0"/>
            <w:vAlign w:val="center"/>
          </w:tcPr>
          <w:p w14:paraId="0CA43CAE">
            <w:pPr>
              <w:shd w:val="clear" w:color="auto" w:fill="auto"/>
              <w:jc w:val="center"/>
              <w:rPr>
                <w:rFonts w:hint="default" w:eastAsia="宋体"/>
                <w:vertAlign w:val="baseline"/>
                <w:lang w:val="en-US" w:eastAsia="zh-CN"/>
              </w:rPr>
            </w:pPr>
            <w:r>
              <w:rPr>
                <w:rFonts w:hint="eastAsia" w:eastAsia="宋体"/>
                <w:vertAlign w:val="baseline"/>
                <w:lang w:val="en-US" w:eastAsia="zh-CN"/>
              </w:rPr>
              <w:t>1</w:t>
            </w:r>
          </w:p>
        </w:tc>
        <w:tc>
          <w:tcPr>
            <w:tcW w:w="1282" w:type="dxa"/>
            <w:noWrap w:val="0"/>
            <w:vAlign w:val="center"/>
          </w:tcPr>
          <w:p w14:paraId="133A550D">
            <w:pPr>
              <w:shd w:val="clear" w:color="auto" w:fill="auto"/>
              <w:jc w:val="center"/>
              <w:rPr>
                <w:rFonts w:hint="default" w:eastAsia="宋体"/>
                <w:vertAlign w:val="baseline"/>
                <w:lang w:val="en-US" w:eastAsia="zh-CN"/>
              </w:rPr>
            </w:pPr>
            <w:r>
              <w:rPr>
                <w:rFonts w:hint="default" w:eastAsia="宋体"/>
                <w:vertAlign w:val="baseline"/>
                <w:lang w:val="en-US" w:eastAsia="zh-CN"/>
              </w:rPr>
              <w:t>食盐专营工作检查</w:t>
            </w:r>
          </w:p>
        </w:tc>
        <w:tc>
          <w:tcPr>
            <w:tcW w:w="3734" w:type="dxa"/>
            <w:noWrap w:val="0"/>
            <w:vAlign w:val="center"/>
          </w:tcPr>
          <w:p w14:paraId="3957C4AF">
            <w:pPr>
              <w:shd w:val="clear" w:color="auto" w:fill="auto"/>
              <w:jc w:val="center"/>
              <w:rPr>
                <w:rFonts w:hint="default" w:eastAsia="宋体"/>
                <w:vertAlign w:val="baseline"/>
                <w:lang w:val="en-US" w:eastAsia="zh-CN"/>
              </w:rPr>
            </w:pPr>
            <w:r>
              <w:rPr>
                <w:rFonts w:hint="default" w:eastAsia="宋体"/>
                <w:vertAlign w:val="baseline"/>
                <w:lang w:val="en-US" w:eastAsia="zh-CN"/>
              </w:rPr>
              <w:t>向有关单位和个人了解情况；查阅或者复制有关合同、票据、账簿、购销记录及其他有关资料；查封、扣押与涉嫌盐业违法行为有关的食盐及原材料，以及用于违法生产或者销售食盐的工具、设备</w:t>
            </w:r>
            <w:r>
              <w:rPr>
                <w:rFonts w:hint="eastAsia" w:eastAsia="宋体"/>
                <w:vertAlign w:val="baseline"/>
                <w:lang w:val="en-US" w:eastAsia="zh-CN"/>
              </w:rPr>
              <w:t>；</w:t>
            </w:r>
            <w:r>
              <w:rPr>
                <w:rFonts w:hint="default" w:eastAsia="宋体"/>
                <w:vertAlign w:val="baseline"/>
                <w:lang w:val="en-US" w:eastAsia="zh-CN"/>
              </w:rPr>
              <w:t>查封涉嫌违法生产或者销售食盐的场所</w:t>
            </w:r>
          </w:p>
        </w:tc>
        <w:tc>
          <w:tcPr>
            <w:tcW w:w="1427" w:type="dxa"/>
            <w:noWrap w:val="0"/>
            <w:vAlign w:val="center"/>
          </w:tcPr>
          <w:p w14:paraId="3ADD8662">
            <w:pPr>
              <w:shd w:val="clear" w:color="auto" w:fill="auto"/>
              <w:jc w:val="center"/>
              <w:rPr>
                <w:rFonts w:hint="default" w:eastAsia="宋体"/>
                <w:vertAlign w:val="baseline"/>
                <w:lang w:val="en-US" w:eastAsia="zh-CN"/>
              </w:rPr>
            </w:pPr>
            <w:r>
              <w:rPr>
                <w:rFonts w:hint="eastAsia" w:eastAsia="宋体"/>
                <w:vertAlign w:val="baseline"/>
                <w:lang w:val="en-US" w:eastAsia="zh-CN"/>
              </w:rPr>
              <w:t>临淄区内食盐定点生产、批发专营企业</w:t>
            </w:r>
          </w:p>
        </w:tc>
        <w:tc>
          <w:tcPr>
            <w:tcW w:w="1134" w:type="dxa"/>
            <w:noWrap w:val="0"/>
            <w:vAlign w:val="center"/>
          </w:tcPr>
          <w:p w14:paraId="0EF1CA4C">
            <w:pPr>
              <w:shd w:val="clear" w:color="auto" w:fill="auto"/>
              <w:ind w:left="0" w:leftChars="0" w:right="0" w:rightChars="0" w:firstLine="0" w:firstLineChars="0"/>
              <w:jc w:val="center"/>
              <w:rPr>
                <w:rFonts w:hint="default" w:eastAsia="宋体"/>
                <w:vertAlign w:val="baseline"/>
                <w:lang w:val="en-US" w:eastAsia="zh-CN"/>
              </w:rPr>
            </w:pPr>
            <w:r>
              <w:rPr>
                <w:rFonts w:hint="eastAsia" w:eastAsia="宋体"/>
                <w:vertAlign w:val="baseline"/>
                <w:lang w:val="en-US" w:eastAsia="zh-CN"/>
              </w:rPr>
              <w:t>一般检查事项</w:t>
            </w:r>
          </w:p>
        </w:tc>
        <w:tc>
          <w:tcPr>
            <w:tcW w:w="1445" w:type="dxa"/>
            <w:noWrap w:val="0"/>
            <w:vAlign w:val="center"/>
          </w:tcPr>
          <w:p w14:paraId="29EB377E">
            <w:pPr>
              <w:shd w:val="clear" w:color="auto" w:fill="auto"/>
              <w:ind w:left="0" w:leftChars="0" w:right="0" w:rightChars="0" w:firstLine="0" w:firstLineChars="0"/>
              <w:jc w:val="center"/>
              <w:rPr>
                <w:rFonts w:hint="default" w:eastAsia="宋体"/>
                <w:vertAlign w:val="baseline"/>
                <w:lang w:val="en-US" w:eastAsia="zh-CN"/>
              </w:rPr>
            </w:pPr>
            <w:r>
              <w:rPr>
                <w:rFonts w:hint="eastAsia" w:eastAsia="宋体"/>
                <w:vertAlign w:val="baseline"/>
                <w:lang w:val="en-US" w:eastAsia="zh-CN"/>
              </w:rPr>
              <w:t>抽查比列不低于5%，每年检查一次。</w:t>
            </w:r>
          </w:p>
        </w:tc>
        <w:tc>
          <w:tcPr>
            <w:tcW w:w="1207" w:type="dxa"/>
            <w:noWrap w:val="0"/>
            <w:vAlign w:val="center"/>
          </w:tcPr>
          <w:p w14:paraId="6E94AC57">
            <w:pPr>
              <w:shd w:val="clear" w:color="auto" w:fill="auto"/>
              <w:jc w:val="center"/>
              <w:rPr>
                <w:rFonts w:hint="default" w:eastAsia="宋体"/>
                <w:vertAlign w:val="baseline"/>
                <w:lang w:val="en-US" w:eastAsia="zh-CN"/>
              </w:rPr>
            </w:pPr>
            <w:r>
              <w:rPr>
                <w:rFonts w:hint="eastAsia" w:eastAsia="宋体"/>
                <w:vertAlign w:val="baseline"/>
                <w:lang w:val="en-US" w:eastAsia="zh-CN"/>
              </w:rPr>
              <w:t>预计共抽查企业1家</w:t>
            </w:r>
          </w:p>
        </w:tc>
        <w:tc>
          <w:tcPr>
            <w:tcW w:w="988" w:type="dxa"/>
            <w:noWrap w:val="0"/>
            <w:vAlign w:val="center"/>
          </w:tcPr>
          <w:p w14:paraId="04D41418">
            <w:pPr>
              <w:shd w:val="clear" w:color="auto" w:fill="auto"/>
              <w:jc w:val="center"/>
              <w:rPr>
                <w:rFonts w:hint="default" w:eastAsia="宋体"/>
                <w:vertAlign w:val="baseline"/>
                <w:lang w:val="en-US" w:eastAsia="zh-CN"/>
              </w:rPr>
            </w:pPr>
            <w:r>
              <w:rPr>
                <w:rFonts w:hint="eastAsia" w:eastAsia="宋体"/>
                <w:vertAlign w:val="baseline"/>
                <w:lang w:val="en-US" w:eastAsia="zh-CN"/>
              </w:rPr>
              <w:t>6月-11月</w:t>
            </w:r>
          </w:p>
        </w:tc>
        <w:tc>
          <w:tcPr>
            <w:tcW w:w="1281" w:type="dxa"/>
            <w:noWrap w:val="0"/>
            <w:vAlign w:val="center"/>
          </w:tcPr>
          <w:p w14:paraId="33125A4A">
            <w:pPr>
              <w:shd w:val="clear" w:color="auto" w:fill="auto"/>
              <w:jc w:val="center"/>
              <w:rPr>
                <w:rFonts w:hint="default" w:eastAsia="宋体"/>
                <w:vertAlign w:val="baseline"/>
                <w:lang w:val="en-US" w:eastAsia="zh-CN"/>
              </w:rPr>
            </w:pPr>
            <w:r>
              <w:rPr>
                <w:rFonts w:hint="eastAsia" w:eastAsia="宋体"/>
                <w:vertAlign w:val="baseline"/>
                <w:lang w:val="en-US" w:eastAsia="zh-CN"/>
              </w:rPr>
              <w:t>临淄区工业和信息化局</w:t>
            </w:r>
          </w:p>
        </w:tc>
        <w:tc>
          <w:tcPr>
            <w:tcW w:w="1069" w:type="dxa"/>
            <w:noWrap w:val="0"/>
            <w:vAlign w:val="center"/>
          </w:tcPr>
          <w:p w14:paraId="6C372A51">
            <w:pPr>
              <w:shd w:val="clear" w:color="auto" w:fill="auto"/>
              <w:jc w:val="center"/>
              <w:rPr>
                <w:rFonts w:hint="default" w:eastAsia="宋体"/>
                <w:vertAlign w:val="baseline"/>
                <w:lang w:val="en-US" w:eastAsia="zh-CN"/>
              </w:rPr>
            </w:pPr>
            <w:r>
              <w:rPr>
                <w:rFonts w:hint="eastAsia" w:eastAsia="宋体"/>
                <w:vertAlign w:val="baseline"/>
                <w:lang w:val="en-US" w:eastAsia="zh-CN"/>
              </w:rPr>
              <w:t>行业发展科</w:t>
            </w:r>
          </w:p>
        </w:tc>
      </w:tr>
      <w:tr w14:paraId="15A7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69" w:type="dxa"/>
            <w:noWrap w:val="0"/>
            <w:vAlign w:val="center"/>
          </w:tcPr>
          <w:p w14:paraId="6BBFC98E">
            <w:pPr>
              <w:shd w:val="clear" w:color="auto" w:fill="auto"/>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w:t>
            </w:r>
          </w:p>
        </w:tc>
        <w:tc>
          <w:tcPr>
            <w:tcW w:w="1282" w:type="dxa"/>
            <w:noWrap w:val="0"/>
            <w:vAlign w:val="center"/>
          </w:tcPr>
          <w:p w14:paraId="0EB9CE5A">
            <w:pPr>
              <w:shd w:val="clear" w:color="auto" w:fill="auto"/>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监控化学品的监督检查</w:t>
            </w:r>
          </w:p>
        </w:tc>
        <w:tc>
          <w:tcPr>
            <w:tcW w:w="3734" w:type="dxa"/>
            <w:noWrap w:val="0"/>
            <w:vAlign w:val="center"/>
          </w:tcPr>
          <w:p w14:paraId="42723A11">
            <w:pPr>
              <w:shd w:val="clear" w:color="auto" w:fill="auto"/>
              <w:jc w:val="center"/>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对从事监控化学品生产、经营、使用以及进出口单位的监控化学品有关情况的检查</w:t>
            </w:r>
          </w:p>
        </w:tc>
        <w:tc>
          <w:tcPr>
            <w:tcW w:w="1427" w:type="dxa"/>
            <w:noWrap w:val="0"/>
            <w:vAlign w:val="center"/>
          </w:tcPr>
          <w:p w14:paraId="0E4ACA20">
            <w:pPr>
              <w:shd w:val="clear" w:color="auto" w:fill="auto"/>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临淄区内监控化学品企业</w:t>
            </w:r>
          </w:p>
        </w:tc>
        <w:tc>
          <w:tcPr>
            <w:tcW w:w="1134" w:type="dxa"/>
            <w:noWrap w:val="0"/>
            <w:vAlign w:val="center"/>
          </w:tcPr>
          <w:p w14:paraId="64ACD3F5">
            <w:pPr>
              <w:shd w:val="clear" w:color="auto" w:fill="auto"/>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一般检查事项</w:t>
            </w:r>
          </w:p>
        </w:tc>
        <w:tc>
          <w:tcPr>
            <w:tcW w:w="1445" w:type="dxa"/>
            <w:noWrap w:val="0"/>
            <w:vAlign w:val="center"/>
          </w:tcPr>
          <w:p w14:paraId="71221E00">
            <w:pPr>
              <w:shd w:val="clear" w:color="auto" w:fill="auto"/>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双随机抽查覆盖比例15%，部门联合抽查按区有关部署进行。</w:t>
            </w:r>
          </w:p>
        </w:tc>
        <w:tc>
          <w:tcPr>
            <w:tcW w:w="1207" w:type="dxa"/>
            <w:noWrap w:val="0"/>
            <w:vAlign w:val="center"/>
          </w:tcPr>
          <w:p w14:paraId="31656474">
            <w:pPr>
              <w:shd w:val="clear" w:color="auto" w:fill="auto"/>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预计共抽查企业1家以上</w:t>
            </w:r>
          </w:p>
        </w:tc>
        <w:tc>
          <w:tcPr>
            <w:tcW w:w="988" w:type="dxa"/>
            <w:noWrap w:val="0"/>
            <w:vAlign w:val="center"/>
          </w:tcPr>
          <w:p w14:paraId="05722641">
            <w:pPr>
              <w:shd w:val="clear" w:color="auto" w:fill="auto"/>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5月-10月</w:t>
            </w:r>
          </w:p>
        </w:tc>
        <w:tc>
          <w:tcPr>
            <w:tcW w:w="1281" w:type="dxa"/>
            <w:noWrap w:val="0"/>
            <w:vAlign w:val="center"/>
          </w:tcPr>
          <w:p w14:paraId="6421489A">
            <w:pPr>
              <w:shd w:val="clear" w:color="auto" w:fill="auto"/>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临淄区工业和信息化局</w:t>
            </w:r>
          </w:p>
        </w:tc>
        <w:tc>
          <w:tcPr>
            <w:tcW w:w="1069" w:type="dxa"/>
            <w:noWrap w:val="0"/>
            <w:vAlign w:val="center"/>
          </w:tcPr>
          <w:p w14:paraId="4991C483">
            <w:pPr>
              <w:shd w:val="clear" w:color="auto" w:fill="auto"/>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技术安全科</w:t>
            </w:r>
          </w:p>
        </w:tc>
      </w:tr>
      <w:tr w14:paraId="7F94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669" w:type="dxa"/>
            <w:noWrap w:val="0"/>
            <w:vAlign w:val="center"/>
          </w:tcPr>
          <w:p w14:paraId="3CE3C611">
            <w:pPr>
              <w:shd w:val="clear" w:color="auto" w:fill="auto"/>
              <w:ind w:left="0" w:leftChars="0" w:right="0" w:rightChars="0" w:firstLine="0" w:firstLineChars="0"/>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3</w:t>
            </w:r>
          </w:p>
        </w:tc>
        <w:tc>
          <w:tcPr>
            <w:tcW w:w="1282" w:type="dxa"/>
            <w:noWrap w:val="0"/>
            <w:vAlign w:val="center"/>
          </w:tcPr>
          <w:p w14:paraId="5DBABCAE">
            <w:pPr>
              <w:shd w:val="clear" w:color="auto" w:fill="auto"/>
              <w:ind w:left="0" w:leftChars="0" w:right="0" w:rightChars="0" w:firstLine="0" w:firstLineChars="0"/>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对企业技术改造投资项目</w:t>
            </w:r>
            <w:r>
              <w:rPr>
                <w:rFonts w:hint="eastAsia" w:ascii="Times New Roman" w:hAnsi="Times New Roman" w:eastAsia="宋体" w:cs="Times New Roman"/>
                <w:color w:val="auto"/>
                <w:vertAlign w:val="baseline"/>
                <w:lang w:val="en-US" w:eastAsia="zh-CN"/>
              </w:rPr>
              <w:t>核准、</w:t>
            </w:r>
            <w:r>
              <w:rPr>
                <w:rFonts w:hint="default" w:ascii="Times New Roman" w:hAnsi="Times New Roman" w:eastAsia="宋体" w:cs="Times New Roman"/>
                <w:color w:val="auto"/>
                <w:vertAlign w:val="baseline"/>
                <w:lang w:val="en-US" w:eastAsia="zh-CN"/>
              </w:rPr>
              <w:t>备案行为的检查</w:t>
            </w:r>
          </w:p>
        </w:tc>
        <w:tc>
          <w:tcPr>
            <w:tcW w:w="3734" w:type="dxa"/>
            <w:noWrap w:val="0"/>
            <w:vAlign w:val="center"/>
          </w:tcPr>
          <w:p w14:paraId="0E71DB9D">
            <w:pPr>
              <w:shd w:val="clear" w:color="auto" w:fill="auto"/>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（一）</w:t>
            </w:r>
            <w:r>
              <w:rPr>
                <w:rFonts w:hint="default" w:ascii="Times New Roman" w:hAnsi="Times New Roman" w:eastAsia="宋体" w:cs="Times New Roman"/>
                <w:color w:val="auto"/>
                <w:vertAlign w:val="baseline"/>
                <w:lang w:val="en-US" w:eastAsia="zh-CN"/>
              </w:rPr>
              <w:t>被检查项目是否符合产业政策；</w:t>
            </w:r>
          </w:p>
          <w:p w14:paraId="6B9E230E">
            <w:pPr>
              <w:shd w:val="clear" w:color="auto" w:fill="auto"/>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（二）</w:t>
            </w:r>
            <w:r>
              <w:rPr>
                <w:rFonts w:hint="default" w:ascii="Times New Roman" w:hAnsi="Times New Roman" w:eastAsia="宋体" w:cs="Times New Roman"/>
                <w:color w:val="auto"/>
                <w:vertAlign w:val="baseline"/>
                <w:lang w:val="en-US" w:eastAsia="zh-CN"/>
              </w:rPr>
              <w:t>被</w:t>
            </w:r>
            <w:r>
              <w:rPr>
                <w:rFonts w:hint="eastAsia" w:ascii="Times New Roman" w:hAnsi="Times New Roman" w:eastAsia="宋体" w:cs="Times New Roman"/>
                <w:color w:val="auto"/>
                <w:vertAlign w:val="baseline"/>
                <w:lang w:val="en-US" w:eastAsia="zh-CN"/>
              </w:rPr>
              <w:t>检</w:t>
            </w:r>
            <w:r>
              <w:rPr>
                <w:rFonts w:hint="default" w:ascii="Times New Roman" w:hAnsi="Times New Roman" w:eastAsia="宋体" w:cs="Times New Roman"/>
                <w:color w:val="auto"/>
                <w:vertAlign w:val="baseline"/>
                <w:lang w:val="en-US" w:eastAsia="zh-CN"/>
              </w:rPr>
              <w:t>查项目</w:t>
            </w:r>
            <w:r>
              <w:rPr>
                <w:rFonts w:hint="eastAsia" w:ascii="Times New Roman" w:hAnsi="Times New Roman" w:eastAsia="宋体" w:cs="Times New Roman"/>
                <w:color w:val="auto"/>
                <w:vertAlign w:val="baseline"/>
                <w:lang w:val="en-US" w:eastAsia="zh-CN"/>
              </w:rPr>
              <w:t>建设地点、规模、内容等</w:t>
            </w:r>
            <w:r>
              <w:rPr>
                <w:rFonts w:hint="default" w:ascii="Times New Roman" w:hAnsi="Times New Roman" w:eastAsia="宋体" w:cs="Times New Roman"/>
                <w:color w:val="auto"/>
                <w:vertAlign w:val="baseline"/>
                <w:lang w:val="en-US" w:eastAsia="zh-CN"/>
              </w:rPr>
              <w:t>是否按照批复文件内容进行建设。</w:t>
            </w:r>
          </w:p>
        </w:tc>
        <w:tc>
          <w:tcPr>
            <w:tcW w:w="1427" w:type="dxa"/>
            <w:noWrap w:val="0"/>
            <w:vAlign w:val="center"/>
          </w:tcPr>
          <w:p w14:paraId="45ACEAAB">
            <w:pPr>
              <w:shd w:val="clear" w:color="auto" w:fill="auto"/>
              <w:ind w:left="0" w:leftChars="0" w:right="0" w:rightChars="0" w:firstLine="0" w:firstLineChars="0"/>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临淄区内区级核准、备案的工业技术改造投资项目实施企业。</w:t>
            </w:r>
          </w:p>
        </w:tc>
        <w:tc>
          <w:tcPr>
            <w:tcW w:w="1134" w:type="dxa"/>
            <w:noWrap w:val="0"/>
            <w:vAlign w:val="center"/>
          </w:tcPr>
          <w:p w14:paraId="3EC1B354">
            <w:pPr>
              <w:shd w:val="clear" w:color="auto" w:fill="auto"/>
              <w:ind w:left="0" w:leftChars="0" w:right="0" w:rightChars="0" w:firstLine="0" w:firstLineChars="0"/>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一般检查事项</w:t>
            </w:r>
          </w:p>
        </w:tc>
        <w:tc>
          <w:tcPr>
            <w:tcW w:w="1445" w:type="dxa"/>
            <w:noWrap w:val="0"/>
            <w:vAlign w:val="center"/>
          </w:tcPr>
          <w:p w14:paraId="49927073">
            <w:pPr>
              <w:shd w:val="clear" w:color="auto" w:fill="auto"/>
              <w:ind w:left="0" w:leftChars="0" w:right="0" w:rightChars="0" w:firstLine="0" w:firstLineChars="0"/>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抽查比例5%，部门联合抽查按区有关部署进行。</w:t>
            </w:r>
          </w:p>
        </w:tc>
        <w:tc>
          <w:tcPr>
            <w:tcW w:w="1207" w:type="dxa"/>
            <w:noWrap w:val="0"/>
            <w:vAlign w:val="center"/>
          </w:tcPr>
          <w:p w14:paraId="5EE33326">
            <w:pPr>
              <w:shd w:val="clear" w:color="auto" w:fill="auto"/>
              <w:ind w:left="0" w:leftChars="0" w:right="0" w:rightChars="0" w:firstLine="0" w:firstLineChars="0"/>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根据当年度区级工业技术改造项目核准、备案情况确定。</w:t>
            </w:r>
          </w:p>
        </w:tc>
        <w:tc>
          <w:tcPr>
            <w:tcW w:w="988" w:type="dxa"/>
            <w:noWrap w:val="0"/>
            <w:vAlign w:val="center"/>
          </w:tcPr>
          <w:p w14:paraId="0DC614FE">
            <w:pPr>
              <w:shd w:val="clear" w:color="auto" w:fill="auto"/>
              <w:ind w:left="0" w:leftChars="0" w:right="0" w:rightChars="0" w:firstLine="0" w:firstLineChars="0"/>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5月-10月</w:t>
            </w:r>
          </w:p>
        </w:tc>
        <w:tc>
          <w:tcPr>
            <w:tcW w:w="1281" w:type="dxa"/>
            <w:noWrap w:val="0"/>
            <w:vAlign w:val="center"/>
          </w:tcPr>
          <w:p w14:paraId="3A464EE1">
            <w:pPr>
              <w:shd w:val="clear" w:color="auto" w:fill="auto"/>
              <w:ind w:left="0" w:leftChars="0" w:right="0" w:rightChars="0" w:firstLine="0" w:firstLineChars="0"/>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临淄区工业和信息化局</w:t>
            </w:r>
          </w:p>
        </w:tc>
        <w:tc>
          <w:tcPr>
            <w:tcW w:w="1069" w:type="dxa"/>
            <w:noWrap w:val="0"/>
            <w:vAlign w:val="center"/>
          </w:tcPr>
          <w:p w14:paraId="1C504649">
            <w:pPr>
              <w:shd w:val="clear" w:color="auto" w:fill="auto"/>
              <w:ind w:left="0" w:leftChars="0" w:right="0" w:rightChars="0" w:firstLine="0" w:firstLineChars="0"/>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技术安全科</w:t>
            </w:r>
          </w:p>
        </w:tc>
      </w:tr>
      <w:tr w14:paraId="100E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669" w:type="dxa"/>
            <w:noWrap w:val="0"/>
            <w:vAlign w:val="center"/>
          </w:tcPr>
          <w:p w14:paraId="41759BE5">
            <w:pPr>
              <w:shd w:val="clear" w:color="auto" w:fill="auto"/>
              <w:ind w:left="0" w:leftChars="0" w:right="0" w:rightChars="0" w:firstLine="0" w:firstLineChars="0"/>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4</w:t>
            </w:r>
          </w:p>
        </w:tc>
        <w:tc>
          <w:tcPr>
            <w:tcW w:w="1282" w:type="dxa"/>
            <w:noWrap w:val="0"/>
            <w:vAlign w:val="center"/>
          </w:tcPr>
          <w:p w14:paraId="5771F109">
            <w:pPr>
              <w:shd w:val="clear" w:color="auto" w:fill="auto"/>
              <w:ind w:left="0" w:leftChars="0" w:right="0" w:rightChars="0" w:firstLine="0" w:firstLineChars="0"/>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盐业市场规范检查工作</w:t>
            </w:r>
          </w:p>
        </w:tc>
        <w:tc>
          <w:tcPr>
            <w:tcW w:w="3734" w:type="dxa"/>
            <w:noWrap w:val="0"/>
            <w:vAlign w:val="center"/>
          </w:tcPr>
          <w:p w14:paraId="198FEE5B">
            <w:pPr>
              <w:numPr>
                <w:ilvl w:val="0"/>
                <w:numId w:val="1"/>
              </w:numPr>
              <w:shd w:val="clear" w:color="auto" w:fill="auto"/>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食盐定点批发企业是否按规定保存采购销售记录</w:t>
            </w:r>
          </w:p>
          <w:p w14:paraId="4656B7BD">
            <w:pPr>
              <w:numPr>
                <w:ilvl w:val="0"/>
                <w:numId w:val="1"/>
              </w:numPr>
              <w:shd w:val="clear" w:color="auto" w:fill="auto"/>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食盐定点批发企业是否超出国家规定的范围销售食盐</w:t>
            </w:r>
          </w:p>
          <w:p w14:paraId="6FC159A5">
            <w:pPr>
              <w:numPr>
                <w:ilvl w:val="0"/>
                <w:numId w:val="1"/>
              </w:numPr>
              <w:shd w:val="clear" w:color="auto" w:fill="auto"/>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是否将非食用盐产品作为食盐销售</w:t>
            </w:r>
          </w:p>
          <w:p w14:paraId="429ED6CA">
            <w:pPr>
              <w:numPr>
                <w:ilvl w:val="0"/>
                <w:numId w:val="1"/>
              </w:numPr>
              <w:shd w:val="clear" w:color="auto" w:fill="auto"/>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食盐定点批发企业是否从除食盐定点生产企业、其他食盐定点批发企业以外的单位或者个人购进食盐</w:t>
            </w:r>
          </w:p>
          <w:p w14:paraId="1D9CF92B">
            <w:pPr>
              <w:numPr>
                <w:ilvl w:val="0"/>
                <w:numId w:val="1"/>
              </w:numPr>
              <w:shd w:val="clear" w:color="auto" w:fill="auto"/>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食盐零售单位是否从食盐定点批发企业以外的单位或者个人购进食盐等其他事项</w:t>
            </w:r>
          </w:p>
        </w:tc>
        <w:tc>
          <w:tcPr>
            <w:tcW w:w="1427" w:type="dxa"/>
            <w:noWrap w:val="0"/>
            <w:vAlign w:val="center"/>
          </w:tcPr>
          <w:p w14:paraId="761D8C22">
            <w:pPr>
              <w:shd w:val="clear" w:color="auto" w:fill="auto"/>
              <w:ind w:left="0" w:leftChars="0" w:right="0" w:rightChars="0" w:firstLine="0" w:firstLineChars="0"/>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 xml:space="preserve">临淄区内超市、学校、医院、城乡农贸市场、宾馆、饭店、食品加工企业等 </w:t>
            </w:r>
          </w:p>
        </w:tc>
        <w:tc>
          <w:tcPr>
            <w:tcW w:w="1134" w:type="dxa"/>
            <w:noWrap w:val="0"/>
            <w:vAlign w:val="center"/>
          </w:tcPr>
          <w:p w14:paraId="791B8D0E">
            <w:pPr>
              <w:shd w:val="clear" w:color="auto" w:fill="auto"/>
              <w:ind w:left="0" w:leftChars="0" w:right="0" w:rightChars="0" w:firstLine="0" w:firstLineChars="0"/>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一般检查事项</w:t>
            </w:r>
          </w:p>
        </w:tc>
        <w:tc>
          <w:tcPr>
            <w:tcW w:w="1445" w:type="dxa"/>
            <w:noWrap w:val="0"/>
            <w:vAlign w:val="center"/>
          </w:tcPr>
          <w:p w14:paraId="0DD304D0">
            <w:pPr>
              <w:shd w:val="clear" w:color="auto" w:fill="auto"/>
              <w:ind w:left="0" w:leftChars="0" w:right="0" w:rightChars="0" w:firstLine="0" w:firstLineChars="0"/>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抽查比例5%，</w:t>
            </w:r>
            <w:r>
              <w:rPr>
                <w:rFonts w:hint="eastAsia" w:ascii="Times New Roman" w:hAnsi="Times New Roman" w:eastAsia="宋体" w:cs="Times New Roman"/>
                <w:vertAlign w:val="baseline"/>
                <w:lang w:val="en-US" w:eastAsia="zh-CN"/>
              </w:rPr>
              <w:t>部门联合抽查。</w:t>
            </w:r>
          </w:p>
        </w:tc>
        <w:tc>
          <w:tcPr>
            <w:tcW w:w="1207" w:type="dxa"/>
            <w:noWrap w:val="0"/>
            <w:vAlign w:val="center"/>
          </w:tcPr>
          <w:p w14:paraId="056921B8">
            <w:pPr>
              <w:shd w:val="clear" w:color="auto" w:fill="auto"/>
              <w:ind w:left="0" w:leftChars="0" w:right="0" w:rightChars="0" w:firstLine="0" w:firstLineChars="0"/>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根据实际情况确定。</w:t>
            </w:r>
          </w:p>
        </w:tc>
        <w:tc>
          <w:tcPr>
            <w:tcW w:w="988" w:type="dxa"/>
            <w:noWrap w:val="0"/>
            <w:vAlign w:val="center"/>
          </w:tcPr>
          <w:p w14:paraId="029251D2">
            <w:pPr>
              <w:shd w:val="clear" w:color="auto" w:fill="auto"/>
              <w:ind w:left="0" w:leftChars="0" w:right="0" w:rightChars="0" w:firstLine="0" w:firstLineChars="0"/>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1月；4月；9月</w:t>
            </w:r>
          </w:p>
        </w:tc>
        <w:tc>
          <w:tcPr>
            <w:tcW w:w="1281" w:type="dxa"/>
            <w:noWrap w:val="0"/>
            <w:vAlign w:val="center"/>
          </w:tcPr>
          <w:p w14:paraId="7073B67D">
            <w:pPr>
              <w:shd w:val="clear" w:color="auto" w:fill="auto"/>
              <w:ind w:left="0" w:leftChars="0" w:right="0" w:rightChars="0" w:firstLine="0" w:firstLineChars="0"/>
              <w:jc w:val="cente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临淄区工业和信息化局</w:t>
            </w:r>
          </w:p>
        </w:tc>
        <w:tc>
          <w:tcPr>
            <w:tcW w:w="1069" w:type="dxa"/>
            <w:noWrap w:val="0"/>
            <w:vAlign w:val="center"/>
          </w:tcPr>
          <w:p w14:paraId="3A420B99">
            <w:pPr>
              <w:shd w:val="clear" w:color="auto" w:fill="auto"/>
              <w:ind w:left="0" w:leftChars="0" w:right="0" w:rightChars="0" w:firstLine="0" w:firstLineChars="0"/>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行业发展科</w:t>
            </w:r>
          </w:p>
        </w:tc>
      </w:tr>
    </w:tbl>
    <w:p w14:paraId="443FDFF0"/>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A7016"/>
    <w:multiLevelType w:val="singleLevel"/>
    <w:tmpl w:val="DB9A70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lmZTA3MmFhZDliZTkxZjcwMGI0YjZiOGNjMDZlZDAifQ=="/>
  </w:docVars>
  <w:rsids>
    <w:rsidRoot w:val="004D0BED"/>
    <w:rsid w:val="004D0BED"/>
    <w:rsid w:val="00972D29"/>
    <w:rsid w:val="00E160ED"/>
    <w:rsid w:val="0AB11E04"/>
    <w:rsid w:val="1438696C"/>
    <w:rsid w:val="321D4FA9"/>
    <w:rsid w:val="3232717E"/>
    <w:rsid w:val="328172B4"/>
    <w:rsid w:val="331B367D"/>
    <w:rsid w:val="338238F5"/>
    <w:rsid w:val="358E75E1"/>
    <w:rsid w:val="367051CA"/>
    <w:rsid w:val="37AB0CED"/>
    <w:rsid w:val="46A66209"/>
    <w:rsid w:val="4A6C0C97"/>
    <w:rsid w:val="53E36ED5"/>
    <w:rsid w:val="5CB557C9"/>
    <w:rsid w:val="63275C4B"/>
    <w:rsid w:val="6A381FCC"/>
    <w:rsid w:val="6CD430A5"/>
    <w:rsid w:val="6E3E60D1"/>
    <w:rsid w:val="74061756"/>
    <w:rsid w:val="75DC7368"/>
    <w:rsid w:val="79981494"/>
    <w:rsid w:val="7EC51355"/>
    <w:rsid w:val="7ECC4765"/>
    <w:rsid w:val="7F21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customStyle="1" w:styleId="10">
    <w:name w:val="页眉 Char"/>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Char"/>
    <w:basedOn w:val="8"/>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767</Words>
  <Characters>781</Characters>
  <Lines>2</Lines>
  <Paragraphs>1</Paragraphs>
  <TotalTime>0</TotalTime>
  <ScaleCrop>false</ScaleCrop>
  <LinksUpToDate>false</LinksUpToDate>
  <CharactersWithSpaces>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2022-07-19T02:46:00Z</dcterms:created>
  <dc:creator>ty</dc:creator>
  <cp:lastModifiedBy>信仰。</cp:lastModifiedBy>
  <dcterms:modified xsi:type="dcterms:W3CDTF">2026-04-23T03:06:48Z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7C8BD4FA19174892A1FD20C83B90D25D</vt:lpwstr>
  </property>
  <property fmtid="{D5CDD505-2E9C-101B-9397-08002B2CF9AE}" pid="4" name="KSOTemplateDocerSaveRecord">
    <vt:lpwstr>eyJoZGlkIjoiYjJiZWNjZjg2OTc5ODg5YTcyZGIzMzQ4ZDY0NDI5YzYiLCJ1c2VySWQiOiIxMjE0ODU2ODE5In0=</vt:lpwstr>
  </property>
</Properties>
</file>