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D0EDD" w14:textId="328539FB" w:rsidR="00355921" w:rsidRPr="00355921" w:rsidRDefault="00355921" w:rsidP="00355921">
      <w:pPr>
        <w:pStyle w:val="a8"/>
        <w:spacing w:before="0" w:beforeAutospacing="0" w:after="0" w:afterAutospacing="0"/>
        <w:ind w:firstLine="480"/>
        <w:jc w:val="center"/>
        <w:rPr>
          <w:rFonts w:ascii="方正小标宋简体" w:eastAsia="方正小标宋简体" w:hAnsi="仿宋" w:hint="eastAsia"/>
          <w:color w:val="3D3D3D"/>
          <w:sz w:val="44"/>
          <w:szCs w:val="44"/>
        </w:rPr>
      </w:pPr>
      <w:r w:rsidRPr="00355921">
        <w:rPr>
          <w:rFonts w:ascii="方正小标宋简体" w:eastAsia="方正小标宋简体" w:hAnsi="仿宋" w:hint="eastAsia"/>
          <w:color w:val="3D3D3D"/>
          <w:sz w:val="44"/>
          <w:szCs w:val="44"/>
        </w:rPr>
        <w:t>临淄区工业和信息化局</w:t>
      </w:r>
    </w:p>
    <w:p w14:paraId="3C0E2F52" w14:textId="36E890A4" w:rsidR="00355921" w:rsidRPr="00355921" w:rsidRDefault="00355921" w:rsidP="00355921">
      <w:pPr>
        <w:pStyle w:val="a8"/>
        <w:spacing w:before="0" w:beforeAutospacing="0" w:after="0" w:afterAutospacing="0"/>
        <w:ind w:firstLine="480"/>
        <w:jc w:val="center"/>
        <w:rPr>
          <w:rFonts w:ascii="方正小标宋简体" w:eastAsia="方正小标宋简体" w:hAnsi="仿宋" w:hint="eastAsia"/>
          <w:color w:val="3D3D3D"/>
          <w:sz w:val="44"/>
          <w:szCs w:val="44"/>
        </w:rPr>
      </w:pPr>
      <w:r w:rsidRPr="00355921">
        <w:rPr>
          <w:rFonts w:ascii="方正小标宋简体" w:eastAsia="方正小标宋简体" w:hAnsi="仿宋" w:hint="eastAsia"/>
          <w:color w:val="3D3D3D"/>
          <w:sz w:val="44"/>
          <w:szCs w:val="44"/>
        </w:rPr>
        <w:t>行政执法服务指南</w:t>
      </w:r>
    </w:p>
    <w:p w14:paraId="145C1AB2" w14:textId="1B5FFFD1"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一、执法主体</w:t>
      </w:r>
    </w:p>
    <w:p w14:paraId="2C78E240" w14:textId="558857A3"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临淄区工业和信息化局</w:t>
      </w:r>
    </w:p>
    <w:p w14:paraId="348C84F2"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二、适用范围</w:t>
      </w:r>
    </w:p>
    <w:p w14:paraId="0DD50DA3" w14:textId="7BAFDC19"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本指南适用于办理工业和信息化领域行政处罚案件。</w:t>
      </w:r>
    </w:p>
    <w:p w14:paraId="4178D1E6"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三、执法职责和执法依据</w:t>
      </w:r>
    </w:p>
    <w:p w14:paraId="53193A6C"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（一）对实行备案管理的项目，企业未按规定将项目信息或者已备案项目的信息变更情况告知备案机关，或者向备案机关提供虚假信息的处罚</w:t>
      </w:r>
    </w:p>
    <w:p w14:paraId="09E32139"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1.【行政法规】《企业投资项目核准和备案管理条例》（2016年11月国务院令第673号）第十九条：“实行备案管理的项目，企业未依照本条例规定将项目信息或者已备案项目的信息变更情况告知备案机关，或者向备案机关提供虚假信息的，由备案机关责令限期改正；逾期不改正的，处2万元以上5万元以下的罚款。”</w:t>
      </w:r>
    </w:p>
    <w:p w14:paraId="697E2EF8"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2.【部委规章】《企业投资项目核准和备案管理办法》（2017年3月发展和改革委员会令第2号）第五十七条：“实行备案管理的项目，企业未依法将项目信息或者已备案项目信息变更情况告知备案机关，或者向备案机关提供</w:t>
      </w:r>
      <w:r>
        <w:rPr>
          <w:rFonts w:ascii="仿宋" w:eastAsia="仿宋" w:hAnsi="仿宋" w:hint="eastAsia"/>
          <w:color w:val="3D3D3D"/>
          <w:sz w:val="32"/>
          <w:szCs w:val="32"/>
        </w:rPr>
        <w:lastRenderedPageBreak/>
        <w:t>虚假信息的，由备案机关责令限期改正；逾期不改正的，处 2 万元以上 5 万元以下的罚款。”</w:t>
      </w:r>
    </w:p>
    <w:p w14:paraId="28DCC0D4"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（二）对企业投资建设产业政策禁止投资建设项目的处罚</w:t>
      </w:r>
    </w:p>
    <w:p w14:paraId="37DE4B99"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1.【行政法规】《企业投资项目核准和备案管理条例》（2016年11月国务院令第673号）第二十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p w14:paraId="66070A77"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2.【部委规章】《企业投资项目核准和备案管理办法》（2017年3月发展和改革委员会令第2号）第五十八条 企业投资建设产业政策禁止投资建设项目的，由县级以上人民政府投资主管部门责令停止建设或者责令停产并恢复原状，对企业</w:t>
      </w:r>
      <w:proofErr w:type="gramStart"/>
      <w:r>
        <w:rPr>
          <w:rFonts w:ascii="仿宋" w:eastAsia="仿宋" w:hAnsi="仿宋" w:hint="eastAsia"/>
          <w:color w:val="3D3D3D"/>
          <w:sz w:val="32"/>
          <w:szCs w:val="32"/>
        </w:rPr>
        <w:t>处项目</w:t>
      </w:r>
      <w:proofErr w:type="gramEnd"/>
      <w:r>
        <w:rPr>
          <w:rFonts w:ascii="仿宋" w:eastAsia="仿宋" w:hAnsi="仿宋" w:hint="eastAsia"/>
          <w:color w:val="3D3D3D"/>
          <w:sz w:val="32"/>
          <w:szCs w:val="32"/>
        </w:rPr>
        <w:t>总投资额 5‰以上 10‰以下的罚款；对直接负责的主管人员和其他直接责任人员处 5 万元以上 10 万元以下的罚款，属于国家工作人员的，依法给予处分。法律、行政法规另有规定的，依照其规定。</w:t>
      </w:r>
    </w:p>
    <w:p w14:paraId="372967EC"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（三）未妥善保存、移送监控化学品相关记录的处罚</w:t>
      </w:r>
    </w:p>
    <w:p w14:paraId="4A84A9C4"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lastRenderedPageBreak/>
        <w:t>1.【部委规章】《&lt;中华人民共和国监控化学品管理条例&gt;实施细则》（2018年7月工业和信息化部令第48号）第三条：“工业和信息化部负责全国监控化学品的管理工作。县级以上地方人民政府工业和信息化主管部门或者地方人民政府确定的监控化学品管理部门负责本行政区域内监控化学品的管理工作。”第三十七条第二款：“生产、使用第二类监控化学品的，应当妥善保存与第二类监控化学品的生产、使用有关的记录，保存期限不得少于3年。生产第三类监控化学品的，应当妥善保存与第三类监控化学品有关的生产记录，保存期限不得少于1年。终止生产经营活动的，应当将与监控化学品生产、使用有关的记录移交所在地设区的市级以上地方工业和信息化主管部门或者地方人民政府确定的监控化学品管理部门存档。”第三十八条第二款：“生产第四类监控化学品的，应当妥善保存与第四类监控化学品有关的生产记录，保存期限不得少于1年。终止生产经营活动的，应当将与第四类监控化学品生产有关的生产记录移交所在地设区的市级以上地方工业和信息化主管部门或者地方人民政府确定的监控化学品管理部门存档。”第三十九条：“从事第一类监控化学品和第二类、第三类监控化学品及其生产技术和专用设备进出口业务的被指定单位，应当按时向工业和信息化部申报年度第一类、第二类和第三类监控化学品进出口数据，并</w:t>
      </w:r>
      <w:r>
        <w:rPr>
          <w:rFonts w:ascii="仿宋" w:eastAsia="仿宋" w:hAnsi="仿宋" w:hint="eastAsia"/>
          <w:color w:val="3D3D3D"/>
          <w:sz w:val="32"/>
          <w:szCs w:val="32"/>
        </w:rPr>
        <w:lastRenderedPageBreak/>
        <w:t>妥善保存与监控化学品进出口活动有关的记录，保存期限不得少于3年。终止进出口活动的，应当将与监控化学品进出口有关的记录移交工业和信息化部存档。”第五十条：“...违反本细则第三十七条第二款、第三十八条第二款的规定，未妥善保存、移送相关记录的，由所在地设区的市级以上地方工业和信息化主管部门或者地方人民政府确定的监控化学品管理部门责令限期改正，予以警告，可以并处三万元以下罚款。违反本细则第三十九条的规定，未妥善保存、移送相关记录的，由工业和信息化部责令限期改正，予以警告，可以并处三万元以下罚款。”第五十五条：“违反《中华人民共和国监控化学品管理条例》及本细则规定受到行政处罚的，由各级工业和信息化主管部门或者地方人民政府确定的监控化学品管理部门依照有关法律、行政法规的规定予以公示。”</w:t>
      </w:r>
    </w:p>
    <w:p w14:paraId="5E71A6A8"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（四）对食盐专营工作违法行为的处罚</w:t>
      </w:r>
    </w:p>
    <w:p w14:paraId="49136ECC"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1.【行政法规】《食盐专营办法》(1996年5月国务院令第197号令，2017年12月修订)第二十六条：“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w:t>
      </w:r>
      <w:proofErr w:type="gramStart"/>
      <w:r>
        <w:rPr>
          <w:rFonts w:ascii="仿宋" w:eastAsia="仿宋" w:hAnsi="仿宋" w:hint="eastAsia"/>
          <w:color w:val="3D3D3D"/>
          <w:sz w:val="32"/>
          <w:szCs w:val="32"/>
        </w:rPr>
        <w:t>一</w:t>
      </w:r>
      <w:proofErr w:type="gramEnd"/>
      <w:r>
        <w:rPr>
          <w:rFonts w:ascii="仿宋" w:eastAsia="仿宋" w:hAnsi="仿宋" w:hint="eastAsia"/>
          <w:color w:val="3D3D3D"/>
          <w:sz w:val="32"/>
          <w:szCs w:val="32"/>
        </w:rPr>
        <w:t>)非食盐定点生产企业生产食盐；(二)非食</w:t>
      </w:r>
      <w:r>
        <w:rPr>
          <w:rFonts w:ascii="仿宋" w:eastAsia="仿宋" w:hAnsi="仿宋" w:hint="eastAsia"/>
          <w:color w:val="3D3D3D"/>
          <w:sz w:val="32"/>
          <w:szCs w:val="32"/>
        </w:rPr>
        <w:lastRenderedPageBreak/>
        <w:t>盐定点批发企业经营食盐批发业务。”第二十七条：“有下列情形之一的，由县级以上地方人民政府盐业主管部门责令改正，处5000元以上5万元以下的罚款；情节严重的，责令停产停业整顿，直至吊销食盐定点生产、食盐定点批发企业证书:(</w:t>
      </w:r>
      <w:proofErr w:type="gramStart"/>
      <w:r>
        <w:rPr>
          <w:rFonts w:ascii="仿宋" w:eastAsia="仿宋" w:hAnsi="仿宋" w:hint="eastAsia"/>
          <w:color w:val="3D3D3D"/>
          <w:sz w:val="32"/>
          <w:szCs w:val="32"/>
        </w:rPr>
        <w:t>一</w:t>
      </w:r>
      <w:proofErr w:type="gramEnd"/>
      <w:r>
        <w:rPr>
          <w:rFonts w:ascii="仿宋" w:eastAsia="仿宋" w:hAnsi="仿宋" w:hint="eastAsia"/>
          <w:color w:val="3D3D3D"/>
          <w:sz w:val="32"/>
          <w:szCs w:val="32"/>
        </w:rPr>
        <w:t>)食盐定点生产企业、非食用盐生产企业未按照本办法规定保存生产销售记录；(二)食盐定点批发企业未按照本办法规定保存采购销售记录；(三)食盐定点批发企业超出国家规定的范围销售食盐；(四)将非食用盐产品作为食盐销售。”第二十八条：“有下列情形之一的，由县级以上地方人民政府盐业主管部门责令改正，没收违法购进的食盐，可以处违法购进的食盐货值金额3倍以下的罚款:(</w:t>
      </w:r>
      <w:proofErr w:type="gramStart"/>
      <w:r>
        <w:rPr>
          <w:rFonts w:ascii="仿宋" w:eastAsia="仿宋" w:hAnsi="仿宋" w:hint="eastAsia"/>
          <w:color w:val="3D3D3D"/>
          <w:sz w:val="32"/>
          <w:szCs w:val="32"/>
        </w:rPr>
        <w:t>一</w:t>
      </w:r>
      <w:proofErr w:type="gramEnd"/>
      <w:r>
        <w:rPr>
          <w:rFonts w:ascii="仿宋" w:eastAsia="仿宋" w:hAnsi="仿宋" w:hint="eastAsia"/>
          <w:color w:val="3D3D3D"/>
          <w:sz w:val="32"/>
          <w:szCs w:val="32"/>
        </w:rPr>
        <w:t>)食盐定点批发企业从除食盐定点生产企业、其他食盐定点批发企业以外的单位或者个人购进食盐；(二)食盐零售单位从食盐定点批发企业以外的单位或者个人购进食盐。”第三十一条：“食盐定点生产企业、食盐定点批发企业违反本办法的规定，被处以吊销食盐定点生产、食盐定点批发企业证书行政处罚的，其法定代表人、直接负责的主管人员和其他直接责任人员自处罚决定</w:t>
      </w:r>
      <w:proofErr w:type="gramStart"/>
      <w:r>
        <w:rPr>
          <w:rFonts w:ascii="仿宋" w:eastAsia="仿宋" w:hAnsi="仿宋" w:hint="eastAsia"/>
          <w:color w:val="3D3D3D"/>
          <w:sz w:val="32"/>
          <w:szCs w:val="32"/>
        </w:rPr>
        <w:t>作出</w:t>
      </w:r>
      <w:proofErr w:type="gramEnd"/>
      <w:r>
        <w:rPr>
          <w:rFonts w:ascii="仿宋" w:eastAsia="仿宋" w:hAnsi="仿宋" w:hint="eastAsia"/>
          <w:color w:val="3D3D3D"/>
          <w:sz w:val="32"/>
          <w:szCs w:val="32"/>
        </w:rPr>
        <w:t>之日起5年内不得从事食盐生产经营管理活动，不得担任食盐定点生产企业、食盐定点批发企业的董事、监事或者高级管理人员。食盐定点生产企业、食盐定点批发企业违反前款规定聘用人员的，由盐业主管部门责令改正；</w:t>
      </w:r>
      <w:r>
        <w:rPr>
          <w:rFonts w:ascii="仿宋" w:eastAsia="仿宋" w:hAnsi="仿宋" w:hint="eastAsia"/>
          <w:color w:val="3D3D3D"/>
          <w:sz w:val="32"/>
          <w:szCs w:val="32"/>
        </w:rPr>
        <w:lastRenderedPageBreak/>
        <w:t>拒不改正的，吊销其食盐定点生产、食盐定点批发企业证书。”</w:t>
      </w:r>
    </w:p>
    <w:p w14:paraId="098E53F1"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2.【部委文件】《&lt;食盐定点生产企业和食盐定点批发企业规范条件&gt;&lt;食盐定点生产企业和食盐定点批发企业规范条件管理办法&gt;》（2018年4月工业和信息化部公告第19号）附件1《食盐定点生产企业和食盐定点批发企业规范条件》：“六、监督管理：（一）定点企业隐瞒真实情况或者提供虚假材料申请证书审核的，省级盐业主管部门不予颁发证书，并给予警告，企业在一年内不得再次申请。定点企业以欺骗、贿赂等不正当手段取得证书的，省级盐业主管部门应当依法给予行政处罚，企业在三年内不得再次申请，构成犯罪的，依法追究刑事责任。（三）定点企业涂改、倒卖、出租、出借或者以其他形式非法转让证书的，省级盐业主管部门应当依法吊销企业证书。（四）食盐定点生产企业（含多品种食盐定点生产企业）有下列行为的，省级盐业主管部门应责令其限期整改，对拒不整改或整改不合格者，应依法处理。1. 委托非食盐定点生产企业生产加工食盐的；2. 为非食盐定点生产企业承包生产加工食盐的；3. 在食盐定点生产企业（含多品种食盐定点生产企业）证书载明生产地址之外的地点租赁其他企业厂房和设备设施生产加工食盐的。”附件2《食盐定点生产企业和食盐定点批发企业规范条件管理办法》第十四</w:t>
      </w:r>
      <w:r>
        <w:rPr>
          <w:rFonts w:ascii="仿宋" w:eastAsia="仿宋" w:hAnsi="仿宋" w:hint="eastAsia"/>
          <w:color w:val="3D3D3D"/>
          <w:sz w:val="32"/>
          <w:szCs w:val="32"/>
        </w:rPr>
        <w:lastRenderedPageBreak/>
        <w:t>条：“省级盐业主管部门应根据《规范条件》对定点企业实行动态监督检查。对有下列情况之一的企业，省级盐业主管部门应责令其限期整改，对拒不整改或整改不合格者，应依法处理。（一）拒绝接受监督检查。（二）不再符合《规范条件》要求。（三）违反国家食盐专营管理政策法规、造成严重社会影响。”</w:t>
      </w:r>
    </w:p>
    <w:p w14:paraId="3436F122"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（五）对伪造、冒用山东省传统工艺美术标志或者冒用山东省工艺美术大师称号的处罚</w:t>
      </w:r>
    </w:p>
    <w:p w14:paraId="3ACD821D"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1.【省政府规章】《山东省传统工艺美术保护办法》（2010年4月省政府令第224号，2014年10月修订）第二十六条：“违反本办法规定，伪造、冒用山东省传统工艺美术标志或者冒用山东省工艺美术大师称号的，由传统工艺美术保护主管部门给予警告，并可以处3万元以下的罚款。”</w:t>
      </w:r>
    </w:p>
    <w:p w14:paraId="7905676D"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四、受理承办机构</w:t>
      </w:r>
    </w:p>
    <w:p w14:paraId="5F5DB915" w14:textId="71CDB544"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临淄区工业和信息化局</w:t>
      </w:r>
    </w:p>
    <w:p w14:paraId="29923777"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五、办公电话、地址和时间</w:t>
      </w:r>
    </w:p>
    <w:p w14:paraId="6966AC17" w14:textId="4C3EC7D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办公地址：齐兴路1</w:t>
      </w:r>
      <w:r>
        <w:rPr>
          <w:rFonts w:ascii="仿宋" w:eastAsia="仿宋" w:hAnsi="仿宋"/>
          <w:color w:val="3D3D3D"/>
          <w:sz w:val="32"/>
          <w:szCs w:val="32"/>
        </w:rPr>
        <w:t>01</w:t>
      </w:r>
      <w:r>
        <w:rPr>
          <w:rFonts w:ascii="仿宋" w:eastAsia="仿宋" w:hAnsi="仿宋" w:hint="eastAsia"/>
          <w:color w:val="3D3D3D"/>
          <w:sz w:val="32"/>
          <w:szCs w:val="32"/>
        </w:rPr>
        <w:t>号</w:t>
      </w:r>
    </w:p>
    <w:p w14:paraId="22E4E2B9" w14:textId="77777777"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办公时间：工作日上午8:30—12:00，下午13:30-17:00</w:t>
      </w:r>
    </w:p>
    <w:p w14:paraId="41DA8A0E" w14:textId="6F361BFD" w:rsidR="003A7EEF" w:rsidRDefault="003A7EEF" w:rsidP="003A7EEF">
      <w:pPr>
        <w:pStyle w:val="a8"/>
        <w:spacing w:before="0" w:beforeAutospacing="0" w:after="0" w:afterAutospacing="0"/>
        <w:ind w:firstLine="480"/>
        <w:rPr>
          <w:rFonts w:ascii="微软雅黑" w:eastAsia="微软雅黑" w:hAnsi="微软雅黑"/>
          <w:color w:val="3D3D3D"/>
          <w:sz w:val="23"/>
          <w:szCs w:val="23"/>
        </w:rPr>
      </w:pPr>
      <w:r>
        <w:rPr>
          <w:rFonts w:ascii="仿宋" w:eastAsia="仿宋" w:hAnsi="仿宋" w:hint="eastAsia"/>
          <w:color w:val="3D3D3D"/>
          <w:sz w:val="32"/>
          <w:szCs w:val="32"/>
        </w:rPr>
        <w:t>办公电话：0</w:t>
      </w:r>
      <w:r>
        <w:rPr>
          <w:rFonts w:ascii="仿宋" w:eastAsia="仿宋" w:hAnsi="仿宋"/>
          <w:color w:val="3D3D3D"/>
          <w:sz w:val="32"/>
          <w:szCs w:val="32"/>
        </w:rPr>
        <w:t>533-7857266</w:t>
      </w:r>
    </w:p>
    <w:p w14:paraId="1314AEFA" w14:textId="77777777" w:rsidR="00755A25" w:rsidRPr="003A7EEF" w:rsidRDefault="00755A25" w:rsidP="003A7EEF"/>
    <w:sectPr w:rsidR="00755A25" w:rsidRPr="003A7E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FD61A" w14:textId="77777777" w:rsidR="004D3E42" w:rsidRDefault="004D3E42" w:rsidP="003A7EEF">
      <w:r>
        <w:separator/>
      </w:r>
    </w:p>
  </w:endnote>
  <w:endnote w:type="continuationSeparator" w:id="0">
    <w:p w14:paraId="7BA31DA0" w14:textId="77777777" w:rsidR="004D3E42" w:rsidRDefault="004D3E42" w:rsidP="003A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92C0D" w14:textId="77777777" w:rsidR="004D3E42" w:rsidRDefault="004D3E42" w:rsidP="003A7EEF">
      <w:r>
        <w:separator/>
      </w:r>
    </w:p>
  </w:footnote>
  <w:footnote w:type="continuationSeparator" w:id="0">
    <w:p w14:paraId="26B4AB6A" w14:textId="77777777" w:rsidR="004D3E42" w:rsidRDefault="004D3E42" w:rsidP="003A7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1A"/>
    <w:rsid w:val="00355921"/>
    <w:rsid w:val="003A7EEF"/>
    <w:rsid w:val="004D3E42"/>
    <w:rsid w:val="00755A25"/>
    <w:rsid w:val="0089041A"/>
    <w:rsid w:val="00A3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7FC00"/>
  <w15:chartTrackingRefBased/>
  <w15:docId w15:val="{498C0F94-668E-41C5-8D0B-B4E05AC9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EE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7EEF"/>
    <w:rPr>
      <w:sz w:val="18"/>
      <w:szCs w:val="18"/>
    </w:rPr>
  </w:style>
  <w:style w:type="paragraph" w:styleId="a5">
    <w:name w:val="footer"/>
    <w:basedOn w:val="a"/>
    <w:link w:val="a6"/>
    <w:uiPriority w:val="99"/>
    <w:unhideWhenUsed/>
    <w:rsid w:val="003A7EEF"/>
    <w:pPr>
      <w:tabs>
        <w:tab w:val="center" w:pos="4153"/>
        <w:tab w:val="right" w:pos="8306"/>
      </w:tabs>
      <w:snapToGrid w:val="0"/>
      <w:jc w:val="left"/>
    </w:pPr>
    <w:rPr>
      <w:sz w:val="18"/>
      <w:szCs w:val="18"/>
    </w:rPr>
  </w:style>
  <w:style w:type="character" w:customStyle="1" w:styleId="a6">
    <w:name w:val="页脚 字符"/>
    <w:basedOn w:val="a0"/>
    <w:link w:val="a5"/>
    <w:uiPriority w:val="99"/>
    <w:rsid w:val="003A7EEF"/>
    <w:rPr>
      <w:sz w:val="18"/>
      <w:szCs w:val="18"/>
    </w:rPr>
  </w:style>
  <w:style w:type="character" w:styleId="a7">
    <w:name w:val="Hyperlink"/>
    <w:basedOn w:val="a0"/>
    <w:uiPriority w:val="99"/>
    <w:semiHidden/>
    <w:unhideWhenUsed/>
    <w:rsid w:val="003A7EEF"/>
    <w:rPr>
      <w:color w:val="0000FF"/>
      <w:u w:val="single"/>
    </w:rPr>
  </w:style>
  <w:style w:type="paragraph" w:styleId="a8">
    <w:name w:val="Normal (Web)"/>
    <w:basedOn w:val="a"/>
    <w:uiPriority w:val="99"/>
    <w:semiHidden/>
    <w:unhideWhenUsed/>
    <w:rsid w:val="003A7EE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835871">
      <w:bodyDiv w:val="1"/>
      <w:marLeft w:val="0"/>
      <w:marRight w:val="0"/>
      <w:marTop w:val="0"/>
      <w:marBottom w:val="0"/>
      <w:divBdr>
        <w:top w:val="none" w:sz="0" w:space="0" w:color="auto"/>
        <w:left w:val="none" w:sz="0" w:space="0" w:color="auto"/>
        <w:bottom w:val="none" w:sz="0" w:space="0" w:color="auto"/>
        <w:right w:val="none" w:sz="0" w:space="0" w:color="auto"/>
      </w:divBdr>
    </w:div>
    <w:div w:id="171561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 语涵</dc:creator>
  <cp:keywords/>
  <dc:description/>
  <cp:lastModifiedBy>崔 语涵</cp:lastModifiedBy>
  <cp:revision>4</cp:revision>
  <dcterms:created xsi:type="dcterms:W3CDTF">2020-12-31T06:29:00Z</dcterms:created>
  <dcterms:modified xsi:type="dcterms:W3CDTF">2020-12-31T06:40:00Z</dcterms:modified>
</cp:coreProperties>
</file>