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eastAsia" w:ascii="Calibri" w:hAnsi="Calibri" w:eastAsia="方正小标宋简体" w:cs="Calibri"/>
          <w:i w:val="0"/>
          <w:iCs w:val="0"/>
          <w:caps w:val="0"/>
          <w:color w:val="2B2B2B"/>
          <w:spacing w:val="0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  <w:lang w:eastAsia="zh-CN"/>
        </w:rPr>
        <w:t>齐陵街道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</w:rPr>
        <w:t>农村房屋安全隐患排查整治工作情况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shd w:val="clear" w:fill="FFFFFF"/>
          <w:lang w:eastAsia="zh-CN"/>
        </w:rPr>
        <w:t>汇报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2B2B2B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2B2B2B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2B2B2B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区住建局对农房排查整治的要求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，现就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我街道对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农村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未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用作经营的自建房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和城市建成区住房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安全隐患排查整治工作情况报告如下：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320" w:firstLineChars="1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2B2B2B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  </w:t>
      </w:r>
      <w:r>
        <w:rPr>
          <w:rFonts w:ascii="黑体" w:hAnsi="宋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所辖共有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37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个行政村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1个城市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社区，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今年以来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，已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全部进行了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普查。目前，已排查农村房屋总计为10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04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6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户，其中用作经营的自建房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396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户，未用作经营的自建房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8709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经排查鉴定存在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风险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户，鉴定为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D级存在重大隐患的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户，鉴定为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C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级的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户，已整治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户，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其中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拆除1户，维修1户，翻建1户，其余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搬离无人居住的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27户全部设置危房标志。城市社区共排查楼房205栋，无存在安全隐患房屋。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二、主要做</w:t>
      </w: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领导重视，周密安排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。街道主要领导亲自召开专题会议，强调要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思想认识到位，房屋安全隐患涉及人民群众生命财产安全，任何党员领导干部都不能忽视；二是是加强宣传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。结合大走访活动，利用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入户摸排的机会，广泛宣传，增强群众的房屋安全意识，积极主动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配合对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安全隐患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进行排查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整治。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摸排到位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。排查以各社区、驻村员和村委为主，组成专门的清查小组，建设办负责业务指导，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确保不漏一户；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是整改到位，针对存在安全隐患的房屋，明确责任主体，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分类整治，部分有临时住人的限期坚决搬离，对有能力维修翻建的村和社区帮助协调，整治后才能住人，确保排查整治到位。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2B2B2B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、存在问题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街道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在开展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排查整治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过程中，存在具体问题如下：一是部分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群众认识不到位，觉得临时居住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不会有问题。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村居对于房屋的维修和彻底处置隐患力度、资金不足，短期内无法完全消除隐患，只能确保人员不居住隐患房屋。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对本次排查后续整治工作政策不清楚；三是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个别老年户，房屋破旧，儿女管不了，但又暂不能列入贫困改造，强制搬离只能是暂时措施，难以妥善安置。四是个别村存在清查不彻底漏报情况。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Chars="200"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四、整改措施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是加大宣传力度。通过设置宣传栏、发放宣传册、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发布微信文章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等多种途径，加大对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农村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危房安全排查的宣传力度，不断提高全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农村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危房安全排查重要性和必要性的知晓率，形成人人了解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危房安全隐患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，参与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危房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排查、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治理的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良好社会氛围。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是夯实主体责任。根据属地管理的原则，采取检查与抽查相结合的方法，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对全街道37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个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村居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，确定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村书记为第一责任人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负责组织房屋产权人或使用人由点到面、横向到边、全方位对老楼危楼危房进行系统大排查，准确详实建立台账，并督促房屋所有人或使用人整改落实。各责任单位细划责任片区，明确时间节点，细化工作措施，做到房屋栋栋有人抓、户户有人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是落实工作责任。按照区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住建局对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农村房屋安全隐患排查整治工作安排部署，及时印发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农村房屋安全隐患排查整治工作实施方案，细化措施，明确排查时间节点，建立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定期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会议制度，明确工作职责，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确保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农村房屋安全隐患排查整治工作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落实落地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二是做好指导服务。通过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实地排查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、听取工作情况，及时解答工作中的疑难问题，督促服务指导各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村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开展农村房屋安全隐患排查整治工作，确保按照时间节点完成工作任务。同时，积极组织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街道建设办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工作人员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进村入户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，以实地查看的方式开展农村房屋安全隐患排查复核工作，对系统录入数据进行抽查复核，将发现存疑的问题及时反馈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至村居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，并督促立即进行修正，确保工作落实落细。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AA0982-52D0-4868-9CBE-70D99A334F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C25EEB-458B-4595-BFDD-34733BA1C1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06FB3D1-2AF4-477E-95E0-7CBA0A16D78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D9D4CB7-A75B-4A63-A7B2-991235DE37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02A1895-CD42-4284-BDAD-F05F7F1189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TBlNjExMWIwMWI4YTBiMjNkYjNlNTkyODVkNGEifQ=="/>
  </w:docVars>
  <w:rsids>
    <w:rsidRoot w:val="165E48B1"/>
    <w:rsid w:val="00677928"/>
    <w:rsid w:val="02146199"/>
    <w:rsid w:val="059C7A38"/>
    <w:rsid w:val="0A3A0989"/>
    <w:rsid w:val="10CF08FC"/>
    <w:rsid w:val="134D0507"/>
    <w:rsid w:val="165E48B1"/>
    <w:rsid w:val="188034A7"/>
    <w:rsid w:val="2E993F6B"/>
    <w:rsid w:val="2F00660B"/>
    <w:rsid w:val="30430D5E"/>
    <w:rsid w:val="31B137E3"/>
    <w:rsid w:val="34C44675"/>
    <w:rsid w:val="37375C91"/>
    <w:rsid w:val="3820397A"/>
    <w:rsid w:val="3EE85404"/>
    <w:rsid w:val="40932EEA"/>
    <w:rsid w:val="426B0106"/>
    <w:rsid w:val="4C78638A"/>
    <w:rsid w:val="55E262B1"/>
    <w:rsid w:val="595B1345"/>
    <w:rsid w:val="5C736F8B"/>
    <w:rsid w:val="5CA54B6C"/>
    <w:rsid w:val="64FA64C1"/>
    <w:rsid w:val="6D7A22DC"/>
    <w:rsid w:val="71202F46"/>
    <w:rsid w:val="747E5F0C"/>
    <w:rsid w:val="76550D87"/>
    <w:rsid w:val="790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1308</Characters>
  <Lines>0</Lines>
  <Paragraphs>0</Paragraphs>
  <TotalTime>58</TotalTime>
  <ScaleCrop>false</ScaleCrop>
  <LinksUpToDate>false</LinksUpToDate>
  <CharactersWithSpaces>1308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2021-11-24T02:08:00Z</dcterms:created>
  <dc:creator>小可</dc:creator>
  <cp:lastModifiedBy>♥你是那人间的四月天</cp:lastModifiedBy>
  <dcterms:modified xsi:type="dcterms:W3CDTF">2022-06-06T08:05:09Z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2AD89BAC9D6F4051A47E8D70BEC92A64</vt:lpwstr>
  </property>
</Properties>
</file>