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pStyle w:val="2"/>
        <w:spacing w:before="124" w:line="194" w:lineRule="auto"/>
        <w:ind w:firstLine="2808" w:firstLineChars="9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231F20"/>
          <w:spacing w:val="-4"/>
          <w:position w:val="1"/>
          <w:sz w:val="32"/>
          <w:szCs w:val="32"/>
          <w:lang w:eastAsia="zh-CN"/>
        </w:rPr>
        <w:t>临</w:t>
      </w:r>
      <w:r>
        <w:rPr>
          <w:rFonts w:hint="eastAsia" w:ascii="CESI仿宋-GB2312" w:hAnsi="CESI仿宋-GB2312" w:eastAsia="CESI仿宋-GB2312" w:cs="CESI仿宋-GB2312"/>
          <w:color w:val="231F20"/>
          <w:spacing w:val="-4"/>
          <w:position w:val="1"/>
          <w:sz w:val="32"/>
          <w:szCs w:val="32"/>
        </w:rPr>
        <w:t>政办字</w:t>
      </w:r>
      <w:r>
        <w:rPr>
          <w:rFonts w:hint="eastAsia" w:ascii="CESI仿宋-GB2312" w:hAnsi="CESI仿宋-GB2312" w:eastAsia="CESI仿宋-GB2312" w:cs="CESI仿宋-GB2312"/>
          <w:color w:val="231F20"/>
          <w:spacing w:val="-4"/>
          <w:position w:val="-1"/>
          <w:sz w:val="32"/>
          <w:szCs w:val="32"/>
          <w:lang w:eastAsia="zh-CN"/>
        </w:rPr>
        <w:t>〔</w:t>
      </w:r>
      <w:r>
        <w:rPr>
          <w:rFonts w:hint="eastAsia" w:ascii="CESI仿宋-GB2312" w:hAnsi="CESI仿宋-GB2312" w:eastAsia="CESI仿宋-GB2312" w:cs="CESI仿宋-GB2312"/>
          <w:color w:val="231F20"/>
          <w:spacing w:val="-4"/>
          <w:position w:val="-1"/>
          <w:sz w:val="32"/>
          <w:szCs w:val="32"/>
        </w:rPr>
        <w:t>2025</w:t>
      </w:r>
      <w:r>
        <w:rPr>
          <w:rFonts w:hint="eastAsia" w:ascii="CESI仿宋-GB2312" w:hAnsi="CESI仿宋-GB2312" w:eastAsia="CESI仿宋-GB2312" w:cs="CESI仿宋-GB2312"/>
          <w:color w:val="231F20"/>
          <w:spacing w:val="-4"/>
          <w:position w:val="-1"/>
          <w:sz w:val="32"/>
          <w:szCs w:val="32"/>
          <w:lang w:eastAsia="zh-CN"/>
        </w:rPr>
        <w:t>〕</w:t>
      </w:r>
      <w:r>
        <w:rPr>
          <w:rFonts w:hint="eastAsia" w:ascii="CESI仿宋-GB2312" w:hAnsi="CESI仿宋-GB2312" w:eastAsia="CESI仿宋-GB2312" w:cs="CESI仿宋-GB2312"/>
          <w:color w:val="231F20"/>
          <w:spacing w:val="-47"/>
          <w:position w:val="-1"/>
          <w:sz w:val="32"/>
          <w:szCs w:val="32"/>
          <w:lang w:val="en-US" w:eastAsia="zh-CN"/>
        </w:rPr>
        <w:t xml:space="preserve">9 </w:t>
      </w:r>
      <w:r>
        <w:rPr>
          <w:rFonts w:hint="eastAsia" w:ascii="CESI仿宋-GB2312" w:hAnsi="CESI仿宋-GB2312" w:eastAsia="CESI仿宋-GB2312" w:cs="CESI仿宋-GB2312"/>
          <w:color w:val="231F20"/>
          <w:spacing w:val="-4"/>
          <w:position w:val="1"/>
          <w:sz w:val="32"/>
          <w:szCs w:val="32"/>
        </w:rPr>
        <w:t>号</w:t>
      </w:r>
    </w:p>
    <w:p>
      <w:pPr>
        <w:spacing w:line="317" w:lineRule="auto"/>
        <w:jc w:val="both"/>
        <w:rPr>
          <w:rFonts w:hint="eastAsia" w:ascii="CESI仿宋-GB2312" w:hAnsi="CESI仿宋-GB2312" w:eastAsia="CESI仿宋-GB2312" w:cs="CESI仿宋-GB2312"/>
          <w:sz w:val="32"/>
          <w:szCs w:val="32"/>
        </w:rPr>
      </w:pPr>
    </w:p>
    <w:p>
      <w:pPr>
        <w:pStyle w:val="2"/>
        <w:spacing w:before="167" w:line="183" w:lineRule="auto"/>
        <w:ind w:left="2344"/>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pacing w:val="23"/>
          <w:sz w:val="44"/>
          <w:szCs w:val="44"/>
          <w:lang w:eastAsia="zh-CN"/>
        </w:rPr>
        <w:t>临淄区</w:t>
      </w:r>
      <w:r>
        <w:rPr>
          <w:rFonts w:hint="eastAsia" w:ascii="方正小标宋简体" w:hAnsi="方正小标宋简体" w:eastAsia="方正小标宋简体" w:cs="方正小标宋简体"/>
          <w:color w:val="231F20"/>
          <w:spacing w:val="23"/>
          <w:sz w:val="44"/>
          <w:szCs w:val="44"/>
        </w:rPr>
        <w:t>人民政府办公室</w:t>
      </w:r>
    </w:p>
    <w:p>
      <w:pPr>
        <w:pStyle w:val="2"/>
        <w:spacing w:before="60" w:line="200" w:lineRule="auto"/>
        <w:ind w:left="399"/>
        <w:jc w:val="center"/>
        <w:rPr>
          <w:rFonts w:hint="eastAsia" w:ascii="方正小标宋简体" w:hAnsi="方正小标宋简体" w:eastAsia="方正小标宋简体" w:cs="方正小标宋简体"/>
          <w:color w:val="231F20"/>
          <w:spacing w:val="17"/>
          <w:sz w:val="44"/>
          <w:szCs w:val="44"/>
        </w:rPr>
      </w:pPr>
      <w:r>
        <w:rPr>
          <w:rFonts w:hint="eastAsia" w:ascii="方正小标宋简体" w:hAnsi="方正小标宋简体" w:eastAsia="方正小标宋简体" w:cs="方正小标宋简体"/>
          <w:color w:val="231F20"/>
          <w:spacing w:val="17"/>
          <w:sz w:val="44"/>
          <w:szCs w:val="44"/>
        </w:rPr>
        <w:t>关于印发</w:t>
      </w:r>
      <w:r>
        <w:rPr>
          <w:rFonts w:hint="eastAsia" w:ascii="方正小标宋简体" w:hAnsi="方正小标宋简体" w:eastAsia="方正小标宋简体" w:cs="方正小标宋简体"/>
          <w:color w:val="231F20"/>
          <w:spacing w:val="-44"/>
          <w:sz w:val="44"/>
          <w:szCs w:val="44"/>
        </w:rPr>
        <w:t xml:space="preserve"> </w:t>
      </w:r>
      <w:r>
        <w:rPr>
          <w:rFonts w:hint="eastAsia" w:ascii="方正小标宋简体" w:hAnsi="方正小标宋简体" w:eastAsia="方正小标宋简体" w:cs="方正小标宋简体"/>
          <w:color w:val="231F20"/>
          <w:spacing w:val="17"/>
          <w:position w:val="-3"/>
          <w:sz w:val="44"/>
          <w:szCs w:val="44"/>
        </w:rPr>
        <w:t>2025</w:t>
      </w:r>
      <w:r>
        <w:rPr>
          <w:rFonts w:hint="eastAsia" w:ascii="方正小标宋简体" w:hAnsi="方正小标宋简体" w:eastAsia="方正小标宋简体" w:cs="方正小标宋简体"/>
          <w:color w:val="231F20"/>
          <w:spacing w:val="17"/>
          <w:sz w:val="44"/>
          <w:szCs w:val="44"/>
        </w:rPr>
        <w:t>年</w:t>
      </w:r>
      <w:r>
        <w:rPr>
          <w:rFonts w:hint="eastAsia" w:ascii="方正小标宋简体" w:hAnsi="方正小标宋简体" w:eastAsia="方正小标宋简体" w:cs="方正小标宋简体"/>
          <w:color w:val="231F20"/>
          <w:spacing w:val="17"/>
          <w:sz w:val="44"/>
          <w:szCs w:val="44"/>
          <w:lang w:eastAsia="zh-CN"/>
        </w:rPr>
        <w:t>临淄区</w:t>
      </w:r>
      <w:r>
        <w:rPr>
          <w:rFonts w:hint="eastAsia" w:ascii="方正小标宋简体" w:hAnsi="方正小标宋简体" w:eastAsia="方正小标宋简体" w:cs="方正小标宋简体"/>
          <w:color w:val="231F20"/>
          <w:spacing w:val="17"/>
          <w:sz w:val="44"/>
          <w:szCs w:val="44"/>
        </w:rPr>
        <w:t>政务公开</w:t>
      </w:r>
    </w:p>
    <w:p>
      <w:pPr>
        <w:pStyle w:val="2"/>
        <w:spacing w:before="60" w:line="200" w:lineRule="auto"/>
        <w:ind w:left="39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pacing w:val="17"/>
          <w:sz w:val="44"/>
          <w:szCs w:val="44"/>
        </w:rPr>
        <w:t>工作要点</w:t>
      </w:r>
      <w:r>
        <w:rPr>
          <w:rFonts w:hint="eastAsia" w:ascii="方正小标宋简体" w:hAnsi="方正小标宋简体" w:eastAsia="方正小标宋简体" w:cs="方正小标宋简体"/>
          <w:color w:val="231F20"/>
          <w:spacing w:val="-40"/>
          <w:sz w:val="44"/>
          <w:szCs w:val="44"/>
        </w:rPr>
        <w:t xml:space="preserve"> </w:t>
      </w:r>
      <w:r>
        <w:rPr>
          <w:rFonts w:hint="eastAsia" w:ascii="方正小标宋简体" w:hAnsi="方正小标宋简体" w:eastAsia="方正小标宋简体" w:cs="方正小标宋简体"/>
          <w:color w:val="231F20"/>
          <w:spacing w:val="17"/>
          <w:sz w:val="44"/>
          <w:szCs w:val="44"/>
        </w:rPr>
        <w:t>的通知</w:t>
      </w:r>
      <w:bookmarkStart w:id="0" w:name="_GoBack"/>
      <w:bookmarkEnd w:id="0"/>
    </w:p>
    <w:p>
      <w:pPr>
        <w:keepNext w:val="0"/>
        <w:keepLines w:val="0"/>
        <w:widowControl/>
        <w:suppressLineNumbers w:val="0"/>
        <w:jc w:val="both"/>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p>
    <w:p>
      <w:pPr>
        <w:keepNext w:val="0"/>
        <w:keepLines w:val="0"/>
        <w:widowControl/>
        <w:suppressLineNumbers w:val="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napToGrid w:val="0"/>
          <w:color w:val="231F20"/>
          <w:spacing w:val="14"/>
          <w:kern w:val="0"/>
          <w:sz w:val="32"/>
          <w:szCs w:val="32"/>
          <w:lang w:val="en-US" w:eastAsia="zh-CN" w:bidi="ar-SA"/>
        </w:rPr>
        <w:t>各镇人民政府、街道办事处，各开发区管委会，区政府各部门，各企事业单位：</w:t>
      </w:r>
    </w:p>
    <w:p>
      <w:pPr>
        <w:pStyle w:val="2"/>
        <w:spacing w:before="12" w:line="207" w:lineRule="auto"/>
        <w:ind w:left="23" w:right="5" w:firstLine="465"/>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231F20"/>
          <w:spacing w:val="14"/>
          <w:sz w:val="32"/>
          <w:szCs w:val="32"/>
        </w:rPr>
        <w:t>《</w:t>
      </w:r>
      <w:r>
        <w:rPr>
          <w:rFonts w:hint="eastAsia" w:ascii="CESI仿宋-GB2312" w:hAnsi="CESI仿宋-GB2312" w:eastAsia="CESI仿宋-GB2312" w:cs="CESI仿宋-GB2312"/>
          <w:color w:val="231F20"/>
          <w:spacing w:val="14"/>
          <w:position w:val="-2"/>
          <w:sz w:val="32"/>
          <w:szCs w:val="32"/>
        </w:rPr>
        <w:t>2025</w:t>
      </w:r>
      <w:r>
        <w:rPr>
          <w:rFonts w:hint="eastAsia" w:ascii="CESI仿宋-GB2312" w:hAnsi="CESI仿宋-GB2312" w:eastAsia="CESI仿宋-GB2312" w:cs="CESI仿宋-GB2312"/>
          <w:color w:val="231F20"/>
          <w:spacing w:val="14"/>
          <w:sz w:val="32"/>
          <w:szCs w:val="32"/>
        </w:rPr>
        <w:t>年</w:t>
      </w:r>
      <w:r>
        <w:rPr>
          <w:rFonts w:hint="eastAsia" w:ascii="CESI仿宋-GB2312" w:hAnsi="CESI仿宋-GB2312" w:eastAsia="CESI仿宋-GB2312" w:cs="CESI仿宋-GB2312"/>
          <w:color w:val="231F20"/>
          <w:spacing w:val="14"/>
          <w:sz w:val="32"/>
          <w:szCs w:val="32"/>
          <w:lang w:eastAsia="zh-CN"/>
        </w:rPr>
        <w:t>临淄区</w:t>
      </w:r>
      <w:r>
        <w:rPr>
          <w:rFonts w:hint="eastAsia" w:ascii="CESI仿宋-GB2312" w:hAnsi="CESI仿宋-GB2312" w:eastAsia="CESI仿宋-GB2312" w:cs="CESI仿宋-GB2312"/>
          <w:color w:val="231F20"/>
          <w:spacing w:val="14"/>
          <w:sz w:val="32"/>
          <w:szCs w:val="32"/>
        </w:rPr>
        <w:t>政务公开工作要点</w:t>
      </w:r>
      <w:r>
        <w:rPr>
          <w:rFonts w:hint="eastAsia" w:ascii="CESI仿宋-GB2312" w:hAnsi="CESI仿宋-GB2312" w:eastAsia="CESI仿宋-GB2312" w:cs="CESI仿宋-GB2312"/>
          <w:color w:val="231F20"/>
          <w:spacing w:val="9"/>
          <w:position w:val="1"/>
          <w:sz w:val="32"/>
          <w:szCs w:val="32"/>
        </w:rPr>
        <w:t>》</w:t>
      </w:r>
      <w:r>
        <w:rPr>
          <w:rFonts w:hint="eastAsia" w:ascii="CESI仿宋-GB2312" w:hAnsi="CESI仿宋-GB2312" w:eastAsia="CESI仿宋-GB2312" w:cs="CESI仿宋-GB2312"/>
          <w:color w:val="231F20"/>
          <w:spacing w:val="9"/>
          <w:sz w:val="32"/>
          <w:szCs w:val="32"/>
        </w:rPr>
        <w:t>已经</w:t>
      </w:r>
      <w:r>
        <w:rPr>
          <w:rFonts w:hint="eastAsia" w:ascii="CESI仿宋-GB2312" w:hAnsi="CESI仿宋-GB2312" w:eastAsia="CESI仿宋-GB2312" w:cs="CESI仿宋-GB2312"/>
          <w:color w:val="231F20"/>
          <w:spacing w:val="9"/>
          <w:sz w:val="32"/>
          <w:szCs w:val="32"/>
          <w:lang w:eastAsia="zh-CN"/>
        </w:rPr>
        <w:t>区</w:t>
      </w:r>
      <w:r>
        <w:rPr>
          <w:rFonts w:hint="eastAsia" w:ascii="CESI仿宋-GB2312" w:hAnsi="CESI仿宋-GB2312" w:eastAsia="CESI仿宋-GB2312" w:cs="CESI仿宋-GB2312"/>
          <w:color w:val="231F20"/>
          <w:spacing w:val="9"/>
          <w:sz w:val="32"/>
          <w:szCs w:val="32"/>
        </w:rPr>
        <w:t>政府同意</w:t>
      </w:r>
      <w:r>
        <w:rPr>
          <w:rFonts w:hint="eastAsia" w:ascii="CESI仿宋-GB2312" w:hAnsi="CESI仿宋-GB2312" w:eastAsia="CESI仿宋-GB2312" w:cs="CESI仿宋-GB2312"/>
          <w:color w:val="231F20"/>
          <w:spacing w:val="9"/>
          <w:position w:val="1"/>
          <w:sz w:val="32"/>
          <w:szCs w:val="32"/>
        </w:rPr>
        <w:t>，</w:t>
      </w:r>
      <w:r>
        <w:rPr>
          <w:rFonts w:hint="eastAsia" w:ascii="CESI仿宋-GB2312" w:hAnsi="CESI仿宋-GB2312" w:eastAsia="CESI仿宋-GB2312" w:cs="CESI仿宋-GB2312"/>
          <w:color w:val="231F20"/>
          <w:spacing w:val="9"/>
          <w:sz w:val="32"/>
          <w:szCs w:val="32"/>
        </w:rPr>
        <w:t>现印发给你们</w:t>
      </w:r>
      <w:r>
        <w:rPr>
          <w:rFonts w:hint="eastAsia" w:ascii="CESI仿宋-GB2312" w:hAnsi="CESI仿宋-GB2312" w:eastAsia="CESI仿宋-GB2312" w:cs="CESI仿宋-GB2312"/>
          <w:color w:val="231F20"/>
          <w:spacing w:val="9"/>
          <w:position w:val="1"/>
          <w:sz w:val="32"/>
          <w:szCs w:val="32"/>
        </w:rPr>
        <w:t>，</w:t>
      </w:r>
      <w:r>
        <w:rPr>
          <w:rFonts w:hint="eastAsia" w:ascii="CESI仿宋-GB2312" w:hAnsi="CESI仿宋-GB2312" w:eastAsia="CESI仿宋-GB2312" w:cs="CESI仿宋-GB2312"/>
          <w:color w:val="231F20"/>
          <w:spacing w:val="9"/>
          <w:sz w:val="32"/>
          <w:szCs w:val="32"/>
        </w:rPr>
        <w:t>请认真贯彻执行</w:t>
      </w:r>
      <w:r>
        <w:rPr>
          <w:rFonts w:hint="eastAsia" w:ascii="CESI仿宋-GB2312" w:hAnsi="CESI仿宋-GB2312" w:eastAsia="CESI仿宋-GB2312" w:cs="CESI仿宋-GB2312"/>
          <w:color w:val="231F20"/>
          <w:spacing w:val="9"/>
          <w:position w:val="1"/>
          <w:sz w:val="32"/>
          <w:szCs w:val="32"/>
        </w:rPr>
        <w:t>。</w:t>
      </w:r>
    </w:p>
    <w:p>
      <w:pPr>
        <w:spacing w:line="252" w:lineRule="auto"/>
        <w:jc w:val="both"/>
        <w:rPr>
          <w:rFonts w:hint="eastAsia" w:ascii="CESI仿宋-GB2312" w:hAnsi="CESI仿宋-GB2312" w:eastAsia="CESI仿宋-GB2312" w:cs="CESI仿宋-GB2312"/>
          <w:sz w:val="32"/>
          <w:szCs w:val="32"/>
        </w:rPr>
      </w:pPr>
    </w:p>
    <w:p>
      <w:pPr>
        <w:spacing w:line="252" w:lineRule="auto"/>
        <w:jc w:val="both"/>
        <w:rPr>
          <w:rFonts w:hint="eastAsia" w:ascii="CESI仿宋-GB2312" w:hAnsi="CESI仿宋-GB2312" w:eastAsia="CESI仿宋-GB2312" w:cs="CESI仿宋-GB2312"/>
          <w:sz w:val="32"/>
          <w:szCs w:val="32"/>
        </w:rPr>
      </w:pPr>
    </w:p>
    <w:p>
      <w:pPr>
        <w:pStyle w:val="2"/>
        <w:spacing w:before="126" w:line="213" w:lineRule="auto"/>
        <w:ind w:right="939"/>
        <w:jc w:val="right"/>
        <w:rPr>
          <w:rFonts w:hint="eastAsia" w:ascii="CESI仿宋-GB2312" w:hAnsi="CESI仿宋-GB2312" w:eastAsia="CESI仿宋-GB2312" w:cs="CESI仿宋-GB2312"/>
          <w:color w:val="231F20"/>
          <w:spacing w:val="5"/>
          <w:sz w:val="32"/>
          <w:szCs w:val="32"/>
        </w:rPr>
      </w:pPr>
      <w:r>
        <w:rPr>
          <w:rFonts w:hint="eastAsia" w:ascii="CESI仿宋-GB2312" w:hAnsi="CESI仿宋-GB2312" w:eastAsia="CESI仿宋-GB2312" w:cs="CESI仿宋-GB2312"/>
          <w:color w:val="231F20"/>
          <w:spacing w:val="18"/>
          <w:sz w:val="32"/>
          <w:szCs w:val="32"/>
          <w:lang w:eastAsia="zh-CN"/>
        </w:rPr>
        <w:t>临淄区</w:t>
      </w:r>
      <w:r>
        <w:rPr>
          <w:rFonts w:hint="eastAsia" w:ascii="CESI仿宋-GB2312" w:hAnsi="CESI仿宋-GB2312" w:eastAsia="CESI仿宋-GB2312" w:cs="CESI仿宋-GB2312"/>
          <w:color w:val="231F20"/>
          <w:spacing w:val="18"/>
          <w:sz w:val="32"/>
          <w:szCs w:val="32"/>
        </w:rPr>
        <w:t>人民政府办公室</w:t>
      </w:r>
      <w:r>
        <w:rPr>
          <w:rFonts w:hint="eastAsia" w:ascii="CESI仿宋-GB2312" w:hAnsi="CESI仿宋-GB2312" w:eastAsia="CESI仿宋-GB2312" w:cs="CESI仿宋-GB2312"/>
          <w:color w:val="231F20"/>
          <w:spacing w:val="5"/>
          <w:sz w:val="32"/>
          <w:szCs w:val="32"/>
        </w:rPr>
        <w:t xml:space="preserve"> </w:t>
      </w:r>
    </w:p>
    <w:p>
      <w:pPr>
        <w:pStyle w:val="2"/>
        <w:spacing w:before="126" w:line="213" w:lineRule="auto"/>
        <w:ind w:right="939"/>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231F20"/>
          <w:spacing w:val="4"/>
          <w:position w:val="-1"/>
          <w:sz w:val="32"/>
          <w:szCs w:val="32"/>
        </w:rPr>
        <w:t>2025</w:t>
      </w:r>
      <w:r>
        <w:rPr>
          <w:rFonts w:hint="eastAsia" w:ascii="CESI仿宋-GB2312" w:hAnsi="CESI仿宋-GB2312" w:eastAsia="CESI仿宋-GB2312" w:cs="CESI仿宋-GB2312"/>
          <w:color w:val="231F20"/>
          <w:spacing w:val="4"/>
          <w:position w:val="2"/>
          <w:sz w:val="32"/>
          <w:szCs w:val="32"/>
        </w:rPr>
        <w:t>年</w:t>
      </w:r>
      <w:r>
        <w:rPr>
          <w:rFonts w:hint="eastAsia" w:ascii="CESI仿宋-GB2312" w:hAnsi="CESI仿宋-GB2312" w:eastAsia="CESI仿宋-GB2312" w:cs="CESI仿宋-GB2312"/>
          <w:color w:val="231F20"/>
          <w:spacing w:val="42"/>
          <w:position w:val="2"/>
          <w:sz w:val="32"/>
          <w:szCs w:val="32"/>
          <w:lang w:val="en-US" w:eastAsia="zh-CN"/>
        </w:rPr>
        <w:t>6</w:t>
      </w:r>
      <w:r>
        <w:rPr>
          <w:rFonts w:hint="eastAsia" w:ascii="CESI仿宋-GB2312" w:hAnsi="CESI仿宋-GB2312" w:eastAsia="CESI仿宋-GB2312" w:cs="CESI仿宋-GB2312"/>
          <w:color w:val="231F20"/>
          <w:spacing w:val="4"/>
          <w:position w:val="2"/>
          <w:sz w:val="32"/>
          <w:szCs w:val="32"/>
        </w:rPr>
        <w:t>月</w:t>
      </w:r>
      <w:r>
        <w:rPr>
          <w:rFonts w:hint="eastAsia" w:ascii="CESI仿宋-GB2312" w:hAnsi="CESI仿宋-GB2312" w:eastAsia="CESI仿宋-GB2312" w:cs="CESI仿宋-GB2312"/>
          <w:color w:val="231F20"/>
          <w:spacing w:val="34"/>
          <w:position w:val="2"/>
          <w:sz w:val="32"/>
          <w:szCs w:val="32"/>
          <w:lang w:val="en-US" w:eastAsia="zh-CN"/>
        </w:rPr>
        <w:t>26</w:t>
      </w:r>
      <w:r>
        <w:rPr>
          <w:rFonts w:hint="eastAsia" w:ascii="CESI仿宋-GB2312" w:hAnsi="CESI仿宋-GB2312" w:eastAsia="CESI仿宋-GB2312" w:cs="CESI仿宋-GB2312"/>
          <w:color w:val="231F20"/>
          <w:spacing w:val="4"/>
          <w:position w:val="2"/>
          <w:sz w:val="32"/>
          <w:szCs w:val="32"/>
        </w:rPr>
        <w:t>日</w:t>
      </w:r>
    </w:p>
    <w:p>
      <w:pPr>
        <w:pStyle w:val="2"/>
        <w:spacing w:before="1" w:line="197" w:lineRule="auto"/>
        <w:ind w:left="519"/>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231F20"/>
          <w:spacing w:val="11"/>
          <w:sz w:val="32"/>
          <w:szCs w:val="32"/>
        </w:rPr>
        <w:t>（此件公开发布）</w:t>
      </w:r>
    </w:p>
    <w:p>
      <w:pPr>
        <w:spacing w:line="197" w:lineRule="auto"/>
        <w:jc w:val="both"/>
        <w:rPr>
          <w:rFonts w:hint="eastAsia" w:ascii="CESI仿宋-GB2312" w:hAnsi="CESI仿宋-GB2312" w:eastAsia="CESI仿宋-GB2312" w:cs="CESI仿宋-GB2312"/>
          <w:sz w:val="32"/>
          <w:szCs w:val="32"/>
        </w:rPr>
        <w:sectPr>
          <w:headerReference r:id="rId5" w:type="default"/>
          <w:footerReference r:id="rId6" w:type="default"/>
          <w:pgSz w:w="11905" w:h="16836"/>
          <w:pgMar w:top="2098" w:right="1474" w:bottom="1984" w:left="1587" w:header="0" w:footer="1505" w:gutter="0"/>
          <w:cols w:space="720" w:num="1"/>
        </w:sectPr>
      </w:pPr>
    </w:p>
    <w:p>
      <w:pPr>
        <w:spacing w:line="253" w:lineRule="auto"/>
        <w:jc w:val="both"/>
        <w:rPr>
          <w:rFonts w:hint="eastAsia" w:ascii="CESI仿宋-GB2312" w:hAnsi="CESI仿宋-GB2312" w:eastAsia="CESI仿宋-GB2312" w:cs="CESI仿宋-GB2312"/>
          <w:sz w:val="32"/>
          <w:szCs w:val="32"/>
        </w:rPr>
      </w:pPr>
    </w:p>
    <w:p>
      <w:pPr>
        <w:pStyle w:val="2"/>
        <w:keepNext w:val="0"/>
        <w:keepLines w:val="0"/>
        <w:pageBreakBefore w:val="0"/>
        <w:wordWrap/>
        <w:overflowPunct/>
        <w:topLinePunct w:val="0"/>
        <w:autoSpaceDN w:val="0"/>
        <w:bidi w:val="0"/>
        <w:spacing w:line="560" w:lineRule="exact"/>
        <w:ind w:right="72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pacing w:val="19"/>
          <w:sz w:val="44"/>
          <w:szCs w:val="44"/>
          <w:lang w:val="en-US" w:eastAsia="zh-CN"/>
        </w:rPr>
        <w:t xml:space="preserve">   </w:t>
      </w:r>
      <w:r>
        <w:rPr>
          <w:rFonts w:hint="eastAsia" w:ascii="方正小标宋简体" w:hAnsi="方正小标宋简体" w:eastAsia="方正小标宋简体" w:cs="方正小标宋简体"/>
          <w:color w:val="231F20"/>
          <w:spacing w:val="19"/>
          <w:position w:val="-3"/>
          <w:sz w:val="44"/>
          <w:szCs w:val="44"/>
        </w:rPr>
        <w:t>2025</w:t>
      </w:r>
      <w:r>
        <w:rPr>
          <w:rFonts w:hint="eastAsia" w:ascii="方正小标宋简体" w:hAnsi="方正小标宋简体" w:eastAsia="方正小标宋简体" w:cs="方正小标宋简体"/>
          <w:color w:val="231F20"/>
          <w:spacing w:val="19"/>
          <w:sz w:val="44"/>
          <w:szCs w:val="44"/>
        </w:rPr>
        <w:t>年</w:t>
      </w:r>
      <w:r>
        <w:rPr>
          <w:rFonts w:hint="eastAsia" w:ascii="方正小标宋简体" w:hAnsi="方正小标宋简体" w:eastAsia="方正小标宋简体" w:cs="方正小标宋简体"/>
          <w:color w:val="231F20"/>
          <w:spacing w:val="19"/>
          <w:sz w:val="44"/>
          <w:szCs w:val="44"/>
          <w:lang w:eastAsia="zh-CN"/>
        </w:rPr>
        <w:t>临淄区</w:t>
      </w:r>
      <w:r>
        <w:rPr>
          <w:rFonts w:hint="eastAsia" w:ascii="方正小标宋简体" w:hAnsi="方正小标宋简体" w:eastAsia="方正小标宋简体" w:cs="方正小标宋简体"/>
          <w:color w:val="231F20"/>
          <w:spacing w:val="19"/>
          <w:sz w:val="44"/>
          <w:szCs w:val="44"/>
        </w:rPr>
        <w:t>政务公开</w:t>
      </w:r>
      <w:r>
        <w:rPr>
          <w:rFonts w:hint="eastAsia" w:ascii="方正小标宋简体" w:hAnsi="方正小标宋简体" w:eastAsia="方正小标宋简体" w:cs="方正小标宋简体"/>
          <w:color w:val="231F20"/>
          <w:spacing w:val="17"/>
          <w:sz w:val="44"/>
          <w:szCs w:val="44"/>
        </w:rPr>
        <w:t>工作要点</w:t>
      </w:r>
    </w:p>
    <w:p>
      <w:pPr>
        <w:keepNext w:val="0"/>
        <w:keepLines w:val="0"/>
        <w:pageBreakBefore w:val="0"/>
        <w:wordWrap/>
        <w:overflowPunct/>
        <w:topLinePunct w:val="0"/>
        <w:autoSpaceDN w:val="0"/>
        <w:bidi w:val="0"/>
        <w:spacing w:line="560" w:lineRule="exact"/>
        <w:jc w:val="both"/>
        <w:rPr>
          <w:rFonts w:hint="eastAsia" w:ascii="CESI仿宋-GB2312" w:hAnsi="CESI仿宋-GB2312" w:eastAsia="CESI仿宋-GB2312" w:cs="CESI仿宋-GB2312"/>
          <w:sz w:val="32"/>
          <w:szCs w:val="32"/>
        </w:rPr>
      </w:pPr>
    </w:p>
    <w:p>
      <w:pPr>
        <w:pStyle w:val="2"/>
        <w:keepNext w:val="0"/>
        <w:keepLines w:val="0"/>
        <w:pageBreakBefore w:val="0"/>
        <w:wordWrap/>
        <w:overflowPunct/>
        <w:topLinePunct w:val="0"/>
        <w:autoSpaceDN w:val="0"/>
        <w:bidi w:val="0"/>
        <w:spacing w:line="560" w:lineRule="exact"/>
        <w:ind w:right="114" w:firstLine="644"/>
        <w:jc w:val="both"/>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为深入贯彻落实</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2025年</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省、市</w:t>
      </w:r>
      <w:r>
        <w:rPr>
          <w:rFonts w:hint="eastAsia" w:ascii="CESI仿宋-GB2312" w:hAnsi="CESI仿宋-GB2312" w:eastAsia="CESI仿宋-GB2312" w:cs="CESI仿宋-GB2312"/>
          <w:color w:val="000000" w:themeColor="text1"/>
          <w:spacing w:val="11"/>
          <w:sz w:val="32"/>
          <w:szCs w:val="32"/>
          <w14:textFill>
            <w14:solidFill>
              <w14:schemeClr w14:val="tx1"/>
            </w14:solidFill>
          </w14:textFill>
        </w:rPr>
        <w:t>政务公开工作要点有关要求</w:t>
      </w:r>
      <w:r>
        <w:rPr>
          <w:rFonts w:hint="eastAsia" w:ascii="CESI仿宋-GB2312" w:hAnsi="CESI仿宋-GB2312" w:eastAsia="CESI仿宋-GB2312" w:cs="CESI仿宋-GB2312"/>
          <w:color w:val="000000" w:themeColor="text1"/>
          <w:spacing w:val="1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进一步推进政务公开工作稳妥有序开展，结合我区实际，制定临淄区</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2025年度</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政务公开工作要点</w:t>
      </w:r>
      <w:r>
        <w:rPr>
          <w:rFonts w:hint="eastAsia" w:ascii="CESI仿宋-GB2312" w:hAnsi="CESI仿宋-GB2312" w:eastAsia="CESI仿宋-GB2312" w:cs="CESI仿宋-GB2312"/>
          <w:color w:val="000000" w:themeColor="text1"/>
          <w:spacing w:val="12"/>
          <w:position w:val="1"/>
          <w:sz w:val="32"/>
          <w:szCs w:val="32"/>
          <w14:textFill>
            <w14:solidFill>
              <w14:schemeClr w14:val="tx1"/>
            </w14:solidFill>
          </w14:textFill>
        </w:rPr>
        <w:t>。</w:t>
      </w:r>
    </w:p>
    <w:p>
      <w:pPr>
        <w:pStyle w:val="2"/>
        <w:keepNext w:val="0"/>
        <w:keepLines w:val="0"/>
        <w:pageBreakBefore w:val="0"/>
        <w:numPr>
          <w:ilvl w:val="0"/>
          <w:numId w:val="1"/>
        </w:numPr>
        <w:wordWrap/>
        <w:overflowPunct/>
        <w:topLinePunct w:val="0"/>
        <w:autoSpaceDN w:val="0"/>
        <w:bidi w:val="0"/>
        <w:spacing w:line="560" w:lineRule="exact"/>
        <w:ind w:left="636"/>
        <w:jc w:val="both"/>
        <w:rPr>
          <w:rFonts w:hint="eastAsia" w:ascii="CESI楷体-GB2312" w:hAnsi="CESI楷体-GB2312" w:eastAsia="CESI楷体-GB2312" w:cs="CESI楷体-GB2312"/>
          <w:color w:val="000000" w:themeColor="text1"/>
          <w:spacing w:val="16"/>
          <w:sz w:val="32"/>
          <w:szCs w:val="32"/>
          <w14:textFill>
            <w14:solidFill>
              <w14:schemeClr w14:val="tx1"/>
            </w14:solidFill>
          </w14:textFill>
        </w:rPr>
      </w:pPr>
      <w:r>
        <w:rPr>
          <w:rFonts w:hint="eastAsia" w:ascii="CESI楷体-GB2312" w:hAnsi="CESI楷体-GB2312" w:eastAsia="CESI楷体-GB2312" w:cs="CESI楷体-GB2312"/>
          <w:color w:val="000000" w:themeColor="text1"/>
          <w:spacing w:val="16"/>
          <w:sz w:val="32"/>
          <w:szCs w:val="32"/>
          <w14:textFill>
            <w14:solidFill>
              <w14:schemeClr w14:val="tx1"/>
            </w14:solidFill>
          </w14:textFill>
        </w:rPr>
        <w:t>坚持标准引领</w:t>
      </w:r>
      <w:r>
        <w:rPr>
          <w:rFonts w:hint="eastAsia" w:ascii="CESI楷体-GB2312" w:hAnsi="CESI楷体-GB2312" w:eastAsia="CESI楷体-GB2312" w:cs="CESI楷体-GB2312"/>
          <w:color w:val="000000" w:themeColor="text1"/>
          <w:spacing w:val="16"/>
          <w:position w:val="1"/>
          <w:sz w:val="32"/>
          <w:szCs w:val="32"/>
          <w14:textFill>
            <w14:solidFill>
              <w14:schemeClr w14:val="tx1"/>
            </w14:solidFill>
          </w14:textFill>
        </w:rPr>
        <w:t>，</w:t>
      </w:r>
      <w:r>
        <w:rPr>
          <w:rFonts w:hint="eastAsia" w:ascii="CESI楷体-GB2312" w:hAnsi="CESI楷体-GB2312" w:eastAsia="CESI楷体-GB2312" w:cs="CESI楷体-GB2312"/>
          <w:color w:val="000000" w:themeColor="text1"/>
          <w:spacing w:val="16"/>
          <w:sz w:val="32"/>
          <w:szCs w:val="32"/>
          <w14:textFill>
            <w14:solidFill>
              <w14:schemeClr w14:val="tx1"/>
            </w14:solidFill>
          </w14:textFill>
        </w:rPr>
        <w:t>持续推进政务公开规范转型</w:t>
      </w:r>
    </w:p>
    <w:p>
      <w:pPr>
        <w:keepNext w:val="0"/>
        <w:keepLines w:val="0"/>
        <w:widowControl/>
        <w:suppressLineNumbers w:val="0"/>
        <w:ind w:firstLine="692" w:firstLineChars="200"/>
        <w:jc w:val="both"/>
        <w:rPr>
          <w:rFonts w:hint="eastAsia" w:ascii="CESI仿宋-GB2312" w:hAnsi="CESI仿宋-GB2312" w:eastAsia="CESI仿宋-GB2312" w:cs="CESI仿宋-GB2312"/>
          <w:color w:val="000000" w:themeColor="text1"/>
          <w:spacing w:val="13"/>
          <w:position w:val="1"/>
          <w:sz w:val="32"/>
          <w:szCs w:val="32"/>
          <w:lang w:val="en-US" w:eastAsia="zh-CN"/>
          <w14:textFill>
            <w14:solidFill>
              <w14:schemeClr w14:val="tx1"/>
            </w14:solidFill>
          </w14:textFill>
        </w:rPr>
      </w:pPr>
      <w:r>
        <w:rPr>
          <w:rFonts w:hint="eastAsia" w:ascii="CESI仿宋-GB2312" w:hAnsi="CESI仿宋-GB2312" w:eastAsia="CESI仿宋-GB2312" w:cs="CESI仿宋-GB2312"/>
          <w:color w:val="000000" w:themeColor="text1"/>
          <w:spacing w:val="13"/>
          <w:position w:val="1"/>
          <w:sz w:val="32"/>
          <w:szCs w:val="32"/>
          <w14:textFill>
            <w14:solidFill>
              <w14:schemeClr w14:val="tx1"/>
            </w14:solidFill>
          </w14:textFill>
        </w:rPr>
        <w:t>（一）</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优化主动公开机制。</w:t>
      </w:r>
      <w:r>
        <w:rPr>
          <w:rFonts w:hint="eastAsia" w:ascii="CESI仿宋-GB2312" w:hAnsi="CESI仿宋-GB2312" w:eastAsia="CESI仿宋-GB2312" w:cs="CESI仿宋-GB2312"/>
          <w:color w:val="000000" w:themeColor="text1"/>
          <w:spacing w:val="13"/>
          <w:position w:val="1"/>
          <w:sz w:val="32"/>
          <w:szCs w:val="32"/>
          <w:lang w:val="en-US" w:eastAsia="zh-CN"/>
          <w14:textFill>
            <w14:solidFill>
              <w14:schemeClr w14:val="tx1"/>
            </w14:solidFill>
          </w14:textFill>
        </w:rPr>
        <w:t>持续完善并动态更新主动公开事项目录，做到法定公开事项公开到位，其他事项审慎主动公开。严格落实政府信息公开保密审查机制，坚持“先审查、后公开”和“一事一议”原则，确保政府信息公开及时、规范、有序。探索将主动公开事项目录嵌入部门业务系统，固化到现有业务流程，促进公开与业务融合发展。推动基层政务公开向农村和社区延伸，实现与村（居）务公开衔接协同。〔责任单位：区政府各部门、单位，各镇（街道）〕</w:t>
      </w:r>
    </w:p>
    <w:p>
      <w:pPr>
        <w:keepNext w:val="0"/>
        <w:keepLines w:val="0"/>
        <w:widowControl/>
        <w:suppressLineNumbers w:val="0"/>
        <w:ind w:firstLine="732" w:firstLineChars="200"/>
        <w:jc w:val="both"/>
        <w:rPr>
          <w:rFonts w:hint="eastAsia" w:ascii="CESI仿宋-GB2312" w:hAnsi="CESI仿宋-GB2312" w:eastAsia="CESI仿宋-GB2312" w:cs="CESI仿宋-GB2312"/>
          <w:color w:val="000000" w:themeColor="text1"/>
          <w:spacing w:val="23"/>
          <w:sz w:val="32"/>
          <w:szCs w:val="32"/>
          <w14:textFill>
            <w14:solidFill>
              <w14:schemeClr w14:val="tx1"/>
            </w14:solidFill>
          </w14:textFill>
        </w:rPr>
      </w:pPr>
      <w:r>
        <w:rPr>
          <w:rFonts w:hint="eastAsia" w:ascii="CESI仿宋-GB2312" w:hAnsi="CESI仿宋-GB2312" w:eastAsia="CESI仿宋-GB2312" w:cs="CESI仿宋-GB2312"/>
          <w:color w:val="000000" w:themeColor="text1"/>
          <w:spacing w:val="23"/>
          <w:sz w:val="32"/>
          <w:szCs w:val="32"/>
          <w14:textFill>
            <w14:solidFill>
              <w14:schemeClr w14:val="tx1"/>
            </w14:solidFill>
          </w14:textFill>
        </w:rPr>
        <w:t>（二）规范依申请公开办理</w:t>
      </w:r>
      <w:r>
        <w:rPr>
          <w:rFonts w:hint="eastAsia" w:ascii="CESI仿宋-GB2312" w:hAnsi="CESI仿宋-GB2312" w:eastAsia="CESI仿宋-GB2312" w:cs="CESI仿宋-GB2312"/>
          <w:color w:val="000000" w:themeColor="text1"/>
          <w:spacing w:val="23"/>
          <w:position w:val="1"/>
          <w:sz w:val="32"/>
          <w:szCs w:val="32"/>
          <w14:textFill>
            <w14:solidFill>
              <w14:schemeClr w14:val="tx1"/>
            </w14:solidFill>
          </w14:textFill>
        </w:rPr>
        <w:t>。</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畅通政府信息公开申请渠道，规范办理流程，提升答复质量。强化服务理念，主动与申请人沟通，推动合理诉求实质性解决。</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建立依申请公开定期分析机制，对公开申请疑难件以及申请较为集中的业务领域和热点进行集体会商研判</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（责任单位：</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区政府各部门</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、单位，</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各镇（街道）〕</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推动征地拆迁、物业管理、社会保障等领域申请较为集中的政府信息转化为以主动公开的方式在特定范围内公开。（责任单位：</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自然资源局、</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住房</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和城乡</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建设局、</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区综合行政执法</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局、</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人力资源</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和</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社会保障局）</w:t>
      </w:r>
    </w:p>
    <w:p>
      <w:pPr>
        <w:keepNext w:val="0"/>
        <w:keepLines w:val="0"/>
        <w:pageBreakBefore w:val="0"/>
        <w:wordWrap/>
        <w:overflowPunct/>
        <w:topLinePunct w:val="0"/>
        <w:autoSpaceDN w:val="0"/>
        <w:bidi w:val="0"/>
        <w:spacing w:line="560" w:lineRule="exact"/>
        <w:ind w:firstLine="692" w:firstLineChars="200"/>
        <w:jc w:val="both"/>
        <w:rPr>
          <w:rFonts w:hint="eastAsia" w:ascii="CESI仿宋-GB2312" w:hAnsi="CESI仿宋-GB2312" w:eastAsia="CESI仿宋-GB2312" w:cs="CESI仿宋-GB2312"/>
          <w:color w:val="000000" w:themeColor="text1"/>
          <w:spacing w:val="13"/>
          <w:sz w:val="32"/>
          <w:szCs w:val="32"/>
          <w14:textFill>
            <w14:solidFill>
              <w14:schemeClr w14:val="tx1"/>
            </w14:solidFill>
          </w14:textFill>
        </w:rPr>
      </w:pPr>
      <w:r>
        <w:rPr>
          <w:rFonts w:hint="eastAsia" w:ascii="CESI仿宋-GB2312" w:hAnsi="CESI仿宋-GB2312" w:eastAsia="CESI仿宋-GB2312" w:cs="CESI仿宋-GB2312"/>
          <w:color w:val="000000" w:themeColor="text1"/>
          <w:spacing w:val="13"/>
          <w:sz w:val="32"/>
          <w:szCs w:val="32"/>
          <w14:textFill>
            <w14:solidFill>
              <w14:schemeClr w14:val="tx1"/>
            </w14:solidFill>
          </w14:textFill>
        </w:rPr>
        <w:t>（三）加强政策解读回应</w:t>
      </w:r>
      <w:r>
        <w:rPr>
          <w:rFonts w:hint="eastAsia" w:ascii="CESI仿宋-GB2312" w:hAnsi="CESI仿宋-GB2312" w:eastAsia="CESI仿宋-GB2312" w:cs="CESI仿宋-GB2312"/>
          <w:color w:val="000000" w:themeColor="text1"/>
          <w:spacing w:val="13"/>
          <w:position w:val="1"/>
          <w:sz w:val="32"/>
          <w:szCs w:val="32"/>
          <w14:textFill>
            <w14:solidFill>
              <w14:schemeClr w14:val="tx1"/>
            </w14:solidFill>
          </w14:textFill>
        </w:rPr>
        <w:t>。</w:t>
      </w:r>
      <w:r>
        <w:rPr>
          <w:rFonts w:hint="eastAsia" w:ascii="CESI仿宋-GB2312" w:hAnsi="CESI仿宋-GB2312" w:eastAsia="CESI仿宋-GB2312" w:cs="CESI仿宋-GB2312"/>
          <w:color w:val="000000" w:themeColor="text1"/>
          <w:spacing w:val="13"/>
          <w:sz w:val="32"/>
          <w:szCs w:val="32"/>
          <w:lang w:eastAsia="zh-CN"/>
          <w14:textFill>
            <w14:solidFill>
              <w14:schemeClr w14:val="tx1"/>
            </w14:solidFill>
          </w14:textFill>
        </w:rPr>
        <w:t>按照“谁起草，谁解读，文责自负”的原则，</w:t>
      </w:r>
      <w:r>
        <w:rPr>
          <w:rFonts w:hint="eastAsia" w:ascii="CESI仿宋-GB2312" w:hAnsi="CESI仿宋-GB2312" w:eastAsia="CESI仿宋-GB2312" w:cs="CESI仿宋-GB2312"/>
          <w:color w:val="000000" w:themeColor="text1"/>
          <w:spacing w:val="13"/>
          <w:sz w:val="32"/>
          <w:szCs w:val="32"/>
          <w14:textFill>
            <w14:solidFill>
              <w14:schemeClr w14:val="tx1"/>
            </w14:solidFill>
          </w14:textFill>
        </w:rPr>
        <w:t>继续完善</w:t>
      </w:r>
      <w:r>
        <w:rPr>
          <w:rFonts w:hint="eastAsia" w:ascii="CESI仿宋-GB2312" w:hAnsi="CESI仿宋-GB2312" w:eastAsia="CESI仿宋-GB2312" w:cs="CESI仿宋-GB2312"/>
          <w:color w:val="000000" w:themeColor="text1"/>
          <w:spacing w:val="13"/>
          <w:sz w:val="32"/>
          <w:szCs w:val="32"/>
          <w:lang w:eastAsia="zh-CN"/>
          <w14:textFill>
            <w14:solidFill>
              <w14:schemeClr w14:val="tx1"/>
            </w14:solidFill>
          </w14:textFill>
        </w:rPr>
        <w:t>政策性</w:t>
      </w:r>
      <w:r>
        <w:rPr>
          <w:rFonts w:hint="eastAsia" w:ascii="CESI仿宋-GB2312" w:hAnsi="CESI仿宋-GB2312" w:eastAsia="CESI仿宋-GB2312" w:cs="CESI仿宋-GB2312"/>
          <w:color w:val="000000" w:themeColor="text1"/>
          <w:spacing w:val="13"/>
          <w:sz w:val="32"/>
          <w:szCs w:val="32"/>
          <w14:textFill>
            <w14:solidFill>
              <w14:schemeClr w14:val="tx1"/>
            </w14:solidFill>
          </w14:textFill>
        </w:rPr>
        <w:t>文件</w:t>
      </w:r>
      <w:r>
        <w:rPr>
          <w:rFonts w:hint="eastAsia" w:ascii="CESI仿宋-GB2312" w:hAnsi="CESI仿宋-GB2312" w:eastAsia="CESI仿宋-GB2312" w:cs="CESI仿宋-GB2312"/>
          <w:color w:val="000000" w:themeColor="text1"/>
          <w:spacing w:val="13"/>
          <w:sz w:val="32"/>
          <w:szCs w:val="32"/>
          <w:lang w:eastAsia="zh-CN"/>
          <w14:textFill>
            <w14:solidFill>
              <w14:schemeClr w14:val="tx1"/>
            </w14:solidFill>
          </w14:textFill>
        </w:rPr>
        <w:t>与</w:t>
      </w:r>
      <w:r>
        <w:rPr>
          <w:rFonts w:hint="eastAsia" w:ascii="CESI仿宋-GB2312" w:hAnsi="CESI仿宋-GB2312" w:eastAsia="CESI仿宋-GB2312" w:cs="CESI仿宋-GB2312"/>
          <w:color w:val="000000" w:themeColor="text1"/>
          <w:spacing w:val="13"/>
          <w:sz w:val="32"/>
          <w:szCs w:val="32"/>
          <w14:textFill>
            <w14:solidFill>
              <w14:schemeClr w14:val="tx1"/>
            </w14:solidFill>
          </w14:textFill>
        </w:rPr>
        <w:t>政策解读同步审签程序。</w:t>
      </w:r>
      <w:r>
        <w:rPr>
          <w:rFonts w:hint="eastAsia" w:ascii="CESI仿宋-GB2312" w:hAnsi="CESI仿宋-GB2312" w:eastAsia="CESI仿宋-GB2312" w:cs="CESI仿宋-GB2312"/>
          <w:color w:val="000000" w:themeColor="text1"/>
          <w:spacing w:val="13"/>
          <w:sz w:val="32"/>
          <w:szCs w:val="32"/>
          <w:lang w:val="en-US" w:eastAsia="zh-CN"/>
          <w14:textFill>
            <w14:solidFill>
              <w14:schemeClr w14:val="tx1"/>
            </w14:solidFill>
          </w14:textFill>
        </w:rPr>
        <w:t>政策性文件起草部门要针对文件内容、政策要点、理解难点及公众关注重点开展解读，切实提高公众对政策的理解认同度，保障公众知情权、参与权、监督权，营造良好的政策执行环境。同时，加强对政策性文件及解读材料信息公开后相关舆情的分析研判，根据需要可进行连续性解读。</w:t>
      </w:r>
      <w:r>
        <w:rPr>
          <w:rFonts w:hint="eastAsia" w:ascii="CESI仿宋-GB2312" w:hAnsi="CESI仿宋-GB2312" w:eastAsia="CESI仿宋-GB2312" w:cs="CESI仿宋-GB2312"/>
          <w:color w:val="000000" w:themeColor="text1"/>
          <w:spacing w:val="13"/>
          <w:sz w:val="32"/>
          <w:szCs w:val="32"/>
          <w14:textFill>
            <w14:solidFill>
              <w14:schemeClr w14:val="tx1"/>
            </w14:solidFill>
          </w14:textFill>
        </w:rPr>
        <w:t>按照“谁主管谁回应、谁处置谁回应”的原则，严格落实政务舆情回应处置主体责任，推动出台具体措施解决舆情背后的实际问题。</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区政府各部门</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、单位，</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各镇（街道）〕</w:t>
      </w:r>
    </w:p>
    <w:p>
      <w:pPr>
        <w:keepNext w:val="0"/>
        <w:keepLines w:val="0"/>
        <w:widowControl/>
        <w:suppressLineNumbers w:val="0"/>
        <w:ind w:firstLine="704" w:firstLineChars="200"/>
        <w:jc w:val="both"/>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pPr>
      <w:r>
        <w:rPr>
          <w:rFonts w:hint="eastAsia" w:ascii="CESI仿宋-GB2312" w:hAnsi="CESI仿宋-GB2312" w:eastAsia="CESI仿宋-GB2312" w:cs="CESI仿宋-GB2312"/>
          <w:color w:val="000000" w:themeColor="text1"/>
          <w:spacing w:val="16"/>
          <w:sz w:val="32"/>
          <w:szCs w:val="32"/>
          <w14:textFill>
            <w14:solidFill>
              <w14:schemeClr w14:val="tx1"/>
            </w14:solidFill>
          </w14:textFill>
        </w:rPr>
        <w:t>（四）</w:t>
      </w: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提升公众参与实效。</w:t>
      </w:r>
      <w:r>
        <w:rPr>
          <w:rFonts w:hint="eastAsia" w:ascii="CESI仿宋-GB2312" w:hAnsi="CESI仿宋-GB2312" w:eastAsia="CESI仿宋-GB2312" w:cs="CESI仿宋-GB2312"/>
          <w:color w:val="000000" w:themeColor="text1"/>
          <w:spacing w:val="16"/>
          <w:sz w:val="32"/>
          <w:szCs w:val="32"/>
          <w:lang w:val="en-US" w:eastAsia="zh-CN"/>
          <w14:textFill>
            <w14:solidFill>
              <w14:schemeClr w14:val="tx1"/>
            </w14:solidFill>
          </w14:textFill>
        </w:rPr>
        <w:t>规范重大行政决策流程，制定并公布年度重大行政决策事项目录并根据实际情况进行调整，</w:t>
      </w: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健全政策制定公众参与机制，重点提高基层重大行政决策的公众参与水平。建立健全政策执行情况评估机制，围绕政策落实情况、效益满意度、可持续性等，开展政策实施效果评价，加强跟踪问效。（责任单位：区司法局牵头有关部门单位）通过多种形式常态化开展政府开放活动，让公众了解政府工作，反映意见诉求。鼓励以公开征集意见方式确定活动主题和场次，进一步提升政府工作透明度和公信力。</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区政府各部门</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、单位，</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各镇（街道）〕</w:t>
      </w:r>
    </w:p>
    <w:p>
      <w:pPr>
        <w:keepNext w:val="0"/>
        <w:keepLines w:val="0"/>
        <w:widowControl/>
        <w:suppressLineNumbers w:val="0"/>
        <w:ind w:firstLine="692" w:firstLineChars="200"/>
        <w:jc w:val="left"/>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五）完善政务公开专区建设。依托政务服务大厅、便民服务中心等，务实建设政务公开专区。充分发挥专区作为政务公开“窗口”的作用，积极开展政府信息查询、信息公开申请、政策现场解读、办事咨询答复等活动，切实提升便民服务质效。</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w:t>
      </w: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责任单位：区政府办公室、区行政审批服务局，</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各镇（街道）〕</w:t>
      </w:r>
    </w:p>
    <w:p>
      <w:pPr>
        <w:pStyle w:val="2"/>
        <w:keepNext w:val="0"/>
        <w:keepLines w:val="0"/>
        <w:pageBreakBefore w:val="0"/>
        <w:numPr>
          <w:ilvl w:val="0"/>
          <w:numId w:val="0"/>
        </w:numPr>
        <w:wordWrap/>
        <w:overflowPunct/>
        <w:topLinePunct w:val="0"/>
        <w:autoSpaceDN w:val="0"/>
        <w:bidi w:val="0"/>
        <w:spacing w:line="560" w:lineRule="exact"/>
        <w:ind w:firstLine="704" w:firstLineChars="200"/>
        <w:jc w:val="both"/>
        <w:rPr>
          <w:rFonts w:hint="eastAsia" w:ascii="CESI楷体-GB2312" w:hAnsi="CESI楷体-GB2312" w:eastAsia="CESI楷体-GB2312" w:cs="CESI楷体-GB2312"/>
          <w:color w:val="000000" w:themeColor="text1"/>
          <w:spacing w:val="16"/>
          <w:sz w:val="32"/>
          <w:szCs w:val="32"/>
          <w14:textFill>
            <w14:solidFill>
              <w14:schemeClr w14:val="tx1"/>
            </w14:solidFill>
          </w14:textFill>
        </w:rPr>
      </w:pPr>
      <w:r>
        <w:rPr>
          <w:rFonts w:hint="eastAsia" w:ascii="CESI楷体-GB2312" w:hAnsi="CESI楷体-GB2312" w:eastAsia="CESI楷体-GB2312" w:cs="CESI楷体-GB2312"/>
          <w:color w:val="000000" w:themeColor="text1"/>
          <w:spacing w:val="16"/>
          <w:sz w:val="32"/>
          <w:szCs w:val="32"/>
          <w14:textFill>
            <w14:solidFill>
              <w14:schemeClr w14:val="tx1"/>
            </w14:solidFill>
          </w14:textFill>
        </w:rPr>
        <w:t>二、强化数字赋能，全力助推政务公开提质增效</w:t>
      </w:r>
    </w:p>
    <w:p>
      <w:pPr>
        <w:spacing w:line="560" w:lineRule="exact"/>
        <w:ind w:firstLine="692" w:firstLineChars="200"/>
        <w:jc w:val="both"/>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一）加快政务公开数字化转型。探索利用人工智能、大数据、区块链等新技术，建立信息发布精准化、解读回应高效化、信息管理精细化、公开平台智能化的新型政务公开模式，加快政务公开数字化转型。基于人工智能技术开展政务数据分析和研判，精准把握企业群众需求，开发智能问答、精确查找、办事咨询等政策服务场景，以数字化赋能政务公开，辅助政府提高决策水平和社会治理能力。（责任单位：区政府办公室）</w:t>
      </w:r>
    </w:p>
    <w:p>
      <w:pPr>
        <w:pStyle w:val="2"/>
        <w:keepNext w:val="0"/>
        <w:keepLines w:val="0"/>
        <w:pageBreakBefore w:val="0"/>
        <w:wordWrap/>
        <w:overflowPunct/>
        <w:topLinePunct w:val="0"/>
        <w:autoSpaceDN w:val="0"/>
        <w:bidi w:val="0"/>
        <w:spacing w:line="560" w:lineRule="exact"/>
        <w:ind w:right="4" w:firstLine="692" w:firstLineChars="200"/>
        <w:jc w:val="both"/>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二）打造政策集中发布窗口。加快构建“一级政府一个政策集中发布窗口”新格局，待省政策文件库相关管理办法出台后，根据省、市统一部署安排，在集中公开现行有效的行政规范性文件和其他文件并动态更新的基础上，增加历次修订文本，实现现行有效文件与历次修订文本的关联展示。</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w:t>
      </w:r>
      <w:r>
        <w:rPr>
          <w:rFonts w:hint="eastAsia" w:ascii="CESI仿宋-GB2312" w:hAnsi="CESI仿宋-GB2312" w:eastAsia="CESI仿宋-GB2312" w:cs="CESI仿宋-GB2312"/>
          <w:color w:val="000000" w:themeColor="text1"/>
          <w:spacing w:val="23"/>
          <w:sz w:val="32"/>
          <w:szCs w:val="32"/>
          <w:lang w:eastAsia="zh-CN"/>
          <w14:textFill>
            <w14:solidFill>
              <w14:schemeClr w14:val="tx1"/>
            </w14:solidFill>
          </w14:textFill>
        </w:rPr>
        <w:t>区政府各部门</w:t>
      </w:r>
      <w:r>
        <w:rPr>
          <w:rFonts w:hint="eastAsia" w:ascii="CESI仿宋-GB2312" w:hAnsi="CESI仿宋-GB2312" w:eastAsia="CESI仿宋-GB2312" w:cs="CESI仿宋-GB2312"/>
          <w:color w:val="000000" w:themeColor="text1"/>
          <w:spacing w:val="23"/>
          <w:sz w:val="32"/>
          <w:szCs w:val="32"/>
          <w14:textFill>
            <w14:solidFill>
              <w14:schemeClr w14:val="tx1"/>
            </w14:solidFill>
          </w14:textFill>
        </w:rPr>
        <w:t>、单位，</w:t>
      </w:r>
      <w:r>
        <w:rPr>
          <w:rFonts w:hint="eastAsia" w:ascii="CESI仿宋-GB2312" w:hAnsi="CESI仿宋-GB2312" w:eastAsia="CESI仿宋-GB2312" w:cs="CESI仿宋-GB2312"/>
          <w:color w:val="000000" w:themeColor="text1"/>
          <w:spacing w:val="23"/>
          <w:sz w:val="32"/>
          <w:szCs w:val="32"/>
          <w:lang w:val="en-US" w:eastAsia="zh-CN"/>
          <w14:textFill>
            <w14:solidFill>
              <w14:schemeClr w14:val="tx1"/>
            </w14:solidFill>
          </w14:textFill>
        </w:rPr>
        <w:t>各镇（街道）〕</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92" w:firstLineChars="200"/>
        <w:jc w:val="both"/>
        <w:textAlignment w:val="baseline"/>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en-US" w:bidi="ar-SA"/>
          <w14:textFill>
            <w14:solidFill>
              <w14:schemeClr w14:val="tx1"/>
            </w14:solidFill>
          </w14:textFill>
        </w:rPr>
        <w:t>（三）</w:t>
      </w: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优化政务公开平台建设。加强区政府网站和政务新媒体的运维监管，借助大数据手段加大普查力度，严格信息更新频率，实时组织错敏词整改，确保信息发布及时、准确。健全完善政务新媒体备案管理机制，坚持“先备案、后开设”，加强账号开设、变更、注销等全生命周期监管。持续开展政务新媒体“瘦身提质”，对用户关注度低、功能重复或相近、缺乏原创信息等账号进行清理整合，集中力量打造一批优质精品账号。（责任单位：区政府办公室）</w:t>
      </w:r>
    </w:p>
    <w:p>
      <w:pPr>
        <w:pStyle w:val="2"/>
        <w:keepNext w:val="0"/>
        <w:keepLines w:val="0"/>
        <w:pageBreakBefore w:val="0"/>
        <w:numPr>
          <w:ilvl w:val="0"/>
          <w:numId w:val="0"/>
        </w:numPr>
        <w:wordWrap/>
        <w:overflowPunct/>
        <w:topLinePunct w:val="0"/>
        <w:autoSpaceDN w:val="0"/>
        <w:bidi w:val="0"/>
        <w:spacing w:line="560" w:lineRule="exact"/>
        <w:ind w:firstLine="704" w:firstLineChars="200"/>
        <w:jc w:val="both"/>
        <w:rPr>
          <w:rFonts w:hint="eastAsia" w:ascii="CESI楷体-GB2312" w:hAnsi="CESI楷体-GB2312" w:eastAsia="CESI楷体-GB2312" w:cs="CESI楷体-GB2312"/>
          <w:color w:val="000000" w:themeColor="text1"/>
          <w:spacing w:val="16"/>
          <w:sz w:val="32"/>
          <w:szCs w:val="32"/>
          <w14:textFill>
            <w14:solidFill>
              <w14:schemeClr w14:val="tx1"/>
            </w14:solidFill>
          </w14:textFill>
        </w:rPr>
      </w:pPr>
      <w:r>
        <w:rPr>
          <w:rFonts w:hint="eastAsia" w:ascii="CESI楷体-GB2312" w:hAnsi="CESI楷体-GB2312" w:eastAsia="CESI楷体-GB2312" w:cs="CESI楷体-GB2312"/>
          <w:color w:val="000000" w:themeColor="text1"/>
          <w:spacing w:val="16"/>
          <w:sz w:val="32"/>
          <w:szCs w:val="32"/>
          <w14:textFill>
            <w14:solidFill>
              <w14:schemeClr w14:val="tx1"/>
            </w14:solidFill>
          </w14:textFill>
        </w:rPr>
        <w:t>三、围绕重点工作，更好发挥政务公开功能作用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92" w:firstLineChars="200"/>
        <w:jc w:val="both"/>
        <w:textAlignment w:val="baseline"/>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一）以高质量公开促进政策落实见效。围绕实施提振消费行动，加强消费品以旧换新、服务消费、文化旅游消费、健康消费、消费环境等方面配套措施的宣传推广，及时公开落实成效和典型经验。（责任单位：区商务局、区文化和旅游局、区卫生健康局、区市场监督管理局等区有关部门单位）持续做好保障性住房、老旧小区改造等领域信息公开。（责任单位：区住房和城乡建设局）围绕稳就业促增收，及时更新发布就业创业政策清单，针对高校毕业生、农村劳动力等重点人群，加大就业帮扶、职业技能培训、社会保险待遇等政策解读和信息推送力度，分类归集发布重点产业企业用工需求。（责任单位：区人力资源和社会保障局、区农业农村局）统筹推进学前教育、义务教育、特殊教育、职业教育、民办教育等方面信息公开</w:t>
      </w:r>
      <w:r>
        <w:rPr>
          <w:rFonts w:hint="default"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力度</w:t>
      </w: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促进教育优质均衡发展。（责任单位：区教育和体育局）加强养老服务扶持政策推送和养老机构监管信息公开。（责任单位：区民政局）逐步推进城市医疗集团和紧密型县域医共体建设信息公开，精准做好异地就医报销政策宣传。（责任单位：区卫生健康局 、市医疗保障局临淄分局）优化旅游公共信息发布服务，加强旅游出行风险预警提示。（责任单位：区文化和旅游局）</w:t>
      </w:r>
    </w:p>
    <w:p>
      <w:pPr>
        <w:pStyle w:val="2"/>
        <w:keepNext w:val="0"/>
        <w:keepLines w:val="0"/>
        <w:pageBreakBefore w:val="0"/>
        <w:wordWrap/>
        <w:overflowPunct/>
        <w:topLinePunct w:val="0"/>
        <w:autoSpaceDN w:val="0"/>
        <w:bidi w:val="0"/>
        <w:spacing w:line="560" w:lineRule="exact"/>
        <w:ind w:firstLine="692" w:firstLineChars="200"/>
        <w:jc w:val="both"/>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（二）以高质量公开提升政务服务效能。围绕“高效办成一件事 ”，规范发布本地区政务服务事项目录、办事指南和中介服务事项清单，推动政务服务事项集成式、一站式公开。（责任单位：区政府办公室、区行政审批服务局）密切跟踪全国统一的市场准入负面清单，根据动态调整情况做好清单事项内容、主管部门等信息的更新发布。（责任单位：区发展和改革局）加强市场监管制度规则公开，提高监管透明度。（责任单位：区市场监督管理局）</w:t>
      </w:r>
    </w:p>
    <w:p>
      <w:pPr>
        <w:pStyle w:val="2"/>
        <w:keepNext w:val="0"/>
        <w:keepLines w:val="0"/>
        <w:pageBreakBefore w:val="0"/>
        <w:wordWrap/>
        <w:overflowPunct/>
        <w:topLinePunct w:val="0"/>
        <w:autoSpaceDN w:val="0"/>
        <w:bidi w:val="0"/>
        <w:spacing w:line="560" w:lineRule="exact"/>
        <w:ind w:firstLine="692" w:firstLineChars="200"/>
        <w:jc w:val="both"/>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三）以高质量公开跟进监督强化管理。持续做好权责清单依法公开和动态更新。〔责任单位：区政府各部门、单位，各镇（街道）〕将排污单位和第三方治理、运维、检测机构弄虚作假行为纳入信用记录，依法向社会公布。及时公布重污染天气应急等信息，引导公众做好重污染天气期间的健康防护。（责任单位：临淄生态环境分局）动态更新并及时公开本地区执行的行政事业性收费和政府性基金目录清单。（责任单位：区财政局）规范招投标信息公开，加大招标公告、中标合同、履约信息公开力度，招标公告要载明招标投标行政监督部门。〔责任单位：区政府各部门、单位，各镇（街道）〕严格落实行政执法公示制度，规范涉企行政执法行为，按规定公布行政检查事项、行政检查计划等内容。〔责任单位：区司法局牵头，区政府各部门落实，各镇（街道）〕</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92" w:firstLineChars="200"/>
        <w:jc w:val="both"/>
        <w:textAlignment w:val="baseline"/>
        <w:rPr>
          <w:lang w:val="en-US" w:eastAsia="en-US"/>
        </w:rPr>
      </w:pPr>
      <w:r>
        <w:rPr>
          <w:rFonts w:hint="eastAsia" w:ascii="CESI仿宋-GB2312" w:hAnsi="CESI仿宋-GB2312" w:eastAsia="CESI仿宋-GB2312" w:cs="CESI仿宋-GB2312"/>
          <w:snapToGrid w:val="0"/>
          <w:color w:val="000000" w:themeColor="text1"/>
          <w:spacing w:val="13"/>
          <w:kern w:val="0"/>
          <w:sz w:val="32"/>
          <w:szCs w:val="32"/>
          <w:lang w:val="en-US" w:eastAsia="zh-CN" w:bidi="ar-SA"/>
          <w14:textFill>
            <w14:solidFill>
              <w14:schemeClr w14:val="tx1"/>
            </w14:solidFill>
          </w14:textFill>
        </w:rPr>
        <w:t>各级各部门单位要对照本方案提出的重点任务，明确责任主体和时限要求，逐项推动落实，贯彻落实情况要纳入政府信息公开工作年度报告予以公开，接受社会监督。</w:t>
      </w:r>
    </w:p>
    <w:sectPr>
      <w:footerReference r:id="rId7" w:type="default"/>
      <w:pgSz w:w="11905" w:h="16836"/>
      <w:pgMar w:top="2098" w:right="1474" w:bottom="1984" w:left="1587" w:header="0" w:footer="15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w:altName w:val="方正黑体_GBK"/>
    <w:panose1 w:val="00000000000000000000"/>
    <w:charset w:val="00"/>
    <w:family w:val="auto"/>
    <w:pitch w:val="default"/>
    <w:sig w:usb0="00000000" w:usb1="00000000" w:usb2="00000000" w:usb3="00000000" w:csb0="00000000" w:csb1="00000000"/>
  </w:font>
  <w:font w:name="STKaiti">
    <w:altName w:val="宋体"/>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2" w:lineRule="exact"/>
      <w:ind w:left="7668"/>
      <w:rPr>
        <w:sz w:val="26"/>
        <w:szCs w:val="26"/>
      </w:rPr>
    </w:pPr>
    <w:r>
      <w:rPr>
        <w:sz w:val="2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color w:val="231F20"/>
        <w:position w:val="-2"/>
        <w:sz w:val="26"/>
        <w:szCs w:val="26"/>
      </w:rPr>
      <w:t>—</w:t>
    </w:r>
    <w:r>
      <w:rPr>
        <w:color w:val="231F20"/>
        <w:spacing w:val="76"/>
        <w:position w:val="-2"/>
        <w:sz w:val="26"/>
        <w:szCs w:val="26"/>
      </w:rPr>
      <w:t xml:space="preserve"> </w:t>
    </w:r>
    <w:r>
      <w:rPr>
        <w:color w:val="231F20"/>
        <w:position w:val="-6"/>
        <w:sz w:val="26"/>
        <w:szCs w:val="26"/>
      </w:rPr>
      <w:t>1</w:t>
    </w:r>
    <w:r>
      <w:rPr>
        <w:color w:val="231F20"/>
        <w:spacing w:val="-8"/>
        <w:position w:val="-6"/>
        <w:sz w:val="26"/>
        <w:szCs w:val="26"/>
      </w:rPr>
      <w:t xml:space="preserve"> </w:t>
    </w:r>
    <w:r>
      <w:rPr>
        <w:color w:val="231F20"/>
        <w:position w:val="-2"/>
        <w:sz w:val="26"/>
        <w:szCs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8" w:lineRule="exact"/>
      <w:rPr>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FF93"/>
    <w:multiLevelType w:val="singleLevel"/>
    <w:tmpl w:val="FADAFF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365DECF3"/>
    <w:rsid w:val="4BDB3C9F"/>
    <w:rsid w:val="53CCCE1A"/>
    <w:rsid w:val="57E34945"/>
    <w:rsid w:val="57FFCBD9"/>
    <w:rsid w:val="5B9745E4"/>
    <w:rsid w:val="5C4F8C6C"/>
    <w:rsid w:val="5DFEAF1F"/>
    <w:rsid w:val="5EFE2839"/>
    <w:rsid w:val="5F5AC0F5"/>
    <w:rsid w:val="5FFEA200"/>
    <w:rsid w:val="667F54A9"/>
    <w:rsid w:val="6BFC3378"/>
    <w:rsid w:val="6F7FA380"/>
    <w:rsid w:val="73756B21"/>
    <w:rsid w:val="769FB21E"/>
    <w:rsid w:val="7774D03D"/>
    <w:rsid w:val="77BE85C0"/>
    <w:rsid w:val="7989DB48"/>
    <w:rsid w:val="7AB58519"/>
    <w:rsid w:val="7B7DDA03"/>
    <w:rsid w:val="7DD59417"/>
    <w:rsid w:val="7F997546"/>
    <w:rsid w:val="7FDF79F0"/>
    <w:rsid w:val="7FEA80CA"/>
    <w:rsid w:val="7FF7064F"/>
    <w:rsid w:val="97FFF0F2"/>
    <w:rsid w:val="BC5F555E"/>
    <w:rsid w:val="BD5D083F"/>
    <w:rsid w:val="BD5FE3FB"/>
    <w:rsid w:val="BE99CC5C"/>
    <w:rsid w:val="BFF92E58"/>
    <w:rsid w:val="D7B7728C"/>
    <w:rsid w:val="DDFD0928"/>
    <w:rsid w:val="E23BC230"/>
    <w:rsid w:val="E9EB03B6"/>
    <w:rsid w:val="E9F76AC0"/>
    <w:rsid w:val="EDBF3553"/>
    <w:rsid w:val="EE7DDA60"/>
    <w:rsid w:val="F3FD9F90"/>
    <w:rsid w:val="F5FE94F4"/>
    <w:rsid w:val="F71BC7C9"/>
    <w:rsid w:val="F7BBF68B"/>
    <w:rsid w:val="FB7F7B35"/>
    <w:rsid w:val="FBFDDE42"/>
    <w:rsid w:val="FEB3FDA5"/>
    <w:rsid w:val="FF7AC967"/>
    <w:rsid w:val="FFADB3AB"/>
    <w:rsid w:val="FFBF97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Microsoft YaHei" w:hAnsi="Microsoft YaHei" w:eastAsia="Microsoft YaHei" w:cs="Microsoft YaHei"/>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STKaiti" w:hAnsi="STKaiti" w:eastAsia="STKaiti" w:cs="STKaiti"/>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2998</Words>
  <Characters>3020</Characters>
  <TotalTime>36</TotalTime>
  <ScaleCrop>false</ScaleCrop>
  <LinksUpToDate>false</LinksUpToDate>
  <CharactersWithSpaces>3031</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2025-06-19T16:52:00Z</dcterms:created>
  <dc:creator>administrator</dc:creator>
  <cp:lastModifiedBy>administrator</cp:lastModifiedBy>
  <cp:lastPrinted>2025-06-23T10:49:00Z</cp:lastPrinted>
  <dcterms:modified xsi:type="dcterms:W3CDTF">2025-09-22T16:06:40Z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2025-05-30T10:49:40Z</vt:filetime>
  </property>
  <property fmtid="{D5CDD505-2E9C-101B-9397-08002B2CF9AE}" pid="4" name="KSOProductBuildVer">
    <vt:lpwstr>2052-11.8.2.9958</vt:lpwstr>
  </property>
</Properties>
</file>