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F60E">
      <w:pPr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ED98C2">
      <w:pPr>
        <w:jc w:val="center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临政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4984A0D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18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FDD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人民政府办公室</w:t>
      </w:r>
    </w:p>
    <w:p w14:paraId="784C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年为全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妇女儿童办实事</w:t>
      </w:r>
    </w:p>
    <w:p w14:paraId="06FD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项目清单的通知</w:t>
      </w:r>
    </w:p>
    <w:p w14:paraId="4F8E0E54"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1169F79">
      <w:pPr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各镇人民政府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区政府各部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有关企事业单位：</w:t>
      </w:r>
    </w:p>
    <w:p w14:paraId="4299937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《202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年为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全区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妇女儿童办实事项目清单》已经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政府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研究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同意，现印发给你们，请认真组织实施。</w:t>
      </w:r>
    </w:p>
    <w:p w14:paraId="3C8F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</w:p>
    <w:p w14:paraId="35F7B848">
      <w:pPr>
        <w:pStyle w:val="2"/>
        <w:rPr>
          <w:rFonts w:hint="eastAsia"/>
          <w:lang w:val="en-US" w:eastAsia="zh-CN"/>
        </w:rPr>
      </w:pPr>
    </w:p>
    <w:p w14:paraId="1550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临淄区人民政府办公室</w:t>
      </w:r>
    </w:p>
    <w:p w14:paraId="066FF324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kern w:val="32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kern w:val="3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3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日</w:t>
      </w:r>
    </w:p>
    <w:p w14:paraId="07A0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67B7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03DF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（此件公开发布）</w:t>
      </w:r>
    </w:p>
    <w:p w14:paraId="26B956FC">
      <w:pPr>
        <w:pStyle w:val="6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3529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60A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年为全区妇女儿童办实事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项目清单</w:t>
      </w:r>
    </w:p>
    <w:p w14:paraId="6E5057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</w:p>
    <w:p w14:paraId="2FC889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一、促进巾帼就业创业。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举办“春风行动”女性就业专场招聘活动不少于2场次，提供政策咨询、职业指导、岗位供需对接服务。开展补贴性职业技能培训，为有需求的妇女提供就业创业培训不少于500人次。开展高素质农民培训，培训高素质农民（女性）不少于100人次。开设巾帼创富课堂、巾帼电商公益营等不少于8场，帮助“妈妈”群体掌握实用技能，引导妇女创业就业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（责任单位：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区妇联、区人社局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、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区农业农村局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）</w:t>
      </w:r>
    </w:p>
    <w:p w14:paraId="497FE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二、开展适龄妇女“两癌”免费检查和救助。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对全区1.9万名35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64岁妇女开展“两癌”（宫颈癌、乳腺癌）免费检查，检查覆盖率达到90%以上，提高“两癌”早诊早治率和癌前病变检出率。开展低收入妇女“两癌”保险和患病救助，为约400名35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64岁低收入妇女购买保额不低于3万元的“两癌”保险。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（责任单位：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区妇联、区卫健局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）</w:t>
      </w:r>
    </w:p>
    <w:p w14:paraId="51A4C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推进托育服务提质扩容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构建多元化托育服务体系，每千人口拥有3岁以下婴幼儿托位数达到4.7个。探索“社会引领办、爱心公益办、托幼一体办、社区家庭办、医育结合办”多元托育模式，提供婴幼儿全日托、半日托服务，为众多家庭解决婴幼儿照护难题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（责任单位：区卫健局）</w:t>
      </w:r>
    </w:p>
    <w:p w14:paraId="5994E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四、加强家庭教育指导服务。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依托临淄开放大学，组建临淄区家庭教育专家团队，打造“线上+线下”家庭教育特色品牌，构建家校社协同育人“教联体”。建立临淄区家庭教育资源库，定期推送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齐家共成长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家长课堂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打造家庭教育的“空中课堂”。在社区（村）家长学校开展“家教润心•成长同行”家庭教育大讲堂6期，通过专题讲座、互动沙龙、课程推送等形式，普及科学教育理念。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（责任单位：区妇联、区教体局）</w:t>
      </w:r>
    </w:p>
    <w:p w14:paraId="11ABB3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五、加强文化体育服务供给。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新改建3处城市书房和文化驿站，为妇女儿童阅读提供图书、场地、活动等资源支持和专业指导。创建绿色声屏，为未成年人健康成长营造绿色文化空间，持续实施“润童心”儿童素养提升工程，开展科普大篷车巡展6场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青少年“蒲公英”科普大讲堂8场。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不少于100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妇女儿童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体质监测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，培训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不少于150名女性社会体育指导员。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（责任单位：区科协、区教体局、区文旅局、区融媒体中心）</w:t>
      </w:r>
    </w:p>
    <w:p w14:paraId="46F30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深化拓展普惠服务质效。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秉承“工助未来”服务品牌理念，立足职工需求，鼓励有条件、有需求的企事业单位以举办托管班的形式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在寒暑假期间为本单位职工子女（就读于小学阶段）提供不少于12个班次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看护照管服务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，开展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学业辅导、传统文化教育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兴趣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发展等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活动。创办临淄区市民艺术夜校品牌，开展培训活动不少于50场，点亮民生新“夜”态。</w:t>
      </w:r>
      <w:r>
        <w:rPr>
          <w:rFonts w:hint="default" w:ascii="Times New Roman" w:hAnsi="Times New Roman" w:eastAsia="宋体" w:cs="Times New Roman"/>
          <w:color w:val="231F20"/>
          <w:kern w:val="0"/>
          <w:sz w:val="30"/>
          <w:szCs w:val="30"/>
          <w:lang w:val="en-US" w:eastAsia="en-US" w:bidi="ar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责任单位：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区总工会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、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区文旅局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）</w:t>
      </w:r>
    </w:p>
    <w:p w14:paraId="2E72C1E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七、增进妇女儿童身心健康。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加强青少年心理健康教育，深化“12355青少年心理服务台”建设。实施“阳光成长”青少年身心健康护航行动，开展校园普法工作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，组织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法治副校长法治课等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活动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次。依托“未成年人观护中心”，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开展未成年人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法律援助、司法救助、共同帮教，通过精准预防矫治，帮助罪错青少年更好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融入社会，至少共同帮教2人次。按照“知情同意、自愿接种”原则，继续深入开展适龄女孩自愿免费接种国产二价HPV疫苗工作。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（责任单位：团区委、区检察院、区卫健局）</w:t>
      </w:r>
    </w:p>
    <w:p w14:paraId="1E9876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snapToGrid w:val="0"/>
          <w:color w:val="231F20"/>
          <w:kern w:val="0"/>
          <w:sz w:val="30"/>
          <w:szCs w:val="30"/>
          <w:lang w:val="en-US" w:eastAsia="en-US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eastAsia="zh-CN"/>
        </w:rPr>
        <w:t>八、加强妇女儿童权益保护</w:t>
      </w:r>
      <w:r>
        <w:rPr>
          <w:rFonts w:hint="default" w:ascii="Times New Roman" w:hAnsi="Times New Roman" w:eastAsia="宋体" w:cs="Times New Roman"/>
          <w:snapToGrid w:val="0"/>
          <w:color w:val="231F20"/>
          <w:kern w:val="0"/>
          <w:sz w:val="30"/>
          <w:szCs w:val="30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在三八维权周、反家暴日、宪法日等时间节点，开展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巾帼普法乡村行”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“齐心护航”心理健康讲座等妇女儿童权益相关的法律法规宣传活动不少于12场。建立未成年人刑事法律援助律师专家库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对涉妇女儿童案件进行妥善处置。用好未成年人保护令、家庭教育指导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令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、家庭暴力告诫书等方式，把隐患问题化解于萌芽阶段，切实保护妇女儿童合法权益。</w:t>
      </w:r>
      <w:r>
        <w:rPr>
          <w:rFonts w:hint="default" w:ascii="Times New Roman" w:hAnsi="Times New Roman" w:eastAsia="宋体" w:cs="Times New Roman"/>
          <w:snapToGrid w:val="0"/>
          <w:color w:val="231F20"/>
          <w:kern w:val="0"/>
          <w:sz w:val="30"/>
          <w:szCs w:val="30"/>
          <w:lang w:val="en-US" w:eastAsia="en-US" w:bidi="ar"/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en-US" w:bidi="ar-SA"/>
        </w:rPr>
        <w:t>责任单位：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区妇联、区法院、临淄公安分局、区司法局</w:t>
      </w:r>
      <w:r>
        <w:rPr>
          <w:rFonts w:hint="default" w:ascii="Times New Roman" w:hAnsi="Times New Roman" w:eastAsia="宋体" w:cs="Times New Roman"/>
          <w:snapToGrid w:val="0"/>
          <w:color w:val="231F20"/>
          <w:kern w:val="0"/>
          <w:sz w:val="30"/>
          <w:szCs w:val="30"/>
          <w:lang w:val="en-US" w:eastAsia="en-US" w:bidi="ar"/>
        </w:rPr>
        <w:t>）</w:t>
      </w:r>
    </w:p>
    <w:p w14:paraId="5BC43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九、关爱保护特殊困难儿童。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加强孤困儿童分类精准保障，制定《临淄区流动儿童在居住地享有关爱服务基础清单》。开展儿童主任摸排走访，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动态掌握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孤困儿童等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信息，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按月为孤困儿童发放基本生活费。开展残疾儿童康复救助项目，为约1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9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0名符合条件且有康复需求的残疾儿童实施康复救助。加大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对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困境儿童关心关爱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力度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，持续开展爱心妈妈一对一结对关爱活动，对重点关注的32名困境儿童开展入户走访4次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集体关爱活动2次。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（责任单位：区妇联、区残联、区民政局）</w:t>
      </w:r>
    </w:p>
    <w:p w14:paraId="235AF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val="en-US" w:eastAsia="zh-CN"/>
        </w:rPr>
        <w:t>十、推进妇女儿童生活品质提升。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整合儿童友好服务资源，依托儿童友好示范社区等引导各村、社区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提供形式多样、内容丰富、健康有益的教育实践活动不少于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20场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。强化儿童产品质量安全主体责任意识，对儿童玩具、文具、儿童和婴幼儿服装销售单位开展摸底排查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对学生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校服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生产企业开展监督检查，严把质量关。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（责任单位：区妇联、区市场监管局）</w:t>
      </w:r>
    </w:p>
    <w:p w14:paraId="112D07D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各有关部门要高度重视妇女儿童工作，持续健全完善为妇女儿童办实事工作机制，推动公共政策、公共项目、公共服务向妇女儿童倾斜，不断增强妇女儿童的获得感、幸福感、安全感。各责任单位要落实主体责任，建立工作台账，主动作为，牵头推进实事落实到位，区妇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每季度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做好工作调度。</w:t>
      </w:r>
    </w:p>
    <w:p w14:paraId="4B1F927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联系电话：72203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，电子邮箱：</w:t>
      </w:r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 HYPERLINK "mailto:lzqfl@zb.shandong.cn" 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17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lzqfl@zb.shandong.cn</w:t>
      </w:r>
      <w:r>
        <w:rPr>
          <w:rStyle w:val="17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12E83BF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</w:p>
    <w:p w14:paraId="2FCFAED4">
      <w:pPr>
        <w:spacing w:line="55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  <w:t>2025年为全区妇女儿童办实事工作进展情况表</w:t>
      </w:r>
    </w:p>
    <w:p w14:paraId="25E6752E">
      <w:pPr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</w:p>
    <w:p w14:paraId="6B846724">
      <w:pPr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</w:p>
    <w:p w14:paraId="741C11DB">
      <w:pPr>
        <w:spacing w:line="55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val="en-US" w:eastAsia="zh-CN"/>
        </w:rPr>
      </w:pPr>
    </w:p>
    <w:p w14:paraId="5867FAD0">
      <w:pPr>
        <w:spacing w:line="55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1F410B6C">
      <w:pPr>
        <w:spacing w:line="55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44620393">
      <w:pPr>
        <w:spacing w:line="55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081AF203">
      <w:pPr>
        <w:spacing w:line="55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bookmarkStart w:id="0" w:name="_GoBack"/>
      <w:bookmarkEnd w:id="0"/>
    </w:p>
    <w:p w14:paraId="7C3A30D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1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1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1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全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区妇女儿童办实事工作进展情况表</w:t>
      </w:r>
    </w:p>
    <w:tbl>
      <w:tblPr>
        <w:tblStyle w:val="14"/>
        <w:tblpPr w:leftFromText="180" w:rightFromText="180" w:vertAnchor="text" w:horzAnchor="page" w:tblpX="846" w:tblpY="570"/>
        <w:tblOverlap w:val="never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266"/>
        <w:gridCol w:w="2693"/>
        <w:gridCol w:w="1843"/>
        <w:gridCol w:w="1057"/>
      </w:tblGrid>
      <w:tr w14:paraId="5AA4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0" w:type="dxa"/>
            <w:vAlign w:val="center"/>
          </w:tcPr>
          <w:p w14:paraId="664E349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3266" w:type="dxa"/>
            <w:vAlign w:val="center"/>
          </w:tcPr>
          <w:p w14:paraId="643AE66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实事名称</w:t>
            </w:r>
          </w:p>
        </w:tc>
        <w:tc>
          <w:tcPr>
            <w:tcW w:w="2693" w:type="dxa"/>
            <w:vAlign w:val="center"/>
          </w:tcPr>
          <w:p w14:paraId="2EAB931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责任单位</w:t>
            </w:r>
          </w:p>
        </w:tc>
        <w:tc>
          <w:tcPr>
            <w:tcW w:w="1843" w:type="dxa"/>
            <w:vAlign w:val="center"/>
          </w:tcPr>
          <w:p w14:paraId="70FB8E0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本季度具体措施</w:t>
            </w:r>
          </w:p>
          <w:p w14:paraId="43CA69C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及任务进度情况</w:t>
            </w:r>
          </w:p>
        </w:tc>
        <w:tc>
          <w:tcPr>
            <w:tcW w:w="1057" w:type="dxa"/>
            <w:vAlign w:val="center"/>
          </w:tcPr>
          <w:p w14:paraId="2D1F50F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完成时限</w:t>
            </w:r>
          </w:p>
        </w:tc>
      </w:tr>
      <w:tr w14:paraId="463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70" w:type="dxa"/>
            <w:vAlign w:val="center"/>
          </w:tcPr>
          <w:p w14:paraId="3417F75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266" w:type="dxa"/>
            <w:vAlign w:val="center"/>
          </w:tcPr>
          <w:p w14:paraId="1B07EB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促进巾帼就业创业</w:t>
            </w:r>
          </w:p>
        </w:tc>
        <w:tc>
          <w:tcPr>
            <w:tcW w:w="2693" w:type="dxa"/>
            <w:vAlign w:val="center"/>
          </w:tcPr>
          <w:p w14:paraId="1233A0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区妇联</w:t>
            </w:r>
          </w:p>
          <w:p w14:paraId="3D14E7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区人社局</w:t>
            </w:r>
          </w:p>
          <w:p w14:paraId="48D930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农业农村局</w:t>
            </w:r>
          </w:p>
        </w:tc>
        <w:tc>
          <w:tcPr>
            <w:tcW w:w="1843" w:type="dxa"/>
            <w:vAlign w:val="center"/>
          </w:tcPr>
          <w:p w14:paraId="391AA4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4D9EA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D92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70" w:type="dxa"/>
            <w:vAlign w:val="center"/>
          </w:tcPr>
          <w:p w14:paraId="1CFEE1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266" w:type="dxa"/>
            <w:vAlign w:val="center"/>
          </w:tcPr>
          <w:p w14:paraId="7A7D4EB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en-US"/>
              </w:rPr>
              <w:t>适龄妇女“两癌”免费检查和救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助</w:t>
            </w:r>
          </w:p>
        </w:tc>
        <w:tc>
          <w:tcPr>
            <w:tcW w:w="2693" w:type="dxa"/>
            <w:vAlign w:val="center"/>
          </w:tcPr>
          <w:p w14:paraId="4388E1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区妇联</w:t>
            </w:r>
          </w:p>
          <w:p w14:paraId="216892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卫健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局</w:t>
            </w:r>
          </w:p>
        </w:tc>
        <w:tc>
          <w:tcPr>
            <w:tcW w:w="1843" w:type="dxa"/>
            <w:vAlign w:val="center"/>
          </w:tcPr>
          <w:p w14:paraId="3D061A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8E213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41C74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36B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70" w:type="dxa"/>
            <w:vAlign w:val="center"/>
          </w:tcPr>
          <w:p w14:paraId="13EEF05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266" w:type="dxa"/>
            <w:vAlign w:val="center"/>
          </w:tcPr>
          <w:p w14:paraId="32583C2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推进托育服务提质扩容</w:t>
            </w:r>
          </w:p>
        </w:tc>
        <w:tc>
          <w:tcPr>
            <w:tcW w:w="2693" w:type="dxa"/>
            <w:vAlign w:val="center"/>
          </w:tcPr>
          <w:p w14:paraId="78C767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卫健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局</w:t>
            </w:r>
          </w:p>
        </w:tc>
        <w:tc>
          <w:tcPr>
            <w:tcW w:w="1843" w:type="dxa"/>
            <w:vAlign w:val="center"/>
          </w:tcPr>
          <w:p w14:paraId="151013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2FA60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42E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70" w:type="dxa"/>
            <w:vAlign w:val="center"/>
          </w:tcPr>
          <w:p w14:paraId="108C13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266" w:type="dxa"/>
            <w:vAlign w:val="center"/>
          </w:tcPr>
          <w:p w14:paraId="2188E20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实施家庭教育指导服务行动</w:t>
            </w:r>
          </w:p>
        </w:tc>
        <w:tc>
          <w:tcPr>
            <w:tcW w:w="2693" w:type="dxa"/>
            <w:vAlign w:val="center"/>
          </w:tcPr>
          <w:p w14:paraId="5F112B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区妇联</w:t>
            </w:r>
          </w:p>
          <w:p w14:paraId="0F1265D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区教体局</w:t>
            </w:r>
          </w:p>
        </w:tc>
        <w:tc>
          <w:tcPr>
            <w:tcW w:w="1843" w:type="dxa"/>
            <w:vAlign w:val="center"/>
          </w:tcPr>
          <w:p w14:paraId="00F8A3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3EC6446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77C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70" w:type="dxa"/>
            <w:vAlign w:val="center"/>
          </w:tcPr>
          <w:p w14:paraId="7BD7F0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3266" w:type="dxa"/>
            <w:vAlign w:val="center"/>
          </w:tcPr>
          <w:p w14:paraId="67BA9BA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加强文化体育服务供给</w:t>
            </w:r>
          </w:p>
        </w:tc>
        <w:tc>
          <w:tcPr>
            <w:tcW w:w="2693" w:type="dxa"/>
            <w:vAlign w:val="center"/>
          </w:tcPr>
          <w:p w14:paraId="2E0519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科协</w:t>
            </w:r>
          </w:p>
          <w:p w14:paraId="72158F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区教体局</w:t>
            </w:r>
          </w:p>
          <w:p w14:paraId="32A786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文旅局</w:t>
            </w:r>
          </w:p>
          <w:p w14:paraId="44CE51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融媒体中心</w:t>
            </w:r>
          </w:p>
        </w:tc>
        <w:tc>
          <w:tcPr>
            <w:tcW w:w="1843" w:type="dxa"/>
            <w:vAlign w:val="center"/>
          </w:tcPr>
          <w:p w14:paraId="22BAD3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68B5E2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2E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70" w:type="dxa"/>
            <w:vAlign w:val="center"/>
          </w:tcPr>
          <w:p w14:paraId="385C7F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3266" w:type="dxa"/>
            <w:vAlign w:val="center"/>
          </w:tcPr>
          <w:p w14:paraId="11C60F4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深化拓展普惠服务质效</w:t>
            </w:r>
          </w:p>
        </w:tc>
        <w:tc>
          <w:tcPr>
            <w:tcW w:w="2693" w:type="dxa"/>
            <w:vAlign w:val="center"/>
          </w:tcPr>
          <w:p w14:paraId="06FC95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总工会</w:t>
            </w:r>
          </w:p>
          <w:p w14:paraId="45C53E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区文旅局</w:t>
            </w:r>
          </w:p>
        </w:tc>
        <w:tc>
          <w:tcPr>
            <w:tcW w:w="1843" w:type="dxa"/>
            <w:vAlign w:val="center"/>
          </w:tcPr>
          <w:p w14:paraId="15FB4BD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5AFD25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43B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70" w:type="dxa"/>
            <w:vAlign w:val="center"/>
          </w:tcPr>
          <w:p w14:paraId="09B5C6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3266" w:type="dxa"/>
            <w:vAlign w:val="center"/>
          </w:tcPr>
          <w:p w14:paraId="18D35B9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增进妇女儿童身心健康</w:t>
            </w:r>
          </w:p>
        </w:tc>
        <w:tc>
          <w:tcPr>
            <w:tcW w:w="2693" w:type="dxa"/>
            <w:vAlign w:val="center"/>
          </w:tcPr>
          <w:p w14:paraId="674EC78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团区委</w:t>
            </w:r>
          </w:p>
          <w:p w14:paraId="786956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检察院</w:t>
            </w:r>
          </w:p>
          <w:p w14:paraId="4B0362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区卫健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局</w:t>
            </w:r>
          </w:p>
        </w:tc>
        <w:tc>
          <w:tcPr>
            <w:tcW w:w="1843" w:type="dxa"/>
            <w:vAlign w:val="center"/>
          </w:tcPr>
          <w:p w14:paraId="43668D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0AC7B0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A1F3AD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5C6AC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F9965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018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70" w:type="dxa"/>
            <w:vAlign w:val="center"/>
          </w:tcPr>
          <w:p w14:paraId="6E6ED5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3266" w:type="dxa"/>
            <w:vAlign w:val="center"/>
          </w:tcPr>
          <w:p w14:paraId="2C94F60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加强妇女儿童权益保护</w:t>
            </w:r>
          </w:p>
        </w:tc>
        <w:tc>
          <w:tcPr>
            <w:tcW w:w="2693" w:type="dxa"/>
            <w:vAlign w:val="center"/>
          </w:tcPr>
          <w:p w14:paraId="58A96D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妇联</w:t>
            </w:r>
          </w:p>
          <w:p w14:paraId="5D9616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区法院</w:t>
            </w:r>
          </w:p>
          <w:p w14:paraId="54E61A2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临淄公安分局</w:t>
            </w:r>
          </w:p>
          <w:p w14:paraId="30464F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区司法局</w:t>
            </w:r>
          </w:p>
        </w:tc>
        <w:tc>
          <w:tcPr>
            <w:tcW w:w="1843" w:type="dxa"/>
            <w:vAlign w:val="center"/>
          </w:tcPr>
          <w:p w14:paraId="496696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4D2596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056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70" w:type="dxa"/>
            <w:vAlign w:val="center"/>
          </w:tcPr>
          <w:p w14:paraId="7D3D39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3266" w:type="dxa"/>
            <w:vAlign w:val="center"/>
          </w:tcPr>
          <w:p w14:paraId="0BD29D0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关爱保护特殊困难儿童</w:t>
            </w:r>
          </w:p>
        </w:tc>
        <w:tc>
          <w:tcPr>
            <w:tcW w:w="2693" w:type="dxa"/>
            <w:vAlign w:val="center"/>
          </w:tcPr>
          <w:p w14:paraId="49BE4D1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区妇联</w:t>
            </w:r>
          </w:p>
          <w:p w14:paraId="2B7264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区残联</w:t>
            </w:r>
          </w:p>
          <w:p w14:paraId="121518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民政局</w:t>
            </w:r>
          </w:p>
        </w:tc>
        <w:tc>
          <w:tcPr>
            <w:tcW w:w="1843" w:type="dxa"/>
            <w:vAlign w:val="center"/>
          </w:tcPr>
          <w:p w14:paraId="50706C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345043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273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70" w:type="dxa"/>
            <w:vAlign w:val="center"/>
          </w:tcPr>
          <w:p w14:paraId="6974B0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3266" w:type="dxa"/>
            <w:vAlign w:val="center"/>
          </w:tcPr>
          <w:p w14:paraId="6598214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推进妇女儿童生活品质提升</w:t>
            </w:r>
          </w:p>
        </w:tc>
        <w:tc>
          <w:tcPr>
            <w:tcW w:w="2693" w:type="dxa"/>
            <w:vAlign w:val="center"/>
          </w:tcPr>
          <w:p w14:paraId="35D8B3D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区妇联</w:t>
            </w:r>
          </w:p>
          <w:p w14:paraId="06363B2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区市场监管局</w:t>
            </w:r>
          </w:p>
        </w:tc>
        <w:tc>
          <w:tcPr>
            <w:tcW w:w="1843" w:type="dxa"/>
            <w:vAlign w:val="center"/>
          </w:tcPr>
          <w:p w14:paraId="03D4E4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35C889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3516CC0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 w14:paraId="3358F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B27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C88FE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C88FE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6882F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jc4YTc1OThhZjNjM2YwYzdlNDA3YTVlYTU0ZGEifQ=="/>
    <w:docVar w:name="KSO_WPS_MARK_KEY" w:val="8da19d0c-2f65-4b46-adb5-f99e4b909ff2"/>
  </w:docVars>
  <w:rsids>
    <w:rsidRoot w:val="007D29DA"/>
    <w:rsid w:val="001D2CA7"/>
    <w:rsid w:val="00291F81"/>
    <w:rsid w:val="00364378"/>
    <w:rsid w:val="00512F53"/>
    <w:rsid w:val="006852BD"/>
    <w:rsid w:val="007D29DA"/>
    <w:rsid w:val="00942E33"/>
    <w:rsid w:val="00A6499A"/>
    <w:rsid w:val="00AD2A59"/>
    <w:rsid w:val="00C85396"/>
    <w:rsid w:val="00D006F9"/>
    <w:rsid w:val="00D37A53"/>
    <w:rsid w:val="00D91028"/>
    <w:rsid w:val="00E6209B"/>
    <w:rsid w:val="00EA2C02"/>
    <w:rsid w:val="01FB7EB3"/>
    <w:rsid w:val="04D559E6"/>
    <w:rsid w:val="04E242DC"/>
    <w:rsid w:val="06233BF8"/>
    <w:rsid w:val="0CCF30BA"/>
    <w:rsid w:val="0E4E0108"/>
    <w:rsid w:val="0F593DA8"/>
    <w:rsid w:val="10797A95"/>
    <w:rsid w:val="11AD6919"/>
    <w:rsid w:val="13BE463B"/>
    <w:rsid w:val="160D56FC"/>
    <w:rsid w:val="1C5F6371"/>
    <w:rsid w:val="1CFC56F1"/>
    <w:rsid w:val="1E995E62"/>
    <w:rsid w:val="22D82BBE"/>
    <w:rsid w:val="23EE0FC5"/>
    <w:rsid w:val="269C707E"/>
    <w:rsid w:val="270D38A0"/>
    <w:rsid w:val="294B244F"/>
    <w:rsid w:val="2A3C72DE"/>
    <w:rsid w:val="2AD61A70"/>
    <w:rsid w:val="2B2241B6"/>
    <w:rsid w:val="2BBD6CF2"/>
    <w:rsid w:val="2F725125"/>
    <w:rsid w:val="31D40BF8"/>
    <w:rsid w:val="34A0495A"/>
    <w:rsid w:val="3655122D"/>
    <w:rsid w:val="36592B9B"/>
    <w:rsid w:val="36BF439F"/>
    <w:rsid w:val="37B43503"/>
    <w:rsid w:val="3AF9494C"/>
    <w:rsid w:val="45DE1F52"/>
    <w:rsid w:val="496767C2"/>
    <w:rsid w:val="4BDB773A"/>
    <w:rsid w:val="4CFD6AA3"/>
    <w:rsid w:val="4D174617"/>
    <w:rsid w:val="52E32515"/>
    <w:rsid w:val="591A4940"/>
    <w:rsid w:val="5A6D19E9"/>
    <w:rsid w:val="5CB6757D"/>
    <w:rsid w:val="5D6A1ADB"/>
    <w:rsid w:val="5ED510A9"/>
    <w:rsid w:val="5F5C5F51"/>
    <w:rsid w:val="5F647843"/>
    <w:rsid w:val="613E1B97"/>
    <w:rsid w:val="623C4F9B"/>
    <w:rsid w:val="62814F6A"/>
    <w:rsid w:val="657A5D2D"/>
    <w:rsid w:val="65BE6761"/>
    <w:rsid w:val="681C1AF7"/>
    <w:rsid w:val="6C9931D6"/>
    <w:rsid w:val="6DA51792"/>
    <w:rsid w:val="6DC23230"/>
    <w:rsid w:val="70FD50B6"/>
    <w:rsid w:val="72802E75"/>
    <w:rsid w:val="7286030D"/>
    <w:rsid w:val="729E0A00"/>
    <w:rsid w:val="74DA0D6F"/>
    <w:rsid w:val="750317F1"/>
    <w:rsid w:val="760E6D55"/>
    <w:rsid w:val="788C5C35"/>
    <w:rsid w:val="78D366AD"/>
    <w:rsid w:val="7B6E5A8C"/>
    <w:rsid w:val="7B8B4997"/>
    <w:rsid w:val="7C8D47EE"/>
    <w:rsid w:val="7D8807A9"/>
    <w:rsid w:val="7DF84014"/>
    <w:rsid w:val="7EF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link w:val="20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6"/>
    <w:next w:val="1"/>
    <w:qFormat/>
    <w:uiPriority w:val="0"/>
    <w:pPr>
      <w:spacing w:line="500" w:lineRule="exact"/>
      <w:ind w:firstLine="420"/>
    </w:pPr>
    <w:rPr>
      <w:sz w:val="28"/>
      <w:szCs w:val="20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 Char"/>
    <w:basedOn w:val="16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2387</Words>
  <Characters>2468</Characters>
  <Lines>26</Lines>
  <Paragraphs>7</Paragraphs>
  <TotalTime>2</TotalTime>
  <ScaleCrop>false</ScaleCrop>
  <LinksUpToDate>false</LinksUpToDate>
  <CharactersWithSpaces>2537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2022-02-14T06:08:00Z</dcterms:created>
  <dc:creator>Administrator</dc:creator>
  <cp:lastModifiedBy>孟雪晴</cp:lastModifiedBy>
  <cp:lastPrinted>2025-06-05T02:25:00Z</cp:lastPrinted>
  <dcterms:modified xsi:type="dcterms:W3CDTF">2025-07-02T00:25:39Z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4575592F05CF4881B79A84B6DB1A9FB8_13</vt:lpwstr>
  </property>
  <property fmtid="{D5CDD505-2E9C-101B-9397-08002B2CF9AE}" pid="4" name="KSOTemplateDocerSaveRecord">
    <vt:lpwstr>eyJoZGlkIjoiZjQ5YmNjNGRiYmMyM2VhZTljMjQ3YTY0Nzk4MjJmOTMiLCJ1c2VySWQiOiI0MjAyODg5OTgifQ==</vt:lpwstr>
  </property>
</Properties>
</file>