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2729C">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0596AC4E">
                            <w:pPr>
                              <w:pStyle w:val="7"/>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0596AC4E">
                      <w:pPr>
                        <w:pStyle w:val="7"/>
                        <w:spacing w:before="0" w:beforeAutospacing="0" w:after="0" w:afterAutospacing="0"/>
                        <w:jc w:val="both"/>
                      </w:pPr>
                    </w:p>
                  </w:txbxContent>
                </v:textbox>
                <w10:anchorlock/>
              </v:shape>
            </w:pict>
          </mc:Fallback>
        </mc:AlternateContent>
      </w:r>
    </w:p>
    <w:p w14:paraId="46BA9B1E">
      <w:pPr>
        <w:rPr>
          <w:rFonts w:ascii="华文中宋" w:hAnsi="华文中宋" w:eastAsia="华文中宋"/>
          <w:b/>
          <w:sz w:val="36"/>
          <w:szCs w:val="36"/>
        </w:rPr>
      </w:pPr>
    </w:p>
    <w:p w14:paraId="1B9F67FC">
      <w:pPr>
        <w:rPr>
          <w:rFonts w:ascii="华文中宋" w:hAnsi="华文中宋" w:eastAsia="华文中宋"/>
          <w:b/>
          <w:sz w:val="36"/>
          <w:szCs w:val="36"/>
        </w:rPr>
      </w:pPr>
    </w:p>
    <w:p w14:paraId="002FF0E2">
      <w:pPr>
        <w:rPr>
          <w:rFonts w:ascii="华文中宋" w:hAnsi="华文中宋" w:eastAsia="华文中宋"/>
          <w:b/>
          <w:sz w:val="36"/>
          <w:szCs w:val="36"/>
        </w:rPr>
      </w:pPr>
    </w:p>
    <w:p w14:paraId="32F1616D">
      <w:pPr>
        <w:rPr>
          <w:rFonts w:ascii="仿宋_GB2312" w:eastAsia="仿宋_GB2312"/>
          <w:sz w:val="32"/>
          <w:szCs w:val="32"/>
        </w:rPr>
      </w:pPr>
      <w:bookmarkStart w:id="0" w:name="_GoBack"/>
      <w:bookmarkEnd w:id="0"/>
    </w:p>
    <w:p w14:paraId="78584FEE">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2018</w:t>
      </w:r>
      <w:r>
        <w:rPr>
          <w:rFonts w:hint="eastAsia" w:ascii="仿宋" w:hAnsi="仿宋" w:eastAsia="仿宋" w:cs="仿宋"/>
          <w:sz w:val="32"/>
          <w:szCs w:val="32"/>
        </w:rPr>
        <w:t xml:space="preserve"> 〕</w:t>
      </w:r>
      <w:r>
        <w:rPr>
          <w:rFonts w:ascii="仿宋" w:hAnsi="仿宋" w:eastAsia="仿宋" w:cs="仿宋"/>
          <w:sz w:val="32"/>
          <w:szCs w:val="32"/>
        </w:rPr>
        <w:t>145</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35BFBF65">
      <w:pPr>
        <w:spacing w:line="520" w:lineRule="exact"/>
        <w:rPr>
          <w:rFonts w:ascii="仿宋_GB2312" w:hAnsi="仿宋_GB2312" w:eastAsia="仿宋_GB2312" w:cs="仿宋_GB2312"/>
          <w:color w:val="000000"/>
          <w:kern w:val="0"/>
          <w:sz w:val="32"/>
          <w:szCs w:val="32"/>
        </w:rPr>
      </w:pPr>
    </w:p>
    <w:p w14:paraId="4EB06647">
      <w:pPr>
        <w:rPr>
          <w:rFonts w:ascii="仿宋" w:hAnsi="仿宋" w:eastAsia="仿宋"/>
          <w:sz w:val="32"/>
          <w:szCs w:val="32"/>
        </w:rPr>
      </w:pPr>
      <w:r>
        <w:rPr>
          <w:rFonts w:ascii="仿宋" w:hAnsi="仿宋" w:eastAsia="仿宋"/>
          <w:sz w:val="32"/>
          <w:szCs w:val="32"/>
        </w:rPr>
        <w:t>LZDR-2018-0010001</w:t>
      </w:r>
    </w:p>
    <w:p w14:paraId="49F4E1EF">
      <w:pPr>
        <w:pStyle w:val="7"/>
        <w:jc w:val="center"/>
        <w:rPr>
          <w:rFonts w:ascii="方正小标宋简体" w:hAnsi="仿宋" w:eastAsia="方正小标宋简体" w:cs="Times New Roman"/>
          <w:kern w:val="2"/>
          <w:sz w:val="44"/>
          <w:szCs w:val="44"/>
        </w:rPr>
      </w:pPr>
      <w:r>
        <w:rPr>
          <w:rFonts w:hint="eastAsia" w:ascii="方正小标宋简体" w:hAnsi="仿宋" w:eastAsia="方正小标宋简体" w:cs="Times New Roman"/>
          <w:kern w:val="2"/>
          <w:sz w:val="44"/>
          <w:szCs w:val="44"/>
        </w:rPr>
        <w:t>临淄区人民政府</w:t>
      </w:r>
    </w:p>
    <w:p w14:paraId="7AF625C3">
      <w:pPr>
        <w:pStyle w:val="7"/>
        <w:jc w:val="center"/>
        <w:rPr>
          <w:rFonts w:ascii="方正小标宋简体" w:hAnsi="仿宋" w:eastAsia="方正小标宋简体" w:cs="Times New Roman"/>
          <w:kern w:val="2"/>
          <w:sz w:val="44"/>
          <w:szCs w:val="44"/>
        </w:rPr>
      </w:pPr>
      <w:r>
        <w:rPr>
          <w:rFonts w:hint="eastAsia" w:ascii="方正小标宋简体" w:hAnsi="仿宋" w:eastAsia="方正小标宋简体" w:cs="Times New Roman"/>
          <w:kern w:val="2"/>
          <w:sz w:val="44"/>
          <w:szCs w:val="44"/>
        </w:rPr>
        <w:t>关于印发临淄区“鲁担·惠农贷”风险补偿基金管理办法的通知</w:t>
      </w:r>
    </w:p>
    <w:p w14:paraId="4902EAF3">
      <w:pPr>
        <w:pStyle w:val="7"/>
        <w:rPr>
          <w:rFonts w:ascii="仿宋" w:hAnsi="仿宋" w:eastAsia="仿宋" w:cs="Times New Roman"/>
          <w:kern w:val="2"/>
          <w:sz w:val="32"/>
          <w:szCs w:val="32"/>
        </w:rPr>
      </w:pPr>
      <w:r>
        <w:rPr>
          <w:rFonts w:hint="eastAsia" w:ascii="仿宋" w:hAnsi="仿宋" w:eastAsia="仿宋" w:cs="Times New Roman"/>
          <w:kern w:val="2"/>
          <w:sz w:val="32"/>
          <w:szCs w:val="32"/>
        </w:rPr>
        <w:t>各镇人民政府、街道办事处，各开发区管委会，区政府有关部门，有关企事业单位：</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经区政府研究同意，现将《临淄区“鲁担·惠农贷”风险补偿基金管理办法》印发给你们，请认真抓好贯彻落实。</w:t>
      </w:r>
    </w:p>
    <w:p w14:paraId="7115AFD8">
      <w:pPr>
        <w:pStyle w:val="7"/>
        <w:jc w:val="right"/>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临淄区人民政府</w:t>
      </w:r>
      <w:r>
        <w:rPr>
          <w:rFonts w:ascii="仿宋" w:hAnsi="仿宋" w:eastAsia="仿宋" w:cs="Times New Roman"/>
          <w:kern w:val="2"/>
          <w:sz w:val="32"/>
          <w:szCs w:val="32"/>
        </w:rPr>
        <w:br w:type="textWrapping"/>
      </w:r>
      <w:r>
        <w:rPr>
          <w:rFonts w:hint="eastAsia" w:ascii="仿宋" w:hAnsi="仿宋" w:eastAsia="仿宋" w:cs="Times New Roman"/>
          <w:kern w:val="2"/>
          <w:sz w:val="32"/>
          <w:szCs w:val="32"/>
        </w:rPr>
        <w:t>2018年8月1日</w:t>
      </w:r>
    </w:p>
    <w:p w14:paraId="346BDF6A">
      <w:pPr>
        <w:pStyle w:val="7"/>
        <w:jc w:val="center"/>
        <w:rPr>
          <w:rFonts w:ascii="方正小标宋简体" w:hAnsi="仿宋" w:eastAsia="方正小标宋简体" w:cs="Times New Roman"/>
          <w:kern w:val="2"/>
          <w:sz w:val="44"/>
          <w:szCs w:val="44"/>
        </w:rPr>
      </w:pPr>
      <w:r>
        <w:rPr>
          <w:rFonts w:ascii="方正小标宋简体" w:hAnsi="仿宋" w:eastAsia="方正小标宋简体" w:cs="Times New Roman"/>
          <w:kern w:val="2"/>
          <w:sz w:val="44"/>
          <w:szCs w:val="44"/>
        </w:rPr>
        <w:br w:type="textWrapping"/>
      </w:r>
      <w:r>
        <w:rPr>
          <w:rFonts w:hint="eastAsia" w:ascii="方正小标宋简体" w:hAnsi="仿宋" w:eastAsia="方正小标宋简体" w:cs="Times New Roman"/>
          <w:kern w:val="2"/>
          <w:sz w:val="44"/>
          <w:szCs w:val="44"/>
        </w:rPr>
        <w:t>临淄区“鲁担·惠农贷”风险补偿基金管理办法</w:t>
      </w:r>
    </w:p>
    <w:p w14:paraId="6FCD9142">
      <w:pPr>
        <w:pStyle w:val="7"/>
        <w:jc w:val="center"/>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第一章总则</w:t>
      </w:r>
    </w:p>
    <w:p w14:paraId="610941AF">
      <w:pPr>
        <w:pStyle w:val="7"/>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第一条为积极推进财政金融协同支农工作，促进全区农业信贷担保可持续发展，根据政银担分险机制要求，决定设立“鲁担·惠农贷”风险补偿基金（以下简称“风险基金”）。为规范和加强风险基金管理，制定本办法。</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第二条本办法所称“鲁担·惠农贷”贷款，是指由省农业发展信贷担保有限责任公司（以下简称“省农担公司”）承保，由合作银行向区内家庭农场、种养大户、农民合作社、农业社会化服务组织、小微农业企业等农业适度规模经营主体，国有农场中符合条件的适度规模经营主体，以及农业产业化龙头企业发放的贷款。</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第三条风险基金专项用于支付政府分担的“鲁担·惠农贷”相关代偿，实行“委托管理、专户储存、专账核算、专款专用”。对于省农担公司已经支付的“鲁担·惠农贷”代偿，按照25%的比例（即：省农担公司、临淄区财政、合作银行按照6:2:2比例分担风险）给予补偿。</w:t>
      </w:r>
    </w:p>
    <w:p w14:paraId="24962B39">
      <w:pPr>
        <w:pStyle w:val="7"/>
        <w:jc w:val="center"/>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第二章风险基金的筹集</w:t>
      </w:r>
    </w:p>
    <w:p w14:paraId="5BA4F204">
      <w:pPr>
        <w:pStyle w:val="7"/>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　　第四条风险基金的来源包括：本级财政预算安排资金、上级财政部门下达的农业专项风险补偿资金、财政专项融资增信资金，以及代偿后从已实现的追偿收入中政府按比例分得的收入。</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第五条区财政安排1000万元建立风险基金，以后每年度根据风险基金使用情况及时补充，保持与政府风险责任相适应的资金数额。</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第六条风险基金年末结余滚存下年度使用。</w:t>
      </w:r>
    </w:p>
    <w:p w14:paraId="5F0135A0">
      <w:pPr>
        <w:pStyle w:val="7"/>
        <w:jc w:val="center"/>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第三章风险基金的管理</w:t>
      </w:r>
    </w:p>
    <w:p w14:paraId="71A8B811">
      <w:pPr>
        <w:pStyle w:val="7"/>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七条按照风险基金委托管理要求，区财政金融协同支农领导小组办公室（以下简称“领导小组办公室”）选择淄博齐鲁化学工业区金银谷投资发展有限公司作为风险基金委托管理机构（简称“托管机构”）。区财政局、省农担公司根据本办法与托管机构签署协议，明确各自的权利、责任和义务。托管账户应在省农担公司合作银行开设。风险基金所有权归属于区政府。</w:t>
      </w:r>
      <w:r>
        <w:rPr>
          <w:rFonts w:ascii="Calibri" w:hAnsi="Calibri" w:eastAsia="仿宋" w:cs="Calibri"/>
          <w:kern w:val="2"/>
          <w:sz w:val="32"/>
          <w:szCs w:val="32"/>
        </w:rPr>
        <w:t> </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八条托管机构参与风险基金的支付管理，未经领导小组办公室和省农担公司共同授权，不得动用基金，也不得将基金用于质押、清偿自身债务等与“鲁担·惠农贷”风险补偿无关的支出活动。但本办法第十二条规定的情形除外。</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第九条托管机构可在开户行进行保本理财或转定期存款，风险基金孽生的利息收益用于补充区财政金融协同支农业务经费。保本理财或定期存款规模不超过风险基金余额的80%。</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第十条托管机构应建立健全内控机制，确保受托管理的基金安全。因管理不善或自身法律风险造成风险基金损失的，托管机构应使用自有资金全额赔偿。</w:t>
      </w:r>
    </w:p>
    <w:p w14:paraId="2AF8745B">
      <w:pPr>
        <w:pStyle w:val="7"/>
        <w:jc w:val="center"/>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第四章风险基金的使用</w:t>
      </w:r>
    </w:p>
    <w:p w14:paraId="5E4C0B3F">
      <w:pPr>
        <w:pStyle w:val="7"/>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一条省农担公司在“鲁担·惠农贷”贷款出险并向合作银行支付代偿资金后，应填制《“鲁担·惠农贷”补偿资金拨款单》（以下简称“拨款单”），并附银行出具的代偿通知书复印件、代偿证明书复印件，加盖公章后送领导小组办公室审核，领导小组办公室应签署收到回执。</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二条领导小组办公室在10个工作日内对相关资料进行审核，无误后，在《拨款单》上签署意见。逾期未能办理的，省农担公司视作无意见，凭《拨款单》和领导小组办公室《收到回执》，通知托管机构支付资金。托管机构应无条件办理支付手续，在2个工作日内将资金拨付到省农担公司指定账户。</w:t>
      </w:r>
    </w:p>
    <w:p w14:paraId="1E9D5290">
      <w:pPr>
        <w:pStyle w:val="7"/>
        <w:jc w:val="center"/>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第五章风险控制</w:t>
      </w:r>
    </w:p>
    <w:p w14:paraId="36FF1D20">
      <w:pPr>
        <w:pStyle w:val="7"/>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第十三条区财政金融协同支农领导小组办公室应加强与公安、法院、检察院协调，协助省农担公司及合作银行开展追偿。追偿所得扣除相关费用后，区政府所得部分，全部用于补充风险基金。</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四条风险基金累计代偿支出额超过现存基金20%时，应暂停“鲁担·惠农贷”新增贷款担保业务，待查明原因、完善措施后方可恢复业务。省农担公司及合作银行会同区财政金融协同支农领导小组办公室和有关部门、镇（街道）开展调查，分析问题根源，提出应对措施，确保“鲁担·惠农贷”业务可持续开展。</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第十五条区财政金融协同支农领导小组办公室、省农担公司负责对风险基金进行监督，必要时可委托社会中介机构进行审计，并建立信息共享机制。</w:t>
      </w:r>
    </w:p>
    <w:p w14:paraId="0D3D607E">
      <w:pPr>
        <w:pStyle w:val="7"/>
        <w:jc w:val="center"/>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hint="eastAsia" w:ascii="仿宋" w:hAnsi="仿宋" w:eastAsia="仿宋" w:cs="Times New Roman"/>
          <w:kern w:val="2"/>
          <w:sz w:val="32"/>
          <w:szCs w:val="32"/>
        </w:rPr>
        <w:t>第六章附则</w:t>
      </w:r>
    </w:p>
    <w:p w14:paraId="52505C34">
      <w:pPr>
        <w:pStyle w:val="7"/>
        <w:rPr>
          <w:rFonts w:ascii="仿宋" w:hAnsi="仿宋" w:eastAsia="仿宋" w:cs="Times New Roman"/>
          <w:kern w:val="2"/>
          <w:sz w:val="32"/>
          <w:szCs w:val="32"/>
        </w:rPr>
      </w:pP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第十六条本规定由区财政金融协同支农领导小组办公室、省农担公司负责解释。</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第十七条省农担公司可委托其驻淄博市（临淄）办事处代行相关职责。</w:t>
      </w:r>
      <w:r>
        <w:rPr>
          <w:rFonts w:ascii="仿宋" w:hAnsi="仿宋" w:eastAsia="仿宋" w:cs="Times New Roman"/>
          <w:kern w:val="2"/>
          <w:sz w:val="32"/>
          <w:szCs w:val="32"/>
        </w:rPr>
        <w:br w:type="textWrapping"/>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 xml:space="preserve"> </w:t>
      </w:r>
      <w:r>
        <w:rPr>
          <w:rFonts w:ascii="Calibri" w:hAnsi="Calibri" w:eastAsia="仿宋" w:cs="Calibri"/>
          <w:kern w:val="2"/>
          <w:sz w:val="32"/>
          <w:szCs w:val="32"/>
        </w:rPr>
        <w:t> </w:t>
      </w:r>
      <w:r>
        <w:rPr>
          <w:rFonts w:hint="eastAsia" w:ascii="仿宋" w:hAnsi="仿宋" w:eastAsia="仿宋" w:cs="Times New Roman"/>
          <w:kern w:val="2"/>
          <w:sz w:val="32"/>
          <w:szCs w:val="32"/>
        </w:rPr>
        <w:t>第十八条本规定自2018年9月1日起施行，有效期至2023年8月31日。原《临淄区人民政府办公室关于印发临淄区“鲁担·惠农贷”风险补偿基金管理办法的通知》（临政字〔2017〕263号）自本规定施行之日起废止。</w:t>
      </w:r>
    </w:p>
    <w:p w14:paraId="0C65249B">
      <w:pPr>
        <w:pStyle w:val="7"/>
      </w:pPr>
      <w:r>
        <w:t> </w:t>
      </w:r>
    </w:p>
    <w:p w14:paraId="63C3C5DC">
      <w:pPr>
        <w:pStyle w:val="7"/>
      </w:pPr>
    </w:p>
    <w:p w14:paraId="42BBAABD">
      <w:pPr>
        <w:widowControl/>
        <w:spacing w:before="100" w:beforeAutospacing="1" w:after="100" w:afterAutospacing="1"/>
        <w:jc w:val="left"/>
        <w:rPr>
          <w:rFonts w:ascii="宋体" w:hAnsi="宋体" w:cs="宋体"/>
          <w:kern w:val="0"/>
          <w:sz w:val="24"/>
        </w:rPr>
      </w:pPr>
    </w:p>
    <w:p w14:paraId="18E98B07">
      <w:pPr>
        <w:widowControl/>
        <w:spacing w:before="100" w:beforeAutospacing="1" w:after="100" w:afterAutospacing="1"/>
        <w:jc w:val="left"/>
        <w:rPr>
          <w:rFonts w:ascii="宋体" w:hAnsi="宋体" w:cs="宋体"/>
          <w:kern w:val="0"/>
          <w:sz w:val="24"/>
        </w:rPr>
      </w:pPr>
    </w:p>
    <w:p w14:paraId="73F9F05B">
      <w:pPr>
        <w:pStyle w:val="7"/>
        <w:wordWrap w:val="0"/>
        <w:snapToGrid w:val="0"/>
        <w:spacing w:after="78" w:afterLines="25" w:line="440" w:lineRule="exact"/>
        <w:ind w:right="-64"/>
        <w:rPr>
          <w:rFonts w:ascii="仿宋_GB2312" w:hAnsi="仿宋_GB2312" w:eastAsia="仿宋_GB2312" w:cs="仿宋_GB2312"/>
          <w:bCs/>
          <w:sz w:val="30"/>
          <w:szCs w:val="30"/>
        </w:rPr>
      </w:pPr>
    </w:p>
    <w:p w14:paraId="6C31B66F">
      <w:pPr>
        <w:pStyle w:val="7"/>
      </w:pPr>
    </w:p>
    <w:p w14:paraId="4E80B8A4">
      <w:pPr>
        <w:spacing w:line="520" w:lineRule="exact"/>
        <w:rPr>
          <w:rFonts w:ascii="仿宋" w:hAnsi="仿宋" w:eastAsia="仿宋"/>
          <w:sz w:val="32"/>
          <w:szCs w:val="32"/>
        </w:rPr>
      </w:pPr>
    </w:p>
    <w:p w14:paraId="1803A2BB">
      <w:pPr>
        <w:spacing w:line="520" w:lineRule="exact"/>
        <w:rPr>
          <w:rFonts w:ascii="仿宋" w:hAnsi="仿宋" w:eastAsia="仿宋"/>
          <w:sz w:val="32"/>
          <w:szCs w:val="32"/>
        </w:rPr>
      </w:pPr>
    </w:p>
    <w:p w14:paraId="74995F55">
      <w:pPr>
        <w:spacing w:line="520" w:lineRule="exact"/>
        <w:rPr>
          <w:rFonts w:ascii="仿宋" w:hAnsi="仿宋" w:eastAsia="仿宋"/>
          <w:sz w:val="32"/>
          <w:szCs w:val="32"/>
        </w:rPr>
      </w:pPr>
    </w:p>
    <w:p w14:paraId="377300C0">
      <w:pPr>
        <w:spacing w:line="520" w:lineRule="exact"/>
        <w:rPr>
          <w:rFonts w:ascii="仿宋" w:hAnsi="仿宋" w:eastAsia="仿宋"/>
          <w:sz w:val="32"/>
          <w:szCs w:val="32"/>
        </w:rPr>
      </w:pPr>
    </w:p>
    <w:p w14:paraId="1EB49DA9">
      <w:pPr>
        <w:spacing w:line="520" w:lineRule="exact"/>
        <w:rPr>
          <w:rFonts w:ascii="仿宋" w:hAnsi="仿宋" w:eastAsia="仿宋"/>
          <w:sz w:val="32"/>
          <w:szCs w:val="32"/>
        </w:rPr>
      </w:pPr>
    </w:p>
    <w:p w14:paraId="08741664">
      <w:pPr>
        <w:spacing w:line="520" w:lineRule="exact"/>
        <w:rPr>
          <w:rFonts w:ascii="仿宋" w:hAnsi="仿宋" w:eastAsia="仿宋"/>
          <w:sz w:val="32"/>
          <w:szCs w:val="32"/>
        </w:rPr>
      </w:pPr>
    </w:p>
    <w:p w14:paraId="0FC8A1DE">
      <w:pPr>
        <w:spacing w:line="520" w:lineRule="exact"/>
        <w:rPr>
          <w:rFonts w:ascii="仿宋" w:hAnsi="仿宋" w:eastAsia="仿宋"/>
          <w:sz w:val="32"/>
          <w:szCs w:val="32"/>
        </w:rPr>
      </w:pPr>
    </w:p>
    <w:p w14:paraId="2206F6CE">
      <w:pPr>
        <w:spacing w:line="520" w:lineRule="exact"/>
        <w:rPr>
          <w:rFonts w:ascii="仿宋" w:hAnsi="仿宋" w:eastAsia="仿宋"/>
          <w:sz w:val="32"/>
          <w:szCs w:val="32"/>
        </w:rPr>
      </w:pPr>
    </w:p>
    <w:p w14:paraId="309B6DA6">
      <w:pPr>
        <w:spacing w:line="520" w:lineRule="exact"/>
        <w:rPr>
          <w:rFonts w:ascii="仿宋" w:hAnsi="仿宋" w:eastAsia="仿宋"/>
          <w:sz w:val="32"/>
          <w:szCs w:val="32"/>
        </w:rPr>
      </w:pPr>
    </w:p>
    <w:p w14:paraId="0AA2E690">
      <w:pPr>
        <w:spacing w:line="520" w:lineRule="exact"/>
        <w:rPr>
          <w:rFonts w:ascii="仿宋" w:hAnsi="仿宋" w:eastAsia="仿宋"/>
          <w:sz w:val="32"/>
          <w:szCs w:val="32"/>
        </w:rPr>
      </w:pPr>
    </w:p>
    <w:p w14:paraId="4D3519A3">
      <w:pPr>
        <w:spacing w:line="520" w:lineRule="exact"/>
        <w:rPr>
          <w:rFonts w:ascii="仿宋" w:hAnsi="仿宋" w:eastAsia="仿宋"/>
          <w:sz w:val="32"/>
          <w:szCs w:val="32"/>
        </w:rPr>
      </w:pPr>
    </w:p>
    <w:p w14:paraId="3084D2D3">
      <w:pPr>
        <w:spacing w:line="520" w:lineRule="exact"/>
        <w:rPr>
          <w:rFonts w:ascii="仿宋" w:hAnsi="仿宋" w:eastAsia="仿宋"/>
          <w:sz w:val="32"/>
          <w:szCs w:val="32"/>
        </w:rPr>
      </w:pPr>
    </w:p>
    <w:p w14:paraId="0ED30044">
      <w:pPr>
        <w:spacing w:line="520" w:lineRule="exact"/>
        <w:rPr>
          <w:rFonts w:ascii="仿宋" w:hAnsi="仿宋" w:eastAsia="仿宋"/>
          <w:sz w:val="32"/>
          <w:szCs w:val="32"/>
        </w:rPr>
      </w:pPr>
    </w:p>
    <w:p w14:paraId="7CB31C38">
      <w:pPr>
        <w:spacing w:line="520" w:lineRule="exact"/>
        <w:rPr>
          <w:rFonts w:ascii="仿宋" w:hAnsi="仿宋" w:eastAsia="仿宋"/>
          <w:sz w:val="32"/>
          <w:szCs w:val="32"/>
        </w:rPr>
      </w:pPr>
    </w:p>
    <w:p w14:paraId="5D9A01B4">
      <w:pPr>
        <w:spacing w:line="520" w:lineRule="exact"/>
        <w:rPr>
          <w:rFonts w:ascii="仿宋" w:hAnsi="仿宋" w:eastAsia="仿宋"/>
          <w:sz w:val="32"/>
          <w:szCs w:val="32"/>
        </w:rPr>
      </w:pPr>
    </w:p>
    <w:p w14:paraId="32672E3F">
      <w:pPr>
        <w:spacing w:line="520" w:lineRule="exact"/>
        <w:rPr>
          <w:rFonts w:ascii="仿宋" w:hAnsi="仿宋" w:eastAsia="仿宋"/>
          <w:sz w:val="32"/>
          <w:szCs w:val="32"/>
        </w:rPr>
      </w:pPr>
    </w:p>
    <w:p w14:paraId="6BFD62C0">
      <w:pPr>
        <w:spacing w:line="520" w:lineRule="exact"/>
        <w:rPr>
          <w:rFonts w:ascii="仿宋" w:hAnsi="仿宋" w:eastAsia="仿宋"/>
          <w:sz w:val="32"/>
          <w:szCs w:val="32"/>
        </w:rPr>
      </w:pPr>
    </w:p>
    <w:p w14:paraId="34106D8F">
      <w:pPr>
        <w:spacing w:line="520" w:lineRule="exact"/>
        <w:rPr>
          <w:rFonts w:ascii="仿宋" w:hAnsi="仿宋" w:eastAsia="仿宋"/>
          <w:sz w:val="32"/>
          <w:szCs w:val="32"/>
        </w:rPr>
      </w:pPr>
    </w:p>
    <w:p w14:paraId="53372C28">
      <w:pPr>
        <w:spacing w:line="520" w:lineRule="exact"/>
        <w:rPr>
          <w:rFonts w:ascii="仿宋" w:hAnsi="仿宋" w:eastAsia="仿宋"/>
          <w:sz w:val="32"/>
          <w:szCs w:val="32"/>
        </w:rPr>
      </w:pPr>
    </w:p>
    <w:p w14:paraId="1DEFC8C4">
      <w:pPr>
        <w:spacing w:line="520" w:lineRule="exact"/>
        <w:rPr>
          <w:rFonts w:ascii="仿宋" w:hAnsi="仿宋" w:eastAsia="仿宋"/>
          <w:sz w:val="32"/>
          <w:szCs w:val="32"/>
        </w:rPr>
      </w:pPr>
    </w:p>
    <w:p w14:paraId="2E43DFB4">
      <w:pPr>
        <w:spacing w:line="520" w:lineRule="exact"/>
        <w:rPr>
          <w:rFonts w:ascii="仿宋" w:hAnsi="仿宋" w:eastAsia="仿宋"/>
          <w:sz w:val="32"/>
          <w:szCs w:val="32"/>
        </w:rPr>
      </w:pPr>
    </w:p>
    <w:p w14:paraId="70C3291F">
      <w:pPr>
        <w:spacing w:line="520" w:lineRule="exact"/>
        <w:rPr>
          <w:rFonts w:ascii="仿宋" w:hAnsi="仿宋" w:eastAsia="仿宋"/>
          <w:sz w:val="32"/>
          <w:szCs w:val="32"/>
        </w:rPr>
      </w:pPr>
    </w:p>
    <w:p w14:paraId="37D850FD">
      <w:pPr>
        <w:spacing w:line="520" w:lineRule="exact"/>
        <w:rPr>
          <w:rFonts w:ascii="仿宋" w:hAnsi="仿宋" w:eastAsia="仿宋"/>
          <w:sz w:val="32"/>
          <w:szCs w:val="32"/>
        </w:rPr>
      </w:pPr>
    </w:p>
    <w:p w14:paraId="7F8A08CF">
      <w:pPr>
        <w:spacing w:line="520" w:lineRule="exact"/>
        <w:rPr>
          <w:rFonts w:hint="eastAsia" w:ascii="仿宋" w:hAnsi="仿宋" w:eastAsia="仿宋"/>
          <w:sz w:val="32"/>
          <w:szCs w:val="32"/>
        </w:rPr>
      </w:pPr>
    </w:p>
    <w:p w14:paraId="6329C076">
      <w:pPr>
        <w:spacing w:line="520" w:lineRule="exact"/>
        <w:rPr>
          <w:rFonts w:hint="eastAsia" w:ascii="仿宋_GB2312" w:eastAsia="仿宋_GB2312"/>
          <w:sz w:val="28"/>
          <w:szCs w:val="28"/>
        </w:rPr>
      </w:pPr>
    </w:p>
    <w:p w14:paraId="2AFB2798">
      <w:pPr>
        <w:spacing w:line="520" w:lineRule="exact"/>
        <w:rPr>
          <w:rFonts w:ascii="仿宋_GB2312" w:eastAsia="仿宋_GB2312"/>
          <w:sz w:val="28"/>
          <w:szCs w:val="28"/>
        </w:rPr>
      </w:pPr>
    </w:p>
    <w:p w14:paraId="7AB0AC8B">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0288;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1312;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14:paraId="3A906614">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14:paraId="6D817A36">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2336;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                  20</w:t>
      </w:r>
      <w:r>
        <w:rPr>
          <w:rFonts w:ascii="仿宋" w:hAnsi="仿宋" w:eastAsia="仿宋" w:cs="仿宋"/>
          <w:sz w:val="28"/>
          <w:szCs w:val="28"/>
        </w:rPr>
        <w:t>18</w:t>
      </w:r>
      <w:r>
        <w:rPr>
          <w:rFonts w:hint="eastAsia" w:ascii="仿宋" w:hAnsi="仿宋" w:eastAsia="仿宋" w:cs="仿宋"/>
          <w:sz w:val="28"/>
          <w:szCs w:val="28"/>
        </w:rPr>
        <w:t>年</w:t>
      </w:r>
      <w:r>
        <w:rPr>
          <w:rFonts w:ascii="仿宋" w:hAnsi="仿宋" w:eastAsia="仿宋" w:cs="仿宋"/>
          <w:sz w:val="28"/>
          <w:szCs w:val="28"/>
        </w:rPr>
        <w:t>8</w:t>
      </w:r>
      <w:r>
        <w:rPr>
          <w:rFonts w:hint="eastAsia" w:ascii="仿宋" w:hAnsi="仿宋" w:eastAsia="仿宋" w:cs="仿宋"/>
          <w:sz w:val="28"/>
          <w:szCs w:val="28"/>
        </w:rPr>
        <w:t>月</w:t>
      </w:r>
      <w:r>
        <w:rPr>
          <w:rFonts w:ascii="仿宋" w:hAnsi="仿宋" w:eastAsia="仿宋" w:cs="仿宋"/>
          <w:sz w:val="28"/>
          <w:szCs w:val="28"/>
        </w:rPr>
        <w:t>1</w:t>
      </w:r>
      <w:r>
        <w:rPr>
          <w:rFonts w:hint="eastAsia" w:ascii="仿宋" w:hAnsi="仿宋" w:eastAsia="仿宋" w:cs="仿宋"/>
          <w:sz w:val="28"/>
          <w:szCs w:val="28"/>
        </w:rPr>
        <w:t>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6B36908D">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14:paraId="6AB00251">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2B0739"/>
    <w:rsid w:val="00333442"/>
    <w:rsid w:val="003B352A"/>
    <w:rsid w:val="00467C97"/>
    <w:rsid w:val="004A6477"/>
    <w:rsid w:val="004E7E44"/>
    <w:rsid w:val="004F1020"/>
    <w:rsid w:val="00520C15"/>
    <w:rsid w:val="005A4FF9"/>
    <w:rsid w:val="006168A4"/>
    <w:rsid w:val="00662890"/>
    <w:rsid w:val="00692EA6"/>
    <w:rsid w:val="006D77B5"/>
    <w:rsid w:val="006E42C6"/>
    <w:rsid w:val="007A20BD"/>
    <w:rsid w:val="008101C7"/>
    <w:rsid w:val="00861D25"/>
    <w:rsid w:val="0088179D"/>
    <w:rsid w:val="008D76B8"/>
    <w:rsid w:val="009E1870"/>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53600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1892</Words>
  <Characters>1945</Characters>
  <Lines>15</Lines>
  <Paragraphs>4</Paragraphs>
  <TotalTime>4</TotalTime>
  <ScaleCrop>false</ScaleCrop>
  <LinksUpToDate>false</LinksUpToDate>
  <CharactersWithSpaces>2124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2020-12-31T08:06:00Z</dcterms:created>
  <dc:creator>政府办管理员</dc:creator>
  <cp:lastModifiedBy>糖芯</cp:lastModifiedBy>
  <cp:lastPrinted>2020-12-31T01:47:00Z</cp:lastPrinted>
  <dcterms:modified xsi:type="dcterms:W3CDTF">2025-12-04T07:49:43Z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2052-12.1.0.22529</vt:lpwstr>
  </property>
  <property fmtid="{D5CDD505-2E9C-101B-9397-08002B2CF9AE}" pid="4" name="ICV">
    <vt:lpwstr>E6831FEA09F14E69BD4DF38224ABF01C_12</vt:lpwstr>
  </property>
</Properties>
</file>