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CA5EF" w14:textId="77777777" w:rsidR="00B77308" w:rsidRDefault="00B77308" w:rsidP="006C0E4E">
      <w:pPr>
        <w:pStyle w:val="1"/>
        <w:spacing w:beforeLines="0" w:before="0"/>
      </w:pPr>
      <w:bookmarkStart w:id="0" w:name="_Toc14047"/>
      <w:bookmarkStart w:id="1" w:name="_Toc2552"/>
      <w:bookmarkStart w:id="2" w:name="_Toc12146"/>
      <w:bookmarkStart w:id="3" w:name="_Toc6877"/>
      <w:bookmarkStart w:id="4" w:name="_Toc91519941"/>
    </w:p>
    <w:bookmarkEnd w:id="0"/>
    <w:bookmarkEnd w:id="1"/>
    <w:p w14:paraId="47C1CBCD" w14:textId="77777777" w:rsidR="00B77308" w:rsidRDefault="00B77308" w:rsidP="006C0E4E">
      <w:pPr>
        <w:pStyle w:val="1"/>
        <w:spacing w:beforeLines="0" w:before="0"/>
      </w:pPr>
    </w:p>
    <w:p w14:paraId="532F9E3F" w14:textId="77777777" w:rsidR="00B77308" w:rsidRDefault="00B77308" w:rsidP="006C0E4E">
      <w:pPr>
        <w:pStyle w:val="1"/>
        <w:spacing w:beforeLines="0" w:before="0"/>
      </w:pPr>
    </w:p>
    <w:p w14:paraId="4D2958F8" w14:textId="70B46265" w:rsidR="00B77308" w:rsidRDefault="00B77308" w:rsidP="006C0E4E">
      <w:pPr>
        <w:pStyle w:val="1"/>
        <w:spacing w:beforeLines="0" w:before="0"/>
      </w:pPr>
      <w:r>
        <w:rPr>
          <w:rFonts w:hint="eastAsia"/>
        </w:rPr>
        <w:t>临淄区应急管理局</w:t>
      </w:r>
    </w:p>
    <w:p w14:paraId="6501272A" w14:textId="4646F4BD" w:rsidR="006C0E4E" w:rsidRDefault="00B77308" w:rsidP="006C0E4E">
      <w:pPr>
        <w:pStyle w:val="1"/>
        <w:spacing w:beforeLines="0" w:before="0"/>
      </w:pPr>
      <w:bookmarkStart w:id="5" w:name="_Toc23681"/>
      <w:bookmarkStart w:id="6" w:name="_Toc15707"/>
      <w:bookmarkStart w:id="7" w:name="_Toc31286"/>
      <w:r>
        <w:rPr>
          <w:rFonts w:hint="eastAsia"/>
        </w:rPr>
        <w:t>“双随机、一公开”抽查</w:t>
      </w:r>
      <w:bookmarkStart w:id="8" w:name="_Toc10662"/>
      <w:bookmarkStart w:id="9" w:name="_Toc25748"/>
      <w:bookmarkEnd w:id="2"/>
      <w:bookmarkEnd w:id="3"/>
      <w:r>
        <w:rPr>
          <w:rFonts w:hint="eastAsia"/>
        </w:rPr>
        <w:t>工作指引</w:t>
      </w:r>
      <w:bookmarkEnd w:id="4"/>
      <w:bookmarkEnd w:id="5"/>
      <w:bookmarkEnd w:id="6"/>
      <w:bookmarkEnd w:id="7"/>
      <w:bookmarkEnd w:id="8"/>
      <w:bookmarkEnd w:id="9"/>
    </w:p>
    <w:p w14:paraId="784875EF" w14:textId="77777777" w:rsidR="006C0E4E" w:rsidRDefault="006C0E4E" w:rsidP="006C0E4E">
      <w:pPr>
        <w:ind w:firstLineChars="0" w:firstLine="0"/>
        <w:jc w:val="center"/>
        <w:rPr>
          <w:rFonts w:ascii="楷体_GB2312" w:eastAsia="楷体_GB2312" w:hAnsi="楷体_GB2312" w:cs="楷体_GB2312"/>
          <w:szCs w:val="32"/>
        </w:rPr>
      </w:pPr>
      <w:r>
        <w:rPr>
          <w:rFonts w:ascii="楷体_GB2312" w:eastAsia="楷体_GB2312" w:hAnsi="楷体_GB2312" w:cs="楷体_GB2312" w:hint="eastAsia"/>
          <w:szCs w:val="32"/>
        </w:rPr>
        <w:t>总  述</w:t>
      </w:r>
    </w:p>
    <w:p w14:paraId="0EE13F73" w14:textId="77777777" w:rsidR="006C0E4E" w:rsidRDefault="006C0E4E" w:rsidP="006C0E4E">
      <w:pPr>
        <w:ind w:firstLine="640"/>
      </w:pPr>
    </w:p>
    <w:p w14:paraId="724BC85C" w14:textId="77777777" w:rsidR="006C0E4E" w:rsidRDefault="006C0E4E" w:rsidP="006C0E4E">
      <w:pPr>
        <w:ind w:firstLine="640"/>
      </w:pPr>
      <w:r>
        <w:rPr>
          <w:rFonts w:hint="eastAsia"/>
        </w:rPr>
        <w:t>本工作指引适用于使用省“双随机、一公开”监管工作平台对《山东省“双随机、一公开”抽查事项清单（</w:t>
      </w:r>
      <w:r>
        <w:rPr>
          <w:rFonts w:hint="eastAsia"/>
        </w:rPr>
        <w:t>2021</w:t>
      </w:r>
      <w:r>
        <w:rPr>
          <w:rFonts w:hint="eastAsia"/>
        </w:rPr>
        <w:t>年版）》所列的应急管理系统各抽查事项进行实地核查。</w:t>
      </w:r>
    </w:p>
    <w:p w14:paraId="60526A5B" w14:textId="77777777" w:rsidR="006C0E4E" w:rsidRDefault="006C0E4E" w:rsidP="006C0E4E">
      <w:pPr>
        <w:ind w:firstLine="640"/>
      </w:pPr>
      <w:r>
        <w:rPr>
          <w:rFonts w:hint="eastAsia"/>
        </w:rPr>
        <w:t>本工作指引适用于生产经营单位、安全生产评价检测检验机构、安全生产培训机构以及注册安全工程师等各类检查对象。</w:t>
      </w:r>
    </w:p>
    <w:p w14:paraId="54C7057E" w14:textId="77777777" w:rsidR="006C0E4E" w:rsidRDefault="006C0E4E" w:rsidP="006C0E4E">
      <w:pPr>
        <w:ind w:firstLine="640"/>
      </w:pPr>
      <w:r>
        <w:rPr>
          <w:rFonts w:hint="eastAsia"/>
        </w:rPr>
        <w:t>实地核查应结合山东省安全生产移动执法系统，按照行政执法法定程序开展。</w:t>
      </w:r>
    </w:p>
    <w:p w14:paraId="722A83D8" w14:textId="77777777" w:rsidR="006C0E4E" w:rsidRDefault="006C0E4E" w:rsidP="006C0E4E">
      <w:pPr>
        <w:pStyle w:val="Bodytext1"/>
        <w:snapToGrid w:val="0"/>
        <w:spacing w:line="560" w:lineRule="exact"/>
        <w:ind w:firstLine="640"/>
        <w:rPr>
          <w:rFonts w:ascii="仿宋_GB2312" w:hAnsi="仿宋_GB2312"/>
          <w:color w:val="000000"/>
          <w:sz w:val="32"/>
          <w:szCs w:val="32"/>
          <w:lang w:val="en-US"/>
        </w:rPr>
      </w:pPr>
      <w:r>
        <w:rPr>
          <w:rFonts w:eastAsia="黑体" w:cs="黑体" w:hint="eastAsia"/>
          <w:color w:val="000000"/>
          <w:sz w:val="32"/>
          <w:szCs w:val="32"/>
          <w:lang w:val="en-US"/>
        </w:rPr>
        <w:t>一、前期准备</w:t>
      </w:r>
    </w:p>
    <w:p w14:paraId="6410E3D6" w14:textId="77777777" w:rsidR="006C0E4E" w:rsidRDefault="006C0E4E" w:rsidP="006C0E4E">
      <w:pPr>
        <w:ind w:firstLine="640"/>
      </w:pPr>
      <w:r>
        <w:rPr>
          <w:rFonts w:hint="eastAsia"/>
        </w:rPr>
        <w:t>实地核查前，可根据需要查阅企业登记、备案、行政许可、行政处罚等基本信息，或委托第三方机构、数据公司，通过信息化手段进行事先检索，初步了解企业可能存在的问题等，提高检查效率。</w:t>
      </w:r>
    </w:p>
    <w:p w14:paraId="77017802" w14:textId="77777777" w:rsidR="006C0E4E" w:rsidRDefault="006C0E4E" w:rsidP="006C0E4E">
      <w:pPr>
        <w:ind w:firstLine="640"/>
      </w:pPr>
      <w:r>
        <w:rPr>
          <w:rFonts w:hint="eastAsia"/>
        </w:rPr>
        <w:t>在开展</w:t>
      </w:r>
      <w:r>
        <w:rPr>
          <w:rFonts w:ascii="仿宋_GB2312" w:hAnsi="仿宋_GB2312" w:cs="仿宋_GB2312" w:hint="eastAsia"/>
          <w:szCs w:val="32"/>
        </w:rPr>
        <w:t>“双随机、一公开”</w:t>
      </w:r>
      <w:r>
        <w:rPr>
          <w:rFonts w:hint="eastAsia"/>
        </w:rPr>
        <w:t>监管工作时，要根据企业信用风险分类结果，合理确定、动态调整抽查比例和频次，实施差异化监管。对</w:t>
      </w:r>
      <w:r>
        <w:rPr>
          <w:rFonts w:hint="eastAsia"/>
        </w:rPr>
        <w:t>A</w:t>
      </w:r>
      <w:r>
        <w:rPr>
          <w:rFonts w:hint="eastAsia"/>
        </w:rPr>
        <w:t>类企业，可合理降低抽查比例和频次，除投诉举报、大数据监测发现问题、转办交办案件线索及法</w:t>
      </w:r>
      <w:r>
        <w:rPr>
          <w:rFonts w:hint="eastAsia"/>
        </w:rPr>
        <w:lastRenderedPageBreak/>
        <w:t>律法规另有规定外，根据实际情况可不主动实施现场检查，实现“无事不扰”；对</w:t>
      </w:r>
      <w:r>
        <w:rPr>
          <w:rFonts w:hint="eastAsia"/>
        </w:rPr>
        <w:t>B</w:t>
      </w:r>
      <w:r>
        <w:rPr>
          <w:rFonts w:hint="eastAsia"/>
        </w:rPr>
        <w:t>类企业，按常规比例和频次开展抽查；对</w:t>
      </w:r>
      <w:r>
        <w:rPr>
          <w:rFonts w:hint="eastAsia"/>
        </w:rPr>
        <w:t>C</w:t>
      </w:r>
      <w:r>
        <w:rPr>
          <w:rFonts w:hint="eastAsia"/>
        </w:rPr>
        <w:t>类企业，实行重点关注，适当提高抽查比例和频次；对</w:t>
      </w:r>
      <w:r>
        <w:rPr>
          <w:rFonts w:hint="eastAsia"/>
        </w:rPr>
        <w:t>D</w:t>
      </w:r>
      <w:r>
        <w:rPr>
          <w:rFonts w:hint="eastAsia"/>
        </w:rPr>
        <w:t>类企业，实行严格监管，有针对性地大幅提高抽查比例和频次，必要时主动实施现场检查。</w:t>
      </w:r>
    </w:p>
    <w:p w14:paraId="0E65DAD1" w14:textId="77777777" w:rsidR="006C0E4E" w:rsidRDefault="006C0E4E" w:rsidP="006C0E4E">
      <w:pPr>
        <w:pStyle w:val="Bodytext1"/>
        <w:snapToGrid w:val="0"/>
        <w:spacing w:line="560" w:lineRule="exact"/>
        <w:ind w:firstLine="640"/>
        <w:rPr>
          <w:rFonts w:eastAsia="黑体" w:cs="黑体"/>
          <w:color w:val="000000"/>
          <w:sz w:val="32"/>
          <w:szCs w:val="32"/>
          <w:lang w:val="en-US"/>
        </w:rPr>
      </w:pPr>
      <w:r>
        <w:rPr>
          <w:rFonts w:eastAsia="黑体" w:cs="黑体" w:hint="eastAsia"/>
          <w:color w:val="000000"/>
          <w:sz w:val="32"/>
          <w:szCs w:val="32"/>
          <w:lang w:val="en-US"/>
        </w:rPr>
        <w:t>二、实地核查</w:t>
      </w:r>
    </w:p>
    <w:p w14:paraId="74884197" w14:textId="77777777" w:rsidR="006C0E4E" w:rsidRDefault="006C0E4E" w:rsidP="006C0E4E">
      <w:pPr>
        <w:ind w:firstLine="640"/>
      </w:pPr>
      <w:r>
        <w:rPr>
          <w:rFonts w:hint="eastAsia"/>
        </w:rPr>
        <w:t>实地核查人员不得少于两人，并应当出示执法证件。在核查中，应当按照《山东省行政执法全过程记录办法》的规定，通过文字记录、音像记录、签字确认、集中归档等方式，实行检查前、检查中、检查后全过程记录，必要时可邀请相关人员作为见证人。</w:t>
      </w:r>
    </w:p>
    <w:p w14:paraId="2A492A81" w14:textId="77777777" w:rsidR="006C0E4E" w:rsidRDefault="006C0E4E" w:rsidP="006C0E4E">
      <w:pPr>
        <w:pStyle w:val="Bodytext1"/>
        <w:snapToGrid w:val="0"/>
        <w:spacing w:line="560" w:lineRule="exact"/>
        <w:ind w:firstLine="640"/>
        <w:rPr>
          <w:rFonts w:eastAsia="黑体" w:cs="黑体"/>
          <w:color w:val="000000"/>
          <w:sz w:val="32"/>
          <w:szCs w:val="32"/>
          <w:lang w:val="en-US"/>
        </w:rPr>
      </w:pPr>
      <w:r>
        <w:rPr>
          <w:rFonts w:eastAsia="黑体" w:cs="黑体" w:hint="eastAsia"/>
          <w:color w:val="000000"/>
          <w:sz w:val="32"/>
          <w:szCs w:val="32"/>
          <w:lang w:val="en-US"/>
        </w:rPr>
        <w:t>三、结果公示</w:t>
      </w:r>
    </w:p>
    <w:p w14:paraId="53F05906" w14:textId="77777777" w:rsidR="006C0E4E" w:rsidRDefault="006C0E4E" w:rsidP="006C0E4E">
      <w:pPr>
        <w:ind w:firstLine="640"/>
      </w:pPr>
      <w:r>
        <w:rPr>
          <w:rFonts w:hint="eastAsia"/>
        </w:rPr>
        <w:t>检查结果应当在抽查检查完成之日起</w:t>
      </w:r>
      <w:r>
        <w:rPr>
          <w:rFonts w:hint="eastAsia"/>
        </w:rPr>
        <w:t>20</w:t>
      </w:r>
      <w:r>
        <w:rPr>
          <w:rFonts w:hint="eastAsia"/>
        </w:rPr>
        <w:t>个工作日内，履行审批程序，通过国家企业信用信息公示系统记于企业名下并向社会公示。已实施检查但未公示的，视为未完成此次抽查。</w:t>
      </w:r>
    </w:p>
    <w:p w14:paraId="469423EE" w14:textId="77777777" w:rsidR="006C0E4E" w:rsidRDefault="006C0E4E" w:rsidP="006C0E4E">
      <w:pPr>
        <w:ind w:firstLine="640"/>
      </w:pPr>
      <w:r>
        <w:rPr>
          <w:rFonts w:hint="eastAsia"/>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14:paraId="3C3338C1" w14:textId="77777777" w:rsidR="006C0E4E" w:rsidRDefault="006C0E4E" w:rsidP="006C0E4E">
      <w:pPr>
        <w:ind w:firstLine="640"/>
      </w:pPr>
      <w:r>
        <w:rPr>
          <w:rFonts w:hint="eastAsia"/>
        </w:rPr>
        <w:t>（一）通过对此次抽查所匹配的抽查事项的检查，未发现违反本指引所列法律法规的，可认定为“未发现问题”。</w:t>
      </w:r>
    </w:p>
    <w:p w14:paraId="14150F0B" w14:textId="77777777" w:rsidR="006C0E4E" w:rsidRDefault="006C0E4E" w:rsidP="006C0E4E">
      <w:pPr>
        <w:ind w:firstLine="640"/>
      </w:pPr>
      <w:r>
        <w:rPr>
          <w:rFonts w:hint="eastAsia"/>
        </w:rPr>
        <w:lastRenderedPageBreak/>
        <w:t>（二）本系统抽查事项不涉及“未按规定公示应当公示的信息”、“公示信息隐瞒真实情况弄虚作假”、“通过登记的住所（经营场所）无法联系”三个类型结果。</w:t>
      </w:r>
    </w:p>
    <w:p w14:paraId="06EEE50D" w14:textId="77777777" w:rsidR="006C0E4E" w:rsidRDefault="006C0E4E" w:rsidP="006C0E4E">
      <w:pPr>
        <w:ind w:firstLine="640"/>
      </w:pPr>
      <w:r>
        <w:rPr>
          <w:rFonts w:hint="eastAsia"/>
        </w:rPr>
        <w:t>（三）对检查发现的违反本指引所列法律法规的行为，通过指导、提示、告诫等方式要求企业当场改正，且已当场改正的，可认定为“发现问题已责令改正”。</w:t>
      </w:r>
    </w:p>
    <w:p w14:paraId="15D5E536" w14:textId="77777777" w:rsidR="006C0E4E" w:rsidRDefault="006C0E4E" w:rsidP="006C0E4E">
      <w:pPr>
        <w:ind w:firstLine="640"/>
      </w:pPr>
      <w:r>
        <w:rPr>
          <w:rFonts w:hint="eastAsia"/>
        </w:rPr>
        <w:t>（四）有以下情形之一的，可认定为“不配合检查情节严重”：</w:t>
      </w:r>
    </w:p>
    <w:p w14:paraId="49C71904" w14:textId="77777777" w:rsidR="006C0E4E" w:rsidRDefault="006C0E4E" w:rsidP="006C0E4E">
      <w:pPr>
        <w:ind w:firstLine="640"/>
      </w:pPr>
      <w:r>
        <w:rPr>
          <w:rFonts w:hint="eastAsia"/>
        </w:rPr>
        <w:t>1.</w:t>
      </w:r>
      <w:r>
        <w:rPr>
          <w:rFonts w:hint="eastAsia"/>
        </w:rPr>
        <w:t>拒绝检查人员或其委托的专业机构进入被检查场所的；</w:t>
      </w:r>
    </w:p>
    <w:p w14:paraId="76178478" w14:textId="77777777" w:rsidR="006C0E4E" w:rsidRDefault="006C0E4E" w:rsidP="006C0E4E">
      <w:pPr>
        <w:ind w:firstLine="640"/>
      </w:pPr>
      <w:r>
        <w:rPr>
          <w:rFonts w:hint="eastAsia"/>
        </w:rPr>
        <w:t>2.</w:t>
      </w:r>
      <w:r>
        <w:rPr>
          <w:rFonts w:hint="eastAsia"/>
        </w:rPr>
        <w:t>拒绝向检查人员或其委托的专业机构提供相关材料的；</w:t>
      </w:r>
    </w:p>
    <w:p w14:paraId="7F41DD83" w14:textId="77777777" w:rsidR="006C0E4E" w:rsidRDefault="006C0E4E" w:rsidP="006C0E4E">
      <w:pPr>
        <w:ind w:firstLine="640"/>
      </w:pPr>
      <w:r>
        <w:rPr>
          <w:rFonts w:hint="eastAsia"/>
        </w:rPr>
        <w:t>3.</w:t>
      </w:r>
      <w:r>
        <w:rPr>
          <w:rFonts w:hint="eastAsia"/>
        </w:rPr>
        <w:t>其他阻扰、妨碍检查工作的行为，致使检查工作无法正常进行的。</w:t>
      </w:r>
    </w:p>
    <w:p w14:paraId="1CDBD66A" w14:textId="77777777" w:rsidR="006C0E4E" w:rsidRDefault="006C0E4E" w:rsidP="006C0E4E">
      <w:pPr>
        <w:ind w:firstLine="640"/>
      </w:pPr>
      <w:r>
        <w:rPr>
          <w:rFonts w:hint="eastAsia"/>
        </w:rPr>
        <w:t>（五）未发现企业从事本次抽查匹配的抽查事项，并经企业书面承诺的，可认定为“未发现开展本次抽查涉及的经营活动”。</w:t>
      </w:r>
    </w:p>
    <w:p w14:paraId="38BD62AC" w14:textId="77777777" w:rsidR="006C0E4E" w:rsidRDefault="006C0E4E" w:rsidP="006C0E4E">
      <w:pPr>
        <w:ind w:firstLine="640"/>
      </w:pPr>
      <w:r>
        <w:rPr>
          <w:rFonts w:hint="eastAsia"/>
        </w:rPr>
        <w:t>（六）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547F22DF" w14:textId="77777777" w:rsidR="006C0E4E" w:rsidRDefault="006C0E4E" w:rsidP="006C0E4E">
      <w:pPr>
        <w:pStyle w:val="TOC1"/>
        <w:ind w:firstLine="640"/>
      </w:pPr>
    </w:p>
    <w:p w14:paraId="2C699C4E"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t>第一章   对非煤矿山企业的监督检查   工作指引</w:t>
      </w:r>
    </w:p>
    <w:p w14:paraId="6A9E2743"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lastRenderedPageBreak/>
        <w:t>一、抽查事项</w:t>
      </w:r>
    </w:p>
    <w:p w14:paraId="505527C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对金属、非金属地下矿山安全生产情况的行政检查</w:t>
      </w:r>
    </w:p>
    <w:p w14:paraId="6DE2FEF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385C1A2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（一）矿山企业相关证照情况</w:t>
      </w:r>
    </w:p>
    <w:p w14:paraId="40633A1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1.是否取得安全生产许可证；</w:t>
      </w:r>
    </w:p>
    <w:p w14:paraId="39B8062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2.安全生产许可证是否按规定延期；</w:t>
      </w:r>
    </w:p>
    <w:p w14:paraId="63D0EDC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3.采矿许可证失效，被暂扣、撤销、吊销、和注销的，安全安全生产许可证是否按规定交回；</w:t>
      </w:r>
    </w:p>
    <w:p w14:paraId="613F669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4.安全生产许可证是否按规定变更；</w:t>
      </w:r>
    </w:p>
    <w:p w14:paraId="5850045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5.是否存在转让、冒用安全生产许可证或者使用伪造的安全生产许可证问题。</w:t>
      </w:r>
    </w:p>
    <w:p w14:paraId="10C2D0F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（二）建设项目安全“三同时”情况</w:t>
      </w:r>
    </w:p>
    <w:p w14:paraId="1CD6CA3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1.是否按照规定对矿山建设项目进行安全评价；</w:t>
      </w:r>
    </w:p>
    <w:p w14:paraId="7718E5A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2.矿山建设项目是否有安全设施设计或者安全设施设计是否按照规定报经有关部门审查同意；</w:t>
      </w:r>
    </w:p>
    <w:p w14:paraId="112EA4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3.矿山建设项目的施工单位是否按照批准的安全设施设计施工；</w:t>
      </w:r>
    </w:p>
    <w:p w14:paraId="4577757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4.矿山建设项目竣工投入生产或者使用前，安全设施是否经验收合格；</w:t>
      </w:r>
    </w:p>
    <w:p w14:paraId="12E360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5.已经批准的建设项目安全设施设计发生重大变更，是否存在生产经营单位未报原批准部门审查同意擅自开工建设的问题。</w:t>
      </w:r>
    </w:p>
    <w:p w14:paraId="37F44705"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（三）安全基础管理情况</w:t>
      </w:r>
    </w:p>
    <w:p w14:paraId="31555AF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1.建立健全本单位安全生产责任制情况；</w:t>
      </w:r>
    </w:p>
    <w:p w14:paraId="3290836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2.制定安全生产规章制度和操作规程情况；</w:t>
      </w:r>
    </w:p>
    <w:p w14:paraId="6D0D40E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3.安全生产管理机构设置或者专职安全生产管理人员配备情况；</w:t>
      </w:r>
    </w:p>
    <w:p w14:paraId="307F08B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4.注册安全工程师配备情况；</w:t>
      </w:r>
    </w:p>
    <w:p w14:paraId="147E8D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5.安全总监设置情况；</w:t>
      </w:r>
    </w:p>
    <w:p w14:paraId="5600AD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6.主要负责人和安全生产管理人员参加安全培训考核情况；</w:t>
      </w:r>
    </w:p>
    <w:p w14:paraId="730BF2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7.特种作业人员经专门的安全作业培训并取得相应资格、上岗作业情况，特种作业人员档案建立情况；</w:t>
      </w:r>
    </w:p>
    <w:p w14:paraId="2C67745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8.从业人员、被派遣劳动者、实习学生安全生产教育和培训情况；</w:t>
      </w:r>
    </w:p>
    <w:p w14:paraId="17E5DD8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9.如实记录安全生产教育和培训情况；</w:t>
      </w:r>
    </w:p>
    <w:p w14:paraId="6870744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10.应急管理情况：①是否按照规定制定事故应急预案；②事故应急预案演练情况；③是否按照规定进行应急预案备案；④在应急预案编制前是否按照规定开展风险辨识、评估和应急资源调查；⑤是否按照规定开展应急预案评审；⑥事故风险可能影响周边单位、人员的，是否将事故风险的性质、影响范围和应急防范措施告知周边单位和人员；</w:t>
      </w:r>
      <w:r>
        <w:rPr>
          <w:rFonts w:ascii="仿宋_GB2312" w:hAnsi="仿宋_GB2312" w:hint="eastAsia"/>
          <w:color w:val="000000"/>
          <w:sz w:val="32"/>
          <w:szCs w:val="32"/>
          <w:lang w:val="en-US"/>
        </w:rPr>
        <w:fldChar w:fldCharType="begin"/>
      </w:r>
      <w:r>
        <w:rPr>
          <w:rFonts w:ascii="仿宋_GB2312" w:hAnsi="仿宋_GB2312" w:hint="eastAsia"/>
          <w:color w:val="000000"/>
          <w:sz w:val="32"/>
          <w:szCs w:val="32"/>
          <w:lang w:val="en-US"/>
        </w:rPr>
        <w:instrText xml:space="preserve"> = 7 \* GB3 </w:instrText>
      </w:r>
      <w:r>
        <w:rPr>
          <w:rFonts w:ascii="仿宋_GB2312" w:hAnsi="仿宋_GB2312" w:hint="eastAsia"/>
          <w:color w:val="000000"/>
          <w:sz w:val="32"/>
          <w:szCs w:val="32"/>
          <w:lang w:val="en-US"/>
        </w:rPr>
        <w:fldChar w:fldCharType="separate"/>
      </w:r>
      <w:r>
        <w:rPr>
          <w:rFonts w:ascii="仿宋_GB2312" w:hAnsi="仿宋_GB2312" w:hint="eastAsia"/>
          <w:color w:val="000000"/>
          <w:sz w:val="32"/>
          <w:szCs w:val="32"/>
          <w:lang w:val="en-US"/>
        </w:rPr>
        <w:t>⑦</w:t>
      </w:r>
      <w:r>
        <w:rPr>
          <w:rFonts w:ascii="仿宋_GB2312" w:hAnsi="仿宋_GB2312" w:hint="eastAsia"/>
          <w:color w:val="000000"/>
          <w:sz w:val="32"/>
          <w:szCs w:val="32"/>
          <w:lang w:val="en-US"/>
        </w:rPr>
        <w:fldChar w:fldCharType="end"/>
      </w:r>
      <w:r>
        <w:rPr>
          <w:rFonts w:ascii="仿宋_GB2312" w:hAnsi="仿宋_GB2312" w:hint="eastAsia"/>
          <w:color w:val="000000"/>
          <w:sz w:val="32"/>
          <w:szCs w:val="32"/>
          <w:lang w:val="en-US"/>
        </w:rPr>
        <w:t>是否按照规定开展应急预案评估；</w:t>
      </w:r>
      <w:r>
        <w:rPr>
          <w:rFonts w:ascii="仿宋_GB2312" w:hAnsi="仿宋_GB2312" w:hint="eastAsia"/>
          <w:color w:val="000000"/>
          <w:sz w:val="32"/>
          <w:szCs w:val="32"/>
          <w:lang w:val="en-US"/>
        </w:rPr>
        <w:fldChar w:fldCharType="begin"/>
      </w:r>
      <w:r>
        <w:rPr>
          <w:rFonts w:ascii="仿宋_GB2312" w:hAnsi="仿宋_GB2312" w:hint="eastAsia"/>
          <w:color w:val="000000"/>
          <w:sz w:val="32"/>
          <w:szCs w:val="32"/>
          <w:lang w:val="en-US"/>
        </w:rPr>
        <w:instrText xml:space="preserve"> = 8 \* GB3 </w:instrText>
      </w:r>
      <w:r>
        <w:rPr>
          <w:rFonts w:ascii="仿宋_GB2312" w:hAnsi="仿宋_GB2312" w:hint="eastAsia"/>
          <w:color w:val="000000"/>
          <w:sz w:val="32"/>
          <w:szCs w:val="32"/>
          <w:lang w:val="en-US"/>
        </w:rPr>
        <w:fldChar w:fldCharType="separate"/>
      </w:r>
      <w:r>
        <w:rPr>
          <w:rFonts w:ascii="仿宋_GB2312" w:hAnsi="仿宋_GB2312" w:hint="eastAsia"/>
          <w:color w:val="000000"/>
          <w:sz w:val="32"/>
          <w:szCs w:val="32"/>
          <w:lang w:val="en-US"/>
        </w:rPr>
        <w:t>⑧</w:t>
      </w:r>
      <w:r>
        <w:rPr>
          <w:rFonts w:ascii="仿宋_GB2312" w:hAnsi="仿宋_GB2312" w:hint="eastAsia"/>
          <w:color w:val="000000"/>
          <w:sz w:val="32"/>
          <w:szCs w:val="32"/>
          <w:lang w:val="en-US"/>
        </w:rPr>
        <w:fldChar w:fldCharType="end"/>
      </w:r>
      <w:r>
        <w:rPr>
          <w:rFonts w:ascii="仿宋_GB2312" w:hAnsi="仿宋_GB2312" w:hint="eastAsia"/>
          <w:color w:val="000000"/>
          <w:sz w:val="32"/>
          <w:szCs w:val="32"/>
          <w:lang w:val="en-US"/>
        </w:rPr>
        <w:t>是否按照规定进行应急预案修订；</w:t>
      </w:r>
      <w:r>
        <w:rPr>
          <w:rFonts w:ascii="仿宋_GB2312" w:hAnsi="仿宋_GB2312" w:hint="eastAsia"/>
          <w:color w:val="000000"/>
          <w:sz w:val="32"/>
          <w:szCs w:val="32"/>
          <w:lang w:val="en-US"/>
        </w:rPr>
        <w:fldChar w:fldCharType="begin"/>
      </w:r>
      <w:r>
        <w:rPr>
          <w:rFonts w:ascii="仿宋_GB2312" w:hAnsi="仿宋_GB2312" w:hint="eastAsia"/>
          <w:color w:val="000000"/>
          <w:sz w:val="32"/>
          <w:szCs w:val="32"/>
          <w:lang w:val="en-US"/>
        </w:rPr>
        <w:instrText xml:space="preserve"> = 9 \* GB3 </w:instrText>
      </w:r>
      <w:r>
        <w:rPr>
          <w:rFonts w:ascii="仿宋_GB2312" w:hAnsi="仿宋_GB2312" w:hint="eastAsia"/>
          <w:color w:val="000000"/>
          <w:sz w:val="32"/>
          <w:szCs w:val="32"/>
          <w:lang w:val="en-US"/>
        </w:rPr>
        <w:fldChar w:fldCharType="separate"/>
      </w:r>
      <w:r>
        <w:rPr>
          <w:rFonts w:ascii="仿宋_GB2312" w:hAnsi="仿宋_GB2312" w:hint="eastAsia"/>
          <w:color w:val="000000"/>
          <w:sz w:val="32"/>
          <w:szCs w:val="32"/>
          <w:lang w:val="en-US"/>
        </w:rPr>
        <w:t>⑨</w:t>
      </w:r>
      <w:r>
        <w:rPr>
          <w:rFonts w:ascii="仿宋_GB2312" w:hAnsi="仿宋_GB2312" w:hint="eastAsia"/>
          <w:color w:val="000000"/>
          <w:sz w:val="32"/>
          <w:szCs w:val="32"/>
          <w:lang w:val="en-US"/>
        </w:rPr>
        <w:fldChar w:fldCharType="end"/>
      </w:r>
      <w:r>
        <w:rPr>
          <w:rFonts w:ascii="仿宋_GB2312" w:hAnsi="仿宋_GB2312" w:hint="eastAsia"/>
          <w:color w:val="000000"/>
          <w:sz w:val="32"/>
          <w:szCs w:val="32"/>
          <w:lang w:val="en-US"/>
        </w:rPr>
        <w:t>是否落实应急预案规定的应急物资及装备。</w:t>
      </w:r>
    </w:p>
    <w:p w14:paraId="3D29F21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11.安全生产费用提取和使用管理和安全生产责任保险缴纳情况；</w:t>
      </w:r>
    </w:p>
    <w:p w14:paraId="0D39CAA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12.劳动防护用品配备情况。</w:t>
      </w:r>
    </w:p>
    <w:p w14:paraId="7D1F4DA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（四）现场安全管理情况</w:t>
      </w:r>
    </w:p>
    <w:p w14:paraId="34F26D8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1.安全出口（地表、每个生产水平、每个采区）是否符合国家标准、行业标准或设计要求；</w:t>
      </w:r>
    </w:p>
    <w:p w14:paraId="5360FC6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2.机械通风系统建立及运行情况；</w:t>
      </w:r>
    </w:p>
    <w:p w14:paraId="4AC0013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3.自救器和便携式气体检测仪配备情况；</w:t>
      </w:r>
    </w:p>
    <w:p w14:paraId="42FC6AB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4.井下人员定位系统运行情况；</w:t>
      </w:r>
    </w:p>
    <w:p w14:paraId="689785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5.顶板监测管控和采空区普查治理监测情况；</w:t>
      </w:r>
    </w:p>
    <w:p w14:paraId="17E9DCE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6.井下探放水制度落实、水害隐患治理情况；</w:t>
      </w:r>
    </w:p>
    <w:p w14:paraId="01CCCD2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7.提升设备定期检测检验情况；</w:t>
      </w:r>
    </w:p>
    <w:p w14:paraId="28E8453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8.淘汰危及安全生产工艺设备情况；</w:t>
      </w:r>
    </w:p>
    <w:p w14:paraId="71B316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图纸是否齐全及更新情况（矿区地形地质和水文地质图；井上、下对照图；中段平面图；通风系统图；提升运输系统图；风、水管网系统图；充填系统图；井下通讯系统图；井上、下配电系统图；井下电气设备布置图；井下避灾路线图）。</w:t>
      </w:r>
    </w:p>
    <w:p w14:paraId="7E6DA2AE"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（五）安全风险分级管控和隐患排查治理体系运行情况</w:t>
      </w:r>
    </w:p>
    <w:p w14:paraId="4F06F6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1.是否建立健全安全生产风险分级管控制度；</w:t>
      </w:r>
    </w:p>
    <w:p w14:paraId="59333D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2.是否按照规定对从业人员进行安全生产风险教育培训；</w:t>
      </w:r>
    </w:p>
    <w:p w14:paraId="1DC0616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3.是否建立健全并落实生产安全事故隐患排查治理制度。</w:t>
      </w:r>
    </w:p>
    <w:p w14:paraId="7865F1B3"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三、检查方法</w:t>
      </w:r>
    </w:p>
    <w:p w14:paraId="79F66A3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D54D7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3AEBADBB"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w:t>
      </w:r>
      <w:r>
        <w:rPr>
          <w:rFonts w:ascii="楷体_GB2312" w:eastAsia="楷体_GB2312" w:hAnsi="楷体_GB2312" w:cs="楷体_GB2312" w:hint="eastAsia"/>
          <w:color w:val="000000"/>
          <w:sz w:val="32"/>
          <w:szCs w:val="32"/>
          <w:lang w:val="en-US"/>
        </w:rPr>
        <w:lastRenderedPageBreak/>
        <w:t>8月27日第一次修正，2014年8月31日第二次修正，2021年6月10日第三次修正）</w:t>
      </w:r>
    </w:p>
    <w:p w14:paraId="7E74BF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生产经营单位的主要负责人对本单位安全生产工作负有下列职责:</w:t>
      </w:r>
    </w:p>
    <w:p w14:paraId="5FE9C9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（一）建立健全并落实本单位全员安全生产责任制，加强安全生产标准化建设；</w:t>
      </w:r>
    </w:p>
    <w:p w14:paraId="26EBDC6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（二）组织制定并实施本单位安全生产规章制度和操作规程；</w:t>
      </w:r>
    </w:p>
    <w:p w14:paraId="417419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（三）组织制定并实施本单位安全生产教育和培训计划；</w:t>
      </w:r>
    </w:p>
    <w:p w14:paraId="1E110C1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（四）保证本单位安全生产投入的有效实施；</w:t>
      </w:r>
    </w:p>
    <w:p w14:paraId="0F09181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（五）组织建立并落实安全风险分级管控和隐患排查治理双重预防工作机制，督促、检查本单位的安全生产工作，及时消除生产安全事故隐患；</w:t>
      </w:r>
    </w:p>
    <w:p w14:paraId="6AEEB08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（六）组织制定并实施本单位的生产安全事故应急救援预案；</w:t>
      </w:r>
    </w:p>
    <w:p w14:paraId="61F71A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（七）及时、如实报告生产安全事故。</w:t>
      </w:r>
    </w:p>
    <w:p w14:paraId="5FBC1EC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第二十七条 生产经营单位的主要负责人和安全生产管理人员必须具备与本单位所从事的生产经营活动相应的安全生产知识和管理能力。</w:t>
      </w:r>
    </w:p>
    <w:p w14:paraId="4EF6B2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危险物品的生产、经营、储存、装卸单位以及矿山、金属冶炼、建筑施工、运输单位的主要负责人和安全生产管理人员，应当由主管的负有安全生产监督管理职责的部门对其安全生产知识和管理能力考核合格。</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6931A1F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危险物品的生产、储存、装卸单位以及矿山、金属冶炼</w:t>
      </w:r>
      <w:r>
        <w:rPr>
          <w:rFonts w:ascii="仿宋_GB2312" w:hAnsi="仿宋_GB2312" w:hint="eastAsia"/>
          <w:color w:val="000000"/>
          <w:sz w:val="32"/>
          <w:szCs w:val="32"/>
          <w:lang w:val="en-US"/>
        </w:rPr>
        <w:lastRenderedPageBreak/>
        <w:t>单位应当有注册安全工程师从事安全生产管理工作。</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30204C8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第三十二条 矿山、金属冶炼建设项目和用于生产、储存、装卸危险物品的建设项目，应当按照国家有关规定进行安全评价。</w:t>
      </w:r>
    </w:p>
    <w:p w14:paraId="6224231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第三十三条 建设项目安全设施的设计人、设计单位应当对安全设施设计负责。</w:t>
      </w:r>
    </w:p>
    <w:p w14:paraId="1F6414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矿山、金属冶炼建设项目和用于生产、储存、装卸危险物品的建设项目的安全设施设计应当按照国家有关规定报经有关部门审查，审查部门及其负责审查的人员对审查结果负责。</w:t>
      </w:r>
    </w:p>
    <w:p w14:paraId="5D71AF2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第三十四条 矿山、金属冶炼建设项目和用于生产、储存、装卸危险物品的建设项目的施工单位必须按照批准的安全设施设计施工，并对安全设施的工程质量负责。</w:t>
      </w:r>
    </w:p>
    <w:p w14:paraId="6D5A80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43FBEF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第四十一条 生产经营单位应当建立安全风险分级管控制度，按照安全风险分级采取相应的管控措施。</w:t>
      </w:r>
    </w:p>
    <w:p w14:paraId="330F335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生产经营单位应当建立健全并落实生产安全事故隐患，排查治理制度，采取技术、管理措施，及时发现并消除事故隐患。</w:t>
      </w:r>
    </w:p>
    <w:p w14:paraId="6930A9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w:t>
      </w:r>
      <w:r>
        <w:rPr>
          <w:rFonts w:ascii="仿宋_GB2312" w:hAnsi="仿宋_GB2312" w:hint="eastAsia"/>
          <w:color w:val="000000"/>
          <w:sz w:val="32"/>
          <w:szCs w:val="32"/>
          <w:lang w:val="en-US"/>
        </w:rPr>
        <w:lastRenderedPageBreak/>
        <w:t>管理职责的部门依法开展安全生产行政执法工作，对生产经营单位执行有关安全生产的法律、法规和国家标准或者行业标准的情况进行监督检查，行使以下职权:</w:t>
      </w:r>
    </w:p>
    <w:p w14:paraId="0AF4D5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6DA8A94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7A7286E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6AED0E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B90ADD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086A0A58" w14:textId="77777777" w:rsidR="006C0E4E" w:rsidRDefault="006C0E4E" w:rsidP="006C0E4E">
      <w:pPr>
        <w:widowControl/>
        <w:numPr>
          <w:ilvl w:val="0"/>
          <w:numId w:val="15"/>
        </w:numPr>
        <w:shd w:val="clear" w:color="auto" w:fill="FFFFFF"/>
        <w:ind w:firstLine="640"/>
        <w:jc w:val="left"/>
        <w:rPr>
          <w:rFonts w:ascii="仿宋_GB2312" w:hAnsi="仿宋_GB2312"/>
          <w:color w:val="000000"/>
          <w:szCs w:val="32"/>
        </w:rPr>
      </w:pPr>
      <w:r>
        <w:rPr>
          <w:rFonts w:ascii="楷体_GB2312" w:eastAsia="楷体_GB2312" w:hAnsi="楷体_GB2312" w:cs="楷体_GB2312" w:hint="eastAsia"/>
          <w:color w:val="000000"/>
          <w:szCs w:val="32"/>
        </w:rPr>
        <w:t>《矿山安全法》（ 1992 年 11月7日通过，2009年8月 27 日修正）</w:t>
      </w:r>
    </w:p>
    <w:p w14:paraId="671B8165" w14:textId="77777777" w:rsidR="006C0E4E" w:rsidRDefault="006C0E4E" w:rsidP="006C0E4E">
      <w:pPr>
        <w:widowControl/>
        <w:shd w:val="clear" w:color="auto" w:fill="FFFFFF"/>
        <w:snapToGrid w:val="0"/>
        <w:ind w:firstLine="640"/>
        <w:jc w:val="left"/>
        <w:rPr>
          <w:rFonts w:ascii="仿宋_GB2312" w:hAnsi="仿宋_GB2312" w:cs="宋体"/>
          <w:color w:val="000000"/>
          <w:kern w:val="0"/>
          <w:szCs w:val="32"/>
          <w:lang w:bidi="zh-CN"/>
        </w:rPr>
      </w:pPr>
      <w:r>
        <w:rPr>
          <w:rFonts w:ascii="仿宋_GB2312" w:hAnsi="仿宋_GB2312" w:cs="宋体" w:hint="eastAsia"/>
          <w:color w:val="000000"/>
          <w:kern w:val="0"/>
          <w:szCs w:val="32"/>
          <w:lang w:bidi="zh-CN"/>
        </w:rPr>
        <w:t>第三十四条   县级以上人民政府管理矿山企业的主管部门对矿山安全工作行使下列管理职责：</w:t>
      </w:r>
    </w:p>
    <w:p w14:paraId="253FFF12" w14:textId="77777777" w:rsidR="006C0E4E" w:rsidRDefault="006C0E4E" w:rsidP="006C0E4E">
      <w:pPr>
        <w:pStyle w:val="Bodytext1"/>
        <w:snapToGrid w:val="0"/>
        <w:spacing w:line="560" w:lineRule="exact"/>
        <w:ind w:firstLine="640"/>
        <w:textAlignment w:val="baseline"/>
        <w:rPr>
          <w:rFonts w:ascii="仿宋_GB2312" w:hAnsi="仿宋_GB2312"/>
          <w:color w:val="000000"/>
          <w:kern w:val="0"/>
          <w:sz w:val="32"/>
          <w:szCs w:val="32"/>
          <w:lang w:val="en-US"/>
        </w:rPr>
      </w:pPr>
      <w:r>
        <w:rPr>
          <w:rFonts w:ascii="仿宋_GB2312" w:hAnsi="仿宋_GB2312" w:hint="eastAsia"/>
          <w:color w:val="000000"/>
          <w:kern w:val="0"/>
          <w:sz w:val="32"/>
          <w:szCs w:val="32"/>
          <w:lang w:val="en-US"/>
        </w:rPr>
        <w:t>（一）检查矿山企业贯彻执行矿山安全法律、法规的情</w:t>
      </w:r>
      <w:r>
        <w:rPr>
          <w:rFonts w:ascii="仿宋_GB2312" w:hAnsi="仿宋_GB2312" w:hint="eastAsia"/>
          <w:color w:val="000000"/>
          <w:kern w:val="0"/>
          <w:sz w:val="32"/>
          <w:szCs w:val="32"/>
          <w:lang w:val="en-US"/>
        </w:rPr>
        <w:lastRenderedPageBreak/>
        <w:t>况；</w:t>
      </w:r>
    </w:p>
    <w:p w14:paraId="2329274A" w14:textId="77777777" w:rsidR="006C0E4E" w:rsidRDefault="006C0E4E" w:rsidP="006C0E4E">
      <w:pPr>
        <w:pStyle w:val="Bodytext1"/>
        <w:snapToGrid w:val="0"/>
        <w:spacing w:line="560" w:lineRule="exact"/>
        <w:ind w:firstLine="640"/>
        <w:textAlignment w:val="baseline"/>
        <w:rPr>
          <w:rFonts w:ascii="仿宋_GB2312" w:hAnsi="仿宋_GB2312"/>
          <w:color w:val="000000"/>
          <w:kern w:val="0"/>
          <w:sz w:val="32"/>
          <w:szCs w:val="32"/>
          <w:lang w:val="en-US"/>
        </w:rPr>
      </w:pPr>
      <w:r>
        <w:rPr>
          <w:rFonts w:ascii="仿宋_GB2312" w:hAnsi="仿宋_GB2312" w:hint="eastAsia"/>
          <w:color w:val="000000"/>
          <w:kern w:val="0"/>
          <w:sz w:val="32"/>
          <w:szCs w:val="32"/>
          <w:lang w:val="en-US"/>
        </w:rPr>
        <w:t>（二）审查批准矿山建设工程安全设施的设计；</w:t>
      </w:r>
    </w:p>
    <w:p w14:paraId="7CD4FBE0" w14:textId="77777777" w:rsidR="006C0E4E" w:rsidRDefault="006C0E4E" w:rsidP="006C0E4E">
      <w:pPr>
        <w:pStyle w:val="Bodytext1"/>
        <w:snapToGrid w:val="0"/>
        <w:spacing w:line="560" w:lineRule="exact"/>
        <w:ind w:firstLine="640"/>
        <w:textAlignment w:val="baseline"/>
        <w:rPr>
          <w:rFonts w:ascii="仿宋_GB2312" w:hAnsi="仿宋_GB2312"/>
          <w:color w:val="000000"/>
          <w:kern w:val="0"/>
          <w:sz w:val="32"/>
          <w:szCs w:val="32"/>
          <w:lang w:val="en-US"/>
        </w:rPr>
      </w:pPr>
      <w:r>
        <w:rPr>
          <w:rFonts w:ascii="仿宋_GB2312" w:hAnsi="仿宋_GB2312" w:hint="eastAsia"/>
          <w:color w:val="000000"/>
          <w:kern w:val="0"/>
          <w:sz w:val="32"/>
          <w:szCs w:val="32"/>
          <w:lang w:val="en-US"/>
        </w:rPr>
        <w:t>（三）负责矿山建设工程安全设施的竣工验收；</w:t>
      </w:r>
    </w:p>
    <w:p w14:paraId="11CFB0D8" w14:textId="77777777" w:rsidR="006C0E4E" w:rsidRDefault="006C0E4E" w:rsidP="006C0E4E">
      <w:pPr>
        <w:pStyle w:val="Bodytext1"/>
        <w:snapToGrid w:val="0"/>
        <w:spacing w:line="560" w:lineRule="exact"/>
        <w:ind w:firstLine="640"/>
        <w:textAlignment w:val="baseline"/>
        <w:rPr>
          <w:rFonts w:ascii="仿宋_GB2312" w:hAnsi="仿宋_GB2312"/>
          <w:color w:val="000000"/>
          <w:kern w:val="0"/>
          <w:sz w:val="32"/>
          <w:szCs w:val="32"/>
          <w:lang w:val="en-US"/>
        </w:rPr>
      </w:pPr>
      <w:r>
        <w:rPr>
          <w:rFonts w:ascii="仿宋_GB2312" w:hAnsi="仿宋_GB2312" w:hint="eastAsia"/>
          <w:color w:val="000000"/>
          <w:kern w:val="0"/>
          <w:sz w:val="32"/>
          <w:szCs w:val="32"/>
          <w:lang w:val="en-US"/>
        </w:rPr>
        <w:t>（四）组织矿长和矿山企业安全工作人员的培训工作；</w:t>
      </w:r>
    </w:p>
    <w:p w14:paraId="67C01AAB" w14:textId="77777777" w:rsidR="006C0E4E" w:rsidRDefault="006C0E4E" w:rsidP="006C0E4E">
      <w:pPr>
        <w:pStyle w:val="Bodytext1"/>
        <w:snapToGrid w:val="0"/>
        <w:spacing w:line="560" w:lineRule="exact"/>
        <w:ind w:firstLine="640"/>
        <w:textAlignment w:val="baseline"/>
        <w:rPr>
          <w:rFonts w:ascii="仿宋_GB2312" w:hAnsi="仿宋_GB2312"/>
          <w:color w:val="000000"/>
          <w:kern w:val="0"/>
          <w:sz w:val="32"/>
          <w:szCs w:val="32"/>
          <w:lang w:val="en-US"/>
        </w:rPr>
      </w:pPr>
      <w:r>
        <w:rPr>
          <w:rFonts w:ascii="仿宋_GB2312" w:hAnsi="仿宋_GB2312" w:hint="eastAsia"/>
          <w:color w:val="000000"/>
          <w:kern w:val="0"/>
          <w:sz w:val="32"/>
          <w:szCs w:val="32"/>
          <w:lang w:val="en-US"/>
        </w:rPr>
        <w:t>（五）调查和处理重大矿山事故；</w:t>
      </w:r>
    </w:p>
    <w:p w14:paraId="4FCC07E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kern w:val="0"/>
          <w:sz w:val="32"/>
          <w:szCs w:val="32"/>
          <w:lang w:val="en-US"/>
        </w:rPr>
        <w:t>（六）法律、行政法规规定的其他管理职责</w:t>
      </w:r>
      <w:r>
        <w:rPr>
          <w:rFonts w:ascii="仿宋_GB2312" w:hAnsi="仿宋_GB2312" w:hint="eastAsia"/>
          <w:color w:val="000000"/>
          <w:sz w:val="32"/>
          <w:szCs w:val="32"/>
          <w:lang w:val="en-US"/>
        </w:rPr>
        <w:t>。</w:t>
      </w:r>
    </w:p>
    <w:p w14:paraId="61583DCC"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（三）《非煤矿矿山企业安全生产许可证实施办法》（国家安全监管总局令第20号，2015年5月26日修正）</w:t>
      </w:r>
    </w:p>
    <w:p w14:paraId="1147B83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第三十三条：县级以上地方人民政府安全生产监督管理部门负责本行政区域内取得安全生产许可证的非煤矿矿山企业的日常监督检查…</w:t>
      </w:r>
    </w:p>
    <w:p w14:paraId="0773E30A"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（四）《金属非金属矿山重大事故隐患判定标准》（矿安〔2022〕88号）金属非金属地下矿山重大生产安全事故隐患：</w:t>
      </w:r>
    </w:p>
    <w:p w14:paraId="03D9B92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（一）安全出口存在下列情形之一的：</w:t>
      </w:r>
    </w:p>
    <w:p w14:paraId="52A18BD9"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1.矿井直达地面的独立安全出口少于2个，或者与设计不一致；</w:t>
      </w:r>
    </w:p>
    <w:p w14:paraId="1A7EECE2"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2.矿井只有两个独立直达地面的安全出口且安全出口的间距小于30米，或者矿体一翼走向长度超过1000米且未在此翼设置安全出口；</w:t>
      </w:r>
    </w:p>
    <w:p w14:paraId="125266E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3.矿井的全部安全出口均为竖井且竖井内均未设置梯子间，或者作为主要安全出口的罐笼提升井只有1套提升系统且未设梯子间；</w:t>
      </w:r>
    </w:p>
    <w:p w14:paraId="7E428CB9"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4.主要生产中段（水平）、单个采区、盘区或者矿块的安全出口少于2个，或者未与通往地面的安全出口相通；</w:t>
      </w:r>
    </w:p>
    <w:p w14:paraId="5A1D891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lastRenderedPageBreak/>
        <w:t>5.安全出口出现堵塞或者其梯子、踏步等设施不能正常使用，导致安全出口不畅通。</w:t>
      </w:r>
    </w:p>
    <w:p w14:paraId="3A22441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（二）使用国家明令禁止使用的设备、材料或者工艺。</w:t>
      </w:r>
    </w:p>
    <w:p w14:paraId="4F9B6B1E"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（三）不同矿权主体的相邻矿山井巷相互贯通，或者同一矿权主体相邻独立生产系统的井巷擅自贯通。</w:t>
      </w:r>
    </w:p>
    <w:p w14:paraId="1869374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（四）地下矿山现状图纸存在下列情形之一的：</w:t>
      </w:r>
    </w:p>
    <w:p w14:paraId="177AE01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1.未保存《金属非金属矿山安全规程》（GB16423 -2020）第4.1.10 条规定的图纸，或者生产矿山每3个月、基建矿山每1个月未更新上述图纸；</w:t>
      </w:r>
    </w:p>
    <w:p w14:paraId="5FF45DE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2.岩体移动范围内的地面建构筑物、运输道路及沟谷河流与实际不符；</w:t>
      </w:r>
    </w:p>
    <w:p w14:paraId="3CC41913"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3.开拓工程和采准工程的井巷或者井下采区与实际不符；</w:t>
      </w:r>
    </w:p>
    <w:p w14:paraId="4A02CEC9"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4.相邻矿山采区位置关系与实际不符；</w:t>
      </w:r>
    </w:p>
    <w:p w14:paraId="68C3C989"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5.采空区和废弃井巷的位置、处理方式、现状，以及地表塌陷区的位置与实际不符。</w:t>
      </w:r>
    </w:p>
    <w:p w14:paraId="3A1788C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（五）露天转地下开采存在下列情形之一的：</w:t>
      </w:r>
    </w:p>
    <w:p w14:paraId="33E7055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1.未按设计采取防排水措施；</w:t>
      </w:r>
    </w:p>
    <w:p w14:paraId="40C5E780"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2.露天与地下联合开采时，回采顺序与设计不符；</w:t>
      </w:r>
    </w:p>
    <w:p w14:paraId="034EF91D"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3.未按设计采取留设安全顶柱或者岩石垫层等防护措施。</w:t>
      </w:r>
    </w:p>
    <w:p w14:paraId="07B77853"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（六）矿区及其附近的地表水或者大气降水危及井下安全时，未按设计采取防治水措施。</w:t>
      </w:r>
    </w:p>
    <w:p w14:paraId="248FB0C5"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（七）井下主要排水系统存在下列情形之一的：</w:t>
      </w:r>
    </w:p>
    <w:p w14:paraId="377D2AE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lastRenderedPageBreak/>
        <w:t>1.排水泵数量少于3台，或者工作水泵、备用水泵的额定排水能力低于设计要求；</w:t>
      </w:r>
    </w:p>
    <w:p w14:paraId="57E3DD7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2.井巷中未按设计设置工作和备用排水管路，或者排水管路与水泵未有效连接；</w:t>
      </w:r>
    </w:p>
    <w:p w14:paraId="5BB3CB7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3.井下最低中段的主水泵房通往中段巷道的出口未装设防水门，或者另外一个出口未高于水泵房地面 7米以上；</w:t>
      </w:r>
    </w:p>
    <w:p w14:paraId="1B92492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4.利用采空区或者其他废弃巷道作为水仓。</w:t>
      </w:r>
    </w:p>
    <w:p w14:paraId="560D8010"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（八）井口标高未达到当地历史最高洪水位1米以上，且未按设计采取相应防护措施。</w:t>
      </w:r>
    </w:p>
    <w:p w14:paraId="5EF6BB4E"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（九）水文地质类型为中等或者复杂的矿井，存在下列情形之一的：</w:t>
      </w:r>
    </w:p>
    <w:p w14:paraId="3A7C82D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1.未配备防治水专业技术人员；</w:t>
      </w:r>
    </w:p>
    <w:p w14:paraId="55B4545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2.未设置防治水机构，或者未建立探放水队伍；</w:t>
      </w:r>
    </w:p>
    <w:p w14:paraId="0214461B"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3.未配齐专用探放水设备，或者未按设计进行探放水作业。</w:t>
      </w:r>
    </w:p>
    <w:p w14:paraId="5ED22BA2"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（十）水文地质类型复杂的矿山存在下列情形之一的：</w:t>
      </w:r>
    </w:p>
    <w:p w14:paraId="3FE0DE0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1.关键巷道防水门设置与设计不符；</w:t>
      </w:r>
    </w:p>
    <w:p w14:paraId="30B2FD9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2.主要排水系统的水仓与水泵房之间的隔墙或者配水阀未按设计设置。</w:t>
      </w:r>
    </w:p>
    <w:p w14:paraId="5DB7B9D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（十一）在突水威胁区域或者可疑区域进行采掘作业，存在下列情形之一的：</w:t>
      </w:r>
    </w:p>
    <w:p w14:paraId="6C62209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1.未编制防治水技术方案，或者未在施工前制定专门的施工安全技术措施；</w:t>
      </w:r>
    </w:p>
    <w:p w14:paraId="0B89EBE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2.未超前探放水，或者超前钻孔的数量、深度低于设计</w:t>
      </w:r>
      <w:r>
        <w:rPr>
          <w:rFonts w:ascii="仿宋_GB2312" w:hAnsi="仿宋_GB2312" w:cs="仿宋_GB2312" w:hint="eastAsia"/>
          <w:color w:val="000000"/>
          <w:kern w:val="0"/>
          <w:szCs w:val="32"/>
          <w:lang w:bidi="zh-CN"/>
        </w:rPr>
        <w:lastRenderedPageBreak/>
        <w:t>要求，或者超前钻孔方位不符合设计要求。</w:t>
      </w:r>
    </w:p>
    <w:p w14:paraId="452B8755"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（十二）受地表水倒灌威胁的矿井在强降雨天气或者其来水上游发生洪水期间，未实施停产撤人。</w:t>
      </w:r>
    </w:p>
    <w:p w14:paraId="31F3AB3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（十三）有自然发火危险的矿山，存在下列情形之一的：</w:t>
      </w:r>
    </w:p>
    <w:p w14:paraId="6BFCF11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1.未安装井下环境监测系统，实现自动监测与报警；</w:t>
      </w:r>
    </w:p>
    <w:p w14:paraId="61B9E674"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2.未按设计或者国家标准、行业标准采取防灭火措施；</w:t>
      </w:r>
    </w:p>
    <w:p w14:paraId="33CAEDF2"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3.发现自然发火预兆，未采取有效处理措施。</w:t>
      </w:r>
    </w:p>
    <w:p w14:paraId="0B1735C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（十四）相邻矿山开采岩体移动范围存在交叉重叠等相互影响时，未按设计留设保安矿（岩）柱或者采取其他措施。</w:t>
      </w:r>
    </w:p>
    <w:p w14:paraId="1476FD7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（十五）地表设施设置存在下列情形之一，未按设计采取有效安全措施的：</w:t>
      </w:r>
    </w:p>
    <w:p w14:paraId="33E6A6D5"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1.岩体移动范围内存在居民村庄或者重要设备设施；</w:t>
      </w:r>
    </w:p>
    <w:p w14:paraId="329B02B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2.主要开拓工程出入口易受地表滑坡、滚石、泥石流等地质灾害影响。</w:t>
      </w:r>
    </w:p>
    <w:p w14:paraId="7FC4B97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（十六）保安矿（岩）柱或者采场矿柱存在下列情形之一的：</w:t>
      </w:r>
    </w:p>
    <w:p w14:paraId="390BFBE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1.未按设计留设矿（岩）柱；</w:t>
      </w:r>
    </w:p>
    <w:p w14:paraId="1BCB6F2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2.未按设计回采矿柱；</w:t>
      </w:r>
    </w:p>
    <w:p w14:paraId="6674521B"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3.擅自开采、损毁矿（岩）柱。</w:t>
      </w:r>
    </w:p>
    <w:p w14:paraId="177ECA53"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（十七）未按设计要求的处理方式或者时间对采空区进行处理。</w:t>
      </w:r>
    </w:p>
    <w:p w14:paraId="762496E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（十八）工程地质类型复杂、有严重地压活动的矿山存在下列情形之一的：</w:t>
      </w:r>
    </w:p>
    <w:p w14:paraId="74BF454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1.未设置专门机构、配备专门人员负责地压防治工作；</w:t>
      </w:r>
    </w:p>
    <w:p w14:paraId="68D1E21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lastRenderedPageBreak/>
        <w:t>2.未制定防治地压灾害的专门技术措施；</w:t>
      </w:r>
    </w:p>
    <w:p w14:paraId="56DBDE8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3.发现大面积地压活动预兆，未立即停止作业、撤出人员。</w:t>
      </w:r>
    </w:p>
    <w:p w14:paraId="4BF4CE23"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（十九）巷道或者采场顶板未按设计采取支护措施。</w:t>
      </w:r>
    </w:p>
    <w:p w14:paraId="0995008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（二十）矿井未采用机械通风，或者采用机械通风的矿井存在下列情形之一的：</w:t>
      </w:r>
    </w:p>
    <w:p w14:paraId="3442703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1.在正常生产情况下，主通风机未连续运转；</w:t>
      </w:r>
    </w:p>
    <w:p w14:paraId="73D7F61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2.主通风机发生故障或者停机检查时，未立即向调度室和企业主要负责人报告，或者未采取必要安全措施；</w:t>
      </w:r>
    </w:p>
    <w:p w14:paraId="3F0A050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3.主通风机未按规定配备备用电动机，或者未配备能迅速调换电动机的设备及工具；</w:t>
      </w:r>
    </w:p>
    <w:p w14:paraId="7E701B2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4.作业工作面风速、风量、风质不符合国家标准或者行业标准要求；</w:t>
      </w:r>
    </w:p>
    <w:p w14:paraId="2DCFD003"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5.未设置通风系统在线监测系统的矿井，未按国家标准规定每年对通风系统进行1次检测；</w:t>
      </w:r>
    </w:p>
    <w:p w14:paraId="186BD95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6.主通风设施不能在10分钟之内实现矿井反风，或者反风试验周期超过1年。</w:t>
      </w:r>
    </w:p>
    <w:p w14:paraId="7C7D6E5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（二十一）未配齐或者随身携带具有矿用产品安全标志的便携式气体检测报警仪和自救器，或者从业人员不能正确使用自救器。</w:t>
      </w:r>
    </w:p>
    <w:p w14:paraId="72FEDEFD"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（二十二）担负提升人员的提升系统，存在下列情形之一的：</w:t>
      </w:r>
    </w:p>
    <w:p w14:paraId="36BD729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1.提升机、防坠器、钢丝绳、连接装置、提升容器未按国家规定进行定期检测检验，或者提升设备的安全保护装置</w:t>
      </w:r>
      <w:r>
        <w:rPr>
          <w:rFonts w:ascii="仿宋_GB2312" w:hAnsi="仿宋_GB2312" w:cs="仿宋_GB2312" w:hint="eastAsia"/>
          <w:color w:val="000000"/>
          <w:kern w:val="0"/>
          <w:szCs w:val="32"/>
          <w:lang w:bidi="zh-CN"/>
        </w:rPr>
        <w:lastRenderedPageBreak/>
        <w:t>失效；</w:t>
      </w:r>
    </w:p>
    <w:p w14:paraId="1CE1ED3D"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2.竖井井口和井下各中段马头门设置的安全门或者摇台与提升机未实现联锁；</w:t>
      </w:r>
    </w:p>
    <w:p w14:paraId="2257039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3.竖井提升系统过卷段未按国家规定设置过卷缓冲装置、楔形罐道、过卷挡梁或者不能正常使用，或者提升人员的罐笼提升系统未按国家规定在井架或者井塔的过卷段内设置罐笼防坠装置；</w:t>
      </w:r>
    </w:p>
    <w:p w14:paraId="7F31AE2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4.斜井串车提升系统未按国家规定设置常闭式防跑车装置、阻车器、挡车栏，或者连接链、连接插销不符合国家规定；</w:t>
      </w:r>
    </w:p>
    <w:p w14:paraId="2FF37A32"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5.斜井提升信号系统与提升机之间未实现闭锁。</w:t>
      </w:r>
    </w:p>
    <w:p w14:paraId="2AA38A3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（二十三）井下无轨运人车辆存在下列情形之一的：</w:t>
      </w:r>
    </w:p>
    <w:p w14:paraId="5EFAF0DE"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1.未取得金属非金属矿山矿用产品安全标志；</w:t>
      </w:r>
    </w:p>
    <w:p w14:paraId="5BF76304"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2.载人数量超过25人或者超过核载人数；</w:t>
      </w:r>
    </w:p>
    <w:p w14:paraId="3C9E7FA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3.制动系统采用干式制动器，或者未同时配备行车制动系统、驻车制动系统和应急制动系统；</w:t>
      </w:r>
    </w:p>
    <w:p w14:paraId="2793CC10"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4.未按国家规定对车辆进行检测检验。</w:t>
      </w:r>
    </w:p>
    <w:p w14:paraId="6C084399"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（二十四）一级负荷未采用双重电源供电，或者双重电源中的任一电源不能满足全部一级负荷需要。</w:t>
      </w:r>
    </w:p>
    <w:p w14:paraId="141630DB"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（二十五）向井下采场供电的6kV～35kV系统的中性点采用直接接地。</w:t>
      </w:r>
    </w:p>
    <w:p w14:paraId="325D072B"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（二十六）工程地质或者水文地质类型复杂的矿山，井巷工程施工未进行施工组织设计，或者未按施工组织设计落实安全措施。</w:t>
      </w:r>
    </w:p>
    <w:p w14:paraId="35E8CCA5"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lastRenderedPageBreak/>
        <w:t>（二十七）新建、改扩建矿山建设项目有下列行为之一的：</w:t>
      </w:r>
    </w:p>
    <w:p w14:paraId="3EFFAF7B"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1.安全设施设计未经批准，或者批准后出现重大变更未经再次批准擅自组织施工；</w:t>
      </w:r>
    </w:p>
    <w:p w14:paraId="71FBDDD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2.在竣工验收前组织生产，经批准的联合试运转除外。</w:t>
      </w:r>
    </w:p>
    <w:p w14:paraId="667A915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（二十八）矿山企业违反国家有关工程项目发包规定，有下列行为之一的：</w:t>
      </w:r>
    </w:p>
    <w:p w14:paraId="0726A9C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1.将工程项目发包给不具有法定资质和条件的单位，或者承包单位数量超过国家规定的数量；</w:t>
      </w:r>
    </w:p>
    <w:p w14:paraId="714BCB5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2.承包单位项目部的负责人、安全生产管理人员、专业技术人员、特种作业人员不符合国家规定的数量、条件或者不属于承包单位正式职工。</w:t>
      </w:r>
    </w:p>
    <w:p w14:paraId="03C5EF6E"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（二十九）井下或者井口动火作业未按国家规定落实审批制度或者安全措施。</w:t>
      </w:r>
    </w:p>
    <w:p w14:paraId="5B7F026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（三十）矿山年产量超过矿山设计年生产能力幅度在20%及以上，或者月产量大于矿山设计年生产能力的20%及以上。</w:t>
      </w:r>
    </w:p>
    <w:p w14:paraId="328D545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三十一）矿井未建立安全监测监控系统、人员定位系统、通信联络系统，或者已经建立的系统不符合国家有关规定，或者系统运行不正常未及时修复，或者关闭、破坏该系统，或者篡改、隐瞒、销毁其相关数据、信息。</w:t>
      </w:r>
    </w:p>
    <w:p w14:paraId="72EA26C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（三十二）未配备具有矿山相关专业的专职矿长、总工程师以及分管安全、生产、机电的副矿长，或者未配备具有采矿、地质、测量、机电等专业的技术人员。</w:t>
      </w:r>
    </w:p>
    <w:p w14:paraId="1BDFC7CA"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第二章 对非煤矿山企业落实领导带班下井</w:t>
      </w:r>
      <w:r>
        <w:rPr>
          <w:rFonts w:ascii="方正小标宋简体" w:eastAsia="方正小标宋简体" w:hAnsi="方正小标宋简体" w:cs="方正小标宋简体" w:hint="eastAsia"/>
          <w:color w:val="000000"/>
          <w:sz w:val="44"/>
          <w:szCs w:val="44"/>
          <w:lang w:val="en-US"/>
        </w:rPr>
        <w:lastRenderedPageBreak/>
        <w:t>制度情况的监督检查工作指引</w:t>
      </w:r>
    </w:p>
    <w:p w14:paraId="73005C22"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一、抽查事项</w:t>
      </w:r>
    </w:p>
    <w:p w14:paraId="6FDB76B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非煤矿山企业落实领导带班下井制度情况</w:t>
      </w:r>
    </w:p>
    <w:p w14:paraId="516545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3521B06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（一）领导带班下井制度建立、健全、考核、奖惩情况；</w:t>
      </w:r>
    </w:p>
    <w:p w14:paraId="687980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（二）领导带班下井月度计划制定、公告、公示、落实情况；</w:t>
      </w:r>
    </w:p>
    <w:p w14:paraId="18440F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（二）带班下井交接班记录、带班下井登记档案填写情况。</w:t>
      </w:r>
    </w:p>
    <w:p w14:paraId="061999B8"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三、检查方法</w:t>
      </w:r>
    </w:p>
    <w:p w14:paraId="1F2ADAB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4A15AB7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3C60FB2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6F8F129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5EC89FB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51A320B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7A2BF1E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2EB7BA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EF304E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6C0F6F27"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（二）《金属非金属地下矿山企业领导带班下井及监督检查暂行规定》（国家安全监管总局令第34号，2015年5月26日修正）</w:t>
      </w:r>
    </w:p>
    <w:p w14:paraId="2728113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 安全生产监督管理部门对矿山企业落实领导带班下井制度情况进行监督检查，并依法作出现场处理或者实施行政处罚。</w:t>
      </w:r>
    </w:p>
    <w:p w14:paraId="47297A7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矿山企业应当建立健全领导带班下井制度，制定领导带班下井考核奖惩办法和月度计划，建立和完善领导带班下井档案。</w:t>
      </w:r>
    </w:p>
    <w:p w14:paraId="1D4C21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矿山企业领导带班下井月度计划，应当明确每个工作班次带班下井的领导名单、下井及升井的时间以及特殊情况下的请假与调换人员审批程序等内容。</w:t>
      </w:r>
    </w:p>
    <w:p w14:paraId="0CA8C9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领导带班下井月度计划应当在本单位网站和办公楼及</w:t>
      </w:r>
      <w:r>
        <w:rPr>
          <w:rFonts w:ascii="仿宋_GB2312" w:hAnsi="仿宋_GB2312" w:hint="eastAsia"/>
          <w:color w:val="000000"/>
          <w:sz w:val="32"/>
          <w:szCs w:val="32"/>
          <w:lang w:val="en-US"/>
        </w:rPr>
        <w:lastRenderedPageBreak/>
        <w:t>矿井井口予以公告，接受群众监督。</w:t>
      </w:r>
    </w:p>
    <w:p w14:paraId="4245F4E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矿山企业应当每月对领导带班下井情况进行考核。领导带班下井情况与其经济收入挂钩，对按照规定带班下井并认真履行职责的，给予奖励；对未按照规定带班下井、冒名顶替下井或者弄虚作假的，按照有关规定予以处理。</w:t>
      </w:r>
    </w:p>
    <w:p w14:paraId="10D0585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矿山企业领导带班下井的月度计划完成情况，应当在矿山企业公示栏公示，接受群众监督。</w:t>
      </w:r>
    </w:p>
    <w:p w14:paraId="23DA046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安全生产监督管理部门应当将矿山企业领导带班下井制度的建立、执行、考核、奖惩等情况作为安全监管的重要内容，并将其纳入年度安全监管执法工作计划，定期进行检查。</w:t>
      </w:r>
    </w:p>
    <w:p w14:paraId="7DE8CF5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矿山企业未按照规定建立健全领导带班下井制度或者未制定领导带班下井月度计划的，给予警告，并处</w:t>
      </w:r>
      <w:r>
        <w:rPr>
          <w:rFonts w:ascii="仿宋_GB2312" w:hAnsi="仿宋_GB2312"/>
          <w:color w:val="000000"/>
          <w:sz w:val="32"/>
          <w:szCs w:val="32"/>
          <w:lang w:val="en-US"/>
        </w:rPr>
        <w:t>3</w:t>
      </w:r>
      <w:r>
        <w:rPr>
          <w:rFonts w:ascii="仿宋_GB2312" w:hAnsi="仿宋_GB2312" w:hint="eastAsia"/>
          <w:color w:val="000000"/>
          <w:sz w:val="32"/>
          <w:szCs w:val="32"/>
          <w:lang w:val="en-US"/>
        </w:rPr>
        <w:t>万元的罚款；对其主要负责人给予警告，并处</w:t>
      </w:r>
      <w:r>
        <w:rPr>
          <w:rFonts w:ascii="仿宋_GB2312" w:hAnsi="仿宋_GB2312"/>
          <w:color w:val="000000"/>
          <w:sz w:val="32"/>
          <w:szCs w:val="32"/>
          <w:lang w:val="en-US"/>
        </w:rPr>
        <w:t>1</w:t>
      </w:r>
      <w:r>
        <w:rPr>
          <w:rFonts w:ascii="仿宋_GB2312" w:hAnsi="仿宋_GB2312" w:hint="eastAsia"/>
          <w:color w:val="000000"/>
          <w:sz w:val="32"/>
          <w:szCs w:val="32"/>
          <w:lang w:val="en-US"/>
        </w:rPr>
        <w:t>万元的罚款；情节严重的，依法暂扣其安全生产许可证，责令停产整顿。</w:t>
      </w:r>
    </w:p>
    <w:p w14:paraId="6767459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第十九条 矿山企业存在下列行为之一的，责令限期整改，并处</w:t>
      </w:r>
      <w:r>
        <w:rPr>
          <w:rFonts w:ascii="仿宋_GB2312" w:hAnsi="仿宋_GB2312"/>
          <w:color w:val="000000"/>
          <w:sz w:val="32"/>
          <w:szCs w:val="32"/>
          <w:lang w:val="en-US"/>
        </w:rPr>
        <w:t>3</w:t>
      </w:r>
      <w:r>
        <w:rPr>
          <w:rFonts w:ascii="仿宋_GB2312" w:hAnsi="仿宋_GB2312" w:hint="eastAsia"/>
          <w:color w:val="000000"/>
          <w:sz w:val="32"/>
          <w:szCs w:val="32"/>
          <w:lang w:val="en-US"/>
        </w:rPr>
        <w:t>万元的罚款；对其主要负责人给予警告，并处</w:t>
      </w:r>
      <w:r>
        <w:rPr>
          <w:rFonts w:ascii="仿宋_GB2312" w:hAnsi="仿宋_GB2312"/>
          <w:color w:val="000000"/>
          <w:sz w:val="32"/>
          <w:szCs w:val="32"/>
          <w:lang w:val="en-US"/>
        </w:rPr>
        <w:t>1</w:t>
      </w:r>
      <w:r>
        <w:rPr>
          <w:rFonts w:ascii="仿宋_GB2312" w:hAnsi="仿宋_GB2312" w:hint="eastAsia"/>
          <w:color w:val="000000"/>
          <w:sz w:val="32"/>
          <w:szCs w:val="32"/>
          <w:lang w:val="en-US"/>
        </w:rPr>
        <w:t>万元的罚款：</w:t>
      </w:r>
    </w:p>
    <w:p w14:paraId="7FE4F3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（一）未制定领导带班下井制度的；</w:t>
      </w:r>
    </w:p>
    <w:p w14:paraId="0D6783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（二）未按照规定公告领导带班下井月度计划的；</w:t>
      </w:r>
    </w:p>
    <w:p w14:paraId="5730CB8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（三）未按照规定公示领导带班下井月度计划完成情况的。</w:t>
      </w:r>
    </w:p>
    <w:p w14:paraId="05FC6A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 矿山企业领导未按照规定填写带班下井交接</w:t>
      </w:r>
      <w:r>
        <w:rPr>
          <w:rFonts w:ascii="仿宋_GB2312" w:hAnsi="仿宋_GB2312" w:hint="eastAsia"/>
          <w:color w:val="000000"/>
          <w:sz w:val="32"/>
          <w:szCs w:val="32"/>
          <w:lang w:val="en-US"/>
        </w:rPr>
        <w:lastRenderedPageBreak/>
        <w:t>班记录、带班下井登记档案，或者弄虚作假的，给予警告，并处</w:t>
      </w:r>
      <w:r>
        <w:rPr>
          <w:rFonts w:ascii="仿宋_GB2312" w:hAnsi="仿宋_GB2312"/>
          <w:color w:val="000000"/>
          <w:sz w:val="32"/>
          <w:szCs w:val="32"/>
          <w:lang w:val="en-US"/>
        </w:rPr>
        <w:t>1</w:t>
      </w:r>
      <w:r>
        <w:rPr>
          <w:rFonts w:ascii="仿宋_GB2312" w:hAnsi="仿宋_GB2312" w:hint="eastAsia"/>
          <w:color w:val="000000"/>
          <w:sz w:val="32"/>
          <w:szCs w:val="32"/>
          <w:lang w:val="en-US"/>
        </w:rPr>
        <w:t>万元的罚款。</w:t>
      </w:r>
    </w:p>
    <w:p w14:paraId="3F92AC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矿山企业领导未按照规定带班下井的，对矿山企业给予警告，处</w:t>
      </w:r>
      <w:r>
        <w:rPr>
          <w:rFonts w:ascii="仿宋_GB2312" w:hAnsi="仿宋_GB2312"/>
          <w:color w:val="000000"/>
          <w:sz w:val="32"/>
          <w:szCs w:val="32"/>
          <w:lang w:val="en-US"/>
        </w:rPr>
        <w:t>3</w:t>
      </w:r>
      <w:r>
        <w:rPr>
          <w:rFonts w:ascii="仿宋_GB2312" w:hAnsi="仿宋_GB2312" w:hint="eastAsia"/>
          <w:color w:val="000000"/>
          <w:sz w:val="32"/>
          <w:szCs w:val="32"/>
          <w:lang w:val="en-US"/>
        </w:rPr>
        <w:t>万元的罚款；情节严重的，依法责令停产整顿；对违反规定的矿山企业领导按照擅离职守处理，并处</w:t>
      </w:r>
      <w:r>
        <w:rPr>
          <w:rFonts w:ascii="仿宋_GB2312" w:hAnsi="仿宋_GB2312"/>
          <w:color w:val="000000"/>
          <w:sz w:val="32"/>
          <w:szCs w:val="32"/>
          <w:lang w:val="en-US"/>
        </w:rPr>
        <w:t>1</w:t>
      </w:r>
      <w:r>
        <w:rPr>
          <w:rFonts w:ascii="仿宋_GB2312" w:hAnsi="仿宋_GB2312" w:hint="eastAsia"/>
          <w:color w:val="000000"/>
          <w:sz w:val="32"/>
          <w:szCs w:val="32"/>
          <w:lang w:val="en-US"/>
        </w:rPr>
        <w:t>万元的罚款。</w:t>
      </w:r>
    </w:p>
    <w:p w14:paraId="78EF9AEF"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第三章 对非煤矿山外包工程的安全生产监督检查工作指引</w:t>
      </w:r>
    </w:p>
    <w:p w14:paraId="1B17C221"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一、抽查事项</w:t>
      </w:r>
    </w:p>
    <w:p w14:paraId="797F36D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非煤矿山外包工程的行政检查。</w:t>
      </w:r>
    </w:p>
    <w:p w14:paraId="2067C18E"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二、检查内容</w:t>
      </w:r>
    </w:p>
    <w:p w14:paraId="47792A58"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（一）行政许可和施工资质管理</w:t>
      </w:r>
    </w:p>
    <w:p w14:paraId="0E5A4FE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1.承包单位取得非煤矿山安全生产许可证和相应等级的施工资质情况。</w:t>
      </w:r>
    </w:p>
    <w:p w14:paraId="39B92EC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2.承包单位向作业所在地县级人民政府安全生产监督管理部门书面报告情况；</w:t>
      </w:r>
    </w:p>
    <w:p w14:paraId="1043A56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（二）安全生产管理协议签订情况</w:t>
      </w:r>
    </w:p>
    <w:p w14:paraId="0E2CA9C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发包单位应当与承包单位签订安全生产管理协议，安全生产管理协议应当包括下列内容：（1）安全投入保障；（2）安全设施和施工条件；（3）隐患排查与治理；（4）安全教育与培训；（5）事故应急救援；（6）安全检查与考评；（7）违约责任。</w:t>
      </w:r>
    </w:p>
    <w:p w14:paraId="627AC0F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（三）主要负责人、安全生产管理人员和特种作业人员</w:t>
      </w:r>
      <w:r>
        <w:rPr>
          <w:rFonts w:ascii="楷体_GB2312" w:eastAsia="楷体_GB2312" w:hAnsi="楷体_GB2312" w:cs="楷体_GB2312" w:hint="eastAsia"/>
          <w:color w:val="000000"/>
          <w:sz w:val="32"/>
          <w:szCs w:val="32"/>
          <w:lang w:val="en-US"/>
        </w:rPr>
        <w:lastRenderedPageBreak/>
        <w:t>培训及持证上岗情况；</w:t>
      </w:r>
    </w:p>
    <w:p w14:paraId="1A4A878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1.项目部负责人取得安全生产管理人员安全资格证情况。</w:t>
      </w:r>
    </w:p>
    <w:p w14:paraId="383CE7F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2.专职工程技术人员配备情况；</w:t>
      </w:r>
    </w:p>
    <w:p w14:paraId="139B6D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3.特种作业人员持证上岗情况；</w:t>
      </w:r>
    </w:p>
    <w:p w14:paraId="4CB7787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4.地下矿山工程承包单位及其项目部的主要负责人和领导班子其他成员执行带班下井制度情况；</w:t>
      </w:r>
    </w:p>
    <w:p w14:paraId="35962EE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5.应急预案及应急演练情况。</w:t>
      </w:r>
    </w:p>
    <w:p w14:paraId="5D91FF1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（四）从业人员安全生产教育和培训情况</w:t>
      </w:r>
    </w:p>
    <w:p w14:paraId="44F36DB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项目部工作人员接受安全生产教育培训与考核情况。</w:t>
      </w:r>
    </w:p>
    <w:p w14:paraId="49C50250"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三、检查方法</w:t>
      </w:r>
    </w:p>
    <w:p w14:paraId="25F682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CE89931"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四、检查依据</w:t>
      </w:r>
    </w:p>
    <w:p w14:paraId="0249F6E6"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6A91800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第四十九条第三款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6AE9D919" w14:textId="77777777" w:rsidR="006C0E4E" w:rsidRDefault="006C0E4E" w:rsidP="006C0E4E">
      <w:pPr>
        <w:widowControl/>
        <w:shd w:val="clear" w:color="auto" w:fill="FFFFFF"/>
        <w:ind w:firstLine="640"/>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lastRenderedPageBreak/>
        <w:t xml:space="preserve">（二）《非煤矿矿山企业安全生产许可证实施办法》（国家安全监管总局令第20号，2015年5月26日修正）                                       </w:t>
      </w:r>
    </w:p>
    <w:p w14:paraId="283A8048" w14:textId="77777777" w:rsidR="006C0E4E" w:rsidRDefault="006C0E4E" w:rsidP="006C0E4E">
      <w:pPr>
        <w:widowControl/>
        <w:shd w:val="clear" w:color="auto" w:fill="FFFFFF"/>
        <w:ind w:firstLine="640"/>
        <w:rPr>
          <w:rFonts w:ascii="仿宋_GB2312" w:hAnsi="仿宋_GB2312" w:cs="宋体"/>
          <w:color w:val="000000"/>
          <w:kern w:val="0"/>
          <w:szCs w:val="32"/>
          <w:lang w:bidi="zh-CN"/>
        </w:rPr>
      </w:pPr>
      <w:r>
        <w:rPr>
          <w:rFonts w:ascii="仿宋_GB2312" w:hAnsi="仿宋_GB2312" w:cs="宋体" w:hint="eastAsia"/>
          <w:color w:val="000000"/>
          <w:kern w:val="0"/>
          <w:szCs w:val="32"/>
          <w:lang w:bidi="zh-CN"/>
        </w:rPr>
        <w:t>第三十三条 县级以上地方人民政府安全生产监督管理部门负责本行政区域内取得安全生产许可证的非煤矿矿山企业的日常监督检查，并将监督检查中发现的问题及时报告安全生产许可证颁发管理机关。中央管理的非煤矿矿山企业由设区的市级以上地方人民政府安全生产监督管理部门负责日常监督检查。</w:t>
      </w:r>
    </w:p>
    <w:p w14:paraId="675808B8" w14:textId="77777777" w:rsidR="006C0E4E" w:rsidRDefault="006C0E4E" w:rsidP="006C0E4E">
      <w:pPr>
        <w:widowControl/>
        <w:shd w:val="clear" w:color="auto" w:fill="FFFFFF"/>
        <w:ind w:firstLine="640"/>
        <w:rPr>
          <w:rFonts w:ascii="仿宋_GB2312" w:hAnsi="仿宋_GB2312" w:cs="宋体"/>
          <w:color w:val="000000"/>
          <w:kern w:val="0"/>
          <w:szCs w:val="32"/>
          <w:lang w:bidi="zh-CN"/>
        </w:rPr>
      </w:pPr>
      <w:r>
        <w:rPr>
          <w:rFonts w:ascii="仿宋_GB2312" w:hAnsi="仿宋_GB2312" w:cs="宋体" w:hint="eastAsia"/>
          <w:color w:val="000000"/>
          <w:kern w:val="0"/>
          <w:szCs w:val="32"/>
          <w:lang w:bidi="zh-CN"/>
        </w:rPr>
        <w:t>国家安全生产监督管理总局负责取得安全生产许可证的中央管理的非煤矿矿山企业总部和海洋石油天然气企业的日常监督检查。</w:t>
      </w:r>
    </w:p>
    <w:p w14:paraId="37536E6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（三）《非煤矿山外包工程安全管理暂行办法》（国家安全监管总局令第62号，2015年5月26日修正）</w:t>
      </w:r>
    </w:p>
    <w:p w14:paraId="16BE82E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第十九条第一款 承包单位应当依法取得非煤矿山安全生产许可证和相应等级的施工资质，并在其资质范围内承包工程。</w:t>
      </w:r>
    </w:p>
    <w:p w14:paraId="25B01DC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第二十条第一款 承包单位应当加强对所属项目部的安全管理，每半年至少进行一次安全生产检查，对项目部人员每年至少进行一次安全生产教育培训与考核。</w:t>
      </w:r>
    </w:p>
    <w:p w14:paraId="7073109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承包单位及其项目部应当根据承揽工程的规模和特点，依法健全安全生产责任体系，完善安全生产管理基本制度，设置安全生产管理机构，配备专职安全生产管理人员和有关工程技术人员。</w:t>
      </w:r>
    </w:p>
    <w:p w14:paraId="094F6A2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承包地下矿山工程的项目部应当配备与工程施工作业</w:t>
      </w:r>
      <w:r>
        <w:rPr>
          <w:rFonts w:ascii="仿宋_GB2312" w:hAnsi="仿宋_GB2312" w:hint="eastAsia"/>
          <w:color w:val="000000"/>
          <w:sz w:val="32"/>
          <w:szCs w:val="32"/>
          <w:lang w:val="en-US"/>
        </w:rPr>
        <w:lastRenderedPageBreak/>
        <w:t>相适应的专职工程技术人员，其中至少有</w:t>
      </w:r>
      <w:r>
        <w:rPr>
          <w:rFonts w:ascii="仿宋_GB2312" w:hAnsi="仿宋_GB2312"/>
          <w:color w:val="000000"/>
          <w:sz w:val="32"/>
          <w:szCs w:val="32"/>
          <w:lang w:val="en-US"/>
        </w:rPr>
        <w:t>1</w:t>
      </w:r>
      <w:r>
        <w:rPr>
          <w:rFonts w:ascii="仿宋_GB2312" w:hAnsi="仿宋_GB2312" w:hint="eastAsia"/>
          <w:color w:val="000000"/>
          <w:sz w:val="32"/>
          <w:szCs w:val="32"/>
          <w:lang w:val="en-US"/>
        </w:rPr>
        <w:t>名注册安全工程师或者具有</w:t>
      </w:r>
      <w:r>
        <w:rPr>
          <w:rFonts w:ascii="仿宋_GB2312" w:hAnsi="仿宋_GB2312"/>
          <w:color w:val="000000"/>
          <w:sz w:val="32"/>
          <w:szCs w:val="32"/>
          <w:lang w:val="en-US"/>
        </w:rPr>
        <w:t>5</w:t>
      </w:r>
      <w:r>
        <w:rPr>
          <w:rFonts w:ascii="仿宋_GB2312" w:hAnsi="仿宋_GB2312" w:hint="eastAsia"/>
          <w:color w:val="000000"/>
          <w:sz w:val="32"/>
          <w:szCs w:val="32"/>
          <w:lang w:val="en-US"/>
        </w:rPr>
        <w:t>年以上井下工作经验的安全生产管理人员。</w:t>
      </w:r>
    </w:p>
    <w:p w14:paraId="46A7841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项目部负责人应当取得安全生产管理人员安全资格证。</w:t>
      </w:r>
    </w:p>
    <w:p w14:paraId="2382B20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第二十三条 承包单位应当依照有关规定制定施工方案，加强现场作业安全管理，及时发现并消除事故隐患，落实各项规章制度和安全操作规程。</w:t>
      </w:r>
    </w:p>
    <w:p w14:paraId="67F5A5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承包单位发现事故隐患后应当立即治理；不能立即治理的应当采取必要的防范措施，并及时书面报告发包单位协商解决，消除事故隐患。</w:t>
      </w:r>
    </w:p>
    <w:p w14:paraId="55CE33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地下矿山工程承包单位及其项目部的主要负责人和领导班子其他成员应当严格依照《金属非金属地下矿山企业领导带班下井及监督检查暂行规定》执行带班下井制度。</w:t>
      </w:r>
    </w:p>
    <w:p w14:paraId="629C3BE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第二十四条 承包单位应当接受发包单位组织的安全生产培训与指导，加强对本单位从业人员的安全生产教育和培训，保证从业人员掌握必需的安全生产知识和操作技能。</w:t>
      </w:r>
    </w:p>
    <w:p w14:paraId="1EB3EA8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 xml:space="preserve">第二十五条 </w:t>
      </w:r>
      <w:r>
        <w:rPr>
          <w:rFonts w:ascii="仿宋_GB2312" w:hAnsi="仿宋_GB2312"/>
          <w:color w:val="000000"/>
          <w:sz w:val="32"/>
          <w:szCs w:val="32"/>
          <w:lang w:val="en-US"/>
        </w:rPr>
        <w:t>…</w:t>
      </w:r>
      <w:r>
        <w:rPr>
          <w:rFonts w:ascii="仿宋_GB2312" w:hAnsi="仿宋_GB2312" w:hint="eastAsia"/>
          <w:color w:val="000000"/>
          <w:sz w:val="32"/>
          <w:szCs w:val="32"/>
          <w:lang w:val="en-US"/>
        </w:rPr>
        <w:t>总承包单位和分项承包单位应当按照国家有关规定和应急预案的要求，分别建立应急救援组织或者指定应急救援人员，配备救援设备设施和器材，并定期组织演练。</w:t>
      </w:r>
    </w:p>
    <w:p w14:paraId="773951C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外包工程实行分项承包的，分项承包单位应当</w:t>
      </w:r>
      <w:r>
        <w:rPr>
          <w:rFonts w:ascii="仿宋_GB2312" w:hAnsi="仿宋_GB2312"/>
          <w:color w:val="000000"/>
          <w:sz w:val="32"/>
          <w:szCs w:val="32"/>
          <w:lang w:val="en-US"/>
        </w:rPr>
        <w:t>…</w:t>
      </w:r>
      <w:r>
        <w:rPr>
          <w:rFonts w:ascii="仿宋_GB2312" w:hAnsi="仿宋_GB2312" w:hint="eastAsia"/>
          <w:color w:val="000000"/>
          <w:sz w:val="32"/>
          <w:szCs w:val="32"/>
          <w:lang w:val="en-US"/>
        </w:rPr>
        <w:t>编制现场应急处置方案，并配合发包单位定期进行演练。</w:t>
      </w:r>
    </w:p>
    <w:p w14:paraId="6D0308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第二十九条：安全生产监督管理部门应当加强对外包工程的安全生产监督检查，重点检查下列事项：</w:t>
      </w:r>
    </w:p>
    <w:p w14:paraId="285B7C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（一）发包单位非煤矿山安全生产许可证、安全生产管</w:t>
      </w:r>
      <w:r>
        <w:rPr>
          <w:rFonts w:ascii="仿宋_GB2312" w:hAnsi="仿宋_GB2312" w:hint="eastAsia"/>
          <w:color w:val="000000"/>
          <w:sz w:val="32"/>
          <w:szCs w:val="32"/>
          <w:lang w:val="en-US"/>
        </w:rPr>
        <w:lastRenderedPageBreak/>
        <w:t>理协议、安全投入等情况；</w:t>
      </w:r>
    </w:p>
    <w:p w14:paraId="58BF7D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（二）承包单位的施工资质、应当依法取得的非煤矿山安全生产许可证、安全投入落实、承包单位及其项目部的安全生产管理机构、技术力量配备、相关人员的安全资格和持证等情况；</w:t>
      </w:r>
    </w:p>
    <w:p w14:paraId="453D0B1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（三）违法发包、转包、分项发包等行为。</w:t>
      </w:r>
    </w:p>
    <w:p w14:paraId="51DFF295"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第四章 对尾矿库生产经营单位安全生产的监督检查工作指引</w:t>
      </w:r>
    </w:p>
    <w:p w14:paraId="176A2DE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5F7090D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对尾矿库生产经营单位或尾矿库管理单位的行政检查</w:t>
      </w:r>
    </w:p>
    <w:p w14:paraId="7C72A88E"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二、检查内容</w:t>
      </w:r>
    </w:p>
    <w:p w14:paraId="55B93EDA"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（一）企业相关证照情况</w:t>
      </w:r>
    </w:p>
    <w:p w14:paraId="3EAD27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1.取得安全生产许可证情况；</w:t>
      </w:r>
    </w:p>
    <w:p w14:paraId="13CBB90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2.筑坝方式，坝型、坝外坡坡比、最终堆积标高和最终坝轴线的位置，坝体防渗、排渗及反滤层的设置，排洪系统的型式、布置及尺寸，设计以外的尾矿、废料或者废水进库等事项变更情况；</w:t>
      </w:r>
    </w:p>
    <w:p w14:paraId="0987369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（二）建设项目安全“三同时”情况</w:t>
      </w:r>
    </w:p>
    <w:p w14:paraId="2346E76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1.对生产运行的尾矿库，是否存在未经技术论证和安全生产监督管理部门的批准，设计以外的尾矿、废料或者废水进库等问题；</w:t>
      </w:r>
    </w:p>
    <w:p w14:paraId="7228F18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2.是否存在未经生产经营单位进行技术论证并同意，以及尾矿库建设项目安全设施设计原审批部门批准，在库区从</w:t>
      </w:r>
      <w:r>
        <w:rPr>
          <w:rFonts w:ascii="仿宋_GB2312" w:hAnsi="仿宋_GB2312" w:hint="eastAsia"/>
          <w:color w:val="000000"/>
          <w:sz w:val="32"/>
          <w:szCs w:val="32"/>
          <w:lang w:val="en-US"/>
        </w:rPr>
        <w:lastRenderedPageBreak/>
        <w:t>事爆破、采砂、地下采矿等危害尾矿库安全的作业问题。</w:t>
      </w:r>
    </w:p>
    <w:p w14:paraId="27C692F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3.生产运行的尾矿库，是否存在未经技术论证和安全生产监督管理部门的批准，变更筑坝方式、排放方式、坝型、坝外坡坡比、最终堆积标高和最终坝轴线的位置等问题；</w:t>
      </w:r>
    </w:p>
    <w:p w14:paraId="080126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4.坝面是否按规定按设计设置排水沟；</w:t>
      </w:r>
    </w:p>
    <w:p w14:paraId="2F2F311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5.安全评价是否每三年至少进行一次；</w:t>
      </w:r>
    </w:p>
    <w:p w14:paraId="407A9C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6.上游式尾矿坝堆积至二分之一至三分之二最终设计坝高时，是否按规定对坝体进行一次全面勘察，并进行稳定性专项评价；</w:t>
      </w:r>
    </w:p>
    <w:p w14:paraId="3AD8FBC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7.尾矿库运行到设计最终标高的前12个月内，生产经营单位是否按规定进行闭库前的安全现状评价和闭库设计，闭库设计应当包括安全设施设计；</w:t>
      </w:r>
    </w:p>
    <w:p w14:paraId="313FC8D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8.坝体防渗、排渗及反滤层的设置是否符合设计要求；</w:t>
      </w:r>
    </w:p>
    <w:p w14:paraId="7709189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9.排洪系统的型式、布置及尺寸是否符合设计要求；</w:t>
      </w:r>
    </w:p>
    <w:p w14:paraId="3300C74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10.在排水构筑物上或尾矿库内适当地点，是否按规定设置清晰醒目的水位标尺；</w:t>
      </w:r>
    </w:p>
    <w:p w14:paraId="3FE8A1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11.安全超高和干滩长度是否符合设计规定；</w:t>
      </w:r>
    </w:p>
    <w:p w14:paraId="5A967D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12.坝肩是否按要求设置截水沟。</w:t>
      </w:r>
    </w:p>
    <w:p w14:paraId="5A51703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（三）安全生产管理机构和人员配备情况</w:t>
      </w:r>
    </w:p>
    <w:p w14:paraId="014A391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配备相应的安全管理机构或者安全管理人员，并配备与工作需要相适应的专业技术人员或者具有相应工作能力的人员情况。</w:t>
      </w:r>
    </w:p>
    <w:p w14:paraId="177CAB5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（四）管理制度和责任制落实情况</w:t>
      </w:r>
    </w:p>
    <w:p w14:paraId="24C5810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1.组织建立、健全尾矿库安全生产责任制，制定完备的</w:t>
      </w:r>
      <w:r>
        <w:rPr>
          <w:rFonts w:ascii="仿宋_GB2312" w:hAnsi="仿宋_GB2312" w:hint="eastAsia"/>
          <w:color w:val="000000"/>
          <w:sz w:val="32"/>
          <w:szCs w:val="32"/>
          <w:lang w:val="en-US"/>
        </w:rPr>
        <w:lastRenderedPageBreak/>
        <w:t>安全生产规章制度和操作规程情况；</w:t>
      </w:r>
    </w:p>
    <w:p w14:paraId="47F46BE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2.尾矿库年度、季度作业计划编制及执行情况；</w:t>
      </w:r>
    </w:p>
    <w:p w14:paraId="06DD85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3.建立尾矿库工程档案建立并长期保存情况；</w:t>
      </w:r>
    </w:p>
    <w:p w14:paraId="7B51C7D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4.一等、二等、三等尾矿库是否安装在线监测系统；</w:t>
      </w:r>
    </w:p>
    <w:p w14:paraId="0B6BECB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5.一等、二等、三等、四等尾矿库是否按规定监测位移，浸润线、干滩、库水位、降水量等。五等尾矿库是否按规定监测位移、浸润线、干滩、库水位。监测数据是否连续、完整。</w:t>
      </w:r>
    </w:p>
    <w:p w14:paraId="466483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6.尾矿库运行到设计最终标高或者不再进行排尾作业的，是否在一年内完成闭库。</w:t>
      </w:r>
    </w:p>
    <w:p w14:paraId="1911708B"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（五）从业人员培训和持证上岗情况</w:t>
      </w:r>
    </w:p>
    <w:p w14:paraId="4D17367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1.主要负责人是否经经安全生产监督管理部门考核合格并取得安全资格证书；</w:t>
      </w:r>
    </w:p>
    <w:p w14:paraId="0E919FB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3.从事尾矿库放矿、筑坝、排洪和排渗设施操作的专职作业人员是否取得特种作业人员操作资格证书，方可上岗作业；</w:t>
      </w:r>
    </w:p>
    <w:p w14:paraId="03A90E9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4.是否按有关规定对职工进行安全教育、培训，分配职工上岗作业。</w:t>
      </w:r>
    </w:p>
    <w:p w14:paraId="07A0976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（六）安全投入、工伤保险情况</w:t>
      </w:r>
    </w:p>
    <w:p w14:paraId="36DD5C9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1.参加工伤保险情况；</w:t>
      </w:r>
    </w:p>
    <w:p w14:paraId="6536686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2.按照国家有关规定提取和使用安全生产费用情况。</w:t>
      </w:r>
    </w:p>
    <w:p w14:paraId="734FCC78"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（七）应急预案、应急器材和应急演练情况</w:t>
      </w:r>
    </w:p>
    <w:p w14:paraId="576419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生产经营单位是否针对垮坝、漫顶等生产安全事故和重大险情制定应急救援预案，并进行预案演练。</w:t>
      </w:r>
    </w:p>
    <w:p w14:paraId="362E1C11"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lastRenderedPageBreak/>
        <w:t>三、检查方法</w:t>
      </w:r>
    </w:p>
    <w:p w14:paraId="21F787C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301FA6D8"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四、检查依据</w:t>
      </w:r>
    </w:p>
    <w:p w14:paraId="49507AFE"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2F8B49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0D9EDE6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22C7448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519CB5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3EAD94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w:t>
      </w:r>
      <w:r>
        <w:rPr>
          <w:rFonts w:ascii="仿宋_GB2312" w:hAnsi="仿宋_GB2312" w:hint="eastAsia"/>
          <w:color w:val="000000"/>
          <w:sz w:val="32"/>
          <w:szCs w:val="32"/>
          <w:lang w:val="en-US"/>
        </w:rPr>
        <w:lastRenderedPageBreak/>
        <w:t>处理决定。</w:t>
      </w:r>
    </w:p>
    <w:p w14:paraId="639DFEA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3F3E9380"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（二）《尾矿库安全监督管理规定》（国家安全监管总局令第38号，2015年5月29日修订）</w:t>
      </w:r>
    </w:p>
    <w:p w14:paraId="5EAD58A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第四条第三款 省级安全生产监督管理部门负责总库容100万立方米(含100万)以上尾矿库的安全监督管理；地(市)级安全生产监督管理部门负责总库容100万立方米以下尾矿库的安全监督管理，并可以结合实际情况委托县级安全生产监督管理部门进行监督管理。</w:t>
      </w:r>
    </w:p>
    <w:p w14:paraId="3B2E357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 生产经营单位负责组织建立、健全尾矿库安全生产责任制，制定完备的安全生产规章制度和操作规程，实施安全管理。</w:t>
      </w:r>
    </w:p>
    <w:p w14:paraId="76C5DE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生产经营单位应当保证尾矿库具备安全生产条件所必需的资金投入，配备相应的安全管理机构或者安全管理人员，并配备与工作需要相适应的专业技术人员或者具有相应工作能力的人员。</w:t>
      </w:r>
    </w:p>
    <w:p w14:paraId="1FEE72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生产经营单位应当针对垮坝、漫顶等生产安全事故和重大险情制定应急救援预案，并进行预案演练。</w:t>
      </w:r>
    </w:p>
    <w:p w14:paraId="19B94CF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生产经营单位应当建立尾矿库工程档案，特别是隐蔽工程的档案，并长期保管。</w:t>
      </w:r>
    </w:p>
    <w:p w14:paraId="74CB9BC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从事尾矿库放矿、筑坝、排洪和排渗设施操作的专职作业人员必须取得特种作业人员操作资格证书，方可上岗作业。</w:t>
      </w:r>
    </w:p>
    <w:p w14:paraId="422392D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第十条 尾矿库的勘察、设计、安全评价、施工及施工监</w:t>
      </w:r>
      <w:r>
        <w:rPr>
          <w:rFonts w:ascii="仿宋_GB2312" w:hAnsi="仿宋_GB2312" w:hint="eastAsia"/>
          <w:color w:val="000000"/>
          <w:sz w:val="32"/>
          <w:szCs w:val="32"/>
          <w:lang w:val="en-US"/>
        </w:rPr>
        <w:lastRenderedPageBreak/>
        <w:t>理等应当由具有相应资质的单位承担。</w:t>
      </w:r>
    </w:p>
    <w:p w14:paraId="69C4CD1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第十一条第二款 尾矿库建设项目安全设施设计审查与竣工验收应当符合《非煤矿矿山建设项目安全设施设计审查与竣工验收办法》及有关法律、法规的规定。</w:t>
      </w:r>
    </w:p>
    <w:p w14:paraId="3DFDECA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尾矿库工程设计应当包括安全专篇。安全专篇应当对尾矿库及尾矿坝稳定性、尾矿库防洪能力及排洪设施和安全观测设施的可靠性进行充分论证。</w:t>
      </w:r>
    </w:p>
    <w:p w14:paraId="516C02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第十三条第一款 尾矿库建设项目应当进行安全设施设计并经审查合格，方可施工。无安全设施设计或者安全设施设计未通过审查，不得施工。</w:t>
      </w:r>
    </w:p>
    <w:p w14:paraId="37B8420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对涉及尾矿库库址、等别、尾矿坝坝型、排洪方式等重大设计方案变更时，应当报经尾矿库建设项目安全设施设计的原审批部门批准。</w:t>
      </w:r>
    </w:p>
    <w:p w14:paraId="32C9751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 施工中需要对设计进行局部修改的，应当经原设计单位认可；对设计进行重大修改的，应当由原设计单位重新设计，并报尾矿库建设项目安全设施设计的原审批部门批准。</w:t>
      </w:r>
    </w:p>
    <w:p w14:paraId="759D9A7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生产经营单位应当按照《非煤矿矿山企业安全生产许可证实施办法》的有关规定，为其尾矿库申请领取安全生产许可证。未依法取得安全生产许可证的尾矿库，不得生产运行。</w:t>
      </w:r>
    </w:p>
    <w:p w14:paraId="3A3BC0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第十七条 对生产运行中的尾矿库，未经技术论证和安全生产监督管理部门的批准，任何单位和个人不得对下列事项进行变更：</w:t>
      </w:r>
    </w:p>
    <w:p w14:paraId="21508B3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(一)筑坝方式；</w:t>
      </w:r>
    </w:p>
    <w:p w14:paraId="29FA142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(二)坝型、坝外坡坡比、最终堆积标高和最终坝轴线的位置；</w:t>
      </w:r>
    </w:p>
    <w:p w14:paraId="79E4CF9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(三)坝体防渗、排渗及反滤层的设置；</w:t>
      </w:r>
    </w:p>
    <w:p w14:paraId="59FD04D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（四)排洪系统的型式、布置及尺寸；</w:t>
      </w:r>
    </w:p>
    <w:p w14:paraId="5AAF611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(五)设计以外的尾矿、废料或者废水进库等。</w:t>
      </w:r>
    </w:p>
    <w:p w14:paraId="152C26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尾矿库应当每三年至少进行一次安全评价。安全评价包括现场调查、收集资料、危险因素识别、相关安全性验算和编写安全评价报告。</w:t>
      </w:r>
    </w:p>
    <w:p w14:paraId="59C2DFA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第三十五条 安全生产监督管理部门应当加强对尾矿库生产经营单位安全生产的监督检查，对检查中发现的事故隐患和违法违规生产行为，依法作出处理。</w:t>
      </w:r>
    </w:p>
    <w:p w14:paraId="240BC59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（二）《金属非金属矿山重大事故隐患判定标准》（矿安〔2022〕88号）尾矿库重大生产安全事故隐患：</w:t>
      </w:r>
    </w:p>
    <w:p w14:paraId="72A71DB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（一）库区或者尾矿坝上存在未按设计进行开采、挖掘、爆破等危及尾矿库安全的活动。</w:t>
      </w:r>
    </w:p>
    <w:p w14:paraId="102C181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（二）坝体存在下列情形之一的：</w:t>
      </w:r>
    </w:p>
    <w:p w14:paraId="06A471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1.坝体出现严重的管涌、流土变形等现象；</w:t>
      </w:r>
    </w:p>
    <w:p w14:paraId="6D9141D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2.坝体出现贯穿性裂缝、坍塌、滑动迹象；</w:t>
      </w:r>
    </w:p>
    <w:p w14:paraId="789760D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3.坝体出现大面积纵向裂缝，且出现较大范围渗透水高位出逸或者大面积沼泽化。</w:t>
      </w:r>
    </w:p>
    <w:p w14:paraId="626C126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（三）坝体的平均外坡比或者堆积子坝的外坡比陡于设计坡比。</w:t>
      </w:r>
    </w:p>
    <w:p w14:paraId="670B70C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（四）坝体高度超过设计总坝高，或者尾矿库超过设计</w:t>
      </w:r>
      <w:r>
        <w:rPr>
          <w:rFonts w:ascii="仿宋_GB2312" w:hAnsi="仿宋_GB2312" w:hint="eastAsia"/>
          <w:color w:val="000000"/>
          <w:sz w:val="32"/>
          <w:szCs w:val="32"/>
          <w:lang w:val="en-US"/>
        </w:rPr>
        <w:lastRenderedPageBreak/>
        <w:t>库容贮存尾矿。</w:t>
      </w:r>
    </w:p>
    <w:p w14:paraId="3CF18CC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（五）尾矿堆积坝上升速率大于设计堆积上升速率。</w:t>
      </w:r>
    </w:p>
    <w:p w14:paraId="19B39BD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（六）采用尾矿堆坝的尾矿库，未按《尾矿库安全规程》（GB39496-2020）第6.1.9条规定对尾矿坝做全面的安全性复核。</w:t>
      </w:r>
    </w:p>
    <w:p w14:paraId="1A6F761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（七）浸润线埋深小于控制浸润线埋深。</w:t>
      </w:r>
    </w:p>
    <w:p w14:paraId="4112B7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（八）汛前未按国家有关规定对尾矿库进行调洪演算，或者湿式尾矿库防洪高度和干滩长度小于设计值，或者干式尾矿库防洪高度和防洪宽度小于设计值。</w:t>
      </w:r>
    </w:p>
    <w:p w14:paraId="060B5E7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（九）排洪系统存在下列情形之一的：</w:t>
      </w:r>
    </w:p>
    <w:p w14:paraId="7D330E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1.排水井、排水斜槽、排水管、排水隧洞、拱板、盖板等排洪建构筑物混凝土厚度、强度或者型式不满足设计要求；</w:t>
      </w:r>
    </w:p>
    <w:p w14:paraId="2ABABC2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2.排洪设施部分堵塞或者坍塌、排水井有所倾斜，排水能力有所降低，达不到设计要求；</w:t>
      </w:r>
    </w:p>
    <w:p w14:paraId="58D22C1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3.排洪构筑物终止使用时，封堵措施不满足设计要求。</w:t>
      </w:r>
    </w:p>
    <w:p w14:paraId="11F35AF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（十）设计以外的尾矿、废料或者废水进库。</w:t>
      </w:r>
    </w:p>
    <w:p w14:paraId="3FF53D9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（十一）多种矿石性质不同的尾砂混合排放时，未按设计进行排放。</w:t>
      </w:r>
    </w:p>
    <w:p w14:paraId="3E48F33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（十二）冬季未按设计要求的冰下放矿方式进行放矿作业。</w:t>
      </w:r>
    </w:p>
    <w:p w14:paraId="0FA68C2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（十三）安全监测系统存在下列情形之一的：</w:t>
      </w:r>
    </w:p>
    <w:p w14:paraId="035A5BA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1.未按设计设置安全监测系统；</w:t>
      </w:r>
    </w:p>
    <w:p w14:paraId="3C79E5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2.安全监测系统运行不正常未及时修复；</w:t>
      </w:r>
    </w:p>
    <w:p w14:paraId="2B5B2B8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3.关闭、破坏安全监测系统，或者篡改、隐瞒、销毁其</w:t>
      </w:r>
      <w:r>
        <w:rPr>
          <w:rFonts w:ascii="仿宋_GB2312" w:hAnsi="仿宋_GB2312" w:hint="eastAsia"/>
          <w:color w:val="000000"/>
          <w:sz w:val="32"/>
          <w:szCs w:val="32"/>
          <w:lang w:val="en-US"/>
        </w:rPr>
        <w:lastRenderedPageBreak/>
        <w:t>相关数据、信息。</w:t>
      </w:r>
    </w:p>
    <w:p w14:paraId="63A1848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（十四）干式尾矿库存在下列情形之一的：</w:t>
      </w:r>
    </w:p>
    <w:p w14:paraId="4666088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1.入库尾矿的含水率大于设计值，无法进行正常碾压且未设置可靠的防范措施；</w:t>
      </w:r>
    </w:p>
    <w:p w14:paraId="5361386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2.堆存推进方向与设计不一致；</w:t>
      </w:r>
    </w:p>
    <w:p w14:paraId="53BE4E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3.分层厚度或者台阶高度大于设计值；</w:t>
      </w:r>
    </w:p>
    <w:p w14:paraId="46E4670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4.未按设计要求进行碾压。</w:t>
      </w:r>
    </w:p>
    <w:p w14:paraId="435048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（十五）经验算，坝体抗滑稳定最小安全系数小于国家标准规定值的0.98倍。</w:t>
      </w:r>
    </w:p>
    <w:p w14:paraId="79F4D7B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（十六）三等及以上尾矿库及“头顶库”未按设计设置通往坝顶、排洪系统附近的应急道路，或者应急道路无法满足应急抢险时通行和运送应急物资的需求。</w:t>
      </w:r>
    </w:p>
    <w:p w14:paraId="4103C5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（十七）尾矿库回采存在下列情形之一的：</w:t>
      </w:r>
    </w:p>
    <w:p w14:paraId="48BE45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1.未经批准擅自回采；</w:t>
      </w:r>
    </w:p>
    <w:p w14:paraId="46768D9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2.回采方式、顺序、单层开采高度、台阶坡面角不符合设计要求；</w:t>
      </w:r>
    </w:p>
    <w:p w14:paraId="4D21DCA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3.同时进行回采和排放。</w:t>
      </w:r>
    </w:p>
    <w:p w14:paraId="271AB8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（十八）用以贮存独立选矿厂进行矿石选别后排出尾矿的场所，未按尾矿库实施安全管理的。</w:t>
      </w:r>
    </w:p>
    <w:p w14:paraId="4724EB6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（十九）未按国家规定配备专职安全生产管理人员、专业技术人员和特种作业人员。</w:t>
      </w:r>
    </w:p>
    <w:p w14:paraId="6E68A822"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第五章 对小型露天采石场的监督检查   工作指引</w:t>
      </w:r>
    </w:p>
    <w:p w14:paraId="4007240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lastRenderedPageBreak/>
        <w:t>一、抽查事项</w:t>
      </w:r>
    </w:p>
    <w:p w14:paraId="6CFCF3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小型露天采石场的监督检查</w:t>
      </w:r>
    </w:p>
    <w:p w14:paraId="3F11D935"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二、检查内容与方法</w:t>
      </w:r>
    </w:p>
    <w:p w14:paraId="2AC6A198"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（一）企业相关证照情况</w:t>
      </w:r>
    </w:p>
    <w:p w14:paraId="213207C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1.取得非煤矿矿山企业安全生产许可证情况；</w:t>
      </w:r>
    </w:p>
    <w:p w14:paraId="17623D8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2.安全生产许可证保持有效情况；</w:t>
      </w:r>
    </w:p>
    <w:p w14:paraId="2EDF602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3.承包爆破作业的专业服务单位取得爆破作业单位许可证情况；</w:t>
      </w:r>
    </w:p>
    <w:p w14:paraId="4A777DA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4.承包采矿和剥离作业的采掘施工单位持有非煤矿矿山企业安全生产许可证情况。</w:t>
      </w:r>
    </w:p>
    <w:p w14:paraId="651D055A"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（二）建设项目安全“三同时”情况</w:t>
      </w:r>
    </w:p>
    <w:p w14:paraId="25632D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1.新建、改建、扩建小型露天采石场开采设计或者开采方案编制情况；</w:t>
      </w:r>
    </w:p>
    <w:p w14:paraId="68DC39D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2.新建、改建、扩建工程项目安全设施履行设计审查程序情况。</w:t>
      </w:r>
    </w:p>
    <w:p w14:paraId="63A3A77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（三）安全生产管理机构和人员配备情况</w:t>
      </w:r>
    </w:p>
    <w:p w14:paraId="185CB9E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1.安全管理机构设置情况；</w:t>
      </w:r>
    </w:p>
    <w:p w14:paraId="3854B0C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2.专职安全管理人员配备情况。</w:t>
      </w:r>
    </w:p>
    <w:p w14:paraId="240F992B"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（四）领导带班、管理制度和责任制落实情况</w:t>
      </w:r>
    </w:p>
    <w:p w14:paraId="0573C14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1.安全生产管理制度和岗位安全操作规程制定情况；</w:t>
      </w:r>
    </w:p>
    <w:p w14:paraId="44CB165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2.相邻两个采石场签订安全生产管理协议情况；</w:t>
      </w:r>
    </w:p>
    <w:p w14:paraId="3E24D50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3.民用爆炸物品和爆破作业管理制度制定及落实情况；</w:t>
      </w:r>
    </w:p>
    <w:p w14:paraId="260C798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4.外包施工单位管理制度制定及落实情况；</w:t>
      </w:r>
    </w:p>
    <w:p w14:paraId="47A00F8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5.是否采用扩壶爆破、掏底崩落、掏挖开采和不分层的</w:t>
      </w:r>
      <w:r>
        <w:rPr>
          <w:rFonts w:ascii="仿宋_GB2312" w:hAnsi="仿宋_GB2312" w:hint="eastAsia"/>
          <w:color w:val="000000"/>
          <w:sz w:val="32"/>
          <w:szCs w:val="32"/>
          <w:lang w:val="en-US"/>
        </w:rPr>
        <w:lastRenderedPageBreak/>
        <w:t>“一面墙”等开采方式；</w:t>
      </w:r>
    </w:p>
    <w:p w14:paraId="6280B1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6.台阶式开采是否符合相关规定。</w:t>
      </w:r>
    </w:p>
    <w:p w14:paraId="7E19938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（五）从业人员培训和持证上岗情况</w:t>
      </w:r>
    </w:p>
    <w:p w14:paraId="363D011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1.主要负责人是否经安全生产监督管理部门考核合格并取得安全资格证书；</w:t>
      </w:r>
    </w:p>
    <w:p w14:paraId="5D5F12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2.安全生产管理人员是否按照国家有关规定经安全生产监督管理部门考核合格并取得安全资格证书；</w:t>
      </w:r>
    </w:p>
    <w:p w14:paraId="235EB88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3.新进矿山的作业人员是否接受不少于40小时的安全培训，已在岗的作业人员是否每年接受不少于</w:t>
      </w:r>
      <w:r>
        <w:rPr>
          <w:rFonts w:ascii="仿宋_GB2312" w:hAnsi="仿宋_GB2312"/>
          <w:color w:val="000000"/>
          <w:sz w:val="32"/>
          <w:szCs w:val="32"/>
          <w:lang w:val="en-US"/>
        </w:rPr>
        <w:t>20</w:t>
      </w:r>
      <w:r>
        <w:rPr>
          <w:rFonts w:ascii="仿宋_GB2312" w:hAnsi="仿宋_GB2312" w:hint="eastAsia"/>
          <w:color w:val="000000"/>
          <w:sz w:val="32"/>
          <w:szCs w:val="32"/>
          <w:lang w:val="en-US"/>
        </w:rPr>
        <w:t>小时的安全再培训。</w:t>
      </w:r>
    </w:p>
    <w:p w14:paraId="03D9BA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4.特种作业人员是否按照国家有关规定经专门的安全技术培训并考核合格，取得特种作业操作证书后上岗作业。</w:t>
      </w:r>
    </w:p>
    <w:p w14:paraId="52DB826C"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（六）安全投入、工伤保险情况</w:t>
      </w:r>
    </w:p>
    <w:p w14:paraId="4A27419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1.参加工伤保险情况；</w:t>
      </w:r>
    </w:p>
    <w:p w14:paraId="5F0B84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2.按照国家有关规定提取和使用安全生产费用情况。</w:t>
      </w:r>
    </w:p>
    <w:p w14:paraId="57D9F7FA"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（七）应急预案、应急器材和应急演练情况。</w:t>
      </w:r>
    </w:p>
    <w:p w14:paraId="600B1EE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1.应急救援预案制定及演练、兼职救援队伍建立情况；</w:t>
      </w:r>
    </w:p>
    <w:p w14:paraId="25ADE2D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2.与邻近的矿山救护队或者其他具备救护条件的单位签订救护协议情况。</w:t>
      </w:r>
    </w:p>
    <w:p w14:paraId="1AE3C77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三、检查依据</w:t>
      </w:r>
    </w:p>
    <w:p w14:paraId="2F68020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442208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w:t>
      </w:r>
      <w:r>
        <w:rPr>
          <w:rFonts w:ascii="仿宋_GB2312" w:hAnsi="仿宋_GB2312" w:hint="eastAsia"/>
          <w:color w:val="000000"/>
          <w:sz w:val="32"/>
          <w:szCs w:val="32"/>
          <w:lang w:val="en-US"/>
        </w:rPr>
        <w:lastRenderedPageBreak/>
        <w:t>管理职责的部门依法开展安全生产行政执法工作，对生产经营单位执行有关安全生产的法律、法规和国家标准或者行业标准的情况进行监督检查，行使以下职权:</w:t>
      </w:r>
    </w:p>
    <w:p w14:paraId="68AD076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5102637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63ADE2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0D763C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21AA4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5320D8BB"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（二）《小型露天采石场安全管理与监督检查规定》（国家安全监管总局令第39号，2015年5月26日修正）</w:t>
      </w:r>
    </w:p>
    <w:p w14:paraId="2E27605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第三条 县级以上地方人民政府安全生产监督管理部门对小型露天采石场的安全生产实施监督管理。</w:t>
      </w:r>
    </w:p>
    <w:p w14:paraId="37A6E0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 小型露天采石场主要负责人对本单位的安全生</w:t>
      </w:r>
      <w:r>
        <w:rPr>
          <w:rFonts w:ascii="仿宋_GB2312" w:hAnsi="仿宋_GB2312" w:hint="eastAsia"/>
          <w:color w:val="000000"/>
          <w:sz w:val="32"/>
          <w:szCs w:val="32"/>
          <w:lang w:val="en-US"/>
        </w:rPr>
        <w:lastRenderedPageBreak/>
        <w:t>产工作负总责，应当组织制定和落实安全生产责任制，改善劳动条件和作业环境，保证安全生产投入的有效实施。</w:t>
      </w:r>
    </w:p>
    <w:p w14:paraId="180D452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小型露天采石场主要负责人应当经安全生产监督管理部门考核合格并取得安全资格证书。</w:t>
      </w:r>
    </w:p>
    <w:p w14:paraId="5023560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 小型露天采石场应当建立健全安全生产管理制度和岗位安全操作规程，至少配备一名专职安全生产管理人员。</w:t>
      </w:r>
    </w:p>
    <w:p w14:paraId="76A7B7A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安全生产管理人员应当按照国家有关规定经安全生产监督管理部门考核合格并取得安全资格证书。</w:t>
      </w:r>
    </w:p>
    <w:p w14:paraId="1B3DB0E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小型露天采石场应当至少配备一名专业技术人员，或者聘用专业技术人员、注册安全工程师、委托相关技术服务机构为其提供安全生产管理服务。</w:t>
      </w:r>
    </w:p>
    <w:p w14:paraId="28B948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小型露天采石场新进矿山的作业人员应当接受不少于</w:t>
      </w:r>
      <w:r>
        <w:rPr>
          <w:rFonts w:ascii="仿宋_GB2312" w:hAnsi="仿宋_GB2312"/>
          <w:color w:val="000000"/>
          <w:sz w:val="32"/>
          <w:szCs w:val="32"/>
          <w:lang w:val="en-US"/>
        </w:rPr>
        <w:t>40</w:t>
      </w:r>
      <w:r>
        <w:rPr>
          <w:rFonts w:ascii="仿宋_GB2312" w:hAnsi="仿宋_GB2312" w:hint="eastAsia"/>
          <w:color w:val="000000"/>
          <w:sz w:val="32"/>
          <w:szCs w:val="32"/>
          <w:lang w:val="en-US"/>
        </w:rPr>
        <w:t>小时的安全培训，已在岗的作业人员应当每年接受不少于</w:t>
      </w:r>
      <w:r>
        <w:rPr>
          <w:rFonts w:ascii="仿宋_GB2312" w:hAnsi="仿宋_GB2312"/>
          <w:color w:val="000000"/>
          <w:sz w:val="32"/>
          <w:szCs w:val="32"/>
          <w:lang w:val="en-US"/>
        </w:rPr>
        <w:t>20</w:t>
      </w:r>
      <w:r>
        <w:rPr>
          <w:rFonts w:ascii="仿宋_GB2312" w:hAnsi="仿宋_GB2312" w:hint="eastAsia"/>
          <w:color w:val="000000"/>
          <w:sz w:val="32"/>
          <w:szCs w:val="32"/>
          <w:lang w:val="en-US"/>
        </w:rPr>
        <w:t>小时的安全再培训。</w:t>
      </w:r>
    </w:p>
    <w:p w14:paraId="6720CB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特种作业人员必须按照国家有关规定经专门的安全技术培训并考核合格，取得特种作业操作证书后，方可上岗作业。</w:t>
      </w:r>
    </w:p>
    <w:p w14:paraId="701F262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小型露天采石场必须参加工伤保险，按照国家有关规定提取和使用安全生产费用。</w:t>
      </w:r>
    </w:p>
    <w:p w14:paraId="7608B2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新建、改建、扩建小型露天采石场应当由具有建设主管部门认定资质的设计单位编制开采设计或者开采方案。采石场布置和开采方式发生重大变化时，应当重新编制开采设计或者开采方案，并由原审查部门审查批准。</w:t>
      </w:r>
    </w:p>
    <w:p w14:paraId="46BBED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第十条 小型露天采石场新建、改建、扩建工程项目安全设施应当按照规定履行设计审查程序。</w:t>
      </w:r>
    </w:p>
    <w:p w14:paraId="32828B0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第十一条第一款 小型露天采石场应当依法取得非煤矿矿山企业安全生产许可证。未取得安全生产许可证的，不得从事生产活动。</w:t>
      </w:r>
    </w:p>
    <w:p w14:paraId="551B796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相邻的采石场开采范围之间最小距离应当大于</w:t>
      </w:r>
      <w:r>
        <w:rPr>
          <w:rFonts w:ascii="仿宋_GB2312" w:hAnsi="仿宋_GB2312"/>
          <w:color w:val="000000"/>
          <w:sz w:val="32"/>
          <w:szCs w:val="32"/>
          <w:lang w:val="en-US"/>
        </w:rPr>
        <w:t>300</w:t>
      </w:r>
      <w:r>
        <w:rPr>
          <w:rFonts w:ascii="仿宋_GB2312" w:hAnsi="仿宋_GB2312" w:hint="eastAsia"/>
          <w:color w:val="000000"/>
          <w:sz w:val="32"/>
          <w:szCs w:val="32"/>
          <w:lang w:val="en-US"/>
        </w:rPr>
        <w:t>米。对可能危及对方生产安全的，双方应当签订安全生产管理协议，明确各自的安全生产管理职责和应当采取的安全措施，指定专门人员进行安全检查与协调。</w:t>
      </w:r>
    </w:p>
    <w:p w14:paraId="1A0E698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第十三条第一款 小型露天采石场应当采用中深孔爆破，严禁采用扩壶爆破、掏底崩落、掏挖开采和不分层的“一面墙”等开采方式。</w:t>
      </w:r>
    </w:p>
    <w:p w14:paraId="35F2F7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不采用爆破方式直接使用挖掘机进行采矿作业的，台阶高度不得超过挖掘机最大挖掘高度。</w:t>
      </w:r>
    </w:p>
    <w:p w14:paraId="44FF380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 小型露天采石场应当采用台阶式开采。不能采用台阶式开采的，应当自上而下分层顺序开采。</w:t>
      </w:r>
    </w:p>
    <w:p w14:paraId="0E144CB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分层开采的分层高度、最大开采高度（第一分层的坡顶线到最后一分层的坡底线的垂直距离）和最终边坡角由设计确定，实施浅孔爆破作业时，分层数不得超过</w:t>
      </w:r>
      <w:r>
        <w:rPr>
          <w:rFonts w:ascii="仿宋_GB2312" w:hAnsi="仿宋_GB2312"/>
          <w:color w:val="000000"/>
          <w:sz w:val="32"/>
          <w:szCs w:val="32"/>
          <w:lang w:val="en-US"/>
        </w:rPr>
        <w:t>6</w:t>
      </w:r>
      <w:r>
        <w:rPr>
          <w:rFonts w:ascii="仿宋_GB2312" w:hAnsi="仿宋_GB2312" w:hint="eastAsia"/>
          <w:color w:val="000000"/>
          <w:sz w:val="32"/>
          <w:szCs w:val="32"/>
          <w:lang w:val="en-US"/>
        </w:rPr>
        <w:t>个，最大开采高度不得超过</w:t>
      </w:r>
      <w:r>
        <w:rPr>
          <w:rFonts w:ascii="仿宋_GB2312" w:hAnsi="仿宋_GB2312"/>
          <w:color w:val="000000"/>
          <w:sz w:val="32"/>
          <w:szCs w:val="32"/>
          <w:lang w:val="en-US"/>
        </w:rPr>
        <w:t>30</w:t>
      </w:r>
      <w:r>
        <w:rPr>
          <w:rFonts w:ascii="仿宋_GB2312" w:hAnsi="仿宋_GB2312" w:hint="eastAsia"/>
          <w:color w:val="000000"/>
          <w:sz w:val="32"/>
          <w:szCs w:val="32"/>
          <w:lang w:val="en-US"/>
        </w:rPr>
        <w:t>米；实施中深孔爆破作业时，分层高度不得超过</w:t>
      </w:r>
      <w:r>
        <w:rPr>
          <w:rFonts w:ascii="仿宋_GB2312" w:hAnsi="仿宋_GB2312"/>
          <w:color w:val="000000"/>
          <w:sz w:val="32"/>
          <w:szCs w:val="32"/>
          <w:lang w:val="en-US"/>
        </w:rPr>
        <w:t>20</w:t>
      </w:r>
      <w:r>
        <w:rPr>
          <w:rFonts w:ascii="仿宋_GB2312" w:hAnsi="仿宋_GB2312" w:hint="eastAsia"/>
          <w:color w:val="000000"/>
          <w:sz w:val="32"/>
          <w:szCs w:val="32"/>
          <w:lang w:val="en-US"/>
        </w:rPr>
        <w:t>米，分层数不得超过</w:t>
      </w:r>
      <w:r>
        <w:rPr>
          <w:rFonts w:ascii="仿宋_GB2312" w:hAnsi="仿宋_GB2312"/>
          <w:color w:val="000000"/>
          <w:sz w:val="32"/>
          <w:szCs w:val="32"/>
          <w:lang w:val="en-US"/>
        </w:rPr>
        <w:t>3</w:t>
      </w:r>
      <w:r>
        <w:rPr>
          <w:rFonts w:ascii="仿宋_GB2312" w:hAnsi="仿宋_GB2312" w:hint="eastAsia"/>
          <w:color w:val="000000"/>
          <w:sz w:val="32"/>
          <w:szCs w:val="32"/>
          <w:lang w:val="en-US"/>
        </w:rPr>
        <w:t>个，最大开采高度不得超过</w:t>
      </w:r>
      <w:r>
        <w:rPr>
          <w:rFonts w:ascii="仿宋_GB2312" w:hAnsi="仿宋_GB2312"/>
          <w:color w:val="000000"/>
          <w:sz w:val="32"/>
          <w:szCs w:val="32"/>
          <w:lang w:val="en-US"/>
        </w:rPr>
        <w:t>60</w:t>
      </w:r>
      <w:r>
        <w:rPr>
          <w:rFonts w:ascii="仿宋_GB2312" w:hAnsi="仿宋_GB2312" w:hint="eastAsia"/>
          <w:color w:val="000000"/>
          <w:sz w:val="32"/>
          <w:szCs w:val="32"/>
          <w:lang w:val="en-US"/>
        </w:rPr>
        <w:t>米。</w:t>
      </w:r>
    </w:p>
    <w:p w14:paraId="3BD0C85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分层开采的凿岩平台宽度由设计确定，最小凿岩平台宽度不得小于</w:t>
      </w:r>
      <w:r>
        <w:rPr>
          <w:rFonts w:ascii="仿宋_GB2312" w:hAnsi="仿宋_GB2312"/>
          <w:color w:val="000000"/>
          <w:sz w:val="32"/>
          <w:szCs w:val="32"/>
          <w:lang w:val="en-US"/>
        </w:rPr>
        <w:t>4</w:t>
      </w:r>
      <w:r>
        <w:rPr>
          <w:rFonts w:ascii="仿宋_GB2312" w:hAnsi="仿宋_GB2312" w:hint="eastAsia"/>
          <w:color w:val="000000"/>
          <w:sz w:val="32"/>
          <w:szCs w:val="32"/>
          <w:lang w:val="en-US"/>
        </w:rPr>
        <w:t>米。</w:t>
      </w:r>
    </w:p>
    <w:p w14:paraId="53A2E86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分层开采的底部装运平台宽度由设计确定，且应当满足调车作业所需的最小平台宽度要求。</w:t>
      </w:r>
    </w:p>
    <w:p w14:paraId="2BBBA59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第十六条第一款 小型露天采石场应当遵守国家有关民用爆炸物品和爆破作业的安全规定，由具有相应资格的爆破作业人员进行爆破</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58CC85B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承包爆破作业的专业服务单位应当取得爆破作业单位许可证，承包采矿和剥离作业的采掘施工单位应当持有非煤矿矿山企业安全生产许可证。</w:t>
      </w:r>
    </w:p>
    <w:p w14:paraId="3931D0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第二十五条 小型露天采石场应当制定完善的防洪措施。对开采境界上方汇水影响安全的，应当设置截水沟。</w:t>
      </w:r>
    </w:p>
    <w:p w14:paraId="47170DB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第二十六条 小型露天采石场应当制定应急救援预案，建立兼职救援队伍，明确救援人员的职责，并与邻近的矿山救护队或者其他具备救护条件的单位签订救护协议。</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5A751C6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第三十五条 安全生产监督管理部门应当加强对尾矿库生产经营单位安全生产的监督检查，对检查中发现的事故隐患和违法违规生产行为，依法作出处理。</w:t>
      </w:r>
    </w:p>
    <w:p w14:paraId="59D0C60F"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（二）《金属非金属矿山重大事故隐患判定标准》（矿安〔2022〕88号）金属非金属露天矿山重大生产安全事故隐患：</w:t>
      </w:r>
    </w:p>
    <w:p w14:paraId="394B11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（一）地下开采转露天开采前，未探明采空区和溶洞，或者未按设计处理对露天开采安全有威胁的采空区和溶洞。</w:t>
      </w:r>
    </w:p>
    <w:p w14:paraId="0FE4A23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（二）使用国家明令禁止使用的设备、材料或者工艺。</w:t>
      </w:r>
    </w:p>
    <w:p w14:paraId="5130555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（三）未采用自上而下的开采顺序分台阶或者分层开采。</w:t>
      </w:r>
    </w:p>
    <w:p w14:paraId="46462B3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（四）工作帮坡角大于设计工作帮坡角，或者最终边坡台阶高度超过设计高度。</w:t>
      </w:r>
    </w:p>
    <w:p w14:paraId="0CF4C39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（五）开采或者破坏设计要求保留的矿（岩）柱或者挂帮矿体。</w:t>
      </w:r>
    </w:p>
    <w:p w14:paraId="24FF11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（六）未按有关国家标准或者行业标准对采场边坡、排土场边坡进行稳定性分析。</w:t>
      </w:r>
    </w:p>
    <w:p w14:paraId="686173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（七）边坡存在下列情形之一的：</w:t>
      </w:r>
    </w:p>
    <w:p w14:paraId="7D8C20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1.高度200米及以上的采场边坡未进行在线监测；</w:t>
      </w:r>
    </w:p>
    <w:p w14:paraId="03BB12E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2.高度200米及以上的排土场边坡未建立边坡稳定监测系统；</w:t>
      </w:r>
    </w:p>
    <w:p w14:paraId="3ACFDB9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3.关闭、破坏监测系统或者隐瞒、篡改、销毁其相关数据、信息。</w:t>
      </w:r>
    </w:p>
    <w:p w14:paraId="5327FCE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（八）边坡出现滑移现象，存在下列情形之一的：</w:t>
      </w:r>
    </w:p>
    <w:p w14:paraId="401D397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1.边坡出现横向及纵向放射状裂缝；</w:t>
      </w:r>
    </w:p>
    <w:p w14:paraId="3C31D8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2.坡体前缘坡脚处出现上隆（凸起）现象，后缘的裂缝急剧扩展；</w:t>
      </w:r>
    </w:p>
    <w:p w14:paraId="5F44E96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3.位移观测资料显示的水平位移量或者垂直位移量出现加速变化的趋势。</w:t>
      </w:r>
    </w:p>
    <w:p w14:paraId="71BAFAE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（九）运输道路坡度大于设计坡度10%以上。</w:t>
      </w:r>
    </w:p>
    <w:p w14:paraId="2D38F5C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（十）凹陷露天矿山未按设计建设防洪、排洪设施。</w:t>
      </w:r>
    </w:p>
    <w:p w14:paraId="7D3A40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（十一）排土场存在下列情形之一的：</w:t>
      </w:r>
    </w:p>
    <w:p w14:paraId="3EC1450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1.在平均坡度大于1:5的地基上顺坡排土，未按设计采取安全措施；</w:t>
      </w:r>
    </w:p>
    <w:p w14:paraId="1781F7F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2.排土场总堆置高度2倍范围以内有人员密集场所，未按设计采取安全措施；</w:t>
      </w:r>
    </w:p>
    <w:p w14:paraId="70133B3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3.山坡排土场周围未按设计修筑截、排水设施。</w:t>
      </w:r>
    </w:p>
    <w:p w14:paraId="2CD471F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（十二）露天采场未按设计设置安全平台和清扫平台。</w:t>
      </w:r>
    </w:p>
    <w:p w14:paraId="6D24223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（十三）擅自对在用排土场进行回采作业。</w:t>
      </w:r>
    </w:p>
    <w:p w14:paraId="1E414E88"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第六章  对工贸企业有限空间作业的监督检查工作指引</w:t>
      </w:r>
    </w:p>
    <w:p w14:paraId="4A6E73E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0A60224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对工贸企业有限空间作业的监督检查</w:t>
      </w:r>
    </w:p>
    <w:p w14:paraId="250EF533"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二、检查内容</w:t>
      </w:r>
    </w:p>
    <w:p w14:paraId="49E17A5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（一）有限空间作业安全管理制度制定情况</w:t>
      </w:r>
    </w:p>
    <w:p w14:paraId="6A1F737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按照规定制定有限空间作业管理制度及操作规程：（1）有限空间作业安全责任制度；（2）有限空间作业审批制度；（3）有限空间作业现场安全管理制度；（4）有限空间作业现场负责人、监护人员、作业人员、应急救援人员安全培训教育制度；（5）有限空间作业应急管理制度；（6）有限空间作业安全操作规程。</w:t>
      </w:r>
    </w:p>
    <w:p w14:paraId="539E3D0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2.是否存在方案未经审批擅自作业：（1）制定有限空间作业方案；（2）有限空间作业作业审批表；（3）有限空间作业审批表经本企业安全生产管理人员审核，负责人批准进行作业等内容。</w:t>
      </w:r>
    </w:p>
    <w:p w14:paraId="78972AD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（二）有限空间辨识及管理台账、检测记录情况</w:t>
      </w:r>
    </w:p>
    <w:p w14:paraId="5A53BEB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1.是否在有限空间作业场所设置明显的安全警示标志；</w:t>
      </w:r>
    </w:p>
    <w:p w14:paraId="59C8644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2.是否对有限空间作业进行辨识、建立有限空间管理台账：（1）排查、辨识本企业的有限空间且无遗漏，并确定有限空间的数量、位置以及危险有害因素等基本情况；（2）建</w:t>
      </w:r>
      <w:r>
        <w:rPr>
          <w:rFonts w:ascii="仿宋_GB2312" w:hAnsi="仿宋_GB2312" w:hint="eastAsia"/>
          <w:color w:val="000000"/>
          <w:sz w:val="32"/>
          <w:szCs w:val="32"/>
          <w:lang w:val="en-US"/>
        </w:rPr>
        <w:lastRenderedPageBreak/>
        <w:t>立有限空间管理台账，并及时更新。</w:t>
      </w:r>
    </w:p>
    <w:p w14:paraId="77BC8E1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（三）劳动防护用品配备情况</w:t>
      </w:r>
    </w:p>
    <w:p w14:paraId="17A3604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是否向作业人员提供符合国家标准或者行业标准的安全帽、全身式安全带、三脚架、安全绳，以及与作业环境危险有害因素相适应的检测报警仪器、正压式呼吸器等劳动防护用品。</w:t>
      </w:r>
    </w:p>
    <w:p w14:paraId="71B10A2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（四）应急救援演练、专项安全培训等情况</w:t>
      </w:r>
    </w:p>
    <w:p w14:paraId="2FDFB19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1.是否对有限空间的现场负责人、监护人员、作业人员和应急救援人员进行安全培训；</w:t>
      </w:r>
    </w:p>
    <w:p w14:paraId="33ACE0D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有限空间作业专项安全培训内容是否涵盖《工贸企业有限空间作业安全管理与监督暂行规定》第六条第一款规定的4项内容：（1）有限空间作业的危险有害因素和安全防范措施；（2）有限空间作业的安全操作规程；（3）检测仪器、劳动防护用品的正确使用；（4）紧急情况下的应急处置措施；</w:t>
      </w:r>
    </w:p>
    <w:p w14:paraId="0A3B9DE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3.是否如实记录安全生产教育和培训情况：建立健全从业人员安全生产教育和培训档案，详细、准确记录培训的时间、内容、参加人员以及考核结果等情况；</w:t>
      </w:r>
    </w:p>
    <w:p w14:paraId="2C24BCE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4.是否制定包含有限空间作业应急救援内容生产安全事故应急救援预案（综合应急预案、专项应急预案或现场处置方案）；</w:t>
      </w:r>
    </w:p>
    <w:p w14:paraId="186F763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5.是否制定包含有限空间作业应急预案演练计划，根据本单位的事故风险特点，每年至少组织一次综合应急预案演练或者专项应急预案演练，每半年至少组织一次现场处置方案演练；</w:t>
      </w:r>
    </w:p>
    <w:p w14:paraId="0716A10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6.应急预案编制是否规范：（1）应急预案编制前是否按照规定开展风险辨识、评估和应急资源调查；（2）是否按照规定开展应急预案评审、评估；（3）事故风险可能影响周边单位、人员的，是否将事故风险的性质、影响范围和应急防范措施告知周边单位和人员；（4）是否按照规定进行应急预案修订；（5）是否落实应急预案规定的应急物资及装备。</w:t>
      </w:r>
    </w:p>
    <w:p w14:paraId="0A2B5D5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7.是否按照规定进行应急预案备案。</w:t>
      </w:r>
    </w:p>
    <w:p w14:paraId="3CA95C87"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（五）与承包单位有限空间作业的协调管理情况</w:t>
      </w:r>
    </w:p>
    <w:p w14:paraId="484F732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1.是否对承包单位的有限空间作业统一协调、管理；</w:t>
      </w:r>
    </w:p>
    <w:p w14:paraId="2B02277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2.是否严格遵守“先通风、再检测、后作业”的原则，实施有限空间作业前是否进行危险有害因素检测或者监测，并实行专人监护作业。</w:t>
      </w:r>
    </w:p>
    <w:p w14:paraId="0CAFE655"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三、检查方法</w:t>
      </w:r>
    </w:p>
    <w:p w14:paraId="5323FAE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265D80AE"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四、检查依据</w:t>
      </w:r>
    </w:p>
    <w:p w14:paraId="6C1E6A5A"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（一）《工贸企业有限空间作业安全管理与监督暂行规定》（国家安全监管总局令第59号，2015年5月29日修正）</w:t>
      </w:r>
    </w:p>
    <w:p w14:paraId="65E2E20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第四条第二款 县级以上地方各级安全生产监督管理部门按照属地监管、分级负责的原则，对本行政区域内工贸企业有限空间作业安全实施监督管理。</w:t>
      </w:r>
    </w:p>
    <w:p w14:paraId="4C06E1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 存在有限空间作业的工贸企业应当建立下列安全生产制度和规程：</w:t>
      </w:r>
    </w:p>
    <w:p w14:paraId="3EF8FD4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（一）有限空间作业安全责任制度；</w:t>
      </w:r>
    </w:p>
    <w:p w14:paraId="711A1BC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（二）有限空间作业审批制度；</w:t>
      </w:r>
    </w:p>
    <w:p w14:paraId="11A9ADD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（三）有限空间作业现场安全管理制度；</w:t>
      </w:r>
    </w:p>
    <w:p w14:paraId="357DE7B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（四）有限空间作业现场负责人、监护人员、作业人员、应急救援人员安全培训教育制度；</w:t>
      </w:r>
    </w:p>
    <w:p w14:paraId="3A2E570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（五）有限空间作业应急管理制度；</w:t>
      </w:r>
    </w:p>
    <w:p w14:paraId="1ECE813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（六）有限空间作业安全操作规程。</w:t>
      </w:r>
    </w:p>
    <w:p w14:paraId="733EE4C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工贸企业应当对从事有限空间作业的现场负责人、监护人员、作业人员、应急救援人员进行专项安全培训。专项安全培训应当包括下列内容</w:t>
      </w:r>
      <w:r>
        <w:rPr>
          <w:rFonts w:ascii="仿宋_GB2312" w:hAnsi="仿宋_GB2312"/>
          <w:color w:val="000000"/>
          <w:sz w:val="32"/>
          <w:szCs w:val="32"/>
          <w:lang w:val="en-US"/>
        </w:rPr>
        <w:t>:</w:t>
      </w:r>
    </w:p>
    <w:p w14:paraId="4EDAA3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（一）有限空间作业的危险有害因素和安全防范措施；</w:t>
      </w:r>
    </w:p>
    <w:p w14:paraId="34C0E6D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（二）有限空间作业的安全操作规程；</w:t>
      </w:r>
    </w:p>
    <w:p w14:paraId="6764635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（三）检测仪器、劳动防护用品的正确使用；</w:t>
      </w:r>
    </w:p>
    <w:p w14:paraId="1143613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（四）紧急情况下的应急处置措施。</w:t>
      </w:r>
    </w:p>
    <w:p w14:paraId="60F52A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安全培训应当有专门记录，并由参加培训的人员签字确认。</w:t>
      </w:r>
    </w:p>
    <w:p w14:paraId="3865F7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工贸企业应当对本企业的有限空间进行辨识，确定有限空间的数量、位置以及危险有害因素等基本情况，建立有限空间管理台账，并及时更新。</w:t>
      </w:r>
    </w:p>
    <w:p w14:paraId="3ACCA7C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工贸企业实施有限空间作业前，应当对作业环境进行评估，分析存在的危险有害因素，提出消除、控制危害的措施，制定有限空间作业方案，并经本企业安全生产管理人员审核，负责人批准。</w:t>
      </w:r>
    </w:p>
    <w:p w14:paraId="584C50B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工贸企业应当按照有限空间作业方案，明确作业现场负责人、监护人员、作业人员及其安全职责。</w:t>
      </w:r>
    </w:p>
    <w:p w14:paraId="02C209E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有限空间作业应当严格遵守“先通风、再检测、</w:t>
      </w:r>
      <w:r>
        <w:rPr>
          <w:rFonts w:ascii="仿宋_GB2312" w:hAnsi="仿宋_GB2312" w:hint="eastAsia"/>
          <w:color w:val="000000"/>
          <w:sz w:val="32"/>
          <w:szCs w:val="32"/>
          <w:lang w:val="en-US"/>
        </w:rPr>
        <w:lastRenderedPageBreak/>
        <w:t>后作业”的原则。检测指标包括氧浓度、易燃易爆物质（可燃性气体、爆炸性粉尘）浓度、有毒有害气体浓度。检测应当符合相关国家标准或者行业标准的规定。</w:t>
      </w:r>
    </w:p>
    <w:p w14:paraId="6903837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未经通风和检测合格，任何人员不得进入有限空间作业。检测的时间不得早于作业开始前</w:t>
      </w:r>
      <w:r>
        <w:rPr>
          <w:rFonts w:ascii="仿宋_GB2312" w:hAnsi="仿宋_GB2312"/>
          <w:color w:val="000000"/>
          <w:sz w:val="32"/>
          <w:szCs w:val="32"/>
          <w:lang w:val="en-US"/>
        </w:rPr>
        <w:t>30</w:t>
      </w:r>
      <w:r>
        <w:rPr>
          <w:rFonts w:ascii="仿宋_GB2312" w:hAnsi="仿宋_GB2312" w:hint="eastAsia"/>
          <w:color w:val="000000"/>
          <w:sz w:val="32"/>
          <w:szCs w:val="32"/>
          <w:lang w:val="en-US"/>
        </w:rPr>
        <w:t>分钟。</w:t>
      </w:r>
    </w:p>
    <w:p w14:paraId="46D7592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在有限空间作业过程中，工贸企业应当对作业场所中的危险有害因素进行定时检测或者连续监测。</w:t>
      </w:r>
    </w:p>
    <w:p w14:paraId="4E85083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作业中断超过</w:t>
      </w:r>
      <w:r>
        <w:rPr>
          <w:rFonts w:ascii="仿宋_GB2312" w:hAnsi="仿宋_GB2312"/>
          <w:color w:val="000000"/>
          <w:sz w:val="32"/>
          <w:szCs w:val="32"/>
          <w:lang w:val="en-US"/>
        </w:rPr>
        <w:t>30</w:t>
      </w:r>
      <w:r>
        <w:rPr>
          <w:rFonts w:ascii="仿宋_GB2312" w:hAnsi="仿宋_GB2312" w:hint="eastAsia"/>
          <w:color w:val="000000"/>
          <w:sz w:val="32"/>
          <w:szCs w:val="32"/>
          <w:lang w:val="en-US"/>
        </w:rPr>
        <w:t>分钟，作业人员再次进入有限空间作业前，应当重新通风、检测合格后方可进入。</w:t>
      </w:r>
    </w:p>
    <w:p w14:paraId="6099CD6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工贸企业应当根据有限空间存在危险有害因素的种类和危害程度，为作业人员提供符合国家标准或者行业标准规定的劳动防护用品，并教育监督作业人员正确佩戴与使用。</w:t>
      </w:r>
    </w:p>
    <w:p w14:paraId="076A8A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14:paraId="1D4076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第二十二条 工贸企业将有限空间作业发包给其他单位实施的，应当发包给具备国家规定资质或者安全生产条件的承包方，并与承包方签订专门的安全生产管理协议或者在承包合同中明确各自的安全生产职责。工贸企业应当对承包单位的安全生产工作统一协调、管理，定期进行安全检查，发现安全问题的，应当及时督促整改。</w:t>
      </w:r>
    </w:p>
    <w:p w14:paraId="4D17F7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第二十四条：安全生产监督管理部门应当加强对工贸企业有限空间作业的监督检查，将检查纳入年度执法工作计划。对发现的事故隐患和违法行为，依法作出处理。</w:t>
      </w:r>
    </w:p>
    <w:p w14:paraId="2B6F23A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五条：安全生产监督管理部门对工贸企业有限空间作业实施监督检查时，应当重点抽查有限空间作业安全管理制度、有限空间管理台账、检测记录、劳动防护用品配备、应急救援演练、专项安全培训等情况。</w:t>
      </w:r>
    </w:p>
    <w:p w14:paraId="61B829B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（二）《工贸企业重大事故隐患判定标准》（中华人民共和国应急管理部令第10号）专项类重大事故隐患（三）有限空间作业相关的行业领域。</w:t>
      </w:r>
    </w:p>
    <w:p w14:paraId="71244B95"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1.未对有限空间进行辨识、建立安全管理台账，并且未设置明显的安全警示标志的。</w:t>
      </w:r>
    </w:p>
    <w:p w14:paraId="18747CA1"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2.未落实有限空间作业审批，或者未执行“先通风、再检测、后作业”要求，或者作业现场未设置监护人员的。</w:t>
      </w:r>
    </w:p>
    <w:p w14:paraId="47DDFCBD"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第七章 对冶金企业和有色金属企业安全生产工作的监督检查工作指引</w:t>
      </w:r>
    </w:p>
    <w:p w14:paraId="2A35A6B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674A96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（一）对冶金企业安全生产情况的行政检查</w:t>
      </w:r>
    </w:p>
    <w:p w14:paraId="3388E1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（二）对有色企业安全生产情况的行政检查</w:t>
      </w:r>
    </w:p>
    <w:p w14:paraId="2537960C"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二、检查内容</w:t>
      </w:r>
    </w:p>
    <w:p w14:paraId="60840CBF"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（一）对冶金企业安全生产情况的行政检查</w:t>
      </w:r>
    </w:p>
    <w:p w14:paraId="44E9D2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1.安全基础管理情况：（1）安全生产管理制度建立情况；（2）安全投入情况；（3）安全管理机构设置及人员配备情况；</w:t>
      </w:r>
      <w:r>
        <w:rPr>
          <w:rFonts w:ascii="仿宋_GB2312" w:hAnsi="仿宋_GB2312" w:hint="eastAsia"/>
          <w:color w:val="000000"/>
          <w:sz w:val="32"/>
          <w:szCs w:val="32"/>
          <w:lang w:val="en-US"/>
        </w:rPr>
        <w:lastRenderedPageBreak/>
        <w:t>（4）主要负责人、安全管理人员考核合格和特种作业人员持证上岗及全员培训情况；（5）岗位操作规程制定并落实情况。</w:t>
      </w:r>
    </w:p>
    <w:p w14:paraId="5944282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钢铁企业安全生产执法检查8项重点事项：（1）炼钢厂在吊运铁水、钢水或液渣时，是否使用固定式龙门钩的铸造起重机；炼铁厂铸铁车间吊运铁水、液渣起重机是否符合冶金起重机的相关要求；（2）吊运铁水、钢水和液渣起重机龙门钩横梁焊缝、耳轴销和吊钩、钢丝绳及其端头固定零件，是否进行定期检查，发现问题是否及时整改；（3）操作室、会议室、交接班室、活动室、休息室、更衣室等场所是否设置在铁水、钢水和液渣吊运影响的范围内；（4）钢水铸造（连铸、模铸）流程是否规范设置钢水罐、溢流槽等高温熔融金属紧急排放和应急储存设施；（5）氧枪等水冷元件是否配置出水温度和进出水流量差检测、报警装置，是否与炉体倾动、氧气开闭等联锁；（6）高炉、转炉、钢水连铸、加热炉和煤气柜等煤气区域的有人值守的主控室、操作室和人员休息室等人员较集中的地方以及在可能发生煤气泄漏、聚集的场所，是否设置固定式一氧化碳监测报警装置；（7）高炉、转炉、加热炉、煤气柜、除尘器等设施的煤气管道是否设置隔断装置和吹扫设施；（8）是否使用国家明令禁止使用的设备、材料和工艺。</w:t>
      </w:r>
    </w:p>
    <w:p w14:paraId="26C4B92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（二）对有色企业安全生产情况的行政检查</w:t>
      </w:r>
    </w:p>
    <w:p w14:paraId="63FF0ED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1.人员管理情况：（1）是否按规定设置安全管理机构或配备安全管理人员；（2）是否按规定设置安全总监；建立安全生产委员会。（3）主要负责人和安全管理人员培训情况；</w:t>
      </w:r>
      <w:r>
        <w:rPr>
          <w:rFonts w:ascii="仿宋_GB2312" w:hAnsi="仿宋_GB2312" w:hint="eastAsia"/>
          <w:color w:val="000000"/>
          <w:sz w:val="32"/>
          <w:szCs w:val="32"/>
          <w:lang w:val="en-US"/>
        </w:rPr>
        <w:lastRenderedPageBreak/>
        <w:t>（4）特种作业人员培训档案和持证上岗情况；（5）从业人员安全生产教育和培训档案。</w:t>
      </w:r>
    </w:p>
    <w:p w14:paraId="4AE91E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建设项目安全评价及建设项目安全设施“三同时”情况：（1）建设项目在可行性研究阶段，建设单位是否依法进行安全评价；（2）在初步设计阶段，建设单位是否委托具备国家规定资质的设计单位对其安全设施进行设计，并编制安全设施设计；（3）建设项目竣工投入生产或者使用前，建设单位是否按照有关规定进行安全设施竣工验收。</w:t>
      </w:r>
    </w:p>
    <w:p w14:paraId="6C4410E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起重机使用情况：（1）吊运高温熔融金属的起重机，是否满足《起重机械安全技术监察规程--桥式起重机》(TSGQ002)和《起重机械定期检验规则》（TSGQ7015）的要求；（2）企业是否定期对吊运、盛装熔融金属的吊具、罐体（本体、耳轴）进行安全检查和探伤检测。</w:t>
      </w:r>
    </w:p>
    <w:p w14:paraId="0A4875A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4.人员聚集场所设置情况：企业的操作室、会议室、活动室、休息室、更衣室等场所是否设置在高温熔融金属吊运的影响范围内。</w:t>
      </w:r>
    </w:p>
    <w:p w14:paraId="18D699D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5.防积水情况：冶炼、熔炼、精炼生产区域的安全坑内及溶体泄露、喷溅影响范围内是否有积水、潮湿杂物和易燃易爆物。</w:t>
      </w:r>
    </w:p>
    <w:p w14:paraId="7BD928A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6.有色金属铸造、浇铸流程紧急排放和应急储存设施情况：金属铸造、连铸、浇铸流程是否设置铁水罐、钢水罐、溢流槽、中间溢流罐等熔融金属紧急排放和应急储存设施。</w:t>
      </w:r>
    </w:p>
    <w:p w14:paraId="54F923B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7.应急预案、应急演练情况：（1）应急预案编制、评审、备案情况；（2）应急演练情况。</w:t>
      </w:r>
    </w:p>
    <w:p w14:paraId="74DC4BB1"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lastRenderedPageBreak/>
        <w:t>三、检查方法</w:t>
      </w:r>
    </w:p>
    <w:p w14:paraId="4250BD3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2E76A5E4"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四、检查依据</w:t>
      </w:r>
    </w:p>
    <w:p w14:paraId="18C6F24C"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（一）《冶金企业和有色金属企业安全生产规定》（国家安全监管总局令第91号）</w:t>
      </w:r>
    </w:p>
    <w:p w14:paraId="234A18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第二款：县级以上地方人民政府安全生产监督管理部门和有关部门（以下统称负有冶金有色安全生产监管职责的部门）根据本级人民政府规定的职责，按照属地监管、分级负责的原则，对本行政区域内的冶金企业和有色金属企业的安全生产工作实施监督管理。</w:t>
      </w:r>
    </w:p>
    <w:p w14:paraId="6C9F120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企业应当建立健全全员安全生产责任制&lt;。</w:t>
      </w:r>
    </w:p>
    <w:p w14:paraId="2D8486D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第十条 企业存在金属冶炼工艺，从业人员在一百人以上的，应当设置安全生产管理机构或者配备不低于从业人员千分之三的专职安全生产管理人员，但最低不少于三人；从业人员在一百人以下的，应当设置安全生产管理机构或者配备专职安全生产管理人员。</w:t>
      </w:r>
    </w:p>
    <w:p w14:paraId="5034D0C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 企业主要负责人、安全生产管理人员应当接受安全生产教育和培训，具备与本企业生产经营活动相适应的安全生产知识和管理能力。其中，存在金属冶炼工艺的企业的主要负责人、安全生产管理人员自任职之日起六个月内，必须接受负有冶金有色安全生产监管职责的部门对其进行安全生产知识和管理能力考核，并考核合格。</w:t>
      </w:r>
    </w:p>
    <w:p w14:paraId="153A156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企业应当按照国家有关规定对从业人员进行安全生产教育和培训，保证从业人员具备必要的安全生产知识，了解</w:t>
      </w:r>
      <w:r>
        <w:rPr>
          <w:rFonts w:ascii="仿宋_GB2312" w:hAnsi="仿宋_GB2312" w:hint="eastAsia"/>
          <w:color w:val="000000"/>
          <w:sz w:val="32"/>
          <w:szCs w:val="32"/>
          <w:lang w:val="en-US"/>
        </w:rPr>
        <w:lastRenderedPageBreak/>
        <w:t>有关安全生产法律法规，熟悉本企业规章制度和安全技术操作规程，掌握本岗位安全操作技能，并建立培训档案，记录培训、考核等情况。未经安全生产教育培训合格的从业人员，不得上岗作业。</w:t>
      </w:r>
    </w:p>
    <w:p w14:paraId="705398E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对新上岗从业人员进行厂（公司）、车间（职能部门）、班组三级安全生产教育和培训；对调整工作岗位、离岗半年以上重新上岗的从业人员，应当经车间(职能部门)、班组安全生产教育和培训合格后，方可上岗作业。</w:t>
      </w:r>
    </w:p>
    <w:p w14:paraId="521D04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新工艺、新技术、新材料、新设备投入使用前，企业应当对有关操作岗位人员进行专门的安全生产教育和培训。</w:t>
      </w:r>
    </w:p>
    <w:p w14:paraId="3E32FF6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企业从事煤气生产、储存、输送、使用、维护检修作业的特种作业人员必须依法经专门的安全技术培训，并经考核合格，取得《中华人民共和国特种作业操作证》后，方可上岗作业。</w:t>
      </w:r>
    </w:p>
    <w:p w14:paraId="457E22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企业新建、改建、扩建工程项目（以下统称建设项目）的安全设施和</w:t>
      </w:r>
      <w:r>
        <w:rPr>
          <w:rFonts w:ascii="仿宋_GB2312" w:hAnsi="仿宋_GB2312"/>
          <w:color w:val="000000"/>
          <w:sz w:val="32"/>
          <w:szCs w:val="32"/>
          <w:lang w:val="en-US"/>
        </w:rPr>
        <w:t>…</w:t>
      </w:r>
      <w:r>
        <w:rPr>
          <w:rFonts w:ascii="仿宋_GB2312" w:hAnsi="仿宋_GB2312" w:hint="eastAsia"/>
          <w:color w:val="000000"/>
          <w:sz w:val="32"/>
          <w:szCs w:val="32"/>
          <w:lang w:val="en-US"/>
        </w:rPr>
        <w:t>应当严格执行国家有关安全生产、职业病防治法律、行政法规和国家标准或者行业标准的规定，并与主体工程同时设计、同时施工、同时投入生产和使用。安全设施和</w:t>
      </w:r>
      <w:r>
        <w:rPr>
          <w:rFonts w:ascii="仿宋_GB2312" w:hAnsi="仿宋_GB2312"/>
          <w:color w:val="000000"/>
          <w:sz w:val="32"/>
          <w:szCs w:val="32"/>
          <w:lang w:val="en-US"/>
        </w:rPr>
        <w:t>…</w:t>
      </w:r>
      <w:r>
        <w:rPr>
          <w:rFonts w:ascii="仿宋_GB2312" w:hAnsi="仿宋_GB2312" w:hint="eastAsia"/>
          <w:color w:val="000000"/>
          <w:sz w:val="32"/>
          <w:szCs w:val="32"/>
          <w:lang w:val="en-US"/>
        </w:rPr>
        <w:t>的投资应当纳入建设项目概算。</w:t>
      </w:r>
    </w:p>
    <w:p w14:paraId="130579D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金属冶炼建设项目在可行性研究阶段，建设单位应当依法进行安全评价。</w:t>
      </w:r>
    </w:p>
    <w:p w14:paraId="542077B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建设项目在初步设计阶段，建设单位应当委托具备国家规定资质的设计单位对其安全设施进行设计，并编制安全设施设计。</w:t>
      </w:r>
    </w:p>
    <w:p w14:paraId="7C9D60F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建设项目竣工投入生产或者使用前，建设单位应当按照有关规定进行安全设施竣工验收。</w:t>
      </w:r>
    </w:p>
    <w:p w14:paraId="3C9D30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第十五条第二款 省、自治区、直辖市人民政府负有冶金有色安全生产监管职责的部门对本行政区域内金属冶炼建设项目实施指导和监督管理，确定并公布本行政区域内有关部门对金属冶炼建设项目安全设施设计审查的管辖权限。</w:t>
      </w:r>
    </w:p>
    <w:p w14:paraId="7553EFA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企业应当对本企业存在的各类危险因素进行辨识，在有较大危险因素的场所和设施、设备上，按照有关国家标准、行业标准的要求设置安全警示标志，并定期进行检查维护。</w:t>
      </w:r>
    </w:p>
    <w:p w14:paraId="301D3A5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对于辨识出的重大危险源，企业应当登记建档、监测监控，定期检测、评估，制定应急预案并定期开展应急演练。</w:t>
      </w:r>
    </w:p>
    <w:p w14:paraId="6C5445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企业应当将重大危险源及有关安全措施、应急预案报有关地方人民政府负有冶金有色安全生产监管职责的部门备案。</w:t>
      </w:r>
    </w:p>
    <w:p w14:paraId="77EE5E7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第十七条 企业应当建立应急救援组织。生产规模较小的，可以不建立应急救援组织，但应当指定兼职的应急救援人员，并且可以与邻近的应急救援队伍签订应急救援协议。</w:t>
      </w:r>
    </w:p>
    <w:p w14:paraId="0EAB893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企业应当配备必要的应急救援器材、设备和物资，并进行经常性维护、保养，保证正常运转。</w:t>
      </w:r>
    </w:p>
    <w:p w14:paraId="65BB2E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 企业应当加强对施工、检修等重点工程和生产经营项目、场所的承包单位的安全管理，不得将有关工程、项目、场所发包给不具备安全生产条件或者相应资质的单位。企业和承包单位的承包协议应当明确约定双方的安全生产</w:t>
      </w:r>
      <w:r>
        <w:rPr>
          <w:rFonts w:ascii="仿宋_GB2312" w:hAnsi="仿宋_GB2312" w:hint="eastAsia"/>
          <w:color w:val="000000"/>
          <w:sz w:val="32"/>
          <w:szCs w:val="32"/>
          <w:lang w:val="en-US"/>
        </w:rPr>
        <w:lastRenderedPageBreak/>
        <w:t>责任和义务。</w:t>
      </w:r>
    </w:p>
    <w:p w14:paraId="58EF630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企业应当对承包单位的安全生产进行统一协调、管理，对从事检修工程的承包单位检修方案中的安全措施和应急处置措施进行审核，监督承包单位落实。</w:t>
      </w:r>
    </w:p>
    <w:p w14:paraId="72B706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企业应当对承包检修作业现场进行安全交底，并安排专人负责安全检查和协调。</w:t>
      </w:r>
    </w:p>
    <w:p w14:paraId="727943A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企业应当从合法的劳务公司录用劳务人员，并与劳务公司签订合同，对劳务人员进行统一的安全生产教育和培训。</w:t>
      </w:r>
    </w:p>
    <w:p w14:paraId="312591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第二十二条 企业的正常生产活动与其他单位的建设施工或者检修活动同时在本企业同一作业区域内进行的，企业应当指定专职安全生产管理人员负责作业现场的安全检查工作，对有关作业活动进行统一协调、管理。</w:t>
      </w:r>
    </w:p>
    <w:p w14:paraId="093D2D4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第二十三条 企业应当建立健全设备设施安全管理制度，加强设备设施的检查、维护、保养和检修，确保设备设施安全运行。</w:t>
      </w:r>
    </w:p>
    <w:p w14:paraId="0AFFB10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对重要岗位的电气、机械等设备，企业应当实行操作牌制度。</w:t>
      </w:r>
    </w:p>
    <w:p w14:paraId="0E37FD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第二十四条 企业不得使用不符合国家标准或者行业标准的技术、工艺和设备；对现有工艺、设备进行更新或者改造的，不得降低其安全技术性能。</w:t>
      </w:r>
    </w:p>
    <w:p w14:paraId="15066B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第二十六条 企业对起重设备进行改造并增加荷重的，应当同时对承重厂房结构进行荷载核定，并对承重结构采取必要的加固措施，确保承重结构具有足够的承重能力。</w:t>
      </w:r>
    </w:p>
    <w:p w14:paraId="32513BD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第二十七条 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14:paraId="71710F9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第二十八条 企业在进行高温熔融金属冶炼、保温、运输、吊运过程中，应当采取防止泄漏、喷溅、爆炸伤人的安全措施，其影响区域不得有非生产性积水。</w:t>
      </w:r>
    </w:p>
    <w:p w14:paraId="196F794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高温熔融金属运输专用路线应当避开煤气、氧气、氢气、天然气、水管等管道及电缆；确需通过的，运输车辆与管道、电缆之间应当保持足够的安全距离，并采取有效的隔热措施。</w:t>
      </w:r>
    </w:p>
    <w:p w14:paraId="648BA0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p>
    <w:p w14:paraId="5B94AD6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第二十九条 企业对电炉、电解车间应当采取防雨措施和有效的排水设施，防止雨水进入槽下地坪，确保电炉、电解槽下没有积水。</w:t>
      </w:r>
    </w:p>
    <w:p w14:paraId="71CD7ED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企业对电炉、铸造熔炼炉、保温炉、倾翻炉、铸机、流液槽、熔盐电解槽等设备，应当设置熔融金属紧急排放和储存的设施，并在设备周围设置拦挡围堰，防止熔融金属外流。</w:t>
      </w:r>
    </w:p>
    <w:p w14:paraId="7388EFC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第三十条 吊运高温熔融金属的起重机，应当满足《起重机械安全技术监察规程--桥式起重机》(TSGQ002)和《起重机械定期检验规则》（TSGQ7015）的要求。</w:t>
      </w:r>
    </w:p>
    <w:p w14:paraId="67646D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企业应当定期对吊运、盛装熔融金属的吊具、罐体（本体、耳轴）进行安全检查和探伤检测。</w:t>
      </w:r>
    </w:p>
    <w:p w14:paraId="12D171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第三十一条 生产、储存、使用煤气的企业应当建立煤气</w:t>
      </w:r>
      <w:r>
        <w:rPr>
          <w:rFonts w:ascii="仿宋_GB2312" w:hAnsi="仿宋_GB2312" w:hint="eastAsia"/>
          <w:color w:val="000000"/>
          <w:sz w:val="32"/>
          <w:szCs w:val="32"/>
          <w:lang w:val="en-US"/>
        </w:rPr>
        <w:lastRenderedPageBreak/>
        <w:t>防护站（组），配备必要的煤气防护人员、煤气检测报警装置及防护设施，并且每年至少组织一次煤气事故应急演练。</w:t>
      </w:r>
    </w:p>
    <w:p w14:paraId="07F55C5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第三十二条 生产、储存、使用煤气的企业应当严格执行《工业企业煤气安全规程》（GB6222），在可能发生煤气泄漏、聚集的场所，设置固定式煤气检测报警仪和安全警示标志。</w:t>
      </w:r>
    </w:p>
    <w:p w14:paraId="6AE336C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进入煤气区域作业的人员，应当携带便携式一氧化碳检测报警仪，配备空气呼吸器，并由企业安排专门人员进行安全管理。</w:t>
      </w:r>
    </w:p>
    <w:p w14:paraId="29B8BE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煤气柜区域应当设有隔离围栏，安装在线监控设备，并由企业安排专门人员值守。煤气柜区域严禁烟火。</w:t>
      </w:r>
    </w:p>
    <w:p w14:paraId="2F729CF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第三十三条 企业对涉及煤气、氧气、氢气等易燃易爆危险化学品生产、输送、使用、储存的设施以及油库、电缆隧道（沟）等重点防火部位，应当按照有关规定采取有效、可靠的防火、防爆和防泄漏措施。</w:t>
      </w:r>
    </w:p>
    <w:p w14:paraId="5AFC414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企业对具有爆炸危险环境的场所，应当按照《爆炸性气体环境用电气设备》（GB3836）及《爆炸危险环境电力装置设计规范》（GB50058）设置自动检测报警和防灭火装置。</w:t>
      </w:r>
    </w:p>
    <w:p w14:paraId="1A6094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第三十四条 企业对反应槽、罐、池、釜和储液罐、酸洗槽应当采取防腐蚀措施，设置事故池，进行经常性安全检查、维护、保养，并定期检测，保证正常运转。</w:t>
      </w:r>
    </w:p>
    <w:p w14:paraId="062E320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企业实施浸出、萃取作业时，应当采取防火防爆、防冒槽喷溅和防中毒等安全措施。</w:t>
      </w:r>
    </w:p>
    <w:p w14:paraId="3541A7C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第三十五条 企业从事产生酸雾危害的电解作业时，应当采取防止酸雾扩散及槽体、厂房防腐措施。电解车间应当</w:t>
      </w:r>
      <w:r>
        <w:rPr>
          <w:rFonts w:ascii="仿宋_GB2312" w:hAnsi="仿宋_GB2312" w:hint="eastAsia"/>
          <w:color w:val="000000"/>
          <w:sz w:val="32"/>
          <w:szCs w:val="32"/>
          <w:lang w:val="en-US"/>
        </w:rPr>
        <w:lastRenderedPageBreak/>
        <w:t>保持厂房通风良好，防止电解产生的氢气聚集。</w:t>
      </w:r>
    </w:p>
    <w:p w14:paraId="32CE85D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第三十六条 企业在使用酸、碱的作业场所，应当采取防止人员灼伤的措施，并设置安全喷淋或者洗涤设施。</w:t>
      </w:r>
    </w:p>
    <w:p w14:paraId="37F0547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采用剧毒物品的电镀、钝化等作业，企业应当在电镀槽的下方设置事故池，并加强对剧毒物品的安全管理。</w:t>
      </w:r>
    </w:p>
    <w:p w14:paraId="19E4C27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第三十七条 企业对生产过程中存在二氧化硫、氯气、砷化氢、氟化氢等有毒有害气体的工作场所，应当采取防止人员中毒的措施。</w:t>
      </w:r>
    </w:p>
    <w:p w14:paraId="7804AD9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企业对存在铅、镉、铬、砷、汞等重金属蒸气、粉尘的作业场所，应当采取预防重金属中毒的措施。</w:t>
      </w:r>
    </w:p>
    <w:p w14:paraId="66843E5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第三十八条 企业应当建立有限空间、动火、高处作业、能源介质停送等较大危险作业和检修、维修作业审批制度，实施工作票（作业票）和操作票管理，严格履行内部审批手续，并安排专门人员进行现场安全管理，确保作业安全。</w:t>
      </w:r>
    </w:p>
    <w:p w14:paraId="7A586A57"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（二）《工贸行业重大生产安全事故隐患判定标准（2017版）》行业类重大事故隐患（一）冶金行业</w:t>
      </w:r>
    </w:p>
    <w:p w14:paraId="2CF48A8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1.会议室、活动室、休息室、更衣室等场所设置在铁水、钢水与液渣吊运影响的范围内。</w:t>
      </w:r>
    </w:p>
    <w:p w14:paraId="3C7378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吊运铁水、钢水与液渣起重机不符合冶金起重机的相关要求；炼钢厂在吊运重罐铁水、钢水或液渣时，未使用固定式龙门钩的铸造起重机，龙门钩横梁、耳轴销和吊钩、钢丝绳及其端头固定零件，未进行定期检查，发现问题未及时整改。</w:t>
      </w:r>
    </w:p>
    <w:p w14:paraId="34D7DD0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3.盛装铁水、钢水与液渣的罐（包、盆）等容器耳轴未</w:t>
      </w:r>
      <w:r>
        <w:rPr>
          <w:rFonts w:ascii="仿宋_GB2312" w:hAnsi="仿宋_GB2312" w:hint="eastAsia"/>
          <w:color w:val="000000"/>
          <w:sz w:val="32"/>
          <w:szCs w:val="32"/>
          <w:lang w:val="en-US"/>
        </w:rPr>
        <w:lastRenderedPageBreak/>
        <w:t>按国家标准规定要求定期进行探伤检测。</w:t>
      </w:r>
    </w:p>
    <w:p w14:paraId="58462E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冶炼、熔炼、精炼生产区域的安全坑内及熔体泄漏、喷溅影响范围内存在积水，放置有易燃易爆物品。金属铸造、连铸、浇铸流程未设置铁水罐、钢水罐、溢流槽、中间溢流罐等高温熔融金属紧急排放和应急储存设施。</w:t>
      </w:r>
    </w:p>
    <w:p w14:paraId="17850ED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5.炉、窑、槽、罐类设备本体及附属设施未定期检查，出现严重焊缝开裂、腐蚀、破损、衬砖损坏、壳体发红及明显弯曲变形等未报修或报废，仍继续使用。</w:t>
      </w:r>
    </w:p>
    <w:p w14:paraId="6696A4F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6.氧枪等水冷元件未配置出水温度与进出水流量差检测、报警装置及温度监测，未与炉体倾动、氧气开闭等联锁。</w:t>
      </w:r>
    </w:p>
    <w:p w14:paraId="3C43A2A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7.煤气柜建设在居民稠密区，未远离大型建筑、仓库、通信和交通枢纽等重要设施；附属设备设施未按防火防爆要求配置防爆型设备；柜顶未设置防雷装置。</w:t>
      </w:r>
    </w:p>
    <w:p w14:paraId="09C38B0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8.煤气区域的值班室、操作室等人员较集中的地方，未设置固定式一氧化碳监测报警装置。</w:t>
      </w:r>
    </w:p>
    <w:p w14:paraId="2DB870E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9.高炉、转炉、加热炉、煤气柜、除尘器等设施的煤气管道未设置可靠隔离装置和吹扫设施。</w:t>
      </w:r>
    </w:p>
    <w:p w14:paraId="17CFB84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10.煤气分配主管上支管引接处，未设置可靠的切断装置；车间内各类燃气管线，在车间入口未设置总管切断阀。</w:t>
      </w:r>
    </w:p>
    <w:p w14:paraId="16DCCF9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11.金属冶炼企业主要负责人和安全生产管理人员未依法经考核合格。</w:t>
      </w:r>
    </w:p>
    <w:p w14:paraId="301480E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（二）《工贸企业重大事故隐患判定标准》（中华人民共和国应急管理部令第10号）行业类重大事故隐患（一）冶金行业</w:t>
      </w:r>
    </w:p>
    <w:p w14:paraId="1DA164AD"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lastRenderedPageBreak/>
        <w:t>1.会议室、活动室、休息室、操作室、交接班室、更衣室（含澡堂）等6类人员聚集场所,以及钢铁水罐冷（热）修工位设置在铁水、钢水、液渣吊运跨的地坪区域内的；</w:t>
      </w:r>
    </w:p>
    <w:p w14:paraId="539FFD04"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2.生产期间冶炼、精炼和铸造生产区域的事故坑、炉下渣坑，以及熔融金属泄漏和喷溅影响范围内的炉前平台、炉基区域、厂房内吊运和地面运输通道等6类区域存在积水的；</w:t>
      </w:r>
    </w:p>
    <w:p w14:paraId="3BBA56D3"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3.炼钢连铸流程未设置事故钢水罐、中间罐漏钢坑（槽）、中间罐溢流坑（槽）、漏钢回转溜槽，或者模铸流程未设置事故钢水罐（坑、槽）的；</w:t>
      </w:r>
    </w:p>
    <w:p w14:paraId="76A1A45B"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4.转炉、电弧炉、AOD炉、LF炉、RH炉、VOD炉等炼钢炉的水冷元件未设置出水温度、进出水流量差等监测报警装置，或者监测报警装置未与炉体倾动、氧（副）枪自动提升、电极自动断电和升起装置联锁的；</w:t>
      </w:r>
    </w:p>
    <w:p w14:paraId="322B30BE"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5.高炉生产期间炉顶工作压力设定值超过设计文件规定的最高工作压力，或者炉顶工作压力监测装置未与炉顶放散阀联锁，或者炉顶放散阀的联锁放散压力设定值超过设备设计压力值的；</w:t>
      </w:r>
    </w:p>
    <w:p w14:paraId="3DF9C243"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6.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14:paraId="319E6AFE"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7.加热炉、煤气柜、除尘器、加压机、烘烤器等设施，以及进入车间前的煤气管道未安装隔断装置的；</w:t>
      </w:r>
    </w:p>
    <w:p w14:paraId="257B6645"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lastRenderedPageBreak/>
        <w:t>8.正压煤气输配管线水封式排水器的最高封堵煤气压力小于30kPa，或者同一煤气管道隔断装置的两侧共用一个排水器，或者不同煤气管道排水器上部的排水管连通，或者不同介质的煤气管道共用一个排水器的。</w:t>
      </w:r>
    </w:p>
    <w:p w14:paraId="0A0F304C"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（三）《工贸行业重大生产安全事故隐患判定标准（2017版）》行业类重大事故隐患（二）有色行业。</w:t>
      </w:r>
    </w:p>
    <w:p w14:paraId="03BC952D"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1.会议室、活动室、休息室、操作室、交接班室、更衣室（含澡堂）等6类人员聚集场所设置在熔融金属吊运跨的地坪区域内的；</w:t>
      </w:r>
    </w:p>
    <w:p w14:paraId="74B39059"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2.生产期间冶炼、精炼、铸造生产区域的事故坑、炉下渣坑，以及熔融金属泄漏、喷溅影响范围内的炉前平台、炉基区域、厂房内吊运和地面运输通道等6类区域存在非生产性积水的；</w:t>
      </w:r>
    </w:p>
    <w:p w14:paraId="27B59E98"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3.熔融金属铸造环节未设置紧急排放和应急储存设施的（倾动式熔炼炉、倾动式保温炉、倾动式熔保一体炉、带保温炉的固定式熔炼炉除外）；</w:t>
      </w:r>
    </w:p>
    <w:p w14:paraId="7D91F539"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4.采用水冷冷却的冶炼炉窑、铸造机（铝加工深井铸造工艺的结晶器除外）、加热炉未设置应急水源的；</w:t>
      </w:r>
    </w:p>
    <w:p w14:paraId="63797AE6"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5.熔融金属冶炼炉窑的闭路循环水冷元件未设置出水温度、进出水流量差监测报警装置，或者开路水冷元件未设置进水流量、压力监测报警装置，或者未监测开路水冷元件出水温度的；</w:t>
      </w:r>
    </w:p>
    <w:p w14:paraId="466CB8AC"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6.铝加工深井铸造工艺的结晶器冷却水系统未设置进水压力、进水流量监测报警装置，或者监测报警装置未与快</w:t>
      </w:r>
      <w:r>
        <w:rPr>
          <w:rFonts w:ascii="仿宋_GB2312" w:hAnsi="仿宋_GB2312" w:hint="eastAsia"/>
          <w:sz w:val="32"/>
          <w:szCs w:val="32"/>
          <w:lang w:val="en-US"/>
        </w:rPr>
        <w:lastRenderedPageBreak/>
        <w:t>速切断阀、紧急排放阀、流槽断开装置联锁，或者监测报警装置未与倾动式浇铸炉控制系统联锁的；</w:t>
      </w:r>
    </w:p>
    <w:p w14:paraId="53F586A2"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7.铝加工深井铸造工艺的浇铸炉铝液出口流槽、流槽与模盘（分配流槽）入口连接处未设置液位监测报警装置，或者固定式浇铸炉的铝液出口未设置机械锁紧装置的；</w:t>
      </w:r>
    </w:p>
    <w:p w14:paraId="0D3AE120"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8.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14:paraId="26DB4E29"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9.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14:paraId="465243F3"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10.铝加工深井铸造机钢丝卷扬系统选用非钢芯钢丝绳，或者未落实钢丝绳定期检查、更换制度的；</w:t>
      </w:r>
    </w:p>
    <w:p w14:paraId="5D059EF0"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11.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14:paraId="3BAF38FA"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12.使用煤气（天然气）并强制送风的燃烧装置的燃气总管未设置压力监测报警装置，或者监测报警装置未与紧急自动切断装置联锁的；</w:t>
      </w:r>
    </w:p>
    <w:p w14:paraId="4C2995DA"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lastRenderedPageBreak/>
        <w:t>13.正压煤气输配管线水封式排水器的最高封堵煤气压力小于30kPa，或者同一煤气管道隔断装置的两侧共用一个排水器，或者不同煤气管道排水器上部的排水管连通，或者不同介质的煤气管道共用一个排水器的。</w:t>
      </w:r>
    </w:p>
    <w:p w14:paraId="7266AD86"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第八章 对食品生产企业安全生产的监督检查工作指引</w:t>
      </w:r>
    </w:p>
    <w:p w14:paraId="681BEC0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1239EC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对食品生产企业安全生产的监督检查查</w:t>
      </w:r>
    </w:p>
    <w:p w14:paraId="532595CB"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二、检查内容</w:t>
      </w:r>
    </w:p>
    <w:p w14:paraId="63F06FB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（一）安全生产管理机构和人员情况</w:t>
      </w:r>
    </w:p>
    <w:p w14:paraId="19FB0A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1.是否设置安全生产管理机构或配备安全生产管理人员。</w:t>
      </w:r>
    </w:p>
    <w:p w14:paraId="4ECA4D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2.是否设立安委会并按规定开展工作：从业人员在1000人以上的企业，应当建立安全生产委员会。</w:t>
      </w:r>
    </w:p>
    <w:p w14:paraId="4204A54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（二）组织保障、管理制度和责任制落实情况</w:t>
      </w:r>
    </w:p>
    <w:p w14:paraId="47450C2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1.生产经营单位是否建立、健全安全生产责任制度，实行全员安全生产责任制。</w:t>
      </w:r>
    </w:p>
    <w:p w14:paraId="3EF0F87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安全生产会议、安全生产资金投入、安全生产教育培训和特种作业人员管理、劳动防护用品管理、安全设施和设备管理、安全生产检查、危险作业管理、事故隐患排查治理、重大危险源监控管理、安全生产奖惩、调查处理，以及法律、法规、规章规定的其他内容。</w:t>
      </w:r>
    </w:p>
    <w:p w14:paraId="3D787FB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（三）从业人员培训和持证上岗情况</w:t>
      </w:r>
    </w:p>
    <w:p w14:paraId="52C94A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1.企业应将安全培训工作纳入本单位工作计划并保证其所需资金。</w:t>
      </w:r>
    </w:p>
    <w:p w14:paraId="0F355C1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2.生产经营单位应建立健全从业人员安全培训档案，详细、准确记录培训考核情况。</w:t>
      </w:r>
    </w:p>
    <w:p w14:paraId="0D1AEDE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3.制冷、电工作业人员应取得特种作业操作证；</w:t>
      </w:r>
    </w:p>
    <w:p w14:paraId="5D262B1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4.特种作业人员是否伪造特种作业操作证或者使用伪造的特种作业操作证。</w:t>
      </w:r>
    </w:p>
    <w:p w14:paraId="1C50A9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5.生产经营单位应当加强对本单位特种作业人员的管理，建立健全特种作业人员培训、复审档案。</w:t>
      </w:r>
    </w:p>
    <w:p w14:paraId="5D8C85F5"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（四）有限空间作业管理情况</w:t>
      </w:r>
    </w:p>
    <w:p w14:paraId="72FC011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1.未按照规定制定有限空间作业方案或者方案未经审批擅自作业；</w:t>
      </w:r>
    </w:p>
    <w:p w14:paraId="48C297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2.未在有限空间作业场所设置明显的安全警示标志；</w:t>
      </w:r>
    </w:p>
    <w:p w14:paraId="6C2FD3F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3.未向作业人员提供符合国家标准或者行业标准的安全帽、全身式安全带、三脚架、安全绳，以及与作业环境危险有害因素相适应的检测报警仪器、正压式呼吸器等劳动防护用品；</w:t>
      </w:r>
    </w:p>
    <w:p w14:paraId="01E2E93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4.未对承包单位的有限空间作业统一协调、管理。</w:t>
      </w:r>
    </w:p>
    <w:p w14:paraId="791AD2F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（五）高温设备安全保护措施配备情况</w:t>
      </w:r>
    </w:p>
    <w:p w14:paraId="151BB5E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涉及烘制、油炸等设施设备，是否采取防过热自动报警切断装置和隔热防护措施。</w:t>
      </w:r>
    </w:p>
    <w:p w14:paraId="631E58F9" w14:textId="77777777" w:rsidR="006C0E4E" w:rsidRDefault="006C0E4E" w:rsidP="006C0E4E">
      <w:pPr>
        <w:pStyle w:val="Bodytext1"/>
        <w:numPr>
          <w:ilvl w:val="0"/>
          <w:numId w:val="16"/>
        </w:numPr>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液氨使用安全情况：</w:t>
      </w:r>
    </w:p>
    <w:p w14:paraId="1E48448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1.制冷机房外部区域设于室外的贮氨器、冷凝器、油分离器等制冷设备，是否有防止非操作人员进入的围栏和警示</w:t>
      </w:r>
      <w:r>
        <w:rPr>
          <w:rFonts w:ascii="仿宋_GB2312" w:hAnsi="仿宋_GB2312" w:hint="eastAsia"/>
          <w:color w:val="000000"/>
          <w:sz w:val="32"/>
          <w:szCs w:val="32"/>
          <w:lang w:val="en-US"/>
        </w:rPr>
        <w:lastRenderedPageBreak/>
        <w:t>标识；</w:t>
      </w:r>
    </w:p>
    <w:p w14:paraId="557A342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2.氨制冷机房事故排风机，在控制室排风机控制柜上和制冷机房门外墙上是否安装人工启停控制按钮；</w:t>
      </w:r>
    </w:p>
    <w:p w14:paraId="4C309E9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3.在氨制冷机房门口外侧便于操作的位置，是否设置切断制冷系统电源的紧急控制装置；</w:t>
      </w:r>
    </w:p>
    <w:p w14:paraId="004073C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4.制冷系统充氨口应设置在氨制冷机房外并设安全标识；</w:t>
      </w:r>
    </w:p>
    <w:p w14:paraId="43A55A6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5.氨制冷系统是否装设紧急泄氨器；</w:t>
      </w:r>
    </w:p>
    <w:p w14:paraId="3988F59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6.氨气探（检）测器安装是否符合规范，制冷剂泄漏报警系统是否安装独立的应急系统电源（如电池）；</w:t>
      </w:r>
    </w:p>
    <w:p w14:paraId="564336A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7.在制冷机房门口适当位置是否安装洗眼器、淋洗器；</w:t>
      </w:r>
    </w:p>
    <w:p w14:paraId="6B940A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8.压缩机房是否设事故排风装置，排风机是否选用防爆型；</w:t>
      </w:r>
    </w:p>
    <w:p w14:paraId="296A1AD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9.氨制冷机房、高低压配电室是否设置应急照明，照明灯具、线路、开关是否选用防爆型；</w:t>
      </w:r>
    </w:p>
    <w:p w14:paraId="66945F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10.活塞压缩机排出口处是否设止逆阀；螺杆压缩机吸气管、排气管处是否设止逆阀；压缩机冷却水出水管上设是否断水停机保护装置；</w:t>
      </w:r>
    </w:p>
    <w:p w14:paraId="6532EAA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11.冷凝器是否设冷凝压力超压报警装置，水冷冷凝器是否设断水报警装置，蒸发式冷凝器是否增设压力表、安全阀及风机故障报警装置；</w:t>
      </w:r>
    </w:p>
    <w:p w14:paraId="6D6144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12.贮氨器、低压循环桶、气液分离器和中间冷却器是否均设超高液位报警装置；是否设有维持其正常液位的供液装置；</w:t>
      </w:r>
    </w:p>
    <w:p w14:paraId="47887E0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13.贮氨器、低压循环桶、气液分离器、中间冷却器、排液桶和集油器等是否设液位指示器，其液位指示器两端连接件是否有自动关闭装置；</w:t>
      </w:r>
    </w:p>
    <w:p w14:paraId="5A56942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14.贮罐区：大型冷库氨压缩机房贮氨器上方是否设置水喷淋系统，是否选用开式喷头，喷淋水是否能覆盖整个贮氨器区域；开式头设置高度是否高于贮氨器0.5-2米。贮氨器水喷淋系统是否设有相应的排水措施，贮氨器处设置地漏排水，在贮氨器周边设置挡水槛墙，高度为250mm，地面标高坡向地漏处。若无事故池，液氨储罐的围堰高度是否达到1.0m。</w:t>
      </w:r>
    </w:p>
    <w:p w14:paraId="467E60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15.控制室区域：氨制冷机房的控制室和操作人员值班室应是否与机器间隔开；是否设固定密闭观察窗。</w:t>
      </w:r>
    </w:p>
    <w:p w14:paraId="795A40B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16.速冻装置区域：对采用氨直接蒸发的成套快速冻结装置，是否在快速冻结装置出口处的上方安装氨气浓度传感器，在加工间内应布置氨气浓度报警装置。当氨气浓度达到100ppm或150ppm时，是否自动发出报警信号、自动开启事故排风机、自动停止成套冻结装置的运行，漏氨信号应同时传送至制冷机房控制室报警。</w:t>
      </w:r>
    </w:p>
    <w:p w14:paraId="1672732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17.采用热氨介质融霜的速冻装置是否与加工车间采用密封性好、不燃烧的实体进行有效隔离。作业间内作业人员是否超过9人，是否按规范要求设置事故排风设施。</w:t>
      </w:r>
    </w:p>
    <w:p w14:paraId="3FB910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18.包装间、分割间、产品整理间等人员较多生产场所是否采用氨直接蒸发制冷空调系统。</w:t>
      </w:r>
    </w:p>
    <w:p w14:paraId="39C10DA5"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（八）涉爆粉尘管理情况</w:t>
      </w:r>
    </w:p>
    <w:p w14:paraId="3E353C2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1.不同种类的可燃性粉尘、可燃性粉尘与可燃气体等易加剧爆炸危险的介质共用一套除尘系统，不同防火分区的除尘系统互联互通；</w:t>
      </w:r>
    </w:p>
    <w:p w14:paraId="1B5143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2.干式除尘系统未规范采用泄爆、隔爆、惰化、抑爆、抗爆等一种或多种控爆措施；</w:t>
      </w:r>
    </w:p>
    <w:p w14:paraId="1785AA2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3.除尘系统采用重力沉降室除尘，或者采用干式巷道式构筑物作为除尘风道；</w:t>
      </w:r>
    </w:p>
    <w:p w14:paraId="7DDE6E7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4粉碎、研磨、造粒、砂光等易产生机械火花的工艺，未规范采用杂物去除或火花探测消除等防范点燃源措施；</w:t>
      </w:r>
    </w:p>
    <w:p w14:paraId="5941B21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5.未按规范制定粉尘清理制度，作业现场积尘未及时规范清扫。</w:t>
      </w:r>
    </w:p>
    <w:p w14:paraId="4858E50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（九）应急预案、应急器材和应急演练情况</w:t>
      </w:r>
    </w:p>
    <w:p w14:paraId="155645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1.生产经营单位应当制定本单位生产安全事故应急救援预案（综合预案、专项预案、现场处置方案）；</w:t>
      </w:r>
    </w:p>
    <w:p w14:paraId="29AFA6C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2.编制应急预案前，编制单位应当进行事故风险辨识、评估和应急资源调查；</w:t>
      </w:r>
    </w:p>
    <w:p w14:paraId="529DD7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3.事故风险可能影响周边其他单位、人员的，生产经营单位应当将有关事故风险的性质、影响范围和应急防范措施告知周边的其他单位和人员；</w:t>
      </w:r>
    </w:p>
    <w:p w14:paraId="0C5918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4.生产经营单位应当制定本单位的应急预案演练计划，根据本单位的事故风险特点，每年至少组织一次综合应急预案演练或者专项应急预案演练，每半年至少组织一次现场处置方案演练；</w:t>
      </w:r>
    </w:p>
    <w:p w14:paraId="5100B46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5.中型规模以上的其他生产经营单位，应当每三年进行</w:t>
      </w:r>
      <w:r>
        <w:rPr>
          <w:rFonts w:ascii="仿宋_GB2312" w:hAnsi="仿宋_GB2312" w:hint="eastAsia"/>
          <w:color w:val="000000"/>
          <w:sz w:val="32"/>
          <w:szCs w:val="32"/>
          <w:lang w:val="en-US"/>
        </w:rPr>
        <w:lastRenderedPageBreak/>
        <w:t>一次应急预案评估；</w:t>
      </w:r>
    </w:p>
    <w:p w14:paraId="2315FFF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6.应急预案应当及时修订并归档；</w:t>
      </w:r>
    </w:p>
    <w:p w14:paraId="1E09FFE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7.落实应急预案规定的应急物资及装备。</w:t>
      </w:r>
    </w:p>
    <w:p w14:paraId="00A9F6FE"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三、检查方法</w:t>
      </w:r>
    </w:p>
    <w:p w14:paraId="13750DB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0C9D16F5"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四、检查依据</w:t>
      </w:r>
    </w:p>
    <w:p w14:paraId="0186675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1C367A5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7100FB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4DAF8E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62F54A0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72674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w:t>
      </w:r>
      <w:r>
        <w:rPr>
          <w:rFonts w:ascii="仿宋_GB2312" w:hAnsi="仿宋_GB2312" w:hint="eastAsia"/>
          <w:color w:val="000000"/>
          <w:sz w:val="32"/>
          <w:szCs w:val="32"/>
          <w:lang w:val="en-US"/>
        </w:rPr>
        <w:lastRenderedPageBreak/>
        <w:t>者行业标准的设施、设备、器材以及违法生产、储存、使用、经营、运输的危险物品予以查封或者扣押，对违法生产、储存、使用、经营危险物品的作业场所予以查封，并依法作出处理决定。</w:t>
      </w:r>
    </w:p>
    <w:p w14:paraId="193EA0F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12B2DF68"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（二）《食品生产企业安全生产监督管理暂行规定》（国家安全监管总局令第66号，2015年5月29日修正）</w:t>
      </w:r>
    </w:p>
    <w:p w14:paraId="733155E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第三条第二款 县级以上地方人民政府安全生产监督管理部门和有关部门（以下统称负责食品生产企业安全生产监管的部门）根据本级人民政府规定的职责，按照属地监管、分级负责的原则，对本行政区域内食品生产企业的安全生产工作实施监督管理。</w:t>
      </w:r>
    </w:p>
    <w:p w14:paraId="46BA20F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 食品生产企业应当严格遵守有关安全生产法律、行政法规和国家标准、行业标准的规定，建立健全安全生产责任制、安全生产规章制度和安全操作规程。</w:t>
      </w:r>
    </w:p>
    <w:p w14:paraId="6D8F82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从业人员超过</w:t>
      </w:r>
      <w:r>
        <w:rPr>
          <w:rFonts w:ascii="仿宋_GB2312" w:hAnsi="仿宋_GB2312"/>
          <w:color w:val="000000"/>
          <w:sz w:val="32"/>
          <w:szCs w:val="32"/>
          <w:lang w:val="en-US"/>
        </w:rPr>
        <w:t>100</w:t>
      </w:r>
      <w:r>
        <w:rPr>
          <w:rFonts w:ascii="仿宋_GB2312" w:hAnsi="仿宋_GB2312" w:hint="eastAsia"/>
          <w:color w:val="000000"/>
          <w:sz w:val="32"/>
          <w:szCs w:val="32"/>
          <w:lang w:val="en-US"/>
        </w:rPr>
        <w:t>人的食品生产企业，应当设置安全生产管理机构或者配备</w:t>
      </w:r>
      <w:r>
        <w:rPr>
          <w:rFonts w:ascii="仿宋_GB2312" w:hAnsi="仿宋_GB2312"/>
          <w:color w:val="000000"/>
          <w:sz w:val="32"/>
          <w:szCs w:val="32"/>
          <w:lang w:val="en-US"/>
        </w:rPr>
        <w:t>3</w:t>
      </w:r>
      <w:r>
        <w:rPr>
          <w:rFonts w:ascii="仿宋_GB2312" w:hAnsi="仿宋_GB2312" w:hint="eastAsia"/>
          <w:color w:val="000000"/>
          <w:sz w:val="32"/>
          <w:szCs w:val="32"/>
          <w:lang w:val="en-US"/>
        </w:rPr>
        <w:t>名以上专职安全生产管理人员，鼓励配备注册安全工程师从事安全生产管理工作。</w:t>
      </w:r>
    </w:p>
    <w:p w14:paraId="359492E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前款规定以外的其他食品生产企业，应当配备专职或者兼职安全生产管理人员，或者委托安全生产中介机构提供安全生产服务。</w:t>
      </w:r>
    </w:p>
    <w:p w14:paraId="1FD50F3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第七条第一款 食品生产企业应当支持安全生产管理机构和安全生产管理人员履行管理职责，并保证其开展工作所必须的条件。</w:t>
      </w:r>
    </w:p>
    <w:p w14:paraId="4BB5CCF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第九条 食品生产企业新建、改建和扩建建设项目（以下统称建设项目）的安全设施，必须与主体工程同时设计、同时施工、同时投入生产和使用。安全设施投资应当纳入建设项目概算。</w:t>
      </w:r>
    </w:p>
    <w:p w14:paraId="188599C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食品生产企业应当建立健全事故隐患排查治理制度，明确事故隐患治理的措施、责任、资金、时限和预案，采取技术、管理措施，及时发现并消除事故隐患。事故隐患排查治理情况应当如实记录，向从业人员通报，并按规定报告所在地负责食品生产企业安全生产监管的部门。</w:t>
      </w:r>
    </w:p>
    <w:p w14:paraId="5868D3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食品生产企业的加工、制作等项目有多个承包单位、承租单位，或者存在空间交叉的，应当对承包单位、承租单位的安全生产工作进行统一协调、管理。承包单位、承租单位应当服从食品生产企业的统一管理，并对作业现场的安全生产负责。</w:t>
      </w:r>
    </w:p>
    <w:p w14:paraId="487BA4B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食品生产企业应当对新录用、季节性复工、调整工作岗位和离岗半年以上重新上岗的从业人员，进行相应的安全生产教育培训。未经安全生产教育培训合格的从业人员，不得上岗作业。</w:t>
      </w:r>
    </w:p>
    <w:p w14:paraId="4A6BFCF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第十五条第一款 食品生产企业应当定期组织开展危险源辨识，并将其工作场所存在和作业过程中可能产生的危险因素、防范措施和事故应急措施等如实书面告知从业人员，不得隐瞒或者欺骗。</w:t>
      </w:r>
    </w:p>
    <w:p w14:paraId="2BD477C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食品生产企业的作业场所应当符合下列要求：</w:t>
      </w:r>
    </w:p>
    <w:p w14:paraId="1104FF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（一）生产设施设备，按照国家有关规定配备有温度、</w:t>
      </w:r>
      <w:r>
        <w:rPr>
          <w:rFonts w:ascii="仿宋_GB2312" w:hAnsi="仿宋_GB2312" w:hint="eastAsia"/>
          <w:color w:val="000000"/>
          <w:sz w:val="32"/>
          <w:szCs w:val="32"/>
          <w:lang w:val="en-US"/>
        </w:rPr>
        <w:lastRenderedPageBreak/>
        <w:t>压力、流量、液位以及粉尘浓度、可燃和有毒气体浓度等工艺指标的超限报警装置；</w:t>
      </w:r>
    </w:p>
    <w:p w14:paraId="07BCD1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（二）用电设备设施和场所，采取保护措施，并在配电设备设施上安装剩余电流动作保护装置或者其他防止触电的装置；</w:t>
      </w:r>
    </w:p>
    <w:p w14:paraId="71C6E1F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（三）涉及烘制、油炸等高温的设施设备和岗位，采用必要的防过热自动报警切断和隔热板、墙等保护设施；</w:t>
      </w:r>
    </w:p>
    <w:p w14:paraId="75D8150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（四）涉及淀粉等可燃性粉尘爆炸危险的场所、设施设备，采用惰化、抑爆、阻爆、泄爆等措施防止粉尘爆炸，现场安全管理措施和条件符合《粉尘防爆安全规程》（</w:t>
      </w:r>
      <w:r>
        <w:rPr>
          <w:rFonts w:ascii="仿宋_GB2312" w:hAnsi="仿宋_GB2312"/>
          <w:color w:val="000000"/>
          <w:sz w:val="32"/>
          <w:szCs w:val="32"/>
          <w:lang w:val="en-US"/>
        </w:rPr>
        <w:t>GB15577</w:t>
      </w:r>
      <w:r>
        <w:rPr>
          <w:rFonts w:ascii="仿宋_GB2312" w:hAnsi="仿宋_GB2312" w:hint="eastAsia"/>
          <w:color w:val="000000"/>
          <w:sz w:val="32"/>
          <w:szCs w:val="32"/>
          <w:lang w:val="en-US"/>
        </w:rPr>
        <w:t>）等国家标准或者行业标准的要求；</w:t>
      </w:r>
    </w:p>
    <w:p w14:paraId="7DAA917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油库（罐）、燃气站、除尘器、压缩空气站、压力容器、压力管道、电缆隧道（沟）等重点防火防爆部位，采取有效、可靠的监控、监测、预警、防火、防爆、防毒等安全措施。安全附件和联锁装置不得随意拆弃和解除，声、光报警等信号不得随意切断；</w:t>
      </w:r>
    </w:p>
    <w:p w14:paraId="139B74C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（六）制冷车间符合《冷库设计规范》（</w:t>
      </w:r>
      <w:r>
        <w:rPr>
          <w:rFonts w:ascii="仿宋_GB2312" w:hAnsi="仿宋_GB2312"/>
          <w:color w:val="000000"/>
          <w:sz w:val="32"/>
          <w:szCs w:val="32"/>
          <w:lang w:val="en-US"/>
        </w:rPr>
        <w:t>GB50072</w:t>
      </w:r>
      <w:r>
        <w:rPr>
          <w:rFonts w:ascii="仿宋_GB2312" w:hAnsi="仿宋_GB2312" w:hint="eastAsia"/>
          <w:color w:val="000000"/>
          <w:sz w:val="32"/>
          <w:szCs w:val="32"/>
          <w:lang w:val="en-US"/>
        </w:rPr>
        <w:t>）、《冷库安全规程》（</w:t>
      </w:r>
      <w:r>
        <w:rPr>
          <w:rFonts w:ascii="仿宋_GB2312" w:hAnsi="仿宋_GB2312"/>
          <w:color w:val="000000"/>
          <w:sz w:val="32"/>
          <w:szCs w:val="32"/>
          <w:lang w:val="en-US"/>
        </w:rPr>
        <w:t>GB28009</w:t>
      </w:r>
      <w:r>
        <w:rPr>
          <w:rFonts w:ascii="仿宋_GB2312" w:hAnsi="仿宋_GB2312" w:hint="eastAsia"/>
          <w:color w:val="000000"/>
          <w:sz w:val="32"/>
          <w:szCs w:val="32"/>
          <w:lang w:val="en-US"/>
        </w:rPr>
        <w:t>）等国家标准或者行业标准的规定，设置气体浓度报警装置，且与制冷电机联锁、与事故排风机联动。在包装间、分割间等人员密集场所，严禁采用氨直接蒸发的制冷系统。</w:t>
      </w:r>
    </w:p>
    <w:p w14:paraId="4DDC859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第十七条 食品生产企业涉及生产、储存和使用危险化学品的，应当严格按照《危险化学品安全管理条例》等法律、行政法规、国家标准或者行业标准的规定，根据危险化学品</w:t>
      </w:r>
      <w:r>
        <w:rPr>
          <w:rFonts w:ascii="仿宋_GB2312" w:hAnsi="仿宋_GB2312" w:hint="eastAsia"/>
          <w:color w:val="000000"/>
          <w:sz w:val="32"/>
          <w:szCs w:val="32"/>
          <w:lang w:val="en-US"/>
        </w:rPr>
        <w:lastRenderedPageBreak/>
        <w:t>的种类和危险特性，在生产、储存和使用场所设置相应的监测、监控、通风、防晒、调温、防火、灭火、防爆、泄压、防毒、中和、防潮、防雷、防静电、防腐、防泄漏以及防护围堤等安全设施设备，并对安全设施设备进行经常性维护保养，保证其正常运行。</w:t>
      </w:r>
    </w:p>
    <w:p w14:paraId="1FFE80C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食品生产企业的中间产品为危险化学品的，应当依照有关规定取得危险化学品安全生产许可证。</w:t>
      </w:r>
    </w:p>
    <w:p w14:paraId="019FE4C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第二十条第二款 食品生产企业应当在有危险因素的场所和有关设施、设备上设置明显的安全警示标志和警示说明。</w:t>
      </w:r>
    </w:p>
    <w:p w14:paraId="6E17A75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食品生产企业进行高处作业、吊装作业、临近高压输电线路作业、电焊气焊等动火作业，以及在污水池等有限空间内作业的，应当实行作业审批制度，安排专门人员负责现场安全管。</w:t>
      </w:r>
    </w:p>
    <w:p w14:paraId="1C7C80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第二十二条 县级以上人民政府负责食品生产企业安全生产监管的部门及其行政执法人员应当在其职责范围内加强对食品生产企业安全生产的监督检查，对违反有关安全生产法律、行政法规、国家标准或者行业标准和本规定的违法行为，依法实施行政处罚。</w:t>
      </w:r>
    </w:p>
    <w:p w14:paraId="6F4DA77E"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（二）《工贸行业重大生产安全事故隐患判定标准（2017版）》行业类重大事故隐患（五）轻工行业</w:t>
      </w:r>
    </w:p>
    <w:p w14:paraId="111F7D9E" w14:textId="77777777" w:rsidR="006C0E4E" w:rsidRDefault="006C0E4E" w:rsidP="006C0E4E">
      <w:pPr>
        <w:pStyle w:val="Bodytext1"/>
        <w:snapToGrid w:val="0"/>
        <w:spacing w:line="560" w:lineRule="exact"/>
        <w:ind w:firstLine="640"/>
        <w:textAlignment w:val="baseline"/>
        <w:rPr>
          <w:rFonts w:ascii="仿宋_GB2312" w:hAnsi="仿宋_GB2312"/>
          <w:color w:val="FF0000"/>
          <w:sz w:val="32"/>
          <w:szCs w:val="32"/>
          <w:lang w:val="en-US"/>
        </w:rPr>
      </w:pPr>
      <w:r>
        <w:rPr>
          <w:rFonts w:ascii="仿宋_GB2312" w:hAnsi="仿宋_GB2312" w:hint="eastAsia"/>
          <w:sz w:val="32"/>
          <w:szCs w:val="32"/>
          <w:lang w:val="en-US"/>
        </w:rPr>
        <w:t>1.食品制造企业烘制、油炸设备未设置防过热自动切断装置的。</w:t>
      </w:r>
    </w:p>
    <w:p w14:paraId="0022DF28"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第九章 对地质勘探单位安全生产的监督检查工作指引</w:t>
      </w:r>
    </w:p>
    <w:p w14:paraId="54D7C35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lastRenderedPageBreak/>
        <w:t>一、抽查事项</w:t>
      </w:r>
    </w:p>
    <w:p w14:paraId="746CE6B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对地质勘探单位安全生产的监督检查。</w:t>
      </w:r>
    </w:p>
    <w:p w14:paraId="10DB34F3"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二、检查内容</w:t>
      </w:r>
    </w:p>
    <w:p w14:paraId="448B128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（一）安全生产管理机构设立和专职安全生产管理人员配备情况</w:t>
      </w:r>
    </w:p>
    <w:p w14:paraId="2652FDD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1.地质勘探单位及其主管单位是否按照有关规定设置安全生产管理机构或者配备专职安全生产管理人员；（1）地质勘探单位从业人员超过100人的，是否设置安全生产管理机构，并按不低于从业人员</w:t>
      </w:r>
      <w:r>
        <w:rPr>
          <w:rFonts w:ascii="仿宋_GB2312" w:hAnsi="仿宋_GB2312"/>
          <w:color w:val="000000"/>
          <w:sz w:val="32"/>
          <w:szCs w:val="32"/>
          <w:lang w:val="en-US"/>
        </w:rPr>
        <w:t>1%</w:t>
      </w:r>
      <w:r>
        <w:rPr>
          <w:rFonts w:ascii="仿宋_GB2312" w:hAnsi="仿宋_GB2312" w:hint="eastAsia"/>
          <w:color w:val="000000"/>
          <w:sz w:val="32"/>
          <w:szCs w:val="32"/>
          <w:lang w:val="en-US"/>
        </w:rPr>
        <w:t>的比例配备专职安全生产管理人员；从业人员在</w:t>
      </w:r>
      <w:r>
        <w:rPr>
          <w:rFonts w:ascii="仿宋_GB2312" w:hAnsi="仿宋_GB2312"/>
          <w:color w:val="000000"/>
          <w:sz w:val="32"/>
          <w:szCs w:val="32"/>
          <w:lang w:val="en-US"/>
        </w:rPr>
        <w:t>100</w:t>
      </w:r>
      <w:r>
        <w:rPr>
          <w:rFonts w:ascii="仿宋_GB2312" w:hAnsi="仿宋_GB2312" w:hint="eastAsia"/>
          <w:color w:val="000000"/>
          <w:sz w:val="32"/>
          <w:szCs w:val="32"/>
          <w:lang w:val="en-US"/>
        </w:rPr>
        <w:t>人以下的，是否配备不少于</w:t>
      </w:r>
      <w:r>
        <w:rPr>
          <w:rFonts w:ascii="仿宋_GB2312" w:hAnsi="仿宋_GB2312"/>
          <w:color w:val="000000"/>
          <w:sz w:val="32"/>
          <w:szCs w:val="32"/>
          <w:lang w:val="en-US"/>
        </w:rPr>
        <w:t>2</w:t>
      </w:r>
      <w:r>
        <w:rPr>
          <w:rFonts w:ascii="仿宋_GB2312" w:hAnsi="仿宋_GB2312" w:hint="eastAsia"/>
          <w:color w:val="000000"/>
          <w:sz w:val="32"/>
          <w:szCs w:val="32"/>
          <w:lang w:val="en-US"/>
        </w:rPr>
        <w:t>名的专职安全生产管理人员；（2）所属地质勘探单位从业人员总数在</w:t>
      </w:r>
      <w:r>
        <w:rPr>
          <w:rFonts w:ascii="仿宋_GB2312" w:hAnsi="仿宋_GB2312"/>
          <w:color w:val="000000"/>
          <w:sz w:val="32"/>
          <w:szCs w:val="32"/>
          <w:lang w:val="en-US"/>
        </w:rPr>
        <w:t>3000</w:t>
      </w:r>
      <w:r>
        <w:rPr>
          <w:rFonts w:ascii="仿宋_GB2312" w:hAnsi="仿宋_GB2312" w:hint="eastAsia"/>
          <w:color w:val="000000"/>
          <w:sz w:val="32"/>
          <w:szCs w:val="32"/>
          <w:lang w:val="en-US"/>
        </w:rPr>
        <w:t>人以上的地质勘探主管单位，是否设置安全生产管理机构，并按不低于从业人员总数</w:t>
      </w:r>
      <w:r>
        <w:rPr>
          <w:rFonts w:ascii="仿宋_GB2312" w:hAnsi="仿宋_GB2312"/>
          <w:color w:val="000000"/>
          <w:sz w:val="32"/>
          <w:szCs w:val="32"/>
          <w:lang w:val="en-US"/>
        </w:rPr>
        <w:t>1</w:t>
      </w:r>
      <w:r>
        <w:rPr>
          <w:rFonts w:ascii="仿宋_GB2312" w:hAnsi="仿宋_GB2312" w:hint="eastAsia"/>
          <w:color w:val="000000"/>
          <w:sz w:val="32"/>
          <w:szCs w:val="32"/>
          <w:lang w:val="en-US"/>
        </w:rPr>
        <w:t>‰的比例配备专职安全生产管理人员；从业人员总数在</w:t>
      </w:r>
      <w:r>
        <w:rPr>
          <w:rFonts w:ascii="仿宋_GB2312" w:hAnsi="仿宋_GB2312"/>
          <w:color w:val="000000"/>
          <w:sz w:val="32"/>
          <w:szCs w:val="32"/>
          <w:lang w:val="en-US"/>
        </w:rPr>
        <w:t>3000</w:t>
      </w:r>
      <w:r>
        <w:rPr>
          <w:rFonts w:ascii="仿宋_GB2312" w:hAnsi="仿宋_GB2312" w:hint="eastAsia"/>
          <w:color w:val="000000"/>
          <w:sz w:val="32"/>
          <w:szCs w:val="32"/>
          <w:lang w:val="en-US"/>
        </w:rPr>
        <w:t>人以下的，是否设置安全生产管理机构或者配备不少于</w:t>
      </w:r>
      <w:r>
        <w:rPr>
          <w:rFonts w:ascii="仿宋_GB2312" w:hAnsi="仿宋_GB2312"/>
          <w:color w:val="000000"/>
          <w:sz w:val="32"/>
          <w:szCs w:val="32"/>
          <w:lang w:val="en-US"/>
        </w:rPr>
        <w:t>1</w:t>
      </w:r>
      <w:r>
        <w:rPr>
          <w:rFonts w:ascii="仿宋_GB2312" w:hAnsi="仿宋_GB2312" w:hint="eastAsia"/>
          <w:color w:val="000000"/>
          <w:sz w:val="32"/>
          <w:szCs w:val="32"/>
          <w:lang w:val="en-US"/>
        </w:rPr>
        <w:t>名的专职安全生产管理人员。</w:t>
      </w:r>
    </w:p>
    <w:p w14:paraId="58E011E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3.专职安全生产管理人员中是否有注册安全工程师。</w:t>
      </w:r>
    </w:p>
    <w:p w14:paraId="271C39C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4.地质勘探单位的主要负责人和安全生产管理人员是否具备与本单位所从事地质勘探活动相适应的安全生产知识和管理能力，并经安全生产监督管理部门考核合格。</w:t>
      </w:r>
    </w:p>
    <w:p w14:paraId="00E1D6EC"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（二）特种作业人员持证上岗情况</w:t>
      </w:r>
    </w:p>
    <w:p w14:paraId="72FEDBB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地质勘探单位的特种作业人员是否经专门的安全技术培训并考核合格，取得特种作业操作证后，方可上岗作业。</w:t>
      </w:r>
    </w:p>
    <w:p w14:paraId="364026B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（三）从事坑探工程作业人员安全生产教育和培训情况</w:t>
      </w:r>
    </w:p>
    <w:p w14:paraId="56193BA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地质勘探单位从事坑探工程作业的人员，首次上岗作业前是否接受不少于72小时的安全生产教育和培训，是否每年接受不少于</w:t>
      </w:r>
      <w:r>
        <w:rPr>
          <w:rFonts w:ascii="仿宋_GB2312" w:hAnsi="仿宋_GB2312"/>
          <w:color w:val="000000"/>
          <w:sz w:val="32"/>
          <w:szCs w:val="32"/>
          <w:lang w:val="en-US"/>
        </w:rPr>
        <w:t>20</w:t>
      </w:r>
      <w:r>
        <w:rPr>
          <w:rFonts w:ascii="仿宋_GB2312" w:hAnsi="仿宋_GB2312" w:hint="eastAsia"/>
          <w:color w:val="000000"/>
          <w:sz w:val="32"/>
          <w:szCs w:val="32"/>
          <w:lang w:val="en-US"/>
        </w:rPr>
        <w:t>小时的安全生产再培训。</w:t>
      </w:r>
    </w:p>
    <w:p w14:paraId="2111557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（四）安全生产制度和规程建立情况</w:t>
      </w:r>
    </w:p>
    <w:p w14:paraId="3108CF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地质勘探单位应当建立健全下列安全生产制度和规程：</w:t>
      </w:r>
    </w:p>
    <w:p w14:paraId="3A0BA6C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（1）主要负责人、分管负责人、安全生产管理人员和职能部门、岗位的安全生产责任制度；</w:t>
      </w:r>
    </w:p>
    <w:p w14:paraId="6C0AE4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（2）岗位作业安全规程和工种操作规程；</w:t>
      </w:r>
    </w:p>
    <w:p w14:paraId="78ED277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（3）现场安全生产检查制度；</w:t>
      </w:r>
    </w:p>
    <w:p w14:paraId="3D10E5B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（4）安全生产教育培训制度；</w:t>
      </w:r>
    </w:p>
    <w:p w14:paraId="4C4968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（5）重大危险源检测监控制度；</w:t>
      </w:r>
    </w:p>
    <w:p w14:paraId="373470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（6）安全投入保障制度；</w:t>
      </w:r>
    </w:p>
    <w:p w14:paraId="71C60C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（7）事故隐患排查治理制度；</w:t>
      </w:r>
    </w:p>
    <w:p w14:paraId="55CBF7A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（8）事故信息报告、应急预案管理和演练制度；</w:t>
      </w:r>
    </w:p>
    <w:p w14:paraId="0CE874D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（9）劳动防护用品、野外救生用品和野外特殊生活用品配备使用制度；</w:t>
      </w:r>
    </w:p>
    <w:p w14:paraId="4CD75EA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（10）安全生产考核和奖惩制度；</w:t>
      </w:r>
    </w:p>
    <w:p w14:paraId="7D5630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（11）其他必须建立的安全生产制度。</w:t>
      </w:r>
    </w:p>
    <w:p w14:paraId="6E8A2C8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（五）安全生产费用提取和使用情况</w:t>
      </w:r>
    </w:p>
    <w:p w14:paraId="45DA776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地质勘探单位是否按照国家有关规定提取和使用安全生产费用。安全生产费用列入生产成本，并实行专户存储、规范使用。</w:t>
      </w:r>
    </w:p>
    <w:p w14:paraId="692488B5"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三、检查方法</w:t>
      </w:r>
    </w:p>
    <w:p w14:paraId="399D681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66AFEAA3"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lastRenderedPageBreak/>
        <w:t>四、检查依据</w:t>
      </w:r>
    </w:p>
    <w:p w14:paraId="05C961B6"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19B625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7BBE54E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4FCBAB9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53825D9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B4DBB0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00DE75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30700976"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lastRenderedPageBreak/>
        <w:t>（二）《金属与非金属矿产资源地质勘探安全生产监督管理暂行规定》（国家安全监管总局令第35号；2015年5月26日修正）</w:t>
      </w:r>
    </w:p>
    <w:p w14:paraId="5527B11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第五条第二款 县级以上地方各级人民政府安全生产监督管理部门对本行政区域内地质勘探作业的安全生产工作实施监督管理。</w:t>
      </w:r>
    </w:p>
    <w:p w14:paraId="6EC169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地质勘探单位应当遵守有关安全生产法律、法规、规章、国家标准以及行业标准的规定，加强安全生产管理，排查治理事故隐患，确保安全生产。</w:t>
      </w:r>
    </w:p>
    <w:p w14:paraId="0CF7D7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从事钻探工程、坑探工程施工的地质勘探单位应当取得安全生产许可证。</w:t>
      </w:r>
    </w:p>
    <w:p w14:paraId="1B0842D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地质勘探单位从事地质勘探活动，应当持本单位地质勘查资质证书和地质勘探项目任务批准文件或者合同书，向工作区域所在地县级安全生产监督管理部门书面报告，并接受其监督检查。</w:t>
      </w:r>
    </w:p>
    <w:p w14:paraId="26F9984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地质勘探单位应当建立健全下列安全生产制度和规程：</w:t>
      </w:r>
    </w:p>
    <w:p w14:paraId="505402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（一）主要负责人、分管负责人、安全生产管理人员和职能部门、岗位的安全生产责任制度；</w:t>
      </w:r>
    </w:p>
    <w:p w14:paraId="41EB55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（二）岗位作业安全规程和工种操作规程；</w:t>
      </w:r>
    </w:p>
    <w:p w14:paraId="7C2C531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（三）现场安全生产检查制度；</w:t>
      </w:r>
    </w:p>
    <w:p w14:paraId="4B7D276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（四）安全生产教育培训制度；</w:t>
      </w:r>
    </w:p>
    <w:p w14:paraId="1B5D3FC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（五）重大危险源检测监控制度；</w:t>
      </w:r>
    </w:p>
    <w:p w14:paraId="6365B42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（六）安全投入保障制度；</w:t>
      </w:r>
    </w:p>
    <w:p w14:paraId="4FBE033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（七）事故隐患排查治理制度；</w:t>
      </w:r>
    </w:p>
    <w:p w14:paraId="478EC2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（八）事故信息报告、应急预案管理和演练制度；</w:t>
      </w:r>
    </w:p>
    <w:p w14:paraId="4AD9E04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（九）劳动防护用品、野外救生用品和野外特殊生活用品配备使用制度；</w:t>
      </w:r>
    </w:p>
    <w:p w14:paraId="237E1B9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（十）安全生产考核和奖惩制度；</w:t>
      </w:r>
    </w:p>
    <w:p w14:paraId="37F5969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（十一）其他必须建立的安全生产制度。</w:t>
      </w:r>
    </w:p>
    <w:p w14:paraId="639E3EA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第十条 地质勘探单位及其主管单位应当按照下列规定设置安全生产管理机构或者配备专职安全生产管理人员：</w:t>
      </w:r>
    </w:p>
    <w:p w14:paraId="48D6377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（一）地质勘探单位从业人员超过</w:t>
      </w:r>
      <w:r>
        <w:rPr>
          <w:rFonts w:ascii="仿宋_GB2312" w:hAnsi="仿宋_GB2312"/>
          <w:color w:val="000000"/>
          <w:sz w:val="32"/>
          <w:szCs w:val="32"/>
          <w:lang w:val="en-US"/>
        </w:rPr>
        <w:t>100</w:t>
      </w:r>
      <w:r>
        <w:rPr>
          <w:rFonts w:ascii="仿宋_GB2312" w:hAnsi="仿宋_GB2312" w:hint="eastAsia"/>
          <w:color w:val="000000"/>
          <w:sz w:val="32"/>
          <w:szCs w:val="32"/>
          <w:lang w:val="en-US"/>
        </w:rPr>
        <w:t>人的，应当设置安全生产管理机构，并按不低于从业人员</w:t>
      </w:r>
      <w:r>
        <w:rPr>
          <w:rFonts w:ascii="仿宋_GB2312" w:hAnsi="仿宋_GB2312"/>
          <w:color w:val="000000"/>
          <w:sz w:val="32"/>
          <w:szCs w:val="32"/>
          <w:lang w:val="en-US"/>
        </w:rPr>
        <w:t>1%</w:t>
      </w:r>
      <w:r>
        <w:rPr>
          <w:rFonts w:ascii="仿宋_GB2312" w:hAnsi="仿宋_GB2312" w:hint="eastAsia"/>
          <w:color w:val="000000"/>
          <w:sz w:val="32"/>
          <w:szCs w:val="32"/>
          <w:lang w:val="en-US"/>
        </w:rPr>
        <w:t>的比例配备专职安全生产管理人员；从业人员在</w:t>
      </w:r>
      <w:r>
        <w:rPr>
          <w:rFonts w:ascii="仿宋_GB2312" w:hAnsi="仿宋_GB2312"/>
          <w:color w:val="000000"/>
          <w:sz w:val="32"/>
          <w:szCs w:val="32"/>
          <w:lang w:val="en-US"/>
        </w:rPr>
        <w:t>100</w:t>
      </w:r>
      <w:r>
        <w:rPr>
          <w:rFonts w:ascii="仿宋_GB2312" w:hAnsi="仿宋_GB2312" w:hint="eastAsia"/>
          <w:color w:val="000000"/>
          <w:sz w:val="32"/>
          <w:szCs w:val="32"/>
          <w:lang w:val="en-US"/>
        </w:rPr>
        <w:t>人以下的，应当配备不少于</w:t>
      </w:r>
      <w:r>
        <w:rPr>
          <w:rFonts w:ascii="仿宋_GB2312" w:hAnsi="仿宋_GB2312"/>
          <w:color w:val="000000"/>
          <w:sz w:val="32"/>
          <w:szCs w:val="32"/>
          <w:lang w:val="en-US"/>
        </w:rPr>
        <w:t>2</w:t>
      </w:r>
      <w:r>
        <w:rPr>
          <w:rFonts w:ascii="仿宋_GB2312" w:hAnsi="仿宋_GB2312" w:hint="eastAsia"/>
          <w:color w:val="000000"/>
          <w:sz w:val="32"/>
          <w:szCs w:val="32"/>
          <w:lang w:val="en-US"/>
        </w:rPr>
        <w:t>名的专职安全生产管理人员；</w:t>
      </w:r>
    </w:p>
    <w:p w14:paraId="5D1A2C1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（二）所属地质勘探单位从业人员总数在</w:t>
      </w:r>
      <w:r>
        <w:rPr>
          <w:rFonts w:ascii="仿宋_GB2312" w:hAnsi="仿宋_GB2312"/>
          <w:color w:val="000000"/>
          <w:sz w:val="32"/>
          <w:szCs w:val="32"/>
          <w:lang w:val="en-US"/>
        </w:rPr>
        <w:t>3000</w:t>
      </w:r>
      <w:r>
        <w:rPr>
          <w:rFonts w:ascii="仿宋_GB2312" w:hAnsi="仿宋_GB2312" w:hint="eastAsia"/>
          <w:color w:val="000000"/>
          <w:sz w:val="32"/>
          <w:szCs w:val="32"/>
          <w:lang w:val="en-US"/>
        </w:rPr>
        <w:t>人以上的地质勘探主管单位，应当设置安全生产管理机构，并按不低于从业人员总数</w:t>
      </w:r>
      <w:r>
        <w:rPr>
          <w:rFonts w:ascii="仿宋_GB2312" w:hAnsi="仿宋_GB2312"/>
          <w:color w:val="000000"/>
          <w:sz w:val="32"/>
          <w:szCs w:val="32"/>
          <w:lang w:val="en-US"/>
        </w:rPr>
        <w:t>1</w:t>
      </w:r>
      <w:r>
        <w:rPr>
          <w:rFonts w:ascii="仿宋_GB2312" w:hAnsi="仿宋_GB2312" w:hint="eastAsia"/>
          <w:color w:val="000000"/>
          <w:sz w:val="32"/>
          <w:szCs w:val="32"/>
          <w:lang w:val="en-US"/>
        </w:rPr>
        <w:t>‰的比例配备专职安全生产管理人员；从业人员总数在</w:t>
      </w:r>
      <w:r>
        <w:rPr>
          <w:rFonts w:ascii="仿宋_GB2312" w:hAnsi="仿宋_GB2312"/>
          <w:color w:val="000000"/>
          <w:sz w:val="32"/>
          <w:szCs w:val="32"/>
          <w:lang w:val="en-US"/>
        </w:rPr>
        <w:t>3000</w:t>
      </w:r>
      <w:r>
        <w:rPr>
          <w:rFonts w:ascii="仿宋_GB2312" w:hAnsi="仿宋_GB2312" w:hint="eastAsia"/>
          <w:color w:val="000000"/>
          <w:sz w:val="32"/>
          <w:szCs w:val="32"/>
          <w:lang w:val="en-US"/>
        </w:rPr>
        <w:t>人以下的，应当设置安全生产管理机构或者配备不少于</w:t>
      </w:r>
      <w:r>
        <w:rPr>
          <w:rFonts w:ascii="仿宋_GB2312" w:hAnsi="仿宋_GB2312"/>
          <w:color w:val="000000"/>
          <w:sz w:val="32"/>
          <w:szCs w:val="32"/>
          <w:lang w:val="en-US"/>
        </w:rPr>
        <w:t>1</w:t>
      </w:r>
      <w:r>
        <w:rPr>
          <w:rFonts w:ascii="仿宋_GB2312" w:hAnsi="仿宋_GB2312" w:hint="eastAsia"/>
          <w:color w:val="000000"/>
          <w:sz w:val="32"/>
          <w:szCs w:val="32"/>
          <w:lang w:val="en-US"/>
        </w:rPr>
        <w:t>名的专职安全生产管理人员。</w:t>
      </w:r>
    </w:p>
    <w:p w14:paraId="501B3F9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专职安全生产管理人员中应当有注册安全工程师。</w:t>
      </w:r>
    </w:p>
    <w:p w14:paraId="40640CC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 地质勘探单位的主要负责人和安全生产管理人员应当具备与本单位所从事地质勘探活动相适应的安全生产知识和管理能力，并经安全生产监督管理部门考核合格。</w:t>
      </w:r>
    </w:p>
    <w:p w14:paraId="594BF91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地质勘探单位的特种作业人员必须经专门的安全技术培训并考核合格，取得特种作业操作证后，方可上岗作业。</w:t>
      </w:r>
    </w:p>
    <w:p w14:paraId="52A0321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地质勘探单位从事坑探工程作业的人员，首</w:t>
      </w:r>
      <w:r>
        <w:rPr>
          <w:rFonts w:ascii="仿宋_GB2312" w:hAnsi="仿宋_GB2312" w:hint="eastAsia"/>
          <w:color w:val="000000"/>
          <w:sz w:val="32"/>
          <w:szCs w:val="32"/>
          <w:lang w:val="en-US"/>
        </w:rPr>
        <w:lastRenderedPageBreak/>
        <w:t>次上岗作业前应当接受不少于</w:t>
      </w:r>
      <w:r>
        <w:rPr>
          <w:rFonts w:ascii="仿宋_GB2312" w:hAnsi="仿宋_GB2312"/>
          <w:color w:val="000000"/>
          <w:sz w:val="32"/>
          <w:szCs w:val="32"/>
          <w:lang w:val="en-US"/>
        </w:rPr>
        <w:t>72</w:t>
      </w:r>
      <w:r>
        <w:rPr>
          <w:rFonts w:ascii="仿宋_GB2312" w:hAnsi="仿宋_GB2312" w:hint="eastAsia"/>
          <w:color w:val="000000"/>
          <w:sz w:val="32"/>
          <w:szCs w:val="32"/>
          <w:lang w:val="en-US"/>
        </w:rPr>
        <w:t>小时的安全生产教育和培训，以后每年应当接受不少于</w:t>
      </w:r>
      <w:r>
        <w:rPr>
          <w:rFonts w:ascii="仿宋_GB2312" w:hAnsi="仿宋_GB2312"/>
          <w:color w:val="000000"/>
          <w:sz w:val="32"/>
          <w:szCs w:val="32"/>
          <w:lang w:val="en-US"/>
        </w:rPr>
        <w:t>20</w:t>
      </w:r>
      <w:r>
        <w:rPr>
          <w:rFonts w:ascii="仿宋_GB2312" w:hAnsi="仿宋_GB2312" w:hint="eastAsia"/>
          <w:color w:val="000000"/>
          <w:sz w:val="32"/>
          <w:szCs w:val="32"/>
          <w:lang w:val="en-US"/>
        </w:rPr>
        <w:t>小时的安全生产再培训。</w:t>
      </w:r>
    </w:p>
    <w:p w14:paraId="66AF49F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地质勘探单位应当按照国家有关规定提取和使用安全生产费用。安全生产费用列入生产成本，并实行专户存储、规范使用。</w:t>
      </w:r>
    </w:p>
    <w:p w14:paraId="6DB480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地质勘探工程的设计、施工和安全管理应当符合《地质勘探安全规程》（</w:t>
      </w:r>
      <w:r>
        <w:rPr>
          <w:rFonts w:ascii="仿宋_GB2312" w:hAnsi="仿宋_GB2312"/>
          <w:color w:val="000000"/>
          <w:sz w:val="32"/>
          <w:szCs w:val="32"/>
          <w:lang w:val="en-US"/>
        </w:rPr>
        <w:t>AQ2004-2005</w:t>
      </w:r>
      <w:r>
        <w:rPr>
          <w:rFonts w:ascii="仿宋_GB2312" w:hAnsi="仿宋_GB2312" w:hint="eastAsia"/>
          <w:color w:val="000000"/>
          <w:sz w:val="32"/>
          <w:szCs w:val="32"/>
          <w:lang w:val="en-US"/>
        </w:rPr>
        <w:t>）的规定。</w:t>
      </w:r>
    </w:p>
    <w:p w14:paraId="40AD332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第十五条第一款 坑探工程的设计方案中应当设有安全专篇。安全专篇应当经所在地安全生产监督管理部门审查同意；未经审查同意的，有关单位不得施工。</w:t>
      </w:r>
    </w:p>
    <w:p w14:paraId="4F8FF7A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地质勘探单位不得将其承担的地质勘探工程项目转包给不具备安全生产条件或者相应地质勘查资质的地质勘探单位，不得允许其他单位以本单位的名义从事地质勘探活动。</w:t>
      </w:r>
    </w:p>
    <w:p w14:paraId="611D44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地质勘探单位应当为从业人员配备必要的劳动防护用品、野外救生用品和野外特殊生活用品。</w:t>
      </w:r>
    </w:p>
    <w:p w14:paraId="3ACD18C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第十九条 地质勘探单位应当根据本单位实际情况制定野外作业突发事件等安全生产应急预案，建立健全应急救援组织或者与邻近的应急救援组织签订救护协议，配备必要的应急救援器材和设备，按照有关规定组织开展应急演练。</w:t>
      </w:r>
    </w:p>
    <w:p w14:paraId="693CB7D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应急预案应当按照有关规定报安全生产监督管理部门和地质勘探主管单位备案。</w:t>
      </w:r>
    </w:p>
    <w:p w14:paraId="59650D9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 地质勘探主管单位应当按照国家有关规定，定期检查所属地质勘探单位落实安全生产责任制和安全生</w:t>
      </w:r>
      <w:r>
        <w:rPr>
          <w:rFonts w:ascii="仿宋_GB2312" w:hAnsi="仿宋_GB2312" w:hint="eastAsia"/>
          <w:color w:val="000000"/>
          <w:sz w:val="32"/>
          <w:szCs w:val="32"/>
          <w:lang w:val="en-US"/>
        </w:rPr>
        <w:lastRenderedPageBreak/>
        <w:t>产费用提取使用、安全生产教育培训、事故隐患排查治理等情况，并组织实施安全生产绩效考核。</w:t>
      </w:r>
    </w:p>
    <w:p w14:paraId="14C64D7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第二十二条  安全生产监督管理部门应当加强对地质勘探单位安全生产的监督检查，对检查中发现的事故隐患和安全生产违法违规行为，依法作出现场处理或者实施行政处罚。</w:t>
      </w:r>
    </w:p>
    <w:p w14:paraId="1695B2C2"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第十章 对生产经营单位安全培训及特种作业人员持证上岗情况的监督检查工作指引</w:t>
      </w:r>
    </w:p>
    <w:p w14:paraId="07F773A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3B1B8E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对生产经营单位安全培训情况的行政检查。</w:t>
      </w:r>
    </w:p>
    <w:p w14:paraId="2B48DC19"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二、检查内容</w:t>
      </w:r>
    </w:p>
    <w:p w14:paraId="2530654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（一）安全培训经费投入和使用情况；</w:t>
      </w:r>
    </w:p>
    <w:p w14:paraId="4CAB19F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（二）制定安全培训制度、年度培训计划并实施，建立安全培训管理档案情况；</w:t>
      </w:r>
    </w:p>
    <w:p w14:paraId="5B1098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（三）从业人员安全生产教育和培训情况；</w:t>
      </w:r>
    </w:p>
    <w:p w14:paraId="26AFFEA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（四）主要负责人、安全生产管理人员和特种作业人员培训情况。</w:t>
      </w:r>
    </w:p>
    <w:p w14:paraId="48C8C1A7"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三、检查方法</w:t>
      </w:r>
    </w:p>
    <w:p w14:paraId="58BA08F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3F7021C"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四、检查依据</w:t>
      </w:r>
    </w:p>
    <w:p w14:paraId="6618DB37"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629EAE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7C920B0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09BDEED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生产经营单位接收中等职业学校、高等学校学生实习的，应当对实习学生进行相应的安全生产教育和培训，提供必要的劳动防护用品。学校应当协助生产经营单位对实习学生进行安全生产教育和培训。</w:t>
      </w:r>
    </w:p>
    <w:p w14:paraId="567FE20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生产经营单位应当建立安全生产教育和培训档案，如实记录安全生产教育和培训的时间、内容、参加人员以及考核结果等情况。</w:t>
      </w:r>
    </w:p>
    <w:p w14:paraId="030FFEE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第二十九条 生产经营单位采用新工艺、新技术、新材料或者使用新设备，必须了解、掌握其安全技术特性，采取有效的安全防护措施，并对从业人员进行专门的安全生产教育和培训。</w:t>
      </w:r>
    </w:p>
    <w:p w14:paraId="17B329F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第三十条 生产经营单位的特种作业人员必须按照国家有关规定经专门的安全作业培训，取得相应资格，方可上岗作业。</w:t>
      </w:r>
    </w:p>
    <w:p w14:paraId="4F5D526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4A2F255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0DB75D7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4E8A155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261ACC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82D55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1E363D90"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（二）《生产经营单位安全培训规定》（国家安全监管总局令第3号）</w:t>
      </w:r>
    </w:p>
    <w:p w14:paraId="21E46EE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第三条第二款 生产经营单位应当按照安全生产法和有关法律、行政法规和本规定，建立健全安全培训工作制度。</w:t>
      </w:r>
    </w:p>
    <w:p w14:paraId="537FEA4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第四条第一款 生产经营单位应当进行安全培训的从业人员包括主要负责人、安全生产管理人员、特种作业人员和其他从业人员。</w:t>
      </w:r>
    </w:p>
    <w:p w14:paraId="6D4BE63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第四款 生产经营单位从业人员应当接受安全培训，熟悉有关安全生产规章制度和安全操作规程，具备必要的安全生产知识，掌握本岗位的安全操作技能，了解事故应急处理措施，知悉自身在安全生产方面的权利和义务。</w:t>
      </w:r>
    </w:p>
    <w:p w14:paraId="13CB6A7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第五款 未经安全培训合格的从业人员，不得上岗作业。</w:t>
      </w:r>
    </w:p>
    <w:p w14:paraId="7DC0A17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第五条第五款 各级安全生产监督管理部门和煤矿安全监察机构（以下简称安全生产监管监察部门）按照各自的职责，依法对生产经营单位的安全培训工作实施监督管理。</w:t>
      </w:r>
    </w:p>
    <w:p w14:paraId="61FF0F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生产经营单位主要负责人和安全生产管理人员应当接受安全培训，具备与所从事的生产经营活动相适应的安全生产知识和管理能力。</w:t>
      </w:r>
    </w:p>
    <w:p w14:paraId="10F7D22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生产经营单位主要负责人和安全生产管理人员初次安全培训时间不得少于</w:t>
      </w:r>
      <w:r>
        <w:rPr>
          <w:rFonts w:ascii="仿宋_GB2312" w:hAnsi="仿宋_GB2312"/>
          <w:color w:val="000000"/>
          <w:sz w:val="32"/>
          <w:szCs w:val="32"/>
          <w:lang w:val="en-US"/>
        </w:rPr>
        <w:t>32</w:t>
      </w:r>
      <w:r>
        <w:rPr>
          <w:rFonts w:ascii="仿宋_GB2312" w:hAnsi="仿宋_GB2312" w:hint="eastAsia"/>
          <w:color w:val="000000"/>
          <w:sz w:val="32"/>
          <w:szCs w:val="32"/>
          <w:lang w:val="en-US"/>
        </w:rPr>
        <w:t>学时。每年再培训时间不得少于</w:t>
      </w:r>
      <w:r>
        <w:rPr>
          <w:rFonts w:ascii="仿宋_GB2312" w:hAnsi="仿宋_GB2312"/>
          <w:color w:val="000000"/>
          <w:sz w:val="32"/>
          <w:szCs w:val="32"/>
          <w:lang w:val="en-US"/>
        </w:rPr>
        <w:t>12</w:t>
      </w:r>
      <w:r>
        <w:rPr>
          <w:rFonts w:ascii="仿宋_GB2312" w:hAnsi="仿宋_GB2312" w:hint="eastAsia"/>
          <w:color w:val="000000"/>
          <w:sz w:val="32"/>
          <w:szCs w:val="32"/>
          <w:lang w:val="en-US"/>
        </w:rPr>
        <w:t>学时。</w:t>
      </w:r>
    </w:p>
    <w:p w14:paraId="0E45F0D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r>
        <w:rPr>
          <w:rFonts w:ascii="仿宋_GB2312" w:hAnsi="仿宋_GB2312" w:hint="eastAsia"/>
          <w:color w:val="000000"/>
          <w:sz w:val="32"/>
          <w:szCs w:val="32"/>
          <w:lang w:val="en-US"/>
        </w:rPr>
        <w:t>、非煤矿山、危险化学品、烟花爆竹、金属冶炼等生产经营单位主要负责人和安全生产管理人员初次安全培训时间不得少于</w:t>
      </w:r>
      <w:r>
        <w:rPr>
          <w:rFonts w:ascii="仿宋_GB2312" w:hAnsi="仿宋_GB2312"/>
          <w:color w:val="000000"/>
          <w:sz w:val="32"/>
          <w:szCs w:val="32"/>
          <w:lang w:val="en-US"/>
        </w:rPr>
        <w:t>48</w:t>
      </w:r>
      <w:r>
        <w:rPr>
          <w:rFonts w:ascii="仿宋_GB2312" w:hAnsi="仿宋_GB2312" w:hint="eastAsia"/>
          <w:color w:val="000000"/>
          <w:sz w:val="32"/>
          <w:szCs w:val="32"/>
          <w:lang w:val="en-US"/>
        </w:rPr>
        <w:t>学时，每年再培训时间不得少于</w:t>
      </w:r>
      <w:r>
        <w:rPr>
          <w:rFonts w:ascii="仿宋_GB2312" w:hAnsi="仿宋_GB2312"/>
          <w:color w:val="000000"/>
          <w:sz w:val="32"/>
          <w:szCs w:val="32"/>
          <w:lang w:val="en-US"/>
        </w:rPr>
        <w:t>16</w:t>
      </w:r>
      <w:r>
        <w:rPr>
          <w:rFonts w:ascii="仿宋_GB2312" w:hAnsi="仿宋_GB2312" w:hint="eastAsia"/>
          <w:color w:val="000000"/>
          <w:sz w:val="32"/>
          <w:szCs w:val="32"/>
          <w:lang w:val="en-US"/>
        </w:rPr>
        <w:t>学时。</w:t>
      </w:r>
    </w:p>
    <w:p w14:paraId="2C355DA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 xml:space="preserve">第十一条 </w:t>
      </w:r>
      <w:r>
        <w:rPr>
          <w:rFonts w:ascii="仿宋_GB2312" w:hAnsi="仿宋_GB2312"/>
          <w:color w:val="000000"/>
          <w:sz w:val="32"/>
          <w:szCs w:val="32"/>
          <w:lang w:val="en-US"/>
        </w:rPr>
        <w:t>…</w:t>
      </w:r>
      <w:r>
        <w:rPr>
          <w:rFonts w:ascii="仿宋_GB2312" w:hAnsi="仿宋_GB2312" w:hint="eastAsia"/>
          <w:color w:val="000000"/>
          <w:sz w:val="32"/>
          <w:szCs w:val="32"/>
          <w:lang w:val="en-US"/>
        </w:rPr>
        <w:t>、非煤矿山、危险化学品、烟花爆竹、金属冶炼等生产经营单位必须对新上岗的临时工、合同工、劳务工、轮换工、协议工等进行强制性安全培训，保证其具备本岗位安全操作、自救互救以及应急处置所需的知识和技能后，</w:t>
      </w:r>
      <w:r>
        <w:rPr>
          <w:rFonts w:ascii="仿宋_GB2312" w:hAnsi="仿宋_GB2312" w:hint="eastAsia"/>
          <w:color w:val="000000"/>
          <w:sz w:val="32"/>
          <w:szCs w:val="32"/>
          <w:lang w:val="en-US"/>
        </w:rPr>
        <w:lastRenderedPageBreak/>
        <w:t>方能安排上岗作业。</w:t>
      </w:r>
    </w:p>
    <w:p w14:paraId="165742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加工、制造业等生产单位的其他从业人员，在上岗前必须经过厂（矿）、车间（工段、区、队）、班组三级安全培训教育。</w:t>
      </w:r>
    </w:p>
    <w:p w14:paraId="2CA8096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生产经营单位应当根据工作性质对其他从业人员进行安全培训，保证其具备本岗位安全操作、应急处置等知识和技能。</w:t>
      </w:r>
    </w:p>
    <w:p w14:paraId="457E805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生产经营单位新上岗的从业人员，岗前安全培训时间不得少于</w:t>
      </w:r>
      <w:r>
        <w:rPr>
          <w:rFonts w:ascii="仿宋_GB2312" w:hAnsi="仿宋_GB2312"/>
          <w:color w:val="000000"/>
          <w:sz w:val="32"/>
          <w:szCs w:val="32"/>
          <w:lang w:val="en-US"/>
        </w:rPr>
        <w:t>24</w:t>
      </w:r>
      <w:r>
        <w:rPr>
          <w:rFonts w:ascii="仿宋_GB2312" w:hAnsi="仿宋_GB2312" w:hint="eastAsia"/>
          <w:color w:val="000000"/>
          <w:sz w:val="32"/>
          <w:szCs w:val="32"/>
          <w:lang w:val="en-US"/>
        </w:rPr>
        <w:t>学时。</w:t>
      </w:r>
    </w:p>
    <w:p w14:paraId="210EC9C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r>
        <w:rPr>
          <w:rFonts w:ascii="仿宋_GB2312" w:hAnsi="仿宋_GB2312" w:hint="eastAsia"/>
          <w:color w:val="000000"/>
          <w:sz w:val="32"/>
          <w:szCs w:val="32"/>
          <w:lang w:val="en-US"/>
        </w:rPr>
        <w:t>、非煤矿山、危险化学品、烟花爆竹、金属冶炼等生产经营单位新上岗的从业人员安全培训时间不得少于</w:t>
      </w:r>
      <w:r>
        <w:rPr>
          <w:rFonts w:ascii="仿宋_GB2312" w:hAnsi="仿宋_GB2312"/>
          <w:color w:val="000000"/>
          <w:sz w:val="32"/>
          <w:szCs w:val="32"/>
          <w:lang w:val="en-US"/>
        </w:rPr>
        <w:t>72</w:t>
      </w:r>
      <w:r>
        <w:rPr>
          <w:rFonts w:ascii="仿宋_GB2312" w:hAnsi="仿宋_GB2312" w:hint="eastAsia"/>
          <w:color w:val="000000"/>
          <w:sz w:val="32"/>
          <w:szCs w:val="32"/>
          <w:lang w:val="en-US"/>
        </w:rPr>
        <w:t>学时，每年再培训的时间不得少于</w:t>
      </w:r>
      <w:r>
        <w:rPr>
          <w:rFonts w:ascii="仿宋_GB2312" w:hAnsi="仿宋_GB2312"/>
          <w:color w:val="000000"/>
          <w:sz w:val="32"/>
          <w:szCs w:val="32"/>
          <w:lang w:val="en-US"/>
        </w:rPr>
        <w:t>20</w:t>
      </w:r>
      <w:r>
        <w:rPr>
          <w:rFonts w:ascii="仿宋_GB2312" w:hAnsi="仿宋_GB2312" w:hint="eastAsia"/>
          <w:color w:val="000000"/>
          <w:sz w:val="32"/>
          <w:szCs w:val="32"/>
          <w:lang w:val="en-US"/>
        </w:rPr>
        <w:t>学时。</w:t>
      </w:r>
    </w:p>
    <w:p w14:paraId="4F606D6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第二十五条第一款：安全生产监管监察部门依法对生产经营单位安全培训情况进行监督检查，督促生产经营单位按照国家有关法律法规和本规定开展安全培训工作。</w:t>
      </w:r>
    </w:p>
    <w:p w14:paraId="4152D20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第二十六条：各级安全生产监管监察部门对生产经营单位安全培训及其持证上岗的情况进行监督检查，主要包括以下内容：</w:t>
      </w:r>
    </w:p>
    <w:p w14:paraId="215031C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（一）安全培训制度、计划的制定及其实施的情况；</w:t>
      </w:r>
    </w:p>
    <w:p w14:paraId="1C938E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w:t>
      </w:r>
      <w:r>
        <w:rPr>
          <w:rFonts w:ascii="仿宋_GB2312" w:hAnsi="仿宋_GB2312"/>
          <w:color w:val="000000"/>
          <w:sz w:val="32"/>
          <w:szCs w:val="32"/>
          <w:lang w:val="en-US"/>
        </w:rPr>
        <w:t>…</w:t>
      </w:r>
      <w:r>
        <w:rPr>
          <w:rFonts w:ascii="仿宋_GB2312" w:hAnsi="仿宋_GB2312" w:hint="eastAsia"/>
          <w:color w:val="000000"/>
          <w:sz w:val="32"/>
          <w:szCs w:val="32"/>
          <w:lang w:val="en-US"/>
        </w:rPr>
        <w:t>、非煤矿山、危险化学品、烟花爆竹、金属冶炼等生产经营单位主要负责人和安全生产管理人员安全培训以及安全生产知识和管理能力考核的情况；其他生产经营单位主要负责人和安全生产管理人员培训的情况；</w:t>
      </w:r>
    </w:p>
    <w:p w14:paraId="63DABF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（三）特种作业人员操作资格证持证上岗的情况；</w:t>
      </w:r>
    </w:p>
    <w:p w14:paraId="59FAB1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（四）建立安全生产教育和培训档案，并如实记录的情况；</w:t>
      </w:r>
    </w:p>
    <w:p w14:paraId="017338B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（五）对从业人员现场抽考本职工作的安全生产知识；</w:t>
      </w:r>
    </w:p>
    <w:p w14:paraId="3C53AE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（六）其他需要检查的内容。</w:t>
      </w:r>
    </w:p>
    <w:p w14:paraId="716BA4C0"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（三）《安全生产培训管理办法》（国家安全监管总局令第44号，2013年8月29日第一次修正,2015年5月29日第二次修正）</w:t>
      </w:r>
    </w:p>
    <w:p w14:paraId="499C447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第三十条：安全生产监督管理部门、煤矿安全培训监管机构应当对生产经营单位的安全培训情况进行监督检查，检查内容包括：</w:t>
      </w:r>
    </w:p>
    <w:p w14:paraId="0AFABC6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（一）安全培训制度、年度培训计划、安全培训管理档案的制定和实施的情况；</w:t>
      </w:r>
    </w:p>
    <w:p w14:paraId="501B9AD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（二）安全培训经费投入和使用的情况；</w:t>
      </w:r>
    </w:p>
    <w:p w14:paraId="4E0FB32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（三）主要负责人、安全生产管理人员接受安全生产知识和管理能力考核的情况；</w:t>
      </w:r>
    </w:p>
    <w:p w14:paraId="4B59780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（四）特种作业人员持证上岗的情况；</w:t>
      </w:r>
    </w:p>
    <w:p w14:paraId="425D69B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（五）应用新工艺、新技术、新材料、新设备以及转岗前对从业人员安全培训的情况；</w:t>
      </w:r>
    </w:p>
    <w:p w14:paraId="14AEA4B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（六）其他从业人员安全培训的情况；</w:t>
      </w:r>
    </w:p>
    <w:p w14:paraId="0AF2FD7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（七）法律法规规定的其他内容。</w:t>
      </w:r>
    </w:p>
    <w:p w14:paraId="26F396E7"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第十一章 对生产、储存、使用、经营危险化学品单位的安全生产监督检查工作指引</w:t>
      </w:r>
    </w:p>
    <w:p w14:paraId="69F0E45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5976032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（一）对一般危险化学品生产、储存的行政检查</w:t>
      </w:r>
    </w:p>
    <w:p w14:paraId="1F63C59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（二）对一般危险化学品经营的行政检查</w:t>
      </w:r>
    </w:p>
    <w:p w14:paraId="519EE959"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二、检查内容</w:t>
      </w:r>
    </w:p>
    <w:p w14:paraId="586AD27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（一）对一般危险化学品生产、储存的行政检查内容</w:t>
      </w:r>
    </w:p>
    <w:p w14:paraId="15194F5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1.安全生产许可情况</w:t>
      </w:r>
    </w:p>
    <w:p w14:paraId="070484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（1）是否未取得《安全生产许可》证擅自进行生产；</w:t>
      </w:r>
    </w:p>
    <w:p w14:paraId="53567E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（2）是否《安全生产许可证》有效期满未办理延期手续，继续进行生产；</w:t>
      </w:r>
    </w:p>
    <w:p w14:paraId="3832C25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（3）是否违反规定出租、出借、转让安全生产许可证；</w:t>
      </w:r>
    </w:p>
    <w:p w14:paraId="0E56361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（4）是否接受转让、冒用安全生产许可证或者使用伪造的安全生产许可证；</w:t>
      </w:r>
    </w:p>
    <w:p w14:paraId="1C6693F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（5）《安全生产许可证》有效期内主要负责人、企业名称、注册地址、隶属关系发生变更或者新增产品、改变工艺技术对企业安全生产产生重大影响，是否按照规定的时限提出安全生产许可证变更申请；</w:t>
      </w:r>
    </w:p>
    <w:p w14:paraId="2647ECC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（6）《安全生产许可证》有效期内，其危险化学品建设项目安全设施竣工验收合格后，是否按照规定的时限提出安全生产许可证变更申请并擅自投入运行。</w:t>
      </w:r>
    </w:p>
    <w:p w14:paraId="3053A46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2.履行建设项目安全设施“三同时”情况</w:t>
      </w:r>
    </w:p>
    <w:p w14:paraId="13D5CA0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（1）是否按照规定对危险化学品生产、储存建设项目进行安全评价。</w:t>
      </w:r>
    </w:p>
    <w:p w14:paraId="0BB4F9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（2）是否危险化学品建设项目未有安全设施设计，安全设施设计未按照规定报经有关部门审查同意。</w:t>
      </w:r>
    </w:p>
    <w:p w14:paraId="38DAB7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（3）是否用于生产、储存危险化学品的建设项目竣工投</w:t>
      </w:r>
      <w:r>
        <w:rPr>
          <w:rFonts w:ascii="仿宋_GB2312" w:hAnsi="仿宋_GB2312" w:hint="eastAsia"/>
          <w:color w:val="000000"/>
          <w:sz w:val="32"/>
          <w:szCs w:val="32"/>
          <w:lang w:val="en-US"/>
        </w:rPr>
        <w:lastRenderedPageBreak/>
        <w:t>入生产或者使用前，安全设施未经验收合格。</w:t>
      </w:r>
    </w:p>
    <w:p w14:paraId="39B6652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3.企业主要负责人、安全管理人员安全生产教育情况（人员培训和持证上岗情况）</w:t>
      </w:r>
    </w:p>
    <w:p w14:paraId="2552754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（1）主要负责人、分管安全生产的负责人或者安全总监、安全生产管理人员是否经过培训，并由负有安全生产监督管理职责的主管部门对其安全生产知识和管理能力考核合格；</w:t>
      </w:r>
    </w:p>
    <w:p w14:paraId="67694FB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特种作业人员是否按照国家有关规定经专门的安全作业培训，取得相应资格后上岗作业（重点抽查电工作业操作证、焊接与热切割作业操作证、高处作业操作证、制冷与空调作业操作证、危险化学品安全作业操作证等）；</w:t>
      </w:r>
    </w:p>
    <w:p w14:paraId="4E254C5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（3）特种作业人员是否伪造、涂改特种作业操作证或者使用伪造的特种作业操作证；</w:t>
      </w:r>
    </w:p>
    <w:p w14:paraId="07EFA74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（4）特种作业人员是否转借、转让、冒用特种作业操作证；</w:t>
      </w:r>
    </w:p>
    <w:p w14:paraId="0FF08B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（5）是否按照规定对从业人员、被派遣劳动者、实习学生进行安全生产教育和培训；</w:t>
      </w:r>
    </w:p>
    <w:p w14:paraId="1A24CFB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（6）是否如实记录安全生产教育和培训的时间、内容、参加人员以及考核结果等情况</w:t>
      </w:r>
    </w:p>
    <w:p w14:paraId="1141A95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（7）危险化学品生产企业新上岗的从业人员安全培训时间是否是72学时，每年再培训的时间是否是20学时。</w:t>
      </w:r>
    </w:p>
    <w:p w14:paraId="1F0A9D9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（8）调整工作岗位或离岗一年以上重新上岗时，或采用新工艺、新技术、新材料或者使用新设备时，是否对有关从业人员重新进行安全培训。</w:t>
      </w:r>
    </w:p>
    <w:p w14:paraId="754B7C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4.编制事故应急预案并进行演练情况</w:t>
      </w:r>
    </w:p>
    <w:p w14:paraId="6BE77C2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（1）是否制定本单位生产安全事故应急救援预案；</w:t>
      </w:r>
    </w:p>
    <w:p w14:paraId="2A939C3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（2）是否对本单位编制的应急预案进行评审，并形成书面纪要；</w:t>
      </w:r>
    </w:p>
    <w:p w14:paraId="7BDDE4E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（3）是否将其制定的生产安全事故应急救援预案按照国家有关规定报送县级以上人民政府负有安全生产监督管理职责的部门备案；</w:t>
      </w:r>
    </w:p>
    <w:p w14:paraId="0AA2EE0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（4）是否至少每半年组织1次生产安全事故应急救援预案演练；</w:t>
      </w:r>
    </w:p>
    <w:p w14:paraId="279224F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（5）是否按照应急预案的规定，落实应急物资及装备，建立应急物资、装备配备及其使用档案。</w:t>
      </w:r>
    </w:p>
    <w:p w14:paraId="2C9FCC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5.外包工程管理情况</w:t>
      </w:r>
    </w:p>
    <w:p w14:paraId="098758B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（1）是否将生产经营项目、场所、设备发包或者出租给不具备安全生产条件或者相应资质的单位或者个人；</w:t>
      </w:r>
    </w:p>
    <w:p w14:paraId="2863C37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（2）是否与承包单位、承租单位签订专门的安全生产管理协议或者未在承包合同、租赁合同中明确各自的安全生产管理职责；</w:t>
      </w:r>
    </w:p>
    <w:p w14:paraId="164E9BA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（3）是否对承包单位、承租单位的安全生产统一协调、管理</w:t>
      </w:r>
    </w:p>
    <w:p w14:paraId="60B60CF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6.劳动防护用品佩戴和使用情况</w:t>
      </w:r>
    </w:p>
    <w:p w14:paraId="431C3B8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是否为从业人员提供符合国家标准、行业标准或者地方标准的劳动防护用品；</w:t>
      </w:r>
    </w:p>
    <w:p w14:paraId="2D24245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7.“两重点一重大”安全管理情况</w:t>
      </w:r>
    </w:p>
    <w:p w14:paraId="5E934B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（1）涉及“两重点一重大”的生产装置、储存设施外部安全防护距离不符合国家标准要求。</w:t>
      </w:r>
    </w:p>
    <w:p w14:paraId="53CA90B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（2）涉及重点监管危险化工工艺的装置未实现自动化控制，系统未实现紧急停车功能，装备的自动化控制系统、紧急停车系统未投入使用。</w:t>
      </w:r>
    </w:p>
    <w:p w14:paraId="1D1EEC7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（3）构成一级、二级重大危险源的危险化学品罐区未实现紧急切断功能；涉及毒性气体、液化气体、剧毒液体的一级、二级重大危险源的危险化学品罐区未配备独立的安全仪表系统。</w:t>
      </w:r>
    </w:p>
    <w:p w14:paraId="466344B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（4）涉及可燃和有毒有害气体泄漏的场所未按国家标准设置检测报警装置，爆炸危险场所未按国家标准安装使用防爆电气设备。</w:t>
      </w:r>
    </w:p>
    <w:p w14:paraId="6950CB8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（5）液化烃、液氨、液氯等易燃易爆、有毒有害液化气体的充装未使用万向管道充装系统。</w:t>
      </w:r>
    </w:p>
    <w:p w14:paraId="5B9C84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（6）光气、氯气等剧毒气体及硫化氢气体管道穿越除厂区(包括化工园区、工业园区）外的公共区域。</w:t>
      </w:r>
    </w:p>
    <w:p w14:paraId="1E8F7FFE"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（二）对一般危险化学品经营的行政检查内容</w:t>
      </w:r>
    </w:p>
    <w:p w14:paraId="022DE5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1.经营许可证情况</w:t>
      </w:r>
    </w:p>
    <w:p w14:paraId="35C387E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（1）是否取得危险化学品经营许可证从事危险化学品经营；</w:t>
      </w:r>
    </w:p>
    <w:p w14:paraId="29409DB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（2）在经营许可证有效期届满后，是否经延期批准，仍然从事危险化学品经营；</w:t>
      </w:r>
    </w:p>
    <w:p w14:paraId="2EEEE08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（3）是否经营国家禁止经营的危险化学品；</w:t>
      </w:r>
    </w:p>
    <w:p w14:paraId="1D276DB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（4）是否伪造、变造或者出租、出借、转让经营许可证，或者使用伪造、变造的经营许可证；</w:t>
      </w:r>
    </w:p>
    <w:p w14:paraId="0CA999F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（5）已经取得经营许可证的企业变更企业名称、主要负</w:t>
      </w:r>
      <w:r>
        <w:rPr>
          <w:rFonts w:ascii="仿宋_GB2312" w:hAnsi="仿宋_GB2312" w:hint="eastAsia"/>
          <w:color w:val="000000"/>
          <w:sz w:val="32"/>
          <w:szCs w:val="32"/>
          <w:lang w:val="en-US"/>
        </w:rPr>
        <w:lastRenderedPageBreak/>
        <w:t>责人、注册地址或者危险化学品储存设施及其监控措施的，是否按规定申请变更；</w:t>
      </w:r>
    </w:p>
    <w:p w14:paraId="61847C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（6）取得经营许可证的企业有新建、改建、扩建危险化学品储存设施建设项目的，是否按规定申请变更。</w:t>
      </w:r>
    </w:p>
    <w:p w14:paraId="32A1CBE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2.企业主要负责人、安全生产管理人员、特种作业人员持证上岗情况；其他从业人员安全生产教育培训情况</w:t>
      </w:r>
    </w:p>
    <w:p w14:paraId="0418114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（1）主要负责人、分管安全生产的负责人或者安全总监、安全生产管理人员是否经过培训，并由负有安全生产监督管理职责的主管部门对其安全生产知识和管理能力考核合格。</w:t>
      </w:r>
    </w:p>
    <w:p w14:paraId="2A5C42D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（2）特种作业人员是否按照国家有关规定经专门的安全作业培训，取得相应资格后上岗作业。</w:t>
      </w:r>
    </w:p>
    <w:p w14:paraId="307BF3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（3）特种作业人员是否伪造、涂改特种作业操作证或者使用伪造的特种作业操作证；</w:t>
      </w:r>
    </w:p>
    <w:p w14:paraId="1E47380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（4）特种作业人员是否转借、转让、冒用特种作业操作证。</w:t>
      </w:r>
    </w:p>
    <w:p w14:paraId="2D3C6C9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（5）是否按照规定对从业人员、被派遣劳动者、实习学生进行安全生产教育和培训；</w:t>
      </w:r>
    </w:p>
    <w:p w14:paraId="021E71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（6）是否如实记录安全生产教育和培训情况；</w:t>
      </w:r>
    </w:p>
    <w:p w14:paraId="64F0B3F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（7）危险化学品经营企业新上岗的从业人员安全培训时间是否是72学时，每年再培训的时间是否是20学时。</w:t>
      </w:r>
    </w:p>
    <w:p w14:paraId="0134CBC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（8）从业人员在本生产经营单位内调整工作岗位或离岗一年以上重新上岗时，是否重新接受车间（工段、区、队）和班组级的安全培训。</w:t>
      </w:r>
    </w:p>
    <w:p w14:paraId="617A288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3.安全生产规章制度、操作规程建立情况</w:t>
      </w:r>
    </w:p>
    <w:p w14:paraId="26715BF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（1）是否建立事故隐患排查治理制度；</w:t>
      </w:r>
    </w:p>
    <w:p w14:paraId="65E3173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（2）经营、储存危险化学品，是否建立专门安全管理制度、未采取可靠的安全措施；</w:t>
      </w:r>
    </w:p>
    <w:p w14:paraId="53FF2B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（3）储存危险化学品的单位是否建立危险化学品出入库核查、登记制度；</w:t>
      </w:r>
    </w:p>
    <w:p w14:paraId="7F29D5B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（4）危险化学品专用仓库是否设专人负责管理，或者对储存的剧毒化学品以及储存数量构成重大危险源的其他危险化学品未实行双人收发、双人保管制度的；</w:t>
      </w:r>
    </w:p>
    <w:p w14:paraId="02F7B2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（5）是否按照规定执行单位负责人现场带班制度。</w:t>
      </w:r>
    </w:p>
    <w:p w14:paraId="738E8CD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4.经营和储存场所、设施、建筑物符合相关国家标准、行业标准情况</w:t>
      </w:r>
    </w:p>
    <w:p w14:paraId="3EBEB0F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（1）涉及“两重点一重大”的储存设施外部安全防护距离是否符合国家标准要求。</w:t>
      </w:r>
    </w:p>
    <w:p w14:paraId="3498950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（2）地区架空电力线路是否穿越库区且不符合国家标准要求。</w:t>
      </w:r>
    </w:p>
    <w:p w14:paraId="5C9A137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（3）储存危险化学品数量构成重大危险源的储存设施与《危险化学品安全管理条例》（2013年修正本）第十九条第一款规定的“八类场所、区域”距离不符合要求。</w:t>
      </w:r>
    </w:p>
    <w:p w14:paraId="1DE8D77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（4）企业总平面布置防火间距是否满足GB50016、GB50160、GB50074等相关规范的要求。</w:t>
      </w:r>
    </w:p>
    <w:p w14:paraId="089E4B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（5）有区域排洪沟通过生产区或者通过厂区时未采取防止泄漏的可燃液体和受污染的消防水流入区域排洪沟的措施。</w:t>
      </w:r>
    </w:p>
    <w:p w14:paraId="3BB861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（6）是否有地区输油（输气）管道穿越厂区。</w:t>
      </w:r>
    </w:p>
    <w:p w14:paraId="2B74361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（7）石油库的围墙与爆破作业场地(如采石场)的安全距离，不应小于300m。</w:t>
      </w:r>
    </w:p>
    <w:p w14:paraId="244CD6A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（8）控制室或机柜间面向具有火灾、爆炸危险性装置一侧不满足国家标准关于防火防爆的要求。</w:t>
      </w:r>
    </w:p>
    <w:p w14:paraId="32D439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5.编制事故应急预案并进行演练情况</w:t>
      </w:r>
    </w:p>
    <w:p w14:paraId="12B5C7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（1）是否按照规定制定生产安全事故应急救援预案或者未定期组织演练；</w:t>
      </w:r>
    </w:p>
    <w:p w14:paraId="62A29E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（2）生产经营单位是否将生产安全事故应急救援预案报送备案、是否建立应急值班制度或者配备应急值班人员。</w:t>
      </w:r>
    </w:p>
    <w:p w14:paraId="13A7B81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（3）是否建立应急救援组织或者生产经营规模较小、未指定兼职应急救援人员的；</w:t>
      </w:r>
    </w:p>
    <w:p w14:paraId="244D520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（4）是否配备必要的应急救援器材、设备和物资，并进行经常性维护、保养，保证正常运转的。</w:t>
      </w:r>
    </w:p>
    <w:p w14:paraId="45506E9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（5）是否按照规定开展应急预案评审的；</w:t>
      </w:r>
    </w:p>
    <w:p w14:paraId="39AFA2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（6）事故风险可能影响周边单位、人员的，是否将事故风险的性质、影响范围和应急防范措施告知周边单位和人员的；</w:t>
      </w:r>
    </w:p>
    <w:p w14:paraId="220637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（7）是否按照规定开展应急预案评估的；</w:t>
      </w:r>
    </w:p>
    <w:p w14:paraId="63982B7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（8）是否按照规定进行应急预案修订的。</w:t>
      </w:r>
    </w:p>
    <w:p w14:paraId="5FC916B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6.劳动防护用品发放情况</w:t>
      </w:r>
    </w:p>
    <w:p w14:paraId="4079BFE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是否为从业人员提供符合国家标准、行业标准或者地方标准的劳动防护用品。</w:t>
      </w:r>
    </w:p>
    <w:p w14:paraId="19C2DA35"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三、检查方法</w:t>
      </w:r>
    </w:p>
    <w:p w14:paraId="6339D0F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3C123F90"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lastRenderedPageBreak/>
        <w:t>四、检查依据</w:t>
      </w:r>
    </w:p>
    <w:p w14:paraId="231D5B1E"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383D65A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267112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5AF0F4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68DA24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3BB7CA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AAA799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1907B56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lastRenderedPageBreak/>
        <w:t>（二）《危险化学品安全管理条例》（国务院令第344号，2011年2月6日修订）</w:t>
      </w:r>
    </w:p>
    <w:p w14:paraId="57C6191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第四条第三款 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14:paraId="65BC57F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第六条：对危险化学品的生产、储存、使用、经营、运输实施安全监督管理的有关部门(以下统称负有危险化学品安全监督管理职责的部门)，依照下列规定履行职责：</w:t>
      </w:r>
    </w:p>
    <w:p w14:paraId="0586D6A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20E5823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第七条第一款 负有危险化学品安全监督管理职责的部门依法进行监督检查，可以采取下列措施：</w:t>
      </w:r>
    </w:p>
    <w:p w14:paraId="1FC023C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（一）进入危险化学品作业场所实施现场检查，向有关单位和人员了解情况，查阅、复制有关文件、资料；</w:t>
      </w:r>
    </w:p>
    <w:p w14:paraId="2929A04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（二）发现危险化学品事故隐患，责令立即消除或者限期消除；</w:t>
      </w:r>
    </w:p>
    <w:p w14:paraId="3CF6777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（三）对不符合法律、行政法规、规章规定或者国家标</w:t>
      </w:r>
      <w:r>
        <w:rPr>
          <w:rFonts w:ascii="仿宋_GB2312" w:hAnsi="仿宋_GB2312" w:hint="eastAsia"/>
          <w:color w:val="000000"/>
          <w:sz w:val="32"/>
          <w:szCs w:val="32"/>
          <w:lang w:val="en-US"/>
        </w:rPr>
        <w:lastRenderedPageBreak/>
        <w:t>准、行业标准要求的设施、设备、装置、器材、运输工具，责令立即停止使用；</w:t>
      </w:r>
    </w:p>
    <w:p w14:paraId="5653035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经本部门主要负责人批准，查封违法生产、储存、使用、经营危险化学品的场所，扣押违法生产、储存、使用、经营、运输的危险化学品以及用于违法生产、使用、运输危险化学品的原材料、设备、运输工具；</w:t>
      </w:r>
    </w:p>
    <w:p w14:paraId="49B460B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（五）发现影响危险化学品安全的违法行为，当场予以纠正或者责令限期改正。</w:t>
      </w:r>
    </w:p>
    <w:p w14:paraId="27EF688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新建、改建、扩建生产、储存危险化学品的建设项目（以下简称建设项目），应当由安全生产监督管理部门进行安全条件审查。</w:t>
      </w:r>
    </w:p>
    <w:p w14:paraId="268AF7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3C37D49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p>
    <w:p w14:paraId="44E3FE7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危险化学品生产企业进行生产前，应当依照《安全生产许可证条例》的规定，取得危险化学品安全生产许可证。</w:t>
      </w:r>
    </w:p>
    <w:p w14:paraId="79A547D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生产列入国家实行生产许可证制度的工业产品目录的危险化学品的企业，应当依照《中华人民共和国工业产品生产许可证管理条例》的规定，取得工业产品生产许可证。</w:t>
      </w:r>
    </w:p>
    <w:p w14:paraId="54C1B0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p>
    <w:p w14:paraId="2591EEF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第二十二条 生产、储存危险化学品的企业，应当委托具</w:t>
      </w:r>
      <w:r>
        <w:rPr>
          <w:rFonts w:ascii="仿宋_GB2312" w:hAnsi="仿宋_GB2312" w:hint="eastAsia"/>
          <w:color w:val="000000"/>
          <w:sz w:val="32"/>
          <w:szCs w:val="32"/>
          <w:lang w:val="en-US"/>
        </w:rPr>
        <w:lastRenderedPageBreak/>
        <w:t>备国家规定的资质条件的机构，对本企业的安全生产条件每3年进行一次安全评价，提出安全评价报告。安全评价报告的内容应当包括对安全生产条件存在的问题进行整改的方案。</w:t>
      </w:r>
    </w:p>
    <w:p w14:paraId="6A887FE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p>
    <w:p w14:paraId="119F670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第二十六条 危险化学品专用仓库应当符合国家标准、行业标准的要求，并设置明显的标志。储存剧毒化学品、易制爆危险化学品的专用仓库，应当按照国家有关规定设置相应的技术防范设施。</w:t>
      </w:r>
    </w:p>
    <w:p w14:paraId="2B416F6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储存危险化学品的单位应当对其危险化学品专用仓库的安全设施、设备定期进行检测、检验。</w:t>
      </w:r>
    </w:p>
    <w:p w14:paraId="085AE0A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第三十三条 国家对危险化学品经营（包括仓储经营，下同）实行许可制度。未经许可，任何单位和个人不得经营危险化学品。</w:t>
      </w:r>
    </w:p>
    <w:p w14:paraId="2168A57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依法设立的危险化学品生产企业在其厂区范围内销售本企业生产的危险化学品，不需要取得危险化学品经营许可。</w:t>
      </w:r>
    </w:p>
    <w:p w14:paraId="46A1387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32005D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第三十四条 从事危险化学品经营的企业应当具备下列条件：</w:t>
      </w:r>
    </w:p>
    <w:p w14:paraId="5302DA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（一）有符合国家标准、行业标准的经营场所，储存危险化学品的，还应当有符合国家标准、行业标准的储存设施；</w:t>
      </w:r>
    </w:p>
    <w:p w14:paraId="2F89A8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（二）从业人员经过专业技术培训并经考核合格；</w:t>
      </w:r>
    </w:p>
    <w:p w14:paraId="4F0D67E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（三）有健全的安全管理规章制度；</w:t>
      </w:r>
    </w:p>
    <w:p w14:paraId="5058F5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（四）有专职安全管理人员；</w:t>
      </w:r>
    </w:p>
    <w:p w14:paraId="7FCA04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（五）有符合国家规定的危险化学品事故应急预案和必要的应急救援器材、设备；</w:t>
      </w:r>
    </w:p>
    <w:p w14:paraId="040ECA7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（六）法律、法规规定的其他条件。</w:t>
      </w:r>
    </w:p>
    <w:p w14:paraId="467A70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第七十条 危险化学品单位应当制定本单位危险化学品事故应急预案，配备应急救援人员和必要的应急救援器材、设备，并定期组织应急救援演练。</w:t>
      </w:r>
    </w:p>
    <w:p w14:paraId="62418C3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危险化学品单位应当将其危险化学品事故应急预案报所在地设区的市级人民政府安全生产监督管理部门备案。</w:t>
      </w:r>
    </w:p>
    <w:p w14:paraId="07AC0A7F"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（三）《危险化学品经营许可证管理办法》（国家安全监管总局令第55号，2015年5月27日修正）</w:t>
      </w:r>
    </w:p>
    <w:p w14:paraId="6E1B63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第二十五条 安全生产监督管理部门在监督检查中，发现已经取得经营许可证的企业不再具备法律、法规、规章、国家标准、行业标准和本办法规定的安全生产条件，或者存在违反法律、法规、规章和本办法规定的行为的，应当依法作出处理，并及时告知原发证机关。</w:t>
      </w:r>
    </w:p>
    <w:p w14:paraId="2BCBF73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第二十六条 发证机关发现企业以欺骗、贿赂等不正当手段取得经营许可证的，应当撤销已经颁发的经营许可证。</w:t>
      </w:r>
    </w:p>
    <w:p w14:paraId="4AD8775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第二十七条第一款 已经取得经营许可证的企业有下列情形之一的，发证机关应当注销其经营许可证：</w:t>
      </w:r>
    </w:p>
    <w:p w14:paraId="6D67F7F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（一）经营许可证有效期届满未被批准延期的；</w:t>
      </w:r>
    </w:p>
    <w:p w14:paraId="48A075A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（二）终止危险化学品经营活动的；</w:t>
      </w:r>
    </w:p>
    <w:p w14:paraId="4ECE670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（三）经营许可证被依法撤销的；</w:t>
      </w:r>
    </w:p>
    <w:p w14:paraId="5F5440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（四）经营许可证被依法吊销的。</w:t>
      </w:r>
    </w:p>
    <w:p w14:paraId="3E34B1D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第二十九条 未取得经营许可证从事危险化学品经营的，</w:t>
      </w:r>
      <w:r>
        <w:rPr>
          <w:rFonts w:ascii="仿宋_GB2312" w:hAnsi="仿宋_GB2312" w:hint="eastAsia"/>
          <w:color w:val="000000"/>
          <w:sz w:val="32"/>
          <w:szCs w:val="32"/>
          <w:lang w:val="en-US"/>
        </w:rPr>
        <w:lastRenderedPageBreak/>
        <w:t>依照《中华人民共和国安全生产法》有关未经依法批准擅自生产、经营、储存危险物品的法律责任条款并处罚款；构成犯罪的，依法追究刑事责任。</w:t>
      </w:r>
    </w:p>
    <w:p w14:paraId="0697E22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企业在经营许可证有效期届满后，仍然从事危险化学品经营的，依照前款规定给予处罚。</w:t>
      </w:r>
    </w:p>
    <w:p w14:paraId="0BCB79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第三十条 带有储存设施的企业违反《危险化学品安全管理条例》规定，有下列情形之一的，责令改正，处</w:t>
      </w:r>
      <w:r>
        <w:rPr>
          <w:rFonts w:ascii="仿宋_GB2312" w:hAnsi="仿宋_GB2312"/>
          <w:color w:val="000000"/>
          <w:sz w:val="32"/>
          <w:szCs w:val="32"/>
          <w:lang w:val="en-US"/>
        </w:rPr>
        <w:t>5</w:t>
      </w:r>
      <w:r>
        <w:rPr>
          <w:rFonts w:ascii="仿宋_GB2312" w:hAnsi="仿宋_GB2312" w:hint="eastAsia"/>
          <w:color w:val="000000"/>
          <w:sz w:val="32"/>
          <w:szCs w:val="32"/>
          <w:lang w:val="en-US"/>
        </w:rPr>
        <w:t>万元以上</w:t>
      </w:r>
      <w:r>
        <w:rPr>
          <w:rFonts w:ascii="仿宋_GB2312" w:hAnsi="仿宋_GB2312"/>
          <w:color w:val="000000"/>
          <w:sz w:val="32"/>
          <w:szCs w:val="32"/>
          <w:lang w:val="en-US"/>
        </w:rPr>
        <w:t>10</w:t>
      </w:r>
      <w:r>
        <w:rPr>
          <w:rFonts w:ascii="仿宋_GB2312" w:hAnsi="仿宋_GB2312" w:hint="eastAsia"/>
          <w:color w:val="000000"/>
          <w:sz w:val="32"/>
          <w:szCs w:val="32"/>
          <w:lang w:val="en-US"/>
        </w:rPr>
        <w:t>万元以下的罚款；拒不改正的，责令停产停业整顿；经停产停业整顿仍不具备法律、法规、规章、国家标准和行业标准规定的安全生产条件的，吊销其经营许可证：</w:t>
      </w:r>
    </w:p>
    <w:p w14:paraId="17F3097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（一）对重复使用的危险化学品包装物、容器，在重复使用前不进行检查的；</w:t>
      </w:r>
    </w:p>
    <w:p w14:paraId="61BDB9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（二）未根据其储存的危险化学品的种类和危险特性，在作业场所设置相关安全设施、设备，或者未按照国家标准、行业标准或者国家有关规定对安全设施、设备进行经常性维护、保养的；</w:t>
      </w:r>
    </w:p>
    <w:p w14:paraId="467D47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（三）未将危险化学品储存在专用仓库内，或者未将剧毒化学品以及储存数量构成重大危险源的其他危险化学品在专用仓库内单独存放的；</w:t>
      </w:r>
    </w:p>
    <w:p w14:paraId="4F28343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（四）未对其安全生产条件定期进行安全评价的；</w:t>
      </w:r>
    </w:p>
    <w:p w14:paraId="54683C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（五）危险化学品的储存方式、方法或者储存数量不符合国家标准或者国家有关规定的；</w:t>
      </w:r>
    </w:p>
    <w:p w14:paraId="3DDF69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（六）危险化学品专用仓库不符合国家标准、行业标准的要求的；</w:t>
      </w:r>
    </w:p>
    <w:p w14:paraId="3EE3729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（七）未对危险化学品专用仓库的安全设施、设备定期进行检测、检验的。</w:t>
      </w:r>
    </w:p>
    <w:p w14:paraId="36B0F54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第三十一条 伪造、变造或者出租、出借、转让经营许可证，或者使用伪造、变造的经营许可证的，处</w:t>
      </w:r>
      <w:r>
        <w:rPr>
          <w:rFonts w:ascii="仿宋_GB2312" w:hAnsi="仿宋_GB2312"/>
          <w:color w:val="000000"/>
          <w:sz w:val="32"/>
          <w:szCs w:val="32"/>
          <w:lang w:val="en-US"/>
        </w:rPr>
        <w:t>10</w:t>
      </w:r>
      <w:r>
        <w:rPr>
          <w:rFonts w:ascii="仿宋_GB2312" w:hAnsi="仿宋_GB2312" w:hint="eastAsia"/>
          <w:color w:val="000000"/>
          <w:sz w:val="32"/>
          <w:szCs w:val="32"/>
          <w:lang w:val="en-US"/>
        </w:rPr>
        <w:t>万元以上</w:t>
      </w:r>
      <w:r>
        <w:rPr>
          <w:rFonts w:ascii="仿宋_GB2312" w:hAnsi="仿宋_GB2312"/>
          <w:color w:val="000000"/>
          <w:sz w:val="32"/>
          <w:szCs w:val="32"/>
          <w:lang w:val="en-US"/>
        </w:rPr>
        <w:t>20</w:t>
      </w:r>
      <w:r>
        <w:rPr>
          <w:rFonts w:ascii="仿宋_GB2312" w:hAnsi="仿宋_GB2312" w:hint="eastAsia"/>
          <w:color w:val="000000"/>
          <w:sz w:val="32"/>
          <w:szCs w:val="32"/>
          <w:lang w:val="en-US"/>
        </w:rPr>
        <w:t>万元以下的罚款，有违法所得的，没收违法所得；构成违反治安管理行为的，依法给予治安管理处罚；构成犯罪的，依法追究刑事责任。</w:t>
      </w:r>
    </w:p>
    <w:p w14:paraId="3DBEBBD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第三十二条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14:paraId="593954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第三十三条 已经取得经营许可证的企业出现本办法第十四条、第十六条规定的情形之一，未依照本办法的规定申请变更的，责令限期改正，处</w:t>
      </w:r>
      <w:r>
        <w:rPr>
          <w:rFonts w:ascii="仿宋_GB2312" w:hAnsi="仿宋_GB2312"/>
          <w:color w:val="000000"/>
          <w:sz w:val="32"/>
          <w:szCs w:val="32"/>
          <w:lang w:val="en-US"/>
        </w:rPr>
        <w:t>1</w:t>
      </w:r>
      <w:r>
        <w:rPr>
          <w:rFonts w:ascii="仿宋_GB2312" w:hAnsi="仿宋_GB2312" w:hint="eastAsia"/>
          <w:color w:val="000000"/>
          <w:sz w:val="32"/>
          <w:szCs w:val="32"/>
          <w:lang w:val="en-US"/>
        </w:rPr>
        <w:t>万元以下的罚款；逾期仍不申请变更的，处</w:t>
      </w:r>
      <w:r>
        <w:rPr>
          <w:rFonts w:ascii="仿宋_GB2312" w:hAnsi="仿宋_GB2312"/>
          <w:color w:val="000000"/>
          <w:sz w:val="32"/>
          <w:szCs w:val="32"/>
          <w:lang w:val="en-US"/>
        </w:rPr>
        <w:t>1</w:t>
      </w:r>
      <w:r>
        <w:rPr>
          <w:rFonts w:ascii="仿宋_GB2312" w:hAnsi="仿宋_GB2312" w:hint="eastAsia"/>
          <w:color w:val="000000"/>
          <w:sz w:val="32"/>
          <w:szCs w:val="32"/>
          <w:lang w:val="en-US"/>
        </w:rPr>
        <w:t>万元以上</w:t>
      </w:r>
      <w:r>
        <w:rPr>
          <w:rFonts w:ascii="仿宋_GB2312" w:hAnsi="仿宋_GB2312"/>
          <w:color w:val="000000"/>
          <w:sz w:val="32"/>
          <w:szCs w:val="32"/>
          <w:lang w:val="en-US"/>
        </w:rPr>
        <w:t>3</w:t>
      </w:r>
      <w:r>
        <w:rPr>
          <w:rFonts w:ascii="仿宋_GB2312" w:hAnsi="仿宋_GB2312" w:hint="eastAsia"/>
          <w:color w:val="000000"/>
          <w:sz w:val="32"/>
          <w:szCs w:val="32"/>
          <w:lang w:val="en-US"/>
        </w:rPr>
        <w:t>万元以下的罚款。</w:t>
      </w:r>
    </w:p>
    <w:p w14:paraId="077984BF"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第十二章 对危险化学品重大危险源的监督检查工作指引</w:t>
      </w:r>
    </w:p>
    <w:p w14:paraId="5BE63A6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2A5C336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对危险化学品重大危险源的监督检查</w:t>
      </w:r>
    </w:p>
    <w:p w14:paraId="2E2DAF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29B4444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（一）重大危险源的运行情况、安全管理规章制度及安全操作规程制定和落实情况；</w:t>
      </w:r>
    </w:p>
    <w:p w14:paraId="03AB6CE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（二）重大危险源的辨识、分级、安全评估、登记建档、备案情况；</w:t>
      </w:r>
    </w:p>
    <w:p w14:paraId="627C792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（三）重大危险源的监测监控情况；</w:t>
      </w:r>
    </w:p>
    <w:p w14:paraId="5C3FEA3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（四）重大危险源安全设施和安全监测监控系统的检测、检验以及维护保养情况；</w:t>
      </w:r>
    </w:p>
    <w:p w14:paraId="1B080F4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（五）重大危险源事故应急预案的编制、评审、备案、修订和演练情况；</w:t>
      </w:r>
    </w:p>
    <w:p w14:paraId="1F3FCA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（六）有关从业人员的安全培训教育情况；</w:t>
      </w:r>
    </w:p>
    <w:p w14:paraId="6D5A8F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（七）安全标志设置情况；</w:t>
      </w:r>
    </w:p>
    <w:p w14:paraId="46466B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（八）应急救援器材、设备、物资配备情况；</w:t>
      </w:r>
    </w:p>
    <w:p w14:paraId="16956D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（九）预防和控制事故措施的落实情况。</w:t>
      </w:r>
    </w:p>
    <w:p w14:paraId="7D9E521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3DBFB23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E25BA6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086DF9D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7E1735F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5B7E957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22396B9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w:t>
      </w:r>
      <w:r>
        <w:rPr>
          <w:rFonts w:ascii="仿宋_GB2312" w:hAnsi="仿宋_GB2312" w:hint="eastAsia"/>
          <w:color w:val="000000"/>
          <w:sz w:val="32"/>
          <w:szCs w:val="32"/>
          <w:lang w:val="en-US"/>
        </w:rPr>
        <w:lastRenderedPageBreak/>
        <w:t>正或者要求限期改正；对依法应当给予行政处罚的行为，依照本法和其他有关法律、行政法规的规定作出行政处罚决定；</w:t>
      </w:r>
    </w:p>
    <w:p w14:paraId="0FE287B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07DEA0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987C0E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67FFED6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（二）《危险化学品重大危险源监督管理暂行规定》（国家安全监管总局令第40号）</w:t>
      </w:r>
    </w:p>
    <w:p w14:paraId="60446B0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危险化学品单位应当按照《危险化学品重大危险源辨识》标准，对本单位的危险化学品生产、经营、储存和使用装置、设施或者场所进行重大危险源辨识，并记录辨识过程与结果。</w:t>
      </w:r>
    </w:p>
    <w:p w14:paraId="3BCBC6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第八条第一款 危险化学品单位应当对重大危险源进行安全评估并确定重大危险源等级。</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138F364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重大危险源有下列情形之一的，应当委托具有相应资质的安全评价机构，按照有关标准的规定采用定量风险评价方法进行安全评估，确定个人和社会风险值：</w:t>
      </w:r>
    </w:p>
    <w:p w14:paraId="7822E3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（一）构成一级或者二级重大危险源，且毒性气体实际存在（在线）量与其在《危险化学品重大危险源辨识》中规定的临界量比值之和大于或等于1的；</w:t>
      </w:r>
    </w:p>
    <w:p w14:paraId="6D7D2E9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（二）构成一级重大危险源，且爆炸品或液化易燃气体实际存在（在线）量与其在《危险化学品重大危险源辨识》中规定的临界量比值之和大于或等于1的。</w:t>
      </w:r>
    </w:p>
    <w:p w14:paraId="7672038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 有下列情形之一的，危险化学品单位应当对重大危险源重新进行辨识、安全评估及分级：</w:t>
      </w:r>
    </w:p>
    <w:p w14:paraId="0EFEC27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（一）重大危险源安全评估已满三年的；</w:t>
      </w:r>
    </w:p>
    <w:p w14:paraId="5E780A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（二）构成重大危险源的装置、设施或者场所进行新建、改建、扩建的；</w:t>
      </w:r>
    </w:p>
    <w:p w14:paraId="3E47236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（三）危险化学品种类、数量、生产、使用工艺或者储存方式及重要设备、设施等发生变化，影响重大危险源级别或者风险程度的；</w:t>
      </w:r>
    </w:p>
    <w:p w14:paraId="4A26C87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（四）外界生产安全环境因素发生变化，影响重大危险源级别和风险程度的；</w:t>
      </w:r>
    </w:p>
    <w:p w14:paraId="4CE55C1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（五）发生危险化学品事故造成人员死亡，或者10人以上受伤，或者影响到公共安全的；</w:t>
      </w:r>
    </w:p>
    <w:p w14:paraId="160AB68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（六）有关重大危险源辨识和安全评估的国家标准、行业标准发生变化的。</w:t>
      </w:r>
    </w:p>
    <w:p w14:paraId="3409EA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危险化学品单位应当建立完善重大危险源安全管理规章制度和安全操作规程，并采取有效措施保证其得到执行。</w:t>
      </w:r>
    </w:p>
    <w:p w14:paraId="7B7CFC8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危险化学品单位应当根据构成重大危险源的</w:t>
      </w:r>
      <w:r>
        <w:rPr>
          <w:rFonts w:ascii="仿宋_GB2312" w:hAnsi="仿宋_GB2312" w:hint="eastAsia"/>
          <w:color w:val="000000"/>
          <w:sz w:val="32"/>
          <w:szCs w:val="32"/>
          <w:lang w:val="en-US"/>
        </w:rPr>
        <w:lastRenderedPageBreak/>
        <w:t>危险化学品种类、数量、生产、使用工艺（方式）或者相关设备、设施等实际情况，按照下列要求建立健全安全监测监控体系，完善控制措施：</w:t>
      </w:r>
    </w:p>
    <w:p w14:paraId="04F100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14:paraId="2C9E4B8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（二）重大危险源的化工生产装置装备满足安全生产要求的自动化控制系统；一级或者二级重大危险源，装备紧急停车系统；</w:t>
      </w:r>
    </w:p>
    <w:p w14:paraId="4FC533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14:paraId="5B45F5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（四）重大危险源中储存剧毒物质的场所或者设施，设置视频监控系统；</w:t>
      </w:r>
    </w:p>
    <w:p w14:paraId="25E87B9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（五）安全监测监控系统符合国家标准或者行业标准的规定。</w:t>
      </w:r>
    </w:p>
    <w:p w14:paraId="62DABB0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 危险化学品单位应当按照国家有关规定，定期对重大危险源的安全设施和安全监测监控系统进行检测、检验，并进行经常性维护、保养，保证重大危险源的安全设施和安全监测监控系统有效、可靠运行。</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7C46E87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第十六条 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14:paraId="4750278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第十七条 危险化学品单位应当对重大危险源的管理和操作岗位人员进行安全操作技能培训，使其了解重大危险源的危险特性，熟悉重大危险源安全管理规章制度和安全操作规程，掌握本岗位的安全操作技能和应急措施。</w:t>
      </w:r>
    </w:p>
    <w:p w14:paraId="6908E58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危险化学品单位应当在重大危险源所在场所设置明显的安全警示标志，写明紧急情况下的应急处置办法。</w:t>
      </w:r>
    </w:p>
    <w:p w14:paraId="1559EEB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第十九条 危险化学品单位应当将重大危险源可能发生的事故后果和应急措施等信息，以适当方式告知可能受影响的单位、区域及人员。</w:t>
      </w:r>
    </w:p>
    <w:p w14:paraId="3628B72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 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14:paraId="530836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w:t>
      </w:r>
      <w:r>
        <w:rPr>
          <w:rFonts w:ascii="仿宋_GB2312" w:hAnsi="仿宋_GB2312" w:hint="eastAsia"/>
          <w:color w:val="000000"/>
          <w:sz w:val="32"/>
          <w:szCs w:val="32"/>
          <w:lang w:val="en-US"/>
        </w:rPr>
        <w:lastRenderedPageBreak/>
        <w:t>配备一定数量的便携式可燃气体检测设备。</w:t>
      </w:r>
    </w:p>
    <w:p w14:paraId="7D1ECD3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危险化学品单位应当制定重大危险源事故应急预案演练计划，并按照下列要求进行事故应急预案演练：</w:t>
      </w:r>
    </w:p>
    <w:p w14:paraId="21B2E0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（一）对重大危险源专项应急预案，每年至少进行一次；</w:t>
      </w:r>
    </w:p>
    <w:p w14:paraId="664AAB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（二）对重大危险源现场处置方案，每半年至少进行一次。</w:t>
      </w:r>
    </w:p>
    <w:p w14:paraId="599087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应急预案演练结束后，危险化学品单位应当对应急预案演练效果进行评估，撰写应急预案演练评估报告，分析存在的问题，对应急预案提出修订意见，并及时修订完善。</w:t>
      </w:r>
    </w:p>
    <w:p w14:paraId="18B211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第二十二条 危险化学品单位应当对辨识确认的重大危险源及时、逐项进行登记建档。</w:t>
      </w:r>
    </w:p>
    <w:p w14:paraId="025170B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重大危险源档案应当包括下列文件、资料：</w:t>
      </w:r>
    </w:p>
    <w:p w14:paraId="095CB72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（一）辨识、分级记录；</w:t>
      </w:r>
    </w:p>
    <w:p w14:paraId="44EA20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（二）重大危险源基本特征表；</w:t>
      </w:r>
    </w:p>
    <w:p w14:paraId="64E97E0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（三）涉及的所有化学品安全技术说明书；</w:t>
      </w:r>
    </w:p>
    <w:p w14:paraId="6C9497B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（四）区域位置图、平面布置图、工艺流程图和主要设备一览表；</w:t>
      </w:r>
    </w:p>
    <w:p w14:paraId="1B8CA0F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（五）重大危险源安全管理规章制度及安全操作规程；</w:t>
      </w:r>
    </w:p>
    <w:p w14:paraId="7D0816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（六）安全监测监控系统、措施说明、检测、检验结果；</w:t>
      </w:r>
    </w:p>
    <w:p w14:paraId="3A46714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（七）重大危险源事故应急预案、评审意见、演练计划和评估报告；</w:t>
      </w:r>
    </w:p>
    <w:p w14:paraId="3B751AC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（八）安全评估报告或者安全评价报告；</w:t>
      </w:r>
    </w:p>
    <w:p w14:paraId="1691C1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（九）重大危险源关键装置、重点部位的责任人、责任机构名称；</w:t>
      </w:r>
    </w:p>
    <w:p w14:paraId="70C0D5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（十）重大危险源场所安全警示标志的设置情况；</w:t>
      </w:r>
    </w:p>
    <w:p w14:paraId="30D346E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（十一）其他文件、资料。</w:t>
      </w:r>
    </w:p>
    <w:p w14:paraId="34534CE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条：县级以上地方各级人民政府安全生产监督管理部门应当加强对存在重大危险源的危险化学品单位的监督检查，…。首次对重大危险源的监督检查应当包括下列主要内容：（一）重大危险源的运行情况、安全管理规章制度及安全操作规程制定和落实情况；（二）重大危险源的辨识、分级、安全评估、登记建档、备案情况；（三）重大危险源的监测监控情况；（四）重大危险源安全设施和安全监测监控系统的检测、检验以及维护保养情况；（五）重大危险源事故应急预案的编制、评审、备案、修订和演练情况；（六）有关从业人员的安全培训教育情况；（七）安全标志设置情况；（八）应急救援器材、设备、物资配备情况；（九）预防和控制事故措施的落实情况。</w:t>
      </w:r>
    </w:p>
    <w:p w14:paraId="7ABA1CF8"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第十三章 对危险化学品管道安全生产的监督检查工作指引</w:t>
      </w:r>
    </w:p>
    <w:p w14:paraId="50F65B3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16172AD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对危险化学品管道安全生产的监督检查。</w:t>
      </w:r>
    </w:p>
    <w:p w14:paraId="11D2973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56FF62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(一)建立、健全有关危险化学品管道安全生产的规章制度和操作规程情况；</w:t>
      </w:r>
    </w:p>
    <w:p w14:paraId="1E6D2D4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（二）落实建设项目“三同时”情况；</w:t>
      </w:r>
    </w:p>
    <w:p w14:paraId="5D6FC08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（三）管道检测、维护情况。</w:t>
      </w:r>
    </w:p>
    <w:p w14:paraId="233B02C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lastRenderedPageBreak/>
        <w:t>三、检查方法</w:t>
      </w:r>
    </w:p>
    <w:p w14:paraId="29E60AB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93615C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2AEF34F6"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《危险化学品输送管道安全管理规定》（国家安全监管总局令第43号，2015年5月27日修正）</w:t>
      </w:r>
    </w:p>
    <w:p w14:paraId="35CF92F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第四条：各级安全生产监督管理部门负责危险化学品管道安全生产的监督检查，并依法对危险化学品管道建设项目实施安全条件审查。</w:t>
      </w:r>
    </w:p>
    <w:p w14:paraId="7745E02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对新建、改建、扩建的危险化学品管道，建设单位应当依照国家安全生产监督管理总局有关危险化学品建设项目安全监督管理的规定，依法办理安全条件审查、安全设施设计审查和安全设施竣工验收手续。</w:t>
      </w:r>
    </w:p>
    <w:p w14:paraId="4EB50A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第十条 对新建、改建、扩建的危险化学品管道，建设单位应当依照有关法律、行政法规的规定，委托具备相应资质的设计单位进行设计。</w:t>
      </w:r>
    </w:p>
    <w:p w14:paraId="1261356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 承担危险化学品管道的施工单位应当具备有关法律、行政法规规定的相应资质。施工单位应当按照有关法律、法规、国家标准、行业标准和技术规范的规定，以及经过批准的安全设施设计进行施工，并对工程质量负责。</w:t>
      </w:r>
    </w:p>
    <w:p w14:paraId="364AAD4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参加危险化学品管道焊接、防腐、无损检测作业的人员应当具备相应的操作资格证书。</w:t>
      </w:r>
    </w:p>
    <w:p w14:paraId="69E53B4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 危险化学品管道应当设置明显标志。发现标志毁损的，管道单位应当及时予以修复或者更新。</w:t>
      </w:r>
    </w:p>
    <w:p w14:paraId="1A1EFFA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管道单位应当建立、健全危险化学品管道巡</w:t>
      </w:r>
      <w:r>
        <w:rPr>
          <w:rFonts w:ascii="仿宋_GB2312" w:hAnsi="仿宋_GB2312" w:hint="eastAsia"/>
          <w:color w:val="000000"/>
          <w:sz w:val="32"/>
          <w:szCs w:val="32"/>
          <w:lang w:val="en-US"/>
        </w:rPr>
        <w:lastRenderedPageBreak/>
        <w:t>护制度，配备专人进行日常巡护。巡护人员发现危害危险化学品管道安全生产情形的，应当立即报告单位负责人并及时处理。</w:t>
      </w:r>
    </w:p>
    <w:p w14:paraId="3241CD9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第十七条 管道单位对危险化学品管道存在的事故隐患应当及时排除；对自身排除确有困难的外部事故隐患，应当向当地安全生产监督管理部门报告。</w:t>
      </w:r>
    </w:p>
    <w:p w14:paraId="21789D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管道单位应当按照有关国家标准、行业标准和技术规范对危险化学品管道进行定期检测、维护，确保其处于完好状态；对安全风险较大的区段和场所，应当进行重点监测、监控；对不符合安全标准的危险化学品管道，应当及时更新、改造或者停止使用，并向当地安全生产监督管理部门报告。对涉及更新、改造的危险化学品管道，还应当按照本办法第九条的规定办理安全条件审查手续。</w:t>
      </w:r>
    </w:p>
    <w:p w14:paraId="2B4E796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第二十八条第一款 管道单位应当按照有关规定制定本单位危险化学品管道事故应急预案，配备相应的应急救援人员和设备物资，定期组织应急演练。</w:t>
      </w:r>
    </w:p>
    <w:p w14:paraId="7C94B0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条:省级、设区的市级安全生产监督管理部门应当按照国家安全生产监督管理总局有关危险化学品建设项目安全监督管理的规定，对新建、改建、扩建管道建设项目办理安全条件审查、安全设施设计审查、试生产（使用）方案备案和安全设施竣工验收手续。</w:t>
      </w:r>
    </w:p>
    <w:p w14:paraId="6F5055E8"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第十四章 对生产、经营非药品类易制毒化学品的监督检查工作指引</w:t>
      </w:r>
    </w:p>
    <w:p w14:paraId="77FC9B9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lastRenderedPageBreak/>
        <w:t>一、抽查事项</w:t>
      </w:r>
    </w:p>
    <w:p w14:paraId="30E9E8D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对非药品类易制毒化学品经营的行政检查</w:t>
      </w:r>
    </w:p>
    <w:p w14:paraId="18974D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7F89460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（一）非药品类易制毒化学品许可、备案制度的执行情况</w:t>
      </w:r>
    </w:p>
    <w:p w14:paraId="504FFA5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1.生产、经营第一类非药品类易制毒化学品的，取得非药品类易制毒化学品生产、经营许可证情况；</w:t>
      </w:r>
    </w:p>
    <w:p w14:paraId="2742E0C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2.第一类非药品类易制毒化学品生产、经营许可证变更情况；</w:t>
      </w:r>
    </w:p>
    <w:p w14:paraId="4BB6D71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3.第一类非药品类易制毒化学品生产、经营单位不再生产、经营非药品类易制毒化学品时，是否在停止生产、经营后3个月内办理注销许可手续；</w:t>
      </w:r>
    </w:p>
    <w:p w14:paraId="406747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4.生产、经营第二类、第三类非药品类易制毒化学品是否进行了非药品类易制毒化学品生产、经营备案；</w:t>
      </w:r>
    </w:p>
    <w:p w14:paraId="5535B76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5.第二类、第三类非药品类易制毒化学品生产、经营单位的法定代表人或者主要负责人、单位名称、单位地址发生变化的，生产或者经营的备案品种增加、主要流向改变的，是否重新办理备案手续；</w:t>
      </w:r>
    </w:p>
    <w:p w14:paraId="08C8BD9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6.第二类、第三类非药品类易制毒化学品生产、经营单位不再生产、经营非药品类易制毒化学品时，是否在终止生产、经营后3个月内办理备案注销手续。</w:t>
      </w:r>
    </w:p>
    <w:p w14:paraId="181CEF1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（二）非药品类易制毒化学品管理制度的建立和落实情况</w:t>
      </w:r>
    </w:p>
    <w:p w14:paraId="290C2A0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1.建立健全非药品类易制毒化学品管理责任体系情况：</w:t>
      </w:r>
      <w:r>
        <w:rPr>
          <w:rFonts w:ascii="仿宋_GB2312" w:hAnsi="仿宋_GB2312" w:hint="eastAsia"/>
          <w:color w:val="000000"/>
          <w:sz w:val="32"/>
          <w:szCs w:val="32"/>
          <w:lang w:val="en-US"/>
        </w:rPr>
        <w:lastRenderedPageBreak/>
        <w:t>建立健全包括主要负责人、分管负责人、销售负责人及有关人员在内的责任体系，健全管理机构，至少配备</w:t>
      </w:r>
      <w:r>
        <w:rPr>
          <w:rFonts w:ascii="仿宋_GB2312" w:hAnsi="仿宋_GB2312"/>
          <w:color w:val="000000"/>
          <w:sz w:val="32"/>
          <w:szCs w:val="32"/>
          <w:lang w:val="en-US"/>
        </w:rPr>
        <w:t>1</w:t>
      </w:r>
      <w:r>
        <w:rPr>
          <w:rFonts w:ascii="仿宋_GB2312" w:hAnsi="仿宋_GB2312" w:hint="eastAsia"/>
          <w:color w:val="000000"/>
          <w:sz w:val="32"/>
          <w:szCs w:val="32"/>
          <w:lang w:val="en-US"/>
        </w:rPr>
        <w:t>名专职人员或者以非药品类易制毒化学品管理为主要职责的固定管理人员。</w:t>
      </w:r>
    </w:p>
    <w:p w14:paraId="52B539F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健全完善各项非药品类易制毒化学品管理制度情况：企业负责人的管理职责和管理人员的岗位职责，非药品类易制毒化学品生产、出入库管理、仓储安全管理制度，购销管理、购销合同管理、销售流向登记、销售记录管理、购买和运输凭证存档等制度，非药品类易制毒化学品信息系统填报制度，从业人员非药品类易制毒化学品知识教育培训制度，违法违规行为举报奖励制度等。</w:t>
      </w:r>
    </w:p>
    <w:p w14:paraId="0D7E8AE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非药品类易制毒化学品生产设备、仓储设施、产品包装要符合国家标准要求或有关规定情况：不得采用国家明令淘汰的生产工艺装置；仓储设施要符合非药品类易制毒化学品的理化特性要求，符合防盗等安全监控要求；产品包装必须标明产品名称、化学分子式、成分和含量，确保包装可靠，属于危险化学品的，必须符合有关法律法规对危险化学品安全的有关规定。</w:t>
      </w:r>
    </w:p>
    <w:p w14:paraId="4AA2D020"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（三）非药品类易制毒化学品销售情况</w:t>
      </w:r>
    </w:p>
    <w:p w14:paraId="631735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1.是否销售流向清晰、档案记录完整。</w:t>
      </w:r>
    </w:p>
    <w:p w14:paraId="0C5F686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2.是否如实记录销售的品种、数量、日期和购买方的详细地址、联系方式和自述用途等情况，留存上述资质证明和身份证的复印件。记录和留存复印件等销售资料应当保存</w:t>
      </w:r>
      <w:r>
        <w:rPr>
          <w:rFonts w:ascii="仿宋_GB2312" w:hAnsi="仿宋_GB2312"/>
          <w:color w:val="000000"/>
          <w:sz w:val="32"/>
          <w:szCs w:val="32"/>
          <w:lang w:val="en-US"/>
        </w:rPr>
        <w:t>2</w:t>
      </w:r>
      <w:r>
        <w:rPr>
          <w:rFonts w:ascii="仿宋_GB2312" w:hAnsi="仿宋_GB2312" w:hint="eastAsia"/>
          <w:color w:val="000000"/>
          <w:sz w:val="32"/>
          <w:szCs w:val="32"/>
          <w:lang w:val="en-US"/>
        </w:rPr>
        <w:t>年备查。</w:t>
      </w:r>
    </w:p>
    <w:p w14:paraId="4335BABF"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lastRenderedPageBreak/>
        <w:t>（四）非药品类易制毒化学品教育培训情况</w:t>
      </w:r>
    </w:p>
    <w:p w14:paraId="7F49FE1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1.企业每年是否对全体员工进行一次非药品类易制毒化学品管理方面的遵纪守法教育培训；</w:t>
      </w:r>
    </w:p>
    <w:p w14:paraId="54A6786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2.企业主要负责人、技术人员和管理人员是否接受非药品类易制毒化学品管理的教育和培训；</w:t>
      </w:r>
    </w:p>
    <w:p w14:paraId="1164CCA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3.涉及第一类非药品类易制毒化学品的企业主要负责人、技术人员和管理人员，是否按照有关规定取得考核合格证明。</w:t>
      </w:r>
    </w:p>
    <w:p w14:paraId="630AD01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30DEFF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5F7854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33C0BD40"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（一）《易制毒化学品管理条例》（国务院令第445号，2016年2月修改）</w:t>
      </w:r>
    </w:p>
    <w:p w14:paraId="04290C9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第七条第一款 申请生产第一类易制毒化学品，应当具备下列条件，并经本条例第八条规定的行政主管部门审批，取得生产许可证后，方可进行生产：</w:t>
      </w:r>
    </w:p>
    <w:p w14:paraId="35D54D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（一）属依法登记的化工产品生产企业或者药品生产企业；</w:t>
      </w:r>
    </w:p>
    <w:p w14:paraId="53038F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（二）有符合国家标准的生产设备、仓储设施和污染物处理设施；</w:t>
      </w:r>
    </w:p>
    <w:p w14:paraId="4AA9518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（三）有严格的安全生产管理制度和环境突发事件应急预案；</w:t>
      </w:r>
    </w:p>
    <w:p w14:paraId="5CAA6E0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（四）企业法定代表人和技术、管理人员具有安全生产和易制毒化学品的有关知识，无毒品犯罪记录；</w:t>
      </w:r>
    </w:p>
    <w:p w14:paraId="114CF5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（五）法律、法规、规章规定的其他条件。</w:t>
      </w:r>
    </w:p>
    <w:p w14:paraId="506528B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申请经营第一类易制毒化学品，应当具备下列条件，并经本条例第十条规定的行政主管部门审批，取得经营许可证后，方可进行经营：</w:t>
      </w:r>
    </w:p>
    <w:p w14:paraId="53D6D42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（一）属依法登记的化工产品经营企业或者药品经营企业；</w:t>
      </w:r>
    </w:p>
    <w:p w14:paraId="7395014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（二）有符合国家规定的经营场所，需要储存、保管易制毒化学品的，还应当有符合国家技术标准的仓储设施；</w:t>
      </w:r>
    </w:p>
    <w:p w14:paraId="365EF4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（三）有易制毒化学品的经营管理制度和健全的销售网络；</w:t>
      </w:r>
    </w:p>
    <w:p w14:paraId="73D03E5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（四）企业法定代表人和销售、管理人员具有易制毒化学品的有关知识，无毒品犯罪记录；</w:t>
      </w:r>
    </w:p>
    <w:p w14:paraId="16F3705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（五）法律、法规、规章规定的其他条件。</w:t>
      </w:r>
    </w:p>
    <w:p w14:paraId="14285A3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第十九条 经营单位应当建立易制毒化学品销售台账，如实记录销售的品种、数量、日期、购买方等情况。销售台账和证明材料复印件应当保存2年备查。</w:t>
      </w:r>
    </w:p>
    <w:p w14:paraId="6B1AEA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第一类易制毒化学品的销售情况，应当自销售之日起5日内报当地公安机关备案；第一类易制毒化学品的使用单位，应当建立使用台账，并保存2年备查。</w:t>
      </w:r>
    </w:p>
    <w:p w14:paraId="02A97C6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第二类、第三类易制毒化学品的销售情况，应当自销售之日起30日内报当地公安机关备案。</w:t>
      </w:r>
    </w:p>
    <w:p w14:paraId="3B169D5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第三十二条：县级以上人民政府公安机关、…、安全生产监督管理部门、…，应当依照本条例和有关法律、行政法规的规定，在各自的职责范围内，加强对易制毒化学品生产、</w:t>
      </w:r>
      <w:r>
        <w:rPr>
          <w:rFonts w:ascii="仿宋_GB2312" w:hAnsi="仿宋_GB2312" w:hint="eastAsia"/>
          <w:color w:val="000000"/>
          <w:sz w:val="32"/>
          <w:szCs w:val="32"/>
          <w:lang w:val="en-US"/>
        </w:rPr>
        <w:lastRenderedPageBreak/>
        <w:t>经营、购买、运输、价格以及进口、出口的监督检查；对非法生产、经营、购买、运输易制毒化学品，或者走私易制毒化学品的行为，依法予以查处。</w:t>
      </w:r>
    </w:p>
    <w:p w14:paraId="6D9EDA3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（二）《非药品类易制毒化学品生产、经营许可办法》（原国家安全监管总局令第5号）</w:t>
      </w:r>
    </w:p>
    <w:p w14:paraId="0227398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第四条第二款 县级以上人民政府安全生产监督管理部门负责本行政区域内执行非药品类易制毒化学品生产、经营许可制度的监督管理工作。</w:t>
      </w:r>
    </w:p>
    <w:p w14:paraId="35D6516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 生产、经营第一类非药品类易制毒化学品的，必须取得非药品类易制毒化学品生产、经营许可证方可从事生产、经营活动。</w:t>
      </w:r>
    </w:p>
    <w:p w14:paraId="79FD84B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第一类非药品类易制毒化学品生产、经营单位在非药品类易制毒化学品生产、经营许可证有效期内出现下列情形之一的，应当向原许可证颁发管理部门申请变更许可证：</w:t>
      </w:r>
    </w:p>
    <w:p w14:paraId="0DD9E0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（一）单位法定代表人或者主要负责人改变；</w:t>
      </w:r>
    </w:p>
    <w:p w14:paraId="7A786F4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（二）单位名称改变；</w:t>
      </w:r>
    </w:p>
    <w:p w14:paraId="7951414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（三）许可品种主要流向改变；</w:t>
      </w:r>
    </w:p>
    <w:p w14:paraId="3D42C01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（四）需要增加许可品种、数量。</w:t>
      </w:r>
    </w:p>
    <w:p w14:paraId="44CF6D0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第一类非药品类易制毒化学品生产、经营单位不再生产、经营非药品类易制毒化学品时，应当在停止生产、经营后3个月内办理注销许可手续。</w:t>
      </w:r>
    </w:p>
    <w:p w14:paraId="64973E8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第十七条 生产、经营第二类、第三类非药品类易制毒化学品的，必须进行非药品类易制毒化学品生产、经营备案。</w:t>
      </w:r>
    </w:p>
    <w:p w14:paraId="19467A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第十八条 生产第二类、第三类非药品类易制毒化学品的，应当自生产之日起30个工作日内，将生产的品种、数量等情况，向所在地的设区的市级人民政府安全生产监督管理部门备案。</w:t>
      </w:r>
    </w:p>
    <w:p w14:paraId="3FD119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经营第二类非药品类易制毒化学品的，应当自经营之日起30个工作日内，将经营的品种、数量、主要流向等情况，向所在地的设区的市级人民政府安全生产监督管理部门备案。</w:t>
      </w:r>
    </w:p>
    <w:p w14:paraId="53DB7DC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经营第三类非药品类易制毒化学品的，应当自经营之日起30个工作日内，将经营的品种、数量、主要流向等情况，向所在地的县级人民政府安全生产监督管理部门备案。</w:t>
      </w:r>
    </w:p>
    <w:p w14:paraId="2674DA0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第二十三条 第二类、第三类非药品类易制毒化学品生产、经营单位的法定代表人或者主要负责人、单位名称、单位地址发生变化的，应当自工商营业执照变更之日起30个工作日内重新办理备案手续；生产或者经营的备案品种增加、主要流向改变的，在发生变化后30个工作日内重新办理备案手续。</w:t>
      </w:r>
    </w:p>
    <w:p w14:paraId="6BDC910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第二十四条 第二类、第三类非药品类易制毒化学品生产、经营单位不再生产、经营非药品类易制毒化学品时，应当在终止生产、经营后3个月内办理备案注销手续。</w:t>
      </w:r>
    </w:p>
    <w:p w14:paraId="07B5E2D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第二十五条：县级以上人民政府安全生产监督管理部门应当加强非药品类易制毒化学品生产、经营的监督检查工作。</w:t>
      </w:r>
    </w:p>
    <w:p w14:paraId="67CC0548"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第十五章 对危险化学品登记情况的监督检查工作指引</w:t>
      </w:r>
    </w:p>
    <w:p w14:paraId="18F3775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lastRenderedPageBreak/>
        <w:t>一、抽查事项</w:t>
      </w:r>
    </w:p>
    <w:p w14:paraId="4F35484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对危险化学品登记情况的监督检查</w:t>
      </w:r>
    </w:p>
    <w:p w14:paraId="4A237EB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4EC072D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（一）危化品登记证书的有效性</w:t>
      </w:r>
    </w:p>
    <w:p w14:paraId="4803805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（二）危化品登记证书载明情况和实际情况的一致性</w:t>
      </w:r>
    </w:p>
    <w:p w14:paraId="495EA32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（三）化学品安全技术说明书、安全标签配备使用情况</w:t>
      </w:r>
    </w:p>
    <w:p w14:paraId="4EA6E9E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（四）危化品管理档案建立情况</w:t>
      </w:r>
    </w:p>
    <w:p w14:paraId="746967F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（五）应急咨询电话设立情况</w:t>
      </w:r>
    </w:p>
    <w:p w14:paraId="0AC5548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4F48A01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3031DB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03B925D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（一）《危险化学品安全管理条例》（国务院令第344号）</w:t>
      </w:r>
    </w:p>
    <w:p w14:paraId="70ECDB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对危险化学品的生产、储存、使用、经营、运输实施安全监督管理的有关部门(以下统称负有危险化学品安全监督管理职责的部门)，依照下列规定履行职责：(一)安全生产监督管理部门负责危险化学品安全监督管理综合工作，…，并负责危险化学品登记工作；</w:t>
      </w:r>
    </w:p>
    <w:p w14:paraId="49ACD0A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（二）《危险化学品登记管理办法》（原国家安全监管总局令第53号）</w:t>
      </w:r>
    </w:p>
    <w:p w14:paraId="05CC8D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登记企业应当对本企业的各类危险化学品进行普查</w:t>
      </w:r>
      <w:r>
        <w:rPr>
          <w:rFonts w:ascii="仿宋_GB2312" w:hAnsi="仿宋_GB2312"/>
          <w:color w:val="000000"/>
          <w:sz w:val="32"/>
          <w:szCs w:val="32"/>
          <w:lang w:val="en-US"/>
        </w:rPr>
        <w:t>,</w:t>
      </w:r>
      <w:r>
        <w:rPr>
          <w:rFonts w:ascii="仿宋_GB2312" w:hAnsi="仿宋_GB2312" w:hint="eastAsia"/>
          <w:color w:val="000000"/>
          <w:sz w:val="32"/>
          <w:szCs w:val="32"/>
          <w:lang w:val="en-US"/>
        </w:rPr>
        <w:t>建立危险化学品管理档案。</w:t>
      </w:r>
    </w:p>
    <w:p w14:paraId="1356850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危险化学品管理档案应当包括危险化学品名称、数量、标识信息、危险性分类和化学品安全技术说明书、化学品安全标签等内容。</w:t>
      </w:r>
    </w:p>
    <w:p w14:paraId="7939B87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第十九条 登记企业应当按照规定向登记机构办理危险化学品登记，如实填报登记内容和提交有关材料，并接受安全生产监督管理部门依法进行的监督检查。</w:t>
      </w:r>
    </w:p>
    <w:p w14:paraId="3666175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 登记企业应当指定人员负责危险化学品登记的相关工作，配合登记人员在必要时对本企业危险化学品登记内容进行核查。</w:t>
      </w:r>
    </w:p>
    <w:p w14:paraId="059AB0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登记企业从事危险化学品登记的人员应当具备危险化学品登记相关知识和能力。</w:t>
      </w:r>
    </w:p>
    <w:p w14:paraId="1A60290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对危险特性尚未确定的化学品，登记企业应当按照国家关于化学品危险性鉴定的有关规定，委托具有国家规定资质的机构对其进行危险性鉴定；属于危险化学品的，应当依照本办法的规定进行登记。</w:t>
      </w:r>
    </w:p>
    <w:p w14:paraId="7612D0A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第二十二条 危险化学品生产企业应当设立由专职人员</w:t>
      </w:r>
      <w:r>
        <w:rPr>
          <w:rFonts w:ascii="仿宋_GB2312" w:hAnsi="仿宋_GB2312"/>
          <w:color w:val="000000"/>
          <w:sz w:val="32"/>
          <w:szCs w:val="32"/>
          <w:lang w:val="en-US"/>
        </w:rPr>
        <w:t>24</w:t>
      </w:r>
      <w:r>
        <w:rPr>
          <w:rFonts w:ascii="仿宋_GB2312" w:hAnsi="仿宋_GB2312" w:hint="eastAsia"/>
          <w:color w:val="000000"/>
          <w:sz w:val="32"/>
          <w:szCs w:val="32"/>
          <w:lang w:val="en-US"/>
        </w:rPr>
        <w:t>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14:paraId="4ADA77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危险化学品生产企业不能提供前款规定应急咨询服务的，应当委托登记机构代理应急咨询服务。</w:t>
      </w:r>
    </w:p>
    <w:p w14:paraId="3A1C8B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危险化学品进口企业应当自行或者委托进口代理商、登记机构提供符合本条第一款要求的应急咨询服务，并在其进口的危险化学品安全标签上标明应急咨询服务电话号码。</w:t>
      </w:r>
    </w:p>
    <w:p w14:paraId="7413B2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从事代理应急咨询服务的登记机构，应当设立由专职人</w:t>
      </w:r>
      <w:r>
        <w:rPr>
          <w:rFonts w:ascii="仿宋_GB2312" w:hAnsi="仿宋_GB2312" w:hint="eastAsia"/>
          <w:color w:val="000000"/>
          <w:sz w:val="32"/>
          <w:szCs w:val="32"/>
          <w:lang w:val="en-US"/>
        </w:rPr>
        <w:lastRenderedPageBreak/>
        <w:t>员</w:t>
      </w:r>
      <w:r>
        <w:rPr>
          <w:rFonts w:ascii="仿宋_GB2312" w:hAnsi="仿宋_GB2312"/>
          <w:color w:val="000000"/>
          <w:sz w:val="32"/>
          <w:szCs w:val="32"/>
          <w:lang w:val="en-US"/>
        </w:rPr>
        <w:t>24</w:t>
      </w:r>
      <w:r>
        <w:rPr>
          <w:rFonts w:ascii="仿宋_GB2312" w:hAnsi="仿宋_GB2312" w:hint="eastAsia"/>
          <w:color w:val="000000"/>
          <w:sz w:val="32"/>
          <w:szCs w:val="32"/>
          <w:lang w:val="en-US"/>
        </w:rPr>
        <w:t>小时值守的国内固定服务电话，建有完善的化学品应急救援数据库，配备在线数字录音设备和</w:t>
      </w:r>
      <w:r>
        <w:rPr>
          <w:rFonts w:ascii="仿宋_GB2312" w:hAnsi="仿宋_GB2312"/>
          <w:color w:val="000000"/>
          <w:sz w:val="32"/>
          <w:szCs w:val="32"/>
          <w:lang w:val="en-US"/>
        </w:rPr>
        <w:t>8</w:t>
      </w:r>
      <w:r>
        <w:rPr>
          <w:rFonts w:ascii="仿宋_GB2312" w:hAnsi="仿宋_GB2312" w:hint="eastAsia"/>
          <w:color w:val="000000"/>
          <w:sz w:val="32"/>
          <w:szCs w:val="32"/>
          <w:lang w:val="en-US"/>
        </w:rPr>
        <w:t>名以上专业人员，能够同时受理</w:t>
      </w:r>
      <w:r>
        <w:rPr>
          <w:rFonts w:ascii="仿宋_GB2312" w:hAnsi="仿宋_GB2312"/>
          <w:color w:val="000000"/>
          <w:sz w:val="32"/>
          <w:szCs w:val="32"/>
          <w:lang w:val="en-US"/>
        </w:rPr>
        <w:t>3</w:t>
      </w:r>
      <w:r>
        <w:rPr>
          <w:rFonts w:ascii="仿宋_GB2312" w:hAnsi="仿宋_GB2312" w:hint="eastAsia"/>
          <w:color w:val="000000"/>
          <w:sz w:val="32"/>
          <w:szCs w:val="32"/>
          <w:lang w:val="en-US"/>
        </w:rPr>
        <w:t>起以上应急咨询，准确提供化学品泄漏、火灾、爆炸、中毒等事故应急处置有关信息和建议。</w:t>
      </w:r>
    </w:p>
    <w:p w14:paraId="32BBAB8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第二十三条 登记企业不得转让、冒用或者使用伪造的危险化学品登记证。</w:t>
      </w:r>
    </w:p>
    <w:p w14:paraId="64B0824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第二十四条：安全生产监督管理部门应当将危险化学品登记情况纳入危险化学品安全执法检查内容，对登记企业未按照规定予以登记的，依法予以处理。</w:t>
      </w:r>
    </w:p>
    <w:p w14:paraId="6281EF7F"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第十六章 对烟花爆竹生产经营单位的监督检查工作指引</w:t>
      </w:r>
    </w:p>
    <w:p w14:paraId="2DCDCC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4B3C831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（一）对烟花爆竹零售的行政检查</w:t>
      </w:r>
    </w:p>
    <w:p w14:paraId="6B7E942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（二）对烟花爆竹批发的行政检查</w:t>
      </w:r>
    </w:p>
    <w:p w14:paraId="720755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1E62DAE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（一）对烟花爆竹零售的行政检查内容和方法</w:t>
      </w:r>
    </w:p>
    <w:p w14:paraId="5173BA9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1.主要负责人参加培训情况；</w:t>
      </w:r>
    </w:p>
    <w:p w14:paraId="5FC9E5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2.销售人员安全知识教育情况；</w:t>
      </w:r>
    </w:p>
    <w:p w14:paraId="5F87BD3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3.经营许可证合法有效情况；</w:t>
      </w:r>
    </w:p>
    <w:p w14:paraId="7572152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4.零售场所安全管理情况；</w:t>
      </w:r>
    </w:p>
    <w:p w14:paraId="34A2923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5.零售场所规章制度建立情况。</w:t>
      </w:r>
    </w:p>
    <w:p w14:paraId="5BD1585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（二）对烟花爆竹批发的行政检查内容和方法</w:t>
      </w:r>
    </w:p>
    <w:p w14:paraId="09362F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1.安全许可情况；</w:t>
      </w:r>
    </w:p>
    <w:p w14:paraId="7EB73FA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2.安全管理机构设置及安全管理人员配备情况；</w:t>
      </w:r>
    </w:p>
    <w:p w14:paraId="57123CF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3.安全生产责任制等安全管理制度、操作规程建立及落实情况；</w:t>
      </w:r>
    </w:p>
    <w:p w14:paraId="71B9B24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4.从业人员培训及持证上岗情况；</w:t>
      </w:r>
    </w:p>
    <w:p w14:paraId="7BF888B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5.流向管理情况；</w:t>
      </w:r>
    </w:p>
    <w:p w14:paraId="08A175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6.仓储库房建设合规性情况；</w:t>
      </w:r>
    </w:p>
    <w:p w14:paraId="3537B2C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7.“三同时”落实情况；</w:t>
      </w:r>
    </w:p>
    <w:p w14:paraId="34D2C75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8.应急预案、应急器材和应急演练情况；</w:t>
      </w:r>
    </w:p>
    <w:p w14:paraId="153684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9.风险管控及隐患排查治理情况。</w:t>
      </w:r>
    </w:p>
    <w:p w14:paraId="678A48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3F06DCA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054B7D0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3C07921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（一）《烟花爆竹生产经营安全规定》（国家安全监管总局令第93号）</w:t>
      </w:r>
    </w:p>
    <w:p w14:paraId="097D3A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生产企业、批发企业应当建立健全全员安全生产责任制，建立健全安全生产工作责任体系，制定并落实符合法律、行政法规和国家标准或者行业标准的安全生产规章制度和操作规程。</w:t>
      </w:r>
    </w:p>
    <w:p w14:paraId="244B630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 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14:paraId="7B21F85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零售经营场所应当设置清晰、醒目的易燃易爆以及周边</w:t>
      </w:r>
      <w:r>
        <w:rPr>
          <w:rFonts w:ascii="仿宋_GB2312" w:hAnsi="仿宋_GB2312" w:hint="eastAsia"/>
          <w:color w:val="000000"/>
          <w:sz w:val="32"/>
          <w:szCs w:val="32"/>
          <w:lang w:val="en-US"/>
        </w:rPr>
        <w:lastRenderedPageBreak/>
        <w:t>严禁烟火、严禁燃放烟花爆竹的安全标志。</w:t>
      </w:r>
    </w:p>
    <w:p w14:paraId="6140759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生产经营单位应当对本单位从业人员进行烟花爆竹安全知识、岗位操作技能等培训，未经安全生产教育和培训的从业人员，不得上岗作业。危险工序作业等特种作业人员应当依法取得相应资格，方可上岗作业。</w:t>
      </w:r>
    </w:p>
    <w:p w14:paraId="00ED3D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生产经营单位的主要负责人和安全生产管理人员应当由安全生产监督管理部门对其进行安全生产知识和管理能力考核合格。考核不得收费。</w:t>
      </w:r>
    </w:p>
    <w:p w14:paraId="284F428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生产企业可以依法申请设立批发企业和零售经营场所。批发企业可以依法申请设立零售经营场所。</w:t>
      </w:r>
    </w:p>
    <w:p w14:paraId="03B8149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应当严格按照安全生产许可或者经营许可批准的范围，组织开展生产经营活动。禁止在许可证载明的场所外从事烟花爆竹生产、经营、储存活动，禁止许可证过期继续从事生产经营活动。禁止销售超标、违禁烟花爆竹产品或者非法烟花爆竹产品。</w:t>
      </w:r>
    </w:p>
    <w:p w14:paraId="47FA477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生产企业不得向其他企业销售烟花爆竹含药半成品，不得从其他企业购买烟花爆竹含药半成品加工后销售，不得购买其他企业烟花爆竹成品加贴本企业标签后销售。</w:t>
      </w:r>
    </w:p>
    <w:p w14:paraId="6793C22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批发企业不得向零售经营者或者个人销售专业燃放类烟花爆竹产品。</w:t>
      </w:r>
    </w:p>
    <w:p w14:paraId="2A8C63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零售经营者不得在居民居住场所同一建筑物内经营、储存烟花爆竹。</w:t>
      </w:r>
    </w:p>
    <w:p w14:paraId="66D8DA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 生产企业、批发企业应当依法建立安全风险分级管控和事故隐患排查治理双重预防机制，采取技术、管</w:t>
      </w:r>
      <w:r>
        <w:rPr>
          <w:rFonts w:ascii="仿宋_GB2312" w:hAnsi="仿宋_GB2312" w:hint="eastAsia"/>
          <w:color w:val="000000"/>
          <w:sz w:val="32"/>
          <w:szCs w:val="32"/>
          <w:lang w:val="en-US"/>
        </w:rPr>
        <w:lastRenderedPageBreak/>
        <w:t>理等措施，管控安全风险，及时消除事故隐患，建立安全风险分级管控和事故隐患排查治理档案，如实记录安全风险分级管控和事故隐患排查治理情况，并向本企业从业人员通报。</w:t>
      </w:r>
    </w:p>
    <w:p w14:paraId="283BE93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 生产企业、批发企业应当按照设计用途、危险等级、核定药量使用药物总库和成品总库，并按规定堆码，分类分级存放，保持仓库内通道畅通，准确记录药物和产品数量。</w:t>
      </w:r>
    </w:p>
    <w:p w14:paraId="1D6E6E4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禁止在仓库内进行拆箱、包装作业。禁止将性质不相容的物质混存。禁止将高危险等级物品储存在危险等级低的仓库。禁止在烟花爆竹仓库储存不属于烟花爆竹的其他危险物品。</w:t>
      </w:r>
    </w:p>
    <w:p w14:paraId="308A1D7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第二十三条 生产企业、批发企业在烟花爆竹购销活动中，应当依法签订规范的烟花爆竹买卖合同，建立烟花爆竹买卖合同和流向管理制度，使用全国统一的烟花爆竹流向管理信息系统，如实登记烟花爆竹流向。</w:t>
      </w:r>
    </w:p>
    <w:p w14:paraId="3D9A5A5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生产企业应当在专业燃放类产品包装（包括运输包装和销售包装）及个人燃放类产品运输包装上张贴流向登记标签，并在产品入库和销售出库时登记录入。</w:t>
      </w:r>
    </w:p>
    <w:p w14:paraId="6588A73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批发企业购进烟花爆竹时，应当查验流向登记标签，并在产品入库和销售出库时登记录入。</w:t>
      </w:r>
    </w:p>
    <w:p w14:paraId="4683497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第二十四条 生产企业、批发企业所生产、销售烟花爆竹的质量、包装、标志应当符合国家标准或者行业标准的规定。</w:t>
      </w:r>
    </w:p>
    <w:p w14:paraId="35A5157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第二十九条：“地方各级安全生产监督管理部门应当加强对本行政区域内生产经营单位的监督检查，明确每个生产</w:t>
      </w:r>
      <w:r>
        <w:rPr>
          <w:rFonts w:ascii="仿宋_GB2312" w:hAnsi="仿宋_GB2312" w:hint="eastAsia"/>
          <w:color w:val="000000"/>
          <w:sz w:val="32"/>
          <w:szCs w:val="32"/>
          <w:lang w:val="en-US"/>
        </w:rPr>
        <w:lastRenderedPageBreak/>
        <w:t>经营单位的安全生产监督管理主体，制定并落实年度监督检查计划，对生产经营单位的安全生产违法行为，依法实施行政处罚。</w:t>
      </w:r>
    </w:p>
    <w:p w14:paraId="193576E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（二）《烟花爆竹经营许可实施办法》（国家安全监管总局令第7号）</w:t>
      </w:r>
    </w:p>
    <w:p w14:paraId="331E913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14:paraId="36B5F85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从事烟花爆竹进出口的企业，应当按照本办法的规定申请办理批发许可证。</w:t>
      </w:r>
    </w:p>
    <w:p w14:paraId="7E0624F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未取得烟花爆竹经营许可证的，任何单位或者个人不得从事烟花爆竹经营活动。</w:t>
      </w:r>
    </w:p>
    <w:p w14:paraId="4CC5B48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 烟花爆竹经营单位的布点，应当按照保障安全、统一规划、合理布局、总量控制、适度竞争的原则审批；对从事黑火药、引火线批发和烟花爆竹进出口的企业，应当按照严格许可条件、严格控制数量的原则审批。</w:t>
      </w:r>
    </w:p>
    <w:p w14:paraId="57ABAF4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批发企业不得在城市建成区内设立烟花爆竹储存仓库，不得在批发（展示）场所摆放有药样品；严格控制城市建成区内烟花爆竹零售点数量，且烟花爆竹零售点不得与居民居住场所设置在同一建筑物内。</w:t>
      </w:r>
    </w:p>
    <w:p w14:paraId="707029E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批发企业应当符合下列条件：</w:t>
      </w:r>
    </w:p>
    <w:p w14:paraId="1A039CF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（一）具备企业法人条件；</w:t>
      </w:r>
    </w:p>
    <w:p w14:paraId="17A89B4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（二）符合所在地省级安全监管局制定的批发企业布点规划；</w:t>
      </w:r>
    </w:p>
    <w:p w14:paraId="3A5A92F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（三）具有与其经营规模和产品相适应的仓储设施。仓库的内外部安全距离、库房布局、建筑结构、疏散通道、消防、防爆、防雷、防静电等安全设施以及电气设施等，符合《烟花爆竹工程设计安全规范》（</w:t>
      </w:r>
      <w:r>
        <w:rPr>
          <w:rFonts w:ascii="仿宋_GB2312" w:hAnsi="仿宋_GB2312"/>
          <w:color w:val="000000"/>
          <w:sz w:val="32"/>
          <w:szCs w:val="32"/>
          <w:lang w:val="en-US"/>
        </w:rPr>
        <w:t>GB50161</w:t>
      </w:r>
      <w:r>
        <w:rPr>
          <w:rFonts w:ascii="仿宋_GB2312" w:hAnsi="仿宋_GB2312" w:hint="eastAsia"/>
          <w:color w:val="000000"/>
          <w:sz w:val="32"/>
          <w:szCs w:val="32"/>
          <w:lang w:val="en-US"/>
        </w:rPr>
        <w:t>）等国家标准和行业标准的规定。仓储区域及仓库安装有符合《烟花爆竹企业安全监控系统通用技术条件》（</w:t>
      </w:r>
      <w:r>
        <w:rPr>
          <w:rFonts w:ascii="仿宋_GB2312" w:hAnsi="仿宋_GB2312"/>
          <w:color w:val="000000"/>
          <w:sz w:val="32"/>
          <w:szCs w:val="32"/>
          <w:lang w:val="en-US"/>
        </w:rPr>
        <w:t>AQ4101</w:t>
      </w:r>
      <w:r>
        <w:rPr>
          <w:rFonts w:ascii="仿宋_GB2312" w:hAnsi="仿宋_GB2312" w:hint="eastAsia"/>
          <w:color w:val="000000"/>
          <w:sz w:val="32"/>
          <w:szCs w:val="32"/>
          <w:lang w:val="en-US"/>
        </w:rPr>
        <w:t>）规定的监控设施，并设立符合《烟花爆竹安全生产标志》（</w:t>
      </w:r>
      <w:r>
        <w:rPr>
          <w:rFonts w:ascii="仿宋_GB2312" w:hAnsi="仿宋_GB2312"/>
          <w:color w:val="000000"/>
          <w:sz w:val="32"/>
          <w:szCs w:val="32"/>
          <w:lang w:val="en-US"/>
        </w:rPr>
        <w:t>AQ4114</w:t>
      </w:r>
      <w:r>
        <w:rPr>
          <w:rFonts w:ascii="仿宋_GB2312" w:hAnsi="仿宋_GB2312" w:hint="eastAsia"/>
          <w:color w:val="000000"/>
          <w:sz w:val="32"/>
          <w:szCs w:val="32"/>
          <w:lang w:val="en-US"/>
        </w:rPr>
        <w:t>）规定的安全警示标志和标识牌；</w:t>
      </w:r>
    </w:p>
    <w:p w14:paraId="3FC4FE3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（四）具备与其经营规模、产品和销售区域范围相适应的配送服务能力；</w:t>
      </w:r>
    </w:p>
    <w:p w14:paraId="0358B6A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建立安全生产责任制和各项安全管理制度、操作规程。安全管理制度和操作规程至少包括：仓库安全管理制度、仓库保管守卫制度、防火防爆安全管理制度、安全检查和隐患排查治理制度、事故应急救援与事故报告制度、买卖合同管理制度、产品流向登记制度、产品检验验收制度、从业人员安全教育培训制度、违规违章行为处罚制度、企业负责人值（带）班制度、安全生产费用提取和使用制度、装卸（搬运）作业安全规程；</w:t>
      </w:r>
    </w:p>
    <w:p w14:paraId="7D64137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（六）有安全管理机构或者专职安全生产管理人员；</w:t>
      </w:r>
    </w:p>
    <w:p w14:paraId="034C6EB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（七）主要负责人、分管安全生产负责人、安全生产管理人员具备烟花爆竹经营方面的安全知识和管理能力，并经培训考核合格，取得相应资格证书。仓库保管员、守护员接</w:t>
      </w:r>
      <w:r>
        <w:rPr>
          <w:rFonts w:ascii="仿宋_GB2312" w:hAnsi="仿宋_GB2312" w:hint="eastAsia"/>
          <w:color w:val="000000"/>
          <w:sz w:val="32"/>
          <w:szCs w:val="32"/>
          <w:lang w:val="en-US"/>
        </w:rPr>
        <w:lastRenderedPageBreak/>
        <w:t>受烟花爆竹专业知识培训，并经考核合格，取得相应资格证书。其他从业人员经本单位安全知识培训合格；</w:t>
      </w:r>
    </w:p>
    <w:p w14:paraId="263F2C7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（八）按照《烟花爆竹流向登记通用规范》（</w:t>
      </w:r>
      <w:r>
        <w:rPr>
          <w:rFonts w:ascii="仿宋_GB2312" w:hAnsi="仿宋_GB2312"/>
          <w:color w:val="000000"/>
          <w:sz w:val="32"/>
          <w:szCs w:val="32"/>
          <w:lang w:val="en-US"/>
        </w:rPr>
        <w:t>AQ4102</w:t>
      </w:r>
      <w:r>
        <w:rPr>
          <w:rFonts w:ascii="仿宋_GB2312" w:hAnsi="仿宋_GB2312" w:hint="eastAsia"/>
          <w:color w:val="000000"/>
          <w:sz w:val="32"/>
          <w:szCs w:val="32"/>
          <w:lang w:val="en-US"/>
        </w:rPr>
        <w:t>）和烟花爆竹流向信息化管理的有关规定，建立并应用烟花爆竹流向信息化管理系统；</w:t>
      </w:r>
    </w:p>
    <w:p w14:paraId="609A3CA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（九）有事故应急救援预案、应急救援组织和人员，并配备必要的应急救援器材、设备；</w:t>
      </w:r>
    </w:p>
    <w:p w14:paraId="1815DEF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（十）依法进行安全评价；</w:t>
      </w:r>
    </w:p>
    <w:p w14:paraId="1A1651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（十一）法律、法规规定的其他条件。</w:t>
      </w:r>
    </w:p>
    <w:p w14:paraId="654F59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从事烟花爆竹进出口的企业申请领取批发许可证，应当具备前款第一项至第三项和第五项至第十一项规定的条件。</w:t>
      </w:r>
    </w:p>
    <w:p w14:paraId="3024029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第十六条零售经营者应当符合下列条件：</w:t>
      </w:r>
    </w:p>
    <w:p w14:paraId="7084A2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（一）符合所在地县级安全监管局制定的零售经营布点规划；</w:t>
      </w:r>
    </w:p>
    <w:p w14:paraId="2B4E05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（二）主要负责人经过安全培训合格，销售人员经过安全知识教育；</w:t>
      </w:r>
    </w:p>
    <w:p w14:paraId="6B31A8F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（三）春节期间零售点、城市长期零售点实行专店销售。乡村长期零售点在淡季实行专柜销售时，安排专人销售，专柜相对独立，并与其他柜台保持一定的距离，保证安全通道畅通；</w:t>
      </w:r>
    </w:p>
    <w:p w14:paraId="6B2BEB3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（四）零售场所的面积不小于</w:t>
      </w:r>
      <w:r>
        <w:rPr>
          <w:rFonts w:ascii="仿宋_GB2312" w:hAnsi="仿宋_GB2312"/>
          <w:color w:val="000000"/>
          <w:sz w:val="32"/>
          <w:szCs w:val="32"/>
          <w:lang w:val="en-US"/>
        </w:rPr>
        <w:t>10</w:t>
      </w:r>
      <w:r>
        <w:rPr>
          <w:rFonts w:ascii="仿宋_GB2312" w:hAnsi="仿宋_GB2312" w:hint="eastAsia"/>
          <w:color w:val="000000"/>
          <w:sz w:val="32"/>
          <w:szCs w:val="32"/>
          <w:lang w:val="en-US"/>
        </w:rPr>
        <w:t>平方米，其周边</w:t>
      </w:r>
      <w:r>
        <w:rPr>
          <w:rFonts w:ascii="仿宋_GB2312" w:hAnsi="仿宋_GB2312"/>
          <w:color w:val="000000"/>
          <w:sz w:val="32"/>
          <w:szCs w:val="32"/>
          <w:lang w:val="en-US"/>
        </w:rPr>
        <w:t>50</w:t>
      </w:r>
      <w:r>
        <w:rPr>
          <w:rFonts w:ascii="仿宋_GB2312" w:hAnsi="仿宋_GB2312" w:hint="eastAsia"/>
          <w:color w:val="000000"/>
          <w:sz w:val="32"/>
          <w:szCs w:val="32"/>
          <w:lang w:val="en-US"/>
        </w:rPr>
        <w:t>米范围内没有其他烟花爆竹零售点，并与学校、幼儿园、医院、集贸市场等人员密集场所和加油站等易燃易爆物品生产、储存设施等重点建筑物保持</w:t>
      </w:r>
      <w:r>
        <w:rPr>
          <w:rFonts w:ascii="仿宋_GB2312" w:hAnsi="仿宋_GB2312"/>
          <w:color w:val="000000"/>
          <w:sz w:val="32"/>
          <w:szCs w:val="32"/>
          <w:lang w:val="en-US"/>
        </w:rPr>
        <w:t>100</w:t>
      </w:r>
      <w:r>
        <w:rPr>
          <w:rFonts w:ascii="仿宋_GB2312" w:hAnsi="仿宋_GB2312" w:hint="eastAsia"/>
          <w:color w:val="000000"/>
          <w:sz w:val="32"/>
          <w:szCs w:val="32"/>
          <w:lang w:val="en-US"/>
        </w:rPr>
        <w:t>米以上的安全距离；</w:t>
      </w:r>
    </w:p>
    <w:p w14:paraId="0EEA7A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（五）零售场所配备必要的消防器材，张贴明显的安全警示标志；</w:t>
      </w:r>
    </w:p>
    <w:p w14:paraId="545D5C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（六）法律、法规规定的其他条件。</w:t>
      </w:r>
    </w:p>
    <w:p w14:paraId="1CA3FA50"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第十七章 对生产经营单位应急预案工作的监督检查工作指引</w:t>
      </w:r>
    </w:p>
    <w:p w14:paraId="59C69B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33564E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对生产经营单位应急预案工作的监督检查</w:t>
      </w:r>
    </w:p>
    <w:p w14:paraId="10FEBC4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17897CD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1.生产经营单位应急预案编制情况</w:t>
      </w:r>
    </w:p>
    <w:p w14:paraId="1086C21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2.应急预案发布、备案情况</w:t>
      </w:r>
    </w:p>
    <w:p w14:paraId="1CD07D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3.应急预案教育培训及演练情况</w:t>
      </w:r>
    </w:p>
    <w:p w14:paraId="055D9BE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4.应急队伍建设情况</w:t>
      </w:r>
    </w:p>
    <w:p w14:paraId="7333C8B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5.应急物资保障情况</w:t>
      </w:r>
    </w:p>
    <w:p w14:paraId="24A8B4E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772FFA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06B6376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1777966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61D295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第八十一条 生产经营单位应当制定本单位生产安全事故应急救援预案，与所在地县级以上地方人民政府组织制定的生产安全事故应急救援预案相衔接，并定期组织演练。</w:t>
      </w:r>
    </w:p>
    <w:p w14:paraId="66C53C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第八十二条 危险物品的生产、经营、储存单位以及矿山、</w:t>
      </w:r>
      <w:r>
        <w:rPr>
          <w:rFonts w:ascii="仿宋_GB2312" w:hAnsi="仿宋_GB2312" w:hint="eastAsia"/>
          <w:color w:val="000000"/>
          <w:sz w:val="32"/>
          <w:szCs w:val="32"/>
          <w:lang w:val="en-US"/>
        </w:rPr>
        <w:lastRenderedPageBreak/>
        <w:t>金属冶炼、城市轨道交通运营、建筑施工单位应当建立应急救援组织；生产经营规模较小的，可以不建立应急救援组织，但应当指定兼职的应急救援人员。</w:t>
      </w:r>
    </w:p>
    <w:p w14:paraId="37A94A7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危险物品的生产、经营、储存、运输单位以及矿山、金属冶炼、城市轨道交通运营、建筑施工单位应当配备必要的应急救援器材、设备和物资，并进行经常性维护、保养，保证正常运转。</w:t>
      </w:r>
    </w:p>
    <w:p w14:paraId="749ACE8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（二）《生产安全事故应急条例》（国务院令第708号）</w:t>
      </w:r>
    </w:p>
    <w:p w14:paraId="71F147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第五条第二款 生产经营单位应当针对本单位可能发生的生产安全事故的特点和危害，进行风险辨识和评估，制定相应的生产安全事故应急救援预案，并向本单位从业人员公布。</w:t>
      </w:r>
    </w:p>
    <w:p w14:paraId="5043EC8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第八条第二款 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14:paraId="58D4C70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第三款：县级以上地方人民政府负有安全生产监督管理职责的部门应当对本行政区域内前款规定的重点生产经营单位的生产安全事故应急救援预案演练进行抽查；发现演练不符合要求的，应当责令限期改正。</w:t>
      </w:r>
    </w:p>
    <w:p w14:paraId="75E48A9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易燃易爆物品、危险化学品等危险物品的生产、经营、</w:t>
      </w:r>
      <w:r>
        <w:rPr>
          <w:rFonts w:ascii="仿宋_GB2312" w:hAnsi="仿宋_GB2312" w:hint="eastAsia"/>
          <w:color w:val="000000"/>
          <w:sz w:val="32"/>
          <w:szCs w:val="32"/>
          <w:lang w:val="en-US"/>
        </w:rPr>
        <w:lastRenderedPageBreak/>
        <w:t>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14:paraId="5BA6D43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第十一条第三款 应急救援队伍应当配备必要的应急救援装备和物资，并定期组织训练。</w:t>
      </w:r>
    </w:p>
    <w:p w14:paraId="2A2950A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（三）《生产安全事故应急预案管理办法》（国家安全监管总局令第88号，2019年7月11日修正）</w:t>
      </w:r>
    </w:p>
    <w:p w14:paraId="0E08C3E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14:paraId="014F701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生产经营单位风险种类多、可能发生多种类型事故的，应当组织编制综合应急预案。</w:t>
      </w:r>
    </w:p>
    <w:p w14:paraId="5F8B3A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综合应急预案应当规定应急组织机构及其职责、应急预案体系、事故风险描述、预警及信息报告、应急响应、保障措施、应急预案管理等内容。</w:t>
      </w:r>
    </w:p>
    <w:p w14:paraId="7B504A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对于某一种或者多种类型的事故风险，生产经营单位可以编制相应的专项应急预案，或将专项应急预案并入综合应急预案。</w:t>
      </w:r>
    </w:p>
    <w:p w14:paraId="5239463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专项应急预案应当规定应急指挥机构与职责、处置程序</w:t>
      </w:r>
      <w:r>
        <w:rPr>
          <w:rFonts w:ascii="仿宋_GB2312" w:hAnsi="仿宋_GB2312" w:hint="eastAsia"/>
          <w:color w:val="000000"/>
          <w:sz w:val="32"/>
          <w:szCs w:val="32"/>
          <w:lang w:val="en-US"/>
        </w:rPr>
        <w:lastRenderedPageBreak/>
        <w:t>和措施等内容。</w:t>
      </w:r>
    </w:p>
    <w:p w14:paraId="7A4828B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 对于危险性较大的场所、装置或者设施，生产经营单位应当编制现场处置方案。</w:t>
      </w:r>
    </w:p>
    <w:p w14:paraId="3D4EC1C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现场处置方案应当规定应急工作职责、应急处置措施和注意事项等内容。</w:t>
      </w:r>
    </w:p>
    <w:p w14:paraId="116DE71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事故风险单一、危险性小的生产经营单位，可以只编制现场处置方案。</w:t>
      </w:r>
    </w:p>
    <w:p w14:paraId="4046018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生产经营单位应急预案应当包括向上级应急管理机构报告的内容、应急组织机构和人员的联系方式、应急物资储备清单等附件信息。附件信息发生变化时，应当及时更新，确保准确有效。</w:t>
      </w:r>
    </w:p>
    <w:p w14:paraId="58B5015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矿山、金属冶炼企业和易燃易爆物品、危险化学品的生产、经营、储存、运输企业，以及使用危险化学品达到国家规定数量的化工企业、烟花爆竹生产、批发经营企业和中型规模以上的其他生产经营单位，应当对本单位编制的应急预案进行评审，并形成书面评审纪要。</w:t>
      </w:r>
    </w:p>
    <w:p w14:paraId="33013F0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14:paraId="51DB89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第三十一条 各级人民政府应急管理部门应当将本部门</w:t>
      </w:r>
      <w:r>
        <w:rPr>
          <w:rFonts w:ascii="仿宋_GB2312" w:hAnsi="仿宋_GB2312" w:hint="eastAsia"/>
          <w:color w:val="000000"/>
          <w:sz w:val="32"/>
          <w:szCs w:val="32"/>
          <w:lang w:val="en-US"/>
        </w:rPr>
        <w:lastRenderedPageBreak/>
        <w:t>应急预案的培训纳入安全生产培训工作计划，并组织实施本行政区域内重点生产经营单位的应急预案培训工作。</w:t>
      </w:r>
    </w:p>
    <w:p w14:paraId="6E38747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生产经营单位应当组织开展本单位的应急预案、应急知识、自救互救和避险逃生技能的培训活动，使有关人员了解应急预案内容，熟悉应急职责、应急处置程序和措施。</w:t>
      </w:r>
    </w:p>
    <w:p w14:paraId="06D899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应急培训的时间、地点、内容、师资、参加人员和考核结果等情况应当如实记入本单位的安全生产教育和培训档案。</w:t>
      </w:r>
    </w:p>
    <w:p w14:paraId="3E97CDD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第三十三条 生产经营单位应当制定本单位的应急预案演练计划，根据本单位的事故风险特点，每年至少组织一次综合应急预案演练或者专项应急预案演练，每半年至少组织一次现场处置方案演练。</w:t>
      </w:r>
    </w:p>
    <w:p w14:paraId="60C03F3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14:paraId="4A451A5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第三十五条 应急预案编制单位应当建立应急预案定期评估制度，对预案内容的针对性和实用性进行分析，并对应急预案是否需要修订作出结论。</w:t>
      </w:r>
    </w:p>
    <w:p w14:paraId="58101F6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矿山、金属冶炼、建筑施工企业和易燃易爆物品、危险化学品等危险物品的生产、经营、储存、运输企业、使用危险化学品达到国家规定数量的化工企业、烟花爆竹生产、批</w:t>
      </w:r>
      <w:r>
        <w:rPr>
          <w:rFonts w:ascii="仿宋_GB2312" w:hAnsi="仿宋_GB2312" w:hint="eastAsia"/>
          <w:color w:val="000000"/>
          <w:sz w:val="32"/>
          <w:szCs w:val="32"/>
          <w:lang w:val="en-US"/>
        </w:rPr>
        <w:lastRenderedPageBreak/>
        <w:t>发经营企业和中型规模以上的其他生产经营单位，应当每三年进行一次应急预案评估。</w:t>
      </w:r>
    </w:p>
    <w:p w14:paraId="7D9245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第三十六条 有下列情形之一的，应急预案应当及时修订并归档：</w:t>
      </w:r>
    </w:p>
    <w:p w14:paraId="6F7A92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（一）依据的法律、法规、规章、标准及上位预案中的有关规定发生重大变化的；</w:t>
      </w:r>
    </w:p>
    <w:p w14:paraId="4C4814A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（二）应急指挥机构及其职责发生调整的；</w:t>
      </w:r>
    </w:p>
    <w:p w14:paraId="044C5DC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（三）安全生产面临的风险发生重大变化的；</w:t>
      </w:r>
    </w:p>
    <w:p w14:paraId="00B737E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（四）重要应急资源发生重大变化的；</w:t>
      </w:r>
    </w:p>
    <w:p w14:paraId="0FE73AE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（五）在应急演练和事故应急救援中发现需要修订预案的重大问题的；</w:t>
      </w:r>
    </w:p>
    <w:p w14:paraId="34CBA86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（六）编制单位认为应当修订的其他情况。</w:t>
      </w:r>
    </w:p>
    <w:p w14:paraId="04085FC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第三十七条 应急预案修订涉及组织指挥体系与职责、应急处置程序、主要处置措施、应急响应分级等内容变更的，修订工作应当参照本办法规定的应急预案编制程序进行，并按照有关应急预案报备程序重新备案。</w:t>
      </w:r>
    </w:p>
    <w:p w14:paraId="504E59A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第三十八条 生产经营单位应当按照应急预案的规定，落实应急指挥体系、应急救援队伍、应急物资及装备，建立应急物资、装备配备及其使用档案，并对应急物资、装备进行定期检测和维护，使其处于适用状态。</w:t>
      </w:r>
    </w:p>
    <w:p w14:paraId="68D11D8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（四）《山东省生产安全事故应急办法》（山东省人民政府令第341号）</w:t>
      </w:r>
    </w:p>
    <w:p w14:paraId="396701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第十条 生产经营单位应当建立健全本单位的生产安全事故应急预案体系，依法编制综合应急预案、专项应急预案</w:t>
      </w:r>
      <w:r>
        <w:rPr>
          <w:rFonts w:ascii="仿宋_GB2312" w:hAnsi="仿宋_GB2312" w:hint="eastAsia"/>
          <w:color w:val="000000"/>
          <w:sz w:val="32"/>
          <w:szCs w:val="32"/>
          <w:lang w:val="en-US"/>
        </w:rPr>
        <w:lastRenderedPageBreak/>
        <w:t>和现场处置方案，并向本单位从业人员公布。</w:t>
      </w:r>
    </w:p>
    <w:p w14:paraId="3FA46D6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生产经营单位风险种类多、可能发生多种类型事故的，应当编制综合应急预案。</w:t>
      </w:r>
    </w:p>
    <w:p w14:paraId="22066E7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生产经营单位可以针对某一类型或者多种类型的事故风险，编制相应的专项应急预案，或者将专项应急预案并入综合应急预案。</w:t>
      </w:r>
    </w:p>
    <w:p w14:paraId="6BC7FDA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对于危险性较大的场所、装置或者设施，生产经营单位应当编制现场处置方案。</w:t>
      </w:r>
    </w:p>
    <w:p w14:paraId="725BD6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事故风险单一、危险性小的生产经营单位，可以只编制现场处置方案。</w:t>
      </w:r>
    </w:p>
    <w:p w14:paraId="4832624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第十一条第三款 矿山、金属冶炼、道路运输、城市轨道交通运营、建筑施工单位，危险物品的生产、经营、储存、装卸、运输单位和使用危险物品从事生产并且使用量达到规定数量的单位等高危生产经营单位，以及宾馆、商场、娱乐场所、旅游景区等人员密集场所经营单位（以下简称高危和人员密集单位）的应急预案，应当依法向社会公布，并自公布之日起20个工作日内，按照所属行业、领域报送有关部门备案。</w:t>
      </w:r>
    </w:p>
    <w:p w14:paraId="4FF0A00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第十二条第二款 生产经营单位应当将本单位的生产安全事故应急预案、应急知识、自救互救和避险逃生技能纳入年度安全生产教育培训计划并组织实施。</w:t>
      </w:r>
    </w:p>
    <w:p w14:paraId="5D38C1E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第十三条第二款 高危和人员密集单位应当每半年至少组织1次综合或者专项应急预案演练，每2年对所有专项应急预案至少组织1次演练，每半年对所有现场处置方案至少</w:t>
      </w:r>
      <w:r>
        <w:rPr>
          <w:rFonts w:ascii="仿宋_GB2312" w:hAnsi="仿宋_GB2312" w:hint="eastAsia"/>
          <w:color w:val="000000"/>
          <w:sz w:val="32"/>
          <w:szCs w:val="32"/>
          <w:lang w:val="en-US"/>
        </w:rPr>
        <w:lastRenderedPageBreak/>
        <w:t>组织1次演练。</w:t>
      </w:r>
    </w:p>
    <w:p w14:paraId="65748B9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其他生产经营单位应当每年至少组织1次综合或者专项应急预案演练，每3年对所有专项应急预案至少组织1次演练，每年对所有现场处置方案至少组织1次演练。</w:t>
      </w:r>
    </w:p>
    <w:p w14:paraId="431B3E2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应急预案编制单位应当建立定期评估制度，对预案内容的针对性、实用性和可操作性进行分析，实现应急预案的动态优化和科学规范管理。</w:t>
      </w:r>
    </w:p>
    <w:p w14:paraId="072C170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高危和人员密集单位应当每2年至少进行1次应急预案评估；其他生产经营单位应当每3年至少进行1次应急预案评估。</w:t>
      </w:r>
    </w:p>
    <w:p w14:paraId="417CAF4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高危和人员密集单位应当依托本单位从业人员建立专职或者兼职应急救援队伍，并按照有关规定报送县级以上人民政府应急管理部门和其他有关部门备案。</w:t>
      </w:r>
    </w:p>
    <w:p w14:paraId="675E008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其他生产经营单位、规模较小的高危和人员密集单位，可以不建立应急救援队伍，但应当指定兼职的应急救援人员，并与邻近的应急救援队伍签订应急救援协议。</w:t>
      </w:r>
    </w:p>
    <w:p w14:paraId="1C480A6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工业园区、开发区等产业聚集区域内的生产经营单位，可以联合建立应急救援队伍。</w:t>
      </w:r>
    </w:p>
    <w:p w14:paraId="12C4AB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第十九条 应急救援队伍应当制定应急救援行动方案，定期组织训练，并每月至少开展1次救援行动演练。</w:t>
      </w:r>
    </w:p>
    <w:p w14:paraId="1E064806"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第十八章 对安全评价检测检验机构的监督检查工作指引</w:t>
      </w:r>
    </w:p>
    <w:p w14:paraId="7205DC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65E82D6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对安全评价、安全生产检测检验机构的行政检查</w:t>
      </w:r>
    </w:p>
    <w:p w14:paraId="1722B6A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29C56C7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（一）安全评价检测检验机构资质条件保持情况</w:t>
      </w:r>
    </w:p>
    <w:p w14:paraId="15DF2EF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（二）安全评价检测检验机构技术服务情况</w:t>
      </w:r>
    </w:p>
    <w:p w14:paraId="2E192E0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170828F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2F17BAA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3C60AAB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638195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7D60A8F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承担安全评价、认证、检测、检验职责的机构应当建立并实施服务公开和报告公开制度，不得租借资质、挂靠、出具虚假报告。</w:t>
      </w:r>
    </w:p>
    <w:p w14:paraId="003E0038"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（二）《安全评价检测检验机构管理办法》（应急管理部令第1号）</w:t>
      </w:r>
    </w:p>
    <w:p w14:paraId="659B0FB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第三条第三款：省级人民政府应急管理部门、煤矿安全生产监督管理部门（以下统称资质认可机关）按照各自的职责，分别负责安全评价检测检验机构资质认可和监督管理工作。</w:t>
      </w:r>
    </w:p>
    <w:p w14:paraId="08B732E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申请安全评价机构资质应当具备下列条件：</w:t>
      </w:r>
    </w:p>
    <w:p w14:paraId="7729ACF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（一）独立法人资格，固定资产不少于八百万元；</w:t>
      </w:r>
    </w:p>
    <w:p w14:paraId="14DCD3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（二）工作场所建筑面积不少于一千平方米，其中档案室不少于一百平方米，设施、设备、软件等技术支撑条件满足工作需求；</w:t>
      </w:r>
    </w:p>
    <w:p w14:paraId="76BCCE4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（三）承担矿山、金属冶炼、危险化学品生产和储存、烟花爆竹等业务范围安全评价的机构，其专职安全评价师不低于本办法规定的配备标准；</w:t>
      </w:r>
    </w:p>
    <w:p w14:paraId="4443277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14:paraId="5F4D72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（五）健全的内部管理制度和安全评价过程控制体系；</w:t>
      </w:r>
    </w:p>
    <w:p w14:paraId="391DE9B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（六）法定代表人出具知悉并承担安全评价的法律责任、义务、权利和风险的承诺书；</w:t>
      </w:r>
    </w:p>
    <w:p w14:paraId="4B9BEEC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14:paraId="3823B4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（八）正常运行并可以供公众查询机构信息的网站；</w:t>
      </w:r>
    </w:p>
    <w:p w14:paraId="4CD0E13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（九）截至申请之日三年内无重大违法失信记录；</w:t>
      </w:r>
    </w:p>
    <w:p w14:paraId="045D4D8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（十）法律、行政法规规定的其他条件。</w:t>
      </w:r>
    </w:p>
    <w:p w14:paraId="0A741D9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申请安全生产检测检验机构资质应当具备下列</w:t>
      </w:r>
      <w:r>
        <w:rPr>
          <w:rFonts w:ascii="仿宋_GB2312" w:hAnsi="仿宋_GB2312" w:hint="eastAsia"/>
          <w:color w:val="000000"/>
          <w:sz w:val="32"/>
          <w:szCs w:val="32"/>
          <w:lang w:val="en-US"/>
        </w:rPr>
        <w:lastRenderedPageBreak/>
        <w:t>条件：</w:t>
      </w:r>
    </w:p>
    <w:p w14:paraId="23A10D9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（一）独立法人资格，固定资产不少于一千万元；</w:t>
      </w:r>
    </w:p>
    <w:p w14:paraId="74942A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（二）工作场所建筑面积不少于一千平方米，有与从事安全生产检测检验相适应的设施、设备和环境，检测检验设施、设备原值不少于八百万元；</w:t>
      </w:r>
    </w:p>
    <w:p w14:paraId="7329DB9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14:paraId="27DA3DD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（四）专业技术人员具有与承担安全生产检测检验相适应的专业技能，以及在本行业领域工作两年以上；</w:t>
      </w:r>
    </w:p>
    <w:p w14:paraId="7A83696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（五）法定代表人出具知悉并承担安全生产检测检验的法律责任、义务、权利和风险的承诺书；</w:t>
      </w:r>
    </w:p>
    <w:p w14:paraId="1E6F576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（六）主持安全生产检测检验工作的负责人、技术负责人、质量负责人具有高级技术职称，在本行业领域工作八年以上；</w:t>
      </w:r>
    </w:p>
    <w:p w14:paraId="3078F33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（七）符合安全生产检测检验机构能力通用要求等相关标准和规范性文件规定的文件化管理体系；</w:t>
      </w:r>
    </w:p>
    <w:p w14:paraId="2B186FC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（八）正常运行并可以供公众查询机构信息的网站；</w:t>
      </w:r>
    </w:p>
    <w:p w14:paraId="638538D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（九）截至申请之日三年内无重大违法失信记录；</w:t>
      </w:r>
    </w:p>
    <w:p w14:paraId="08E1E97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（十）法律、行政法规规定的其他条件。</w:t>
      </w:r>
    </w:p>
    <w:p w14:paraId="5DC578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安全评价检测检验机构的名称、注册地址、实</w:t>
      </w:r>
      <w:r>
        <w:rPr>
          <w:rFonts w:ascii="仿宋_GB2312" w:hAnsi="仿宋_GB2312" w:hint="eastAsia"/>
          <w:color w:val="000000"/>
          <w:sz w:val="32"/>
          <w:szCs w:val="32"/>
          <w:lang w:val="en-US"/>
        </w:rPr>
        <w:lastRenderedPageBreak/>
        <w:t>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14:paraId="7BA803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安全评价检测检验机构因改制、分立或者合并等原因发生变化的，应当自发生变化之日起三十日内向原资质认可机关书面申请重新核定资质条件和业务范围。</w:t>
      </w:r>
    </w:p>
    <w:p w14:paraId="7797119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安全评价检测检验机构取得资质一年以上，需要变更业务范围的，应当向原资质认可机关提出书面申请。资质认可机关收到申请后应当按照本办法第九条至第十一条的规定办理。</w:t>
      </w:r>
    </w:p>
    <w:p w14:paraId="798A5D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第二十四条 资质认可机关应当将其认可的安全评价检测检验机构纳入年度安全生产监督检查计划范围</w:t>
      </w:r>
    </w:p>
    <w:p w14:paraId="4C32697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w:t>
      </w:r>
    </w:p>
    <w:p w14:paraId="450401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资质认可机关及其下级部门应当对本行政区域内登记注册的安全评价检测检验机构资质条件保持情况、接受行政处罚和投诉举报等情况进行重点监督检查。</w:t>
      </w:r>
    </w:p>
    <w:p w14:paraId="45C6B31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五条：资质认可机关及其下级部门、煤矿安全监察机构、事故调查组在安全生产行政许可、建设项目安全设施“三同时”审查、监督检查和事故调查中，发现生产经营单位和安全评价检测检验机构在安全评价、检测检验活动中有违法违规行为的，应当依法实施行政处罚。吊销、撤销安全评价检测检验机构资质的，由原资质认可机关决定。</w:t>
      </w:r>
    </w:p>
    <w:p w14:paraId="72D1AFC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第三十三条第二款：安全生产监督管理部门和负有安全生产监督管理职责的有关部门应当对事故发生单位落实防范和整改措施的情况进行监督检查。</w:t>
      </w:r>
    </w:p>
    <w:p w14:paraId="715256F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p>
    <w:p w14:paraId="7EE00A23"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第十九章 对安全培训机构开展安全培训活动情况的监督检查工作指引</w:t>
      </w:r>
    </w:p>
    <w:p w14:paraId="73F1E60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2211E05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对安全生产教育培训机构的开展安全培训活动情况的行政检查</w:t>
      </w:r>
    </w:p>
    <w:p w14:paraId="22D7A4E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45DDCF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（一）具备从事安全培训工作所需要的条件的情况；</w:t>
      </w:r>
    </w:p>
    <w:p w14:paraId="69776AB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（二）建立培训管理制度和教师配备的情况；</w:t>
      </w:r>
    </w:p>
    <w:p w14:paraId="2546AFC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（三）培训大纲、建立培训档案和培训保障的情况；</w:t>
      </w:r>
    </w:p>
    <w:p w14:paraId="23D213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（四）培训收费的情况。</w:t>
      </w:r>
    </w:p>
    <w:p w14:paraId="4D55178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5473F78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FEC927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31BBF2EA"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《安全生产培训管理办法》（国家安全监管总局令第44号，2013年8月29日第一次修正,2015年5月29日第二次修正）</w:t>
      </w:r>
    </w:p>
    <w:p w14:paraId="1262D57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第五条第一款 安全培训的机构应当具备从事安全培训工作所需要的条件。从事危险物品的生产、经营、储存单位以及矿山、金属冶炼单位的主要负责人和安全生产管理人员，</w:t>
      </w:r>
      <w:r>
        <w:rPr>
          <w:rFonts w:ascii="仿宋_GB2312" w:hAnsi="仿宋_GB2312" w:hint="eastAsia"/>
          <w:color w:val="000000"/>
          <w:sz w:val="32"/>
          <w:szCs w:val="32"/>
          <w:lang w:val="en-US"/>
        </w:rPr>
        <w:lastRenderedPageBreak/>
        <w:t>特种作业人员以及注册安全工程师等相关人员培训的安全培训机构，应当将教师、教学和实习实训设施等情况书面报告所在地安全生产监督管理部门、煤矿安全培训监管机构。</w:t>
      </w:r>
    </w:p>
    <w:p w14:paraId="74A3597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 安全培训机构应当建立安全培训工作制度和人员培训档案。安全培训相关情况，应当如实记录并建档备查。</w:t>
      </w:r>
    </w:p>
    <w:p w14:paraId="39AC2F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安全培训机构从事安全培训工作的收费，应当符合法律、法规的规定。法律、法规没有规定的，应当按照行业自律标准或者指导性标准收费。</w:t>
      </w:r>
    </w:p>
    <w:p w14:paraId="1DA26D8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第二十九条：安全生产监督管理部门和煤矿安全培训监管机构应当对安全培训机构开展安全培训活动的情况进行监督检查，检查内容包括：</w:t>
      </w:r>
    </w:p>
    <w:p w14:paraId="7B50FDA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（一）具备从事安全培训工作所需要的条件的情况；</w:t>
      </w:r>
    </w:p>
    <w:p w14:paraId="6D20DF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（二）建立培训管理制度和教师配备的情况；</w:t>
      </w:r>
    </w:p>
    <w:p w14:paraId="211972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（三）执行培训大纲、建立培训档案和培训保障的情况；</w:t>
      </w:r>
    </w:p>
    <w:p w14:paraId="685BB8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（四）培训收费的情况；</w:t>
      </w:r>
    </w:p>
    <w:p w14:paraId="21D173F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（五）法律法规规定的其他内容。</w:t>
      </w:r>
    </w:p>
    <w:p w14:paraId="7B59F8AE"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第二十章 对本系统注册安全工程师的执业活动的监督检查工作指引</w:t>
      </w:r>
    </w:p>
    <w:p w14:paraId="45A62F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1374AC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对本系统注册安全工程师的执业活动的监督检查</w:t>
      </w:r>
    </w:p>
    <w:p w14:paraId="7E03D14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73817F6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本系统注册安全工程师的执业活动情况</w:t>
      </w:r>
    </w:p>
    <w:p w14:paraId="4A01FCD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lastRenderedPageBreak/>
        <w:t>三、检查方法</w:t>
      </w:r>
    </w:p>
    <w:p w14:paraId="494EB82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6BFA77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02C8FA20"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《注册安全工程师管理规定》（国家安全监管总局令第11号，2013年8月29日修订）</w:t>
      </w:r>
    </w:p>
    <w:p w14:paraId="73303D0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取得资格证书的人员，经注册取得执业证和执业印章后方可以注册安全工程师的名义执业。</w:t>
      </w:r>
    </w:p>
    <w:p w14:paraId="1CA1C6C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申请注册的人员，必须同时具备下列条件：</w:t>
      </w:r>
    </w:p>
    <w:p w14:paraId="0553A8A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（一）取得资格证书；</w:t>
      </w:r>
    </w:p>
    <w:p w14:paraId="757A82E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（二）在生产经营单位从事安全生产管理、安全技术工作或者在安全生产中介机构从事安全生产专业服务工作。</w:t>
      </w:r>
    </w:p>
    <w:p w14:paraId="77FDEA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第二十八条 对注册安全工程师的执业活动，安全生产监督管理部门、煤矿安全监察机构和有关主管部门应当进行监督检查。</w:t>
      </w:r>
    </w:p>
    <w:p w14:paraId="631495A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第三十条 未经注册擅自以注册安全工程师名义执业的，由县级以上安全生产监督管理部门、有关主管部门或者煤矿安全监察机构责令其停止违法活动，没收违法所得，并处三万元以下的罚款；造成损失的，依法承担赔偿责任。</w:t>
      </w:r>
    </w:p>
    <w:p w14:paraId="27BEE7F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第三十一条 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14:paraId="61D69C1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第三十二条 注册安全工程师有下列行为之一的，由县级以上安全生产监督管理部门、有关主管部门或者煤矿安全</w:t>
      </w:r>
      <w:r>
        <w:rPr>
          <w:rFonts w:ascii="仿宋_GB2312" w:hAnsi="仿宋_GB2312" w:hint="eastAsia"/>
          <w:color w:val="000000"/>
          <w:sz w:val="32"/>
          <w:szCs w:val="32"/>
          <w:lang w:val="en-US"/>
        </w:rPr>
        <w:lastRenderedPageBreak/>
        <w:t>监察机构处三万元以下的罚款；由执业证颁发机关吊销其执业证,当事人五年内不得再次申请注册；造成损失的，依法承担赔偿责任；构成犯罪的，依法追究刑事责任：</w:t>
      </w:r>
    </w:p>
    <w:p w14:paraId="012F0DA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（一）准许他人以本人名义执业的；</w:t>
      </w:r>
    </w:p>
    <w:p w14:paraId="052A82D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（二）以个人名义承接业务、收取费用的；</w:t>
      </w:r>
    </w:p>
    <w:p w14:paraId="4AEAA2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（三）出租、出借、涂改、变造执业证和执业印章的；</w:t>
      </w:r>
    </w:p>
    <w:p w14:paraId="2676CA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（四）泄漏执业过程中应当保守的秘密并造成严重后果的；</w:t>
      </w:r>
    </w:p>
    <w:p w14:paraId="3632B73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（五）利用执业之便，贪污、索贿、受贿或者谋取不正当利益的；</w:t>
      </w:r>
    </w:p>
    <w:p w14:paraId="52AC30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（六）提供虚假执业活动成果的；</w:t>
      </w:r>
    </w:p>
    <w:p w14:paraId="32BDE48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（七）超出执业范围或者聘用单位业务范围从事执业活动的；</w:t>
      </w:r>
    </w:p>
    <w:p w14:paraId="39F4164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（八）法律、法规、规章规定的其他违法行为。</w:t>
      </w:r>
    </w:p>
    <w:p w14:paraId="7ED70147" w14:textId="77777777" w:rsidR="007D19A0" w:rsidRPr="006C0E4E" w:rsidRDefault="007D19A0">
      <w:pPr>
        <w:ind w:firstLine="640"/>
      </w:pPr>
    </w:p>
    <w:sectPr w:rsidR="007D19A0" w:rsidRPr="006C0E4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0ECA2" w14:textId="77777777" w:rsidR="00056968" w:rsidRDefault="00056968" w:rsidP="008D1630">
      <w:pPr>
        <w:spacing w:line="240" w:lineRule="auto"/>
        <w:ind w:firstLine="640"/>
      </w:pPr>
      <w:r>
        <w:separator/>
      </w:r>
    </w:p>
  </w:endnote>
  <w:endnote w:type="continuationSeparator" w:id="0">
    <w:p w14:paraId="0741B3D4" w14:textId="77777777" w:rsidR="00056968" w:rsidRDefault="00056968" w:rsidP="008D163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Noto Sans CJK JP Black">
    <w:altName w:val="宋体"/>
    <w:charset w:val="86"/>
    <w:family w:val="roman"/>
    <w:pitch w:val="default"/>
    <w:sig w:usb0="00000000" w:usb1="00000000" w:usb2="00000016" w:usb3="00000000" w:csb0="602E0107"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1E19" w14:textId="77777777" w:rsidR="008D1630" w:rsidRDefault="008D1630">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B85E" w14:textId="77777777" w:rsidR="008D1630" w:rsidRDefault="008D1630">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2154" w14:textId="77777777" w:rsidR="008D1630" w:rsidRDefault="008D1630">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26E9" w14:textId="77777777" w:rsidR="00056968" w:rsidRDefault="00056968" w:rsidP="008D1630">
      <w:pPr>
        <w:spacing w:line="240" w:lineRule="auto"/>
        <w:ind w:firstLine="640"/>
      </w:pPr>
      <w:r>
        <w:separator/>
      </w:r>
    </w:p>
  </w:footnote>
  <w:footnote w:type="continuationSeparator" w:id="0">
    <w:p w14:paraId="64684C64" w14:textId="77777777" w:rsidR="00056968" w:rsidRDefault="00056968" w:rsidP="008D1630">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FA1B" w14:textId="77777777" w:rsidR="008D1630" w:rsidRDefault="008D1630">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0264" w14:textId="77777777" w:rsidR="008D1630" w:rsidRDefault="008D1630">
    <w:pPr>
      <w:pStyle w:val="ad"/>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F5EB" w14:textId="77777777" w:rsidR="008D1630" w:rsidRDefault="008D1630">
    <w:pPr>
      <w:pStyle w:val="ad"/>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401406"/>
    <w:multiLevelType w:val="singleLevel"/>
    <w:tmpl w:val="80401406"/>
    <w:lvl w:ilvl="0">
      <w:start w:val="2"/>
      <w:numFmt w:val="chineseCounting"/>
      <w:suff w:val="nothing"/>
      <w:lvlText w:val="（%1）"/>
      <w:lvlJc w:val="left"/>
      <w:rPr>
        <w:rFonts w:hint="eastAsia"/>
      </w:rPr>
    </w:lvl>
  </w:abstractNum>
  <w:abstractNum w:abstractNumId="1" w15:restartNumberingAfterBreak="0">
    <w:nsid w:val="84A86578"/>
    <w:multiLevelType w:val="singleLevel"/>
    <w:tmpl w:val="84A86578"/>
    <w:lvl w:ilvl="0">
      <w:start w:val="16"/>
      <w:numFmt w:val="chineseCounting"/>
      <w:suff w:val="space"/>
      <w:lvlText w:val="第%1条"/>
      <w:lvlJc w:val="left"/>
      <w:rPr>
        <w:rFonts w:hint="eastAsia"/>
      </w:rPr>
    </w:lvl>
  </w:abstractNum>
  <w:abstractNum w:abstractNumId="2" w15:restartNumberingAfterBreak="0">
    <w:nsid w:val="882F8283"/>
    <w:multiLevelType w:val="singleLevel"/>
    <w:tmpl w:val="882F8283"/>
    <w:lvl w:ilvl="0">
      <w:start w:val="2"/>
      <w:numFmt w:val="chineseCounting"/>
      <w:suff w:val="nothing"/>
      <w:lvlText w:val="（%1）"/>
      <w:lvlJc w:val="left"/>
      <w:rPr>
        <w:rFonts w:hint="eastAsia"/>
      </w:rPr>
    </w:lvl>
  </w:abstractNum>
  <w:abstractNum w:abstractNumId="3" w15:restartNumberingAfterBreak="0">
    <w:nsid w:val="91B0AF56"/>
    <w:multiLevelType w:val="singleLevel"/>
    <w:tmpl w:val="91B0AF56"/>
    <w:lvl w:ilvl="0">
      <w:start w:val="1"/>
      <w:numFmt w:val="decimal"/>
      <w:suff w:val="nothing"/>
      <w:lvlText w:val="%1、"/>
      <w:lvlJc w:val="left"/>
    </w:lvl>
  </w:abstractNum>
  <w:abstractNum w:abstractNumId="4" w15:restartNumberingAfterBreak="0">
    <w:nsid w:val="A023FEDB"/>
    <w:multiLevelType w:val="singleLevel"/>
    <w:tmpl w:val="A023FEDB"/>
    <w:lvl w:ilvl="0">
      <w:start w:val="1"/>
      <w:numFmt w:val="decimal"/>
      <w:lvlText w:val="(%1)"/>
      <w:lvlJc w:val="left"/>
      <w:pPr>
        <w:ind w:left="425" w:hanging="425"/>
      </w:pPr>
      <w:rPr>
        <w:rFonts w:hint="default"/>
      </w:rPr>
    </w:lvl>
  </w:abstractNum>
  <w:abstractNum w:abstractNumId="5" w15:restartNumberingAfterBreak="0">
    <w:nsid w:val="B3DB2AF3"/>
    <w:multiLevelType w:val="singleLevel"/>
    <w:tmpl w:val="B3DB2AF3"/>
    <w:lvl w:ilvl="0">
      <w:start w:val="12"/>
      <w:numFmt w:val="chineseCounting"/>
      <w:suff w:val="space"/>
      <w:lvlText w:val="第%1条"/>
      <w:lvlJc w:val="left"/>
      <w:rPr>
        <w:rFonts w:hint="eastAsia"/>
      </w:rPr>
    </w:lvl>
  </w:abstractNum>
  <w:abstractNum w:abstractNumId="6" w15:restartNumberingAfterBreak="0">
    <w:nsid w:val="B935E96E"/>
    <w:multiLevelType w:val="singleLevel"/>
    <w:tmpl w:val="B935E96E"/>
    <w:lvl w:ilvl="0">
      <w:start w:val="6"/>
      <w:numFmt w:val="chineseCounting"/>
      <w:suff w:val="nothing"/>
      <w:lvlText w:val="（%1）"/>
      <w:lvlJc w:val="left"/>
      <w:rPr>
        <w:rFonts w:hint="eastAsia"/>
      </w:rPr>
    </w:lvl>
  </w:abstractNum>
  <w:abstractNum w:abstractNumId="7" w15:restartNumberingAfterBreak="0">
    <w:nsid w:val="BF9CE491"/>
    <w:multiLevelType w:val="singleLevel"/>
    <w:tmpl w:val="BF9CE491"/>
    <w:lvl w:ilvl="0">
      <w:start w:val="2"/>
      <w:numFmt w:val="chineseCounting"/>
      <w:suff w:val="nothing"/>
      <w:lvlText w:val="（%1）"/>
      <w:lvlJc w:val="left"/>
      <w:rPr>
        <w:rFonts w:hint="eastAsia"/>
      </w:rPr>
    </w:lvl>
  </w:abstractNum>
  <w:abstractNum w:abstractNumId="8" w15:restartNumberingAfterBreak="0">
    <w:nsid w:val="CBE7E169"/>
    <w:multiLevelType w:val="singleLevel"/>
    <w:tmpl w:val="CBE7E169"/>
    <w:lvl w:ilvl="0">
      <w:start w:val="2"/>
      <w:numFmt w:val="chineseCounting"/>
      <w:suff w:val="nothing"/>
      <w:lvlText w:val="（%1）"/>
      <w:lvlJc w:val="left"/>
      <w:rPr>
        <w:rFonts w:hint="eastAsia"/>
      </w:rPr>
    </w:lvl>
  </w:abstractNum>
  <w:abstractNum w:abstractNumId="9" w15:restartNumberingAfterBreak="0">
    <w:nsid w:val="CCFAB551"/>
    <w:multiLevelType w:val="singleLevel"/>
    <w:tmpl w:val="CCFAB551"/>
    <w:lvl w:ilvl="0">
      <w:start w:val="3"/>
      <w:numFmt w:val="decimal"/>
      <w:suff w:val="nothing"/>
      <w:lvlText w:val="%1、"/>
      <w:lvlJc w:val="left"/>
    </w:lvl>
  </w:abstractNum>
  <w:abstractNum w:abstractNumId="10" w15:restartNumberingAfterBreak="0">
    <w:nsid w:val="CD9FDCAE"/>
    <w:multiLevelType w:val="singleLevel"/>
    <w:tmpl w:val="CD9FDCAE"/>
    <w:lvl w:ilvl="0">
      <w:start w:val="3"/>
      <w:numFmt w:val="chineseCounting"/>
      <w:suff w:val="space"/>
      <w:lvlText w:val="第%1条"/>
      <w:lvlJc w:val="left"/>
      <w:rPr>
        <w:rFonts w:hint="eastAsia"/>
      </w:rPr>
    </w:lvl>
  </w:abstractNum>
  <w:abstractNum w:abstractNumId="11" w15:restartNumberingAfterBreak="0">
    <w:nsid w:val="E73705DA"/>
    <w:multiLevelType w:val="singleLevel"/>
    <w:tmpl w:val="E73705DA"/>
    <w:lvl w:ilvl="0">
      <w:start w:val="2"/>
      <w:numFmt w:val="chineseCounting"/>
      <w:suff w:val="nothing"/>
      <w:lvlText w:val="%1、"/>
      <w:lvlJc w:val="left"/>
      <w:rPr>
        <w:rFonts w:hint="eastAsia"/>
      </w:rPr>
    </w:lvl>
  </w:abstractNum>
  <w:abstractNum w:abstractNumId="12" w15:restartNumberingAfterBreak="0">
    <w:nsid w:val="E979AA00"/>
    <w:multiLevelType w:val="singleLevel"/>
    <w:tmpl w:val="E979AA00"/>
    <w:lvl w:ilvl="0">
      <w:start w:val="1"/>
      <w:numFmt w:val="decimal"/>
      <w:lvlText w:val="(%1)"/>
      <w:lvlJc w:val="left"/>
      <w:pPr>
        <w:ind w:left="425" w:hanging="425"/>
      </w:pPr>
      <w:rPr>
        <w:rFonts w:hint="default"/>
      </w:rPr>
    </w:lvl>
  </w:abstractNum>
  <w:abstractNum w:abstractNumId="13" w15:restartNumberingAfterBreak="0">
    <w:nsid w:val="F1448D65"/>
    <w:multiLevelType w:val="singleLevel"/>
    <w:tmpl w:val="F1448D65"/>
    <w:lvl w:ilvl="0">
      <w:start w:val="1"/>
      <w:numFmt w:val="decimal"/>
      <w:lvlText w:val="(%1)"/>
      <w:lvlJc w:val="left"/>
      <w:pPr>
        <w:ind w:left="425" w:hanging="425"/>
      </w:pPr>
      <w:rPr>
        <w:rFonts w:hint="default"/>
      </w:rPr>
    </w:lvl>
  </w:abstractNum>
  <w:abstractNum w:abstractNumId="14" w15:restartNumberingAfterBreak="0">
    <w:nsid w:val="FE7A2F41"/>
    <w:multiLevelType w:val="singleLevel"/>
    <w:tmpl w:val="FE7A2F41"/>
    <w:lvl w:ilvl="0">
      <w:start w:val="1"/>
      <w:numFmt w:val="chineseCounting"/>
      <w:suff w:val="nothing"/>
      <w:lvlText w:val="（%1）"/>
      <w:lvlJc w:val="left"/>
      <w:pPr>
        <w:ind w:left="0" w:firstLine="420"/>
      </w:pPr>
      <w:rPr>
        <w:rFonts w:hint="eastAsia"/>
      </w:rPr>
    </w:lvl>
  </w:abstractNum>
  <w:abstractNum w:abstractNumId="15" w15:restartNumberingAfterBreak="0">
    <w:nsid w:val="FFF7B546"/>
    <w:multiLevelType w:val="singleLevel"/>
    <w:tmpl w:val="FFF7B546"/>
    <w:lvl w:ilvl="0">
      <w:start w:val="1"/>
      <w:numFmt w:val="chineseCounting"/>
      <w:suff w:val="nothing"/>
      <w:lvlText w:val="（%1）"/>
      <w:lvlJc w:val="left"/>
      <w:rPr>
        <w:rFonts w:hint="eastAsia"/>
      </w:rPr>
    </w:lvl>
  </w:abstractNum>
  <w:abstractNum w:abstractNumId="16" w15:restartNumberingAfterBreak="0">
    <w:nsid w:val="0ED803F9"/>
    <w:multiLevelType w:val="singleLevel"/>
    <w:tmpl w:val="0ED803F9"/>
    <w:lvl w:ilvl="0">
      <w:start w:val="2"/>
      <w:numFmt w:val="chineseCounting"/>
      <w:suff w:val="nothing"/>
      <w:lvlText w:val="%1、"/>
      <w:lvlJc w:val="left"/>
      <w:rPr>
        <w:rFonts w:hint="eastAsia"/>
      </w:rPr>
    </w:lvl>
  </w:abstractNum>
  <w:abstractNum w:abstractNumId="17" w15:restartNumberingAfterBreak="0">
    <w:nsid w:val="17B1877D"/>
    <w:multiLevelType w:val="singleLevel"/>
    <w:tmpl w:val="17B1877D"/>
    <w:lvl w:ilvl="0">
      <w:start w:val="2"/>
      <w:numFmt w:val="decimal"/>
      <w:lvlText w:val="%1."/>
      <w:lvlJc w:val="left"/>
      <w:pPr>
        <w:tabs>
          <w:tab w:val="left" w:pos="312"/>
        </w:tabs>
      </w:pPr>
    </w:lvl>
  </w:abstractNum>
  <w:abstractNum w:abstractNumId="18" w15:restartNumberingAfterBreak="0">
    <w:nsid w:val="1A712C2B"/>
    <w:multiLevelType w:val="singleLevel"/>
    <w:tmpl w:val="1A712C2B"/>
    <w:lvl w:ilvl="0">
      <w:start w:val="1"/>
      <w:numFmt w:val="chineseCounting"/>
      <w:suff w:val="nothing"/>
      <w:lvlText w:val="%1、"/>
      <w:lvlJc w:val="left"/>
      <w:rPr>
        <w:rFonts w:hint="eastAsia"/>
      </w:rPr>
    </w:lvl>
  </w:abstractNum>
  <w:abstractNum w:abstractNumId="19" w15:restartNumberingAfterBreak="0">
    <w:nsid w:val="1B6346DF"/>
    <w:multiLevelType w:val="singleLevel"/>
    <w:tmpl w:val="1B6346DF"/>
    <w:lvl w:ilvl="0">
      <w:start w:val="2"/>
      <w:numFmt w:val="decimal"/>
      <w:lvlText w:val="%1."/>
      <w:lvlJc w:val="left"/>
      <w:pPr>
        <w:tabs>
          <w:tab w:val="left" w:pos="312"/>
        </w:tabs>
      </w:pPr>
    </w:lvl>
  </w:abstractNum>
  <w:abstractNum w:abstractNumId="20" w15:restartNumberingAfterBreak="0">
    <w:nsid w:val="1E6F966E"/>
    <w:multiLevelType w:val="singleLevel"/>
    <w:tmpl w:val="1E6F966E"/>
    <w:lvl w:ilvl="0">
      <w:start w:val="2"/>
      <w:numFmt w:val="chineseCounting"/>
      <w:suff w:val="nothing"/>
      <w:lvlText w:val="（%1）"/>
      <w:lvlJc w:val="left"/>
      <w:rPr>
        <w:rFonts w:hint="eastAsia"/>
      </w:rPr>
    </w:lvl>
  </w:abstractNum>
  <w:abstractNum w:abstractNumId="21" w15:restartNumberingAfterBreak="0">
    <w:nsid w:val="342CABF8"/>
    <w:multiLevelType w:val="singleLevel"/>
    <w:tmpl w:val="342CABF8"/>
    <w:lvl w:ilvl="0">
      <w:start w:val="3"/>
      <w:numFmt w:val="chineseCounting"/>
      <w:suff w:val="nothing"/>
      <w:lvlText w:val="（%1）"/>
      <w:lvlJc w:val="left"/>
      <w:rPr>
        <w:rFonts w:hint="eastAsia"/>
      </w:rPr>
    </w:lvl>
  </w:abstractNum>
  <w:abstractNum w:abstractNumId="22" w15:restartNumberingAfterBreak="0">
    <w:nsid w:val="3AA81CB7"/>
    <w:multiLevelType w:val="singleLevel"/>
    <w:tmpl w:val="3AA81CB7"/>
    <w:lvl w:ilvl="0">
      <w:start w:val="1"/>
      <w:numFmt w:val="decimal"/>
      <w:suff w:val="nothing"/>
      <w:lvlText w:val="（%1）"/>
      <w:lvlJc w:val="left"/>
    </w:lvl>
  </w:abstractNum>
  <w:abstractNum w:abstractNumId="23" w15:restartNumberingAfterBreak="0">
    <w:nsid w:val="3BDF5F2B"/>
    <w:multiLevelType w:val="singleLevel"/>
    <w:tmpl w:val="3BDF5F2B"/>
    <w:lvl w:ilvl="0">
      <w:start w:val="7"/>
      <w:numFmt w:val="chineseCounting"/>
      <w:suff w:val="space"/>
      <w:lvlText w:val="第%1条"/>
      <w:lvlJc w:val="left"/>
      <w:rPr>
        <w:rFonts w:hint="eastAsia"/>
      </w:rPr>
    </w:lvl>
  </w:abstractNum>
  <w:abstractNum w:abstractNumId="24" w15:restartNumberingAfterBreak="0">
    <w:nsid w:val="4EF3DF36"/>
    <w:multiLevelType w:val="singleLevel"/>
    <w:tmpl w:val="4EF3DF36"/>
    <w:lvl w:ilvl="0">
      <w:start w:val="3"/>
      <w:numFmt w:val="chineseCounting"/>
      <w:suff w:val="nothing"/>
      <w:lvlText w:val="（%1）"/>
      <w:lvlJc w:val="left"/>
      <w:rPr>
        <w:rFonts w:hint="eastAsia"/>
      </w:rPr>
    </w:lvl>
  </w:abstractNum>
  <w:abstractNum w:abstractNumId="25" w15:restartNumberingAfterBreak="0">
    <w:nsid w:val="578CCE3E"/>
    <w:multiLevelType w:val="singleLevel"/>
    <w:tmpl w:val="578CCE3E"/>
    <w:lvl w:ilvl="0">
      <w:start w:val="1"/>
      <w:numFmt w:val="chineseCounting"/>
      <w:suff w:val="nothing"/>
      <w:lvlText w:val="%1、"/>
      <w:lvlJc w:val="left"/>
      <w:rPr>
        <w:rFonts w:hint="eastAsia"/>
      </w:rPr>
    </w:lvl>
  </w:abstractNum>
  <w:abstractNum w:abstractNumId="26" w15:restartNumberingAfterBreak="0">
    <w:nsid w:val="57D2C5DB"/>
    <w:multiLevelType w:val="singleLevel"/>
    <w:tmpl w:val="57D2C5DB"/>
    <w:lvl w:ilvl="0">
      <w:start w:val="1"/>
      <w:numFmt w:val="decimal"/>
      <w:lvlText w:val="(%1)"/>
      <w:lvlJc w:val="left"/>
      <w:pPr>
        <w:ind w:left="425" w:hanging="425"/>
      </w:pPr>
      <w:rPr>
        <w:rFonts w:hint="default"/>
      </w:rPr>
    </w:lvl>
  </w:abstractNum>
  <w:abstractNum w:abstractNumId="27" w15:restartNumberingAfterBreak="0">
    <w:nsid w:val="5D7F3D99"/>
    <w:multiLevelType w:val="singleLevel"/>
    <w:tmpl w:val="5D7F3D99"/>
    <w:lvl w:ilvl="0">
      <w:start w:val="1"/>
      <w:numFmt w:val="decimal"/>
      <w:suff w:val="nothing"/>
      <w:lvlText w:val="%1、"/>
      <w:lvlJc w:val="left"/>
    </w:lvl>
  </w:abstractNum>
  <w:abstractNum w:abstractNumId="28" w15:restartNumberingAfterBreak="0">
    <w:nsid w:val="5D7F5487"/>
    <w:multiLevelType w:val="singleLevel"/>
    <w:tmpl w:val="5D7F5487"/>
    <w:lvl w:ilvl="0">
      <w:start w:val="3"/>
      <w:numFmt w:val="decimal"/>
      <w:suff w:val="nothing"/>
      <w:lvlText w:val="（%1）"/>
      <w:lvlJc w:val="left"/>
    </w:lvl>
  </w:abstractNum>
  <w:abstractNum w:abstractNumId="29" w15:restartNumberingAfterBreak="0">
    <w:nsid w:val="5D7F5A4F"/>
    <w:multiLevelType w:val="singleLevel"/>
    <w:tmpl w:val="5D7F5A4F"/>
    <w:lvl w:ilvl="0">
      <w:start w:val="3"/>
      <w:numFmt w:val="chineseCounting"/>
      <w:suff w:val="nothing"/>
      <w:lvlText w:val="(%1)"/>
      <w:lvlJc w:val="left"/>
    </w:lvl>
  </w:abstractNum>
  <w:abstractNum w:abstractNumId="30" w15:restartNumberingAfterBreak="0">
    <w:nsid w:val="60382E0F"/>
    <w:multiLevelType w:val="singleLevel"/>
    <w:tmpl w:val="60382E0F"/>
    <w:lvl w:ilvl="0">
      <w:start w:val="2"/>
      <w:numFmt w:val="chineseCounting"/>
      <w:suff w:val="nothing"/>
      <w:lvlText w:val="%1、"/>
      <w:lvlJc w:val="left"/>
      <w:rPr>
        <w:rFonts w:hint="eastAsia"/>
      </w:rPr>
    </w:lvl>
  </w:abstractNum>
  <w:abstractNum w:abstractNumId="31" w15:restartNumberingAfterBreak="0">
    <w:nsid w:val="6440AC34"/>
    <w:multiLevelType w:val="singleLevel"/>
    <w:tmpl w:val="6440AC34"/>
    <w:lvl w:ilvl="0">
      <w:start w:val="1"/>
      <w:numFmt w:val="chineseCounting"/>
      <w:suff w:val="nothing"/>
      <w:lvlText w:val="（%1）"/>
      <w:lvlJc w:val="left"/>
    </w:lvl>
  </w:abstractNum>
  <w:abstractNum w:abstractNumId="32" w15:restartNumberingAfterBreak="0">
    <w:nsid w:val="6440B685"/>
    <w:multiLevelType w:val="singleLevel"/>
    <w:tmpl w:val="6440B685"/>
    <w:lvl w:ilvl="0">
      <w:start w:val="3"/>
      <w:numFmt w:val="chineseCounting"/>
      <w:suff w:val="space"/>
      <w:lvlText w:val="第%1条"/>
      <w:lvlJc w:val="left"/>
    </w:lvl>
  </w:abstractNum>
  <w:abstractNum w:abstractNumId="33" w15:restartNumberingAfterBreak="0">
    <w:nsid w:val="6BA5D32D"/>
    <w:multiLevelType w:val="singleLevel"/>
    <w:tmpl w:val="6BA5D32D"/>
    <w:lvl w:ilvl="0">
      <w:start w:val="2"/>
      <w:numFmt w:val="chineseCounting"/>
      <w:suff w:val="nothing"/>
      <w:lvlText w:val="%1、"/>
      <w:lvlJc w:val="left"/>
      <w:rPr>
        <w:rFonts w:hint="eastAsia"/>
      </w:rPr>
    </w:lvl>
  </w:abstractNum>
  <w:num w:numId="1" w16cid:durableId="1678078590">
    <w:abstractNumId w:val="5"/>
  </w:num>
  <w:num w:numId="2" w16cid:durableId="557281307">
    <w:abstractNumId w:val="16"/>
  </w:num>
  <w:num w:numId="3" w16cid:durableId="282810571">
    <w:abstractNumId w:val="24"/>
  </w:num>
  <w:num w:numId="4" w16cid:durableId="538008754">
    <w:abstractNumId w:val="14"/>
  </w:num>
  <w:num w:numId="5" w16cid:durableId="1813477782">
    <w:abstractNumId w:val="32"/>
  </w:num>
  <w:num w:numId="6" w16cid:durableId="1306739941">
    <w:abstractNumId w:val="8"/>
  </w:num>
  <w:num w:numId="7" w16cid:durableId="1156917672">
    <w:abstractNumId w:val="11"/>
  </w:num>
  <w:num w:numId="8" w16cid:durableId="1403792194">
    <w:abstractNumId w:val="1"/>
  </w:num>
  <w:num w:numId="9" w16cid:durableId="1351838385">
    <w:abstractNumId w:val="17"/>
  </w:num>
  <w:num w:numId="10" w16cid:durableId="1769545112">
    <w:abstractNumId w:val="19"/>
  </w:num>
  <w:num w:numId="11" w16cid:durableId="2098940043">
    <w:abstractNumId w:val="26"/>
  </w:num>
  <w:num w:numId="12" w16cid:durableId="905339575">
    <w:abstractNumId w:val="4"/>
  </w:num>
  <w:num w:numId="13" w16cid:durableId="1466923162">
    <w:abstractNumId w:val="12"/>
  </w:num>
  <w:num w:numId="14" w16cid:durableId="1933396663">
    <w:abstractNumId w:val="13"/>
  </w:num>
  <w:num w:numId="15" w16cid:durableId="46540116">
    <w:abstractNumId w:val="7"/>
  </w:num>
  <w:num w:numId="16" w16cid:durableId="802429339">
    <w:abstractNumId w:val="6"/>
  </w:num>
  <w:num w:numId="17" w16cid:durableId="96872860">
    <w:abstractNumId w:val="31"/>
  </w:num>
  <w:num w:numId="18" w16cid:durableId="221451068">
    <w:abstractNumId w:val="18"/>
  </w:num>
  <w:num w:numId="19" w16cid:durableId="226428088">
    <w:abstractNumId w:val="27"/>
  </w:num>
  <w:num w:numId="20" w16cid:durableId="1235775351">
    <w:abstractNumId w:val="28"/>
  </w:num>
  <w:num w:numId="21" w16cid:durableId="129783070">
    <w:abstractNumId w:val="29"/>
  </w:num>
  <w:num w:numId="22" w16cid:durableId="894239502">
    <w:abstractNumId w:val="23"/>
  </w:num>
  <w:num w:numId="23" w16cid:durableId="1591084979">
    <w:abstractNumId w:val="10"/>
  </w:num>
  <w:num w:numId="24" w16cid:durableId="471555149">
    <w:abstractNumId w:val="15"/>
  </w:num>
  <w:num w:numId="25" w16cid:durableId="1210996912">
    <w:abstractNumId w:val="22"/>
  </w:num>
  <w:num w:numId="26" w16cid:durableId="655454475">
    <w:abstractNumId w:val="2"/>
  </w:num>
  <w:num w:numId="27" w16cid:durableId="1957255758">
    <w:abstractNumId w:val="21"/>
  </w:num>
  <w:num w:numId="28" w16cid:durableId="867642277">
    <w:abstractNumId w:val="0"/>
  </w:num>
  <w:num w:numId="29" w16cid:durableId="223374871">
    <w:abstractNumId w:val="30"/>
  </w:num>
  <w:num w:numId="30" w16cid:durableId="1123770379">
    <w:abstractNumId w:val="20"/>
  </w:num>
  <w:num w:numId="31" w16cid:durableId="1184049775">
    <w:abstractNumId w:val="33"/>
  </w:num>
  <w:num w:numId="32" w16cid:durableId="589238430">
    <w:abstractNumId w:val="9"/>
  </w:num>
  <w:num w:numId="33" w16cid:durableId="903225188">
    <w:abstractNumId w:val="25"/>
  </w:num>
  <w:num w:numId="34" w16cid:durableId="1737364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4E"/>
    <w:rsid w:val="00056968"/>
    <w:rsid w:val="003661B8"/>
    <w:rsid w:val="005C26A9"/>
    <w:rsid w:val="006847E4"/>
    <w:rsid w:val="006C0E4E"/>
    <w:rsid w:val="007D19A0"/>
    <w:rsid w:val="008D1630"/>
    <w:rsid w:val="00B7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89552"/>
  <w15:chartTrackingRefBased/>
  <w15:docId w15:val="{BD67A90D-34DD-433A-80D6-198578A1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6C0E4E"/>
    <w:pPr>
      <w:widowControl w:val="0"/>
      <w:spacing w:line="560" w:lineRule="exact"/>
      <w:ind w:firstLineChars="200" w:firstLine="880"/>
      <w:jc w:val="both"/>
    </w:pPr>
    <w:rPr>
      <w:rFonts w:ascii="Times New Roman" w:eastAsia="仿宋_GB2312" w:hAnsi="Times New Roman" w:cs="Times New Roman"/>
      <w:sz w:val="32"/>
      <w:szCs w:val="24"/>
    </w:rPr>
  </w:style>
  <w:style w:type="paragraph" w:styleId="1">
    <w:name w:val="heading 1"/>
    <w:basedOn w:val="a"/>
    <w:next w:val="a"/>
    <w:link w:val="10"/>
    <w:qFormat/>
    <w:rsid w:val="006C0E4E"/>
    <w:pPr>
      <w:keepNext/>
      <w:keepLines/>
      <w:spacing w:beforeLines="100" w:before="100"/>
      <w:ind w:firstLineChars="0" w:firstLine="0"/>
      <w:jc w:val="center"/>
      <w:outlineLvl w:val="0"/>
    </w:pPr>
    <w:rPr>
      <w:rFonts w:ascii="方正小标宋简体" w:eastAsia="方正小标宋简体" w:hAnsi="方正小标宋简体" w:cs="方正小标宋简体"/>
      <w:kern w:val="44"/>
      <w:sz w:val="44"/>
      <w:szCs w:val="22"/>
    </w:rPr>
  </w:style>
  <w:style w:type="paragraph" w:styleId="2">
    <w:name w:val="heading 2"/>
    <w:basedOn w:val="a"/>
    <w:next w:val="a"/>
    <w:link w:val="20"/>
    <w:qFormat/>
    <w:rsid w:val="006C0E4E"/>
    <w:pPr>
      <w:jc w:val="left"/>
      <w:outlineLvl w:val="1"/>
    </w:pPr>
    <w:rPr>
      <w:rFonts w:ascii="宋体" w:eastAsia="黑体" w:hAnsi="宋体" w:hint="eastAsia"/>
      <w:kern w:val="0"/>
      <w:szCs w:val="36"/>
    </w:rPr>
  </w:style>
  <w:style w:type="paragraph" w:styleId="3">
    <w:name w:val="heading 3"/>
    <w:basedOn w:val="a"/>
    <w:next w:val="a"/>
    <w:link w:val="31"/>
    <w:qFormat/>
    <w:rsid w:val="006C0E4E"/>
    <w:pPr>
      <w:keepNext/>
      <w:keepLines/>
      <w:outlineLvl w:val="2"/>
    </w:pPr>
    <w:rPr>
      <w:rFonts w:ascii="Calibri" w:eastAsia="楷体_GB2312" w:hAnsi="Calibri"/>
    </w:rPr>
  </w:style>
  <w:style w:type="paragraph" w:styleId="4">
    <w:name w:val="heading 4"/>
    <w:basedOn w:val="a"/>
    <w:next w:val="a"/>
    <w:link w:val="40"/>
    <w:qFormat/>
    <w:rsid w:val="006C0E4E"/>
    <w:pPr>
      <w:keepNext/>
      <w:keepLines/>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6C0E4E"/>
    <w:rPr>
      <w:rFonts w:ascii="方正小标宋简体" w:eastAsia="方正小标宋简体" w:hAnsi="方正小标宋简体" w:cs="方正小标宋简体"/>
      <w:kern w:val="44"/>
      <w:sz w:val="44"/>
    </w:rPr>
  </w:style>
  <w:style w:type="character" w:customStyle="1" w:styleId="20">
    <w:name w:val="标题 2 字符"/>
    <w:basedOn w:val="a0"/>
    <w:link w:val="2"/>
    <w:rsid w:val="006C0E4E"/>
    <w:rPr>
      <w:rFonts w:ascii="宋体" w:eastAsia="黑体" w:hAnsi="宋体" w:cs="Times New Roman"/>
      <w:kern w:val="0"/>
      <w:sz w:val="32"/>
      <w:szCs w:val="36"/>
    </w:rPr>
  </w:style>
  <w:style w:type="character" w:customStyle="1" w:styleId="30">
    <w:name w:val="标题 3 字符"/>
    <w:basedOn w:val="a0"/>
    <w:qFormat/>
    <w:rsid w:val="006C0E4E"/>
    <w:rPr>
      <w:rFonts w:ascii="Times New Roman" w:eastAsia="仿宋_GB2312" w:hAnsi="Times New Roman" w:cs="Times New Roman"/>
      <w:b/>
      <w:bCs/>
      <w:sz w:val="32"/>
      <w:szCs w:val="32"/>
    </w:rPr>
  </w:style>
  <w:style w:type="character" w:customStyle="1" w:styleId="40">
    <w:name w:val="标题 4 字符"/>
    <w:basedOn w:val="a0"/>
    <w:link w:val="4"/>
    <w:rsid w:val="006C0E4E"/>
    <w:rPr>
      <w:rFonts w:ascii="Arial" w:eastAsia="仿宋_GB2312" w:hAnsi="Arial" w:cs="Times New Roman"/>
      <w:b/>
      <w:sz w:val="32"/>
      <w:szCs w:val="24"/>
    </w:rPr>
  </w:style>
  <w:style w:type="paragraph" w:styleId="TOC1">
    <w:name w:val="toc 1"/>
    <w:basedOn w:val="a"/>
    <w:next w:val="a"/>
    <w:uiPriority w:val="39"/>
    <w:unhideWhenUsed/>
    <w:qFormat/>
    <w:rsid w:val="006C0E4E"/>
    <w:rPr>
      <w:rFonts w:ascii="Calibri" w:hAnsi="Calibri"/>
    </w:rPr>
  </w:style>
  <w:style w:type="paragraph" w:styleId="a3">
    <w:name w:val="annotation text"/>
    <w:basedOn w:val="a"/>
    <w:link w:val="a4"/>
    <w:qFormat/>
    <w:rsid w:val="006C0E4E"/>
    <w:pPr>
      <w:jc w:val="left"/>
    </w:pPr>
    <w:rPr>
      <w:rFonts w:ascii="Calibri" w:hAnsi="Calibri"/>
      <w:szCs w:val="22"/>
    </w:rPr>
  </w:style>
  <w:style w:type="character" w:customStyle="1" w:styleId="a4">
    <w:name w:val="批注文字 字符"/>
    <w:basedOn w:val="a0"/>
    <w:link w:val="a3"/>
    <w:rsid w:val="006C0E4E"/>
    <w:rPr>
      <w:rFonts w:ascii="Calibri" w:eastAsia="仿宋_GB2312" w:hAnsi="Calibri" w:cs="Times New Roman"/>
      <w:sz w:val="32"/>
    </w:rPr>
  </w:style>
  <w:style w:type="paragraph" w:styleId="a5">
    <w:name w:val="Body Text"/>
    <w:basedOn w:val="a"/>
    <w:link w:val="a6"/>
    <w:qFormat/>
    <w:rsid w:val="006C0E4E"/>
    <w:pPr>
      <w:autoSpaceDE w:val="0"/>
      <w:autoSpaceDN w:val="0"/>
      <w:jc w:val="left"/>
    </w:pPr>
    <w:rPr>
      <w:rFonts w:ascii="Noto Sans CJK JP Black" w:eastAsia="Noto Sans CJK JP Black" w:hAnsi="Noto Sans CJK JP Black" w:cs="Noto Sans CJK JP Black"/>
      <w:kern w:val="0"/>
      <w:sz w:val="24"/>
      <w:lang w:eastAsia="en-US"/>
    </w:rPr>
  </w:style>
  <w:style w:type="character" w:customStyle="1" w:styleId="a6">
    <w:name w:val="正文文本 字符"/>
    <w:basedOn w:val="a0"/>
    <w:link w:val="a5"/>
    <w:rsid w:val="006C0E4E"/>
    <w:rPr>
      <w:rFonts w:ascii="Noto Sans CJK JP Black" w:eastAsia="Noto Sans CJK JP Black" w:hAnsi="Noto Sans CJK JP Black" w:cs="Noto Sans CJK JP Black"/>
      <w:kern w:val="0"/>
      <w:sz w:val="24"/>
      <w:szCs w:val="24"/>
      <w:lang w:eastAsia="en-US"/>
    </w:rPr>
  </w:style>
  <w:style w:type="paragraph" w:styleId="a7">
    <w:name w:val="Body Text Indent"/>
    <w:basedOn w:val="a"/>
    <w:link w:val="a8"/>
    <w:qFormat/>
    <w:rsid w:val="006C0E4E"/>
    <w:pPr>
      <w:spacing w:after="120"/>
      <w:ind w:leftChars="200" w:left="420"/>
    </w:pPr>
    <w:rPr>
      <w:rFonts w:ascii="Calibri" w:hAnsi="Calibri"/>
    </w:rPr>
  </w:style>
  <w:style w:type="character" w:customStyle="1" w:styleId="a8">
    <w:name w:val="正文文本缩进 字符"/>
    <w:basedOn w:val="a0"/>
    <w:link w:val="a7"/>
    <w:rsid w:val="006C0E4E"/>
    <w:rPr>
      <w:rFonts w:ascii="Calibri" w:eastAsia="仿宋_GB2312" w:hAnsi="Calibri" w:cs="Times New Roman"/>
      <w:sz w:val="32"/>
      <w:szCs w:val="24"/>
    </w:rPr>
  </w:style>
  <w:style w:type="paragraph" w:styleId="a9">
    <w:name w:val="Plain Text"/>
    <w:basedOn w:val="a"/>
    <w:link w:val="aa"/>
    <w:qFormat/>
    <w:rsid w:val="006C0E4E"/>
    <w:rPr>
      <w:rFonts w:ascii="宋体" w:eastAsia="宋体" w:hAnsi="Courier New" w:cs="Courier New"/>
      <w:szCs w:val="21"/>
    </w:rPr>
  </w:style>
  <w:style w:type="character" w:customStyle="1" w:styleId="aa">
    <w:name w:val="纯文本 字符"/>
    <w:basedOn w:val="a0"/>
    <w:link w:val="a9"/>
    <w:rsid w:val="006C0E4E"/>
    <w:rPr>
      <w:rFonts w:ascii="宋体" w:eastAsia="宋体" w:hAnsi="Courier New" w:cs="Courier New"/>
      <w:sz w:val="32"/>
      <w:szCs w:val="21"/>
    </w:rPr>
  </w:style>
  <w:style w:type="paragraph" w:styleId="ab">
    <w:name w:val="footer"/>
    <w:basedOn w:val="a"/>
    <w:link w:val="ac"/>
    <w:uiPriority w:val="99"/>
    <w:qFormat/>
    <w:rsid w:val="006C0E4E"/>
    <w:pPr>
      <w:tabs>
        <w:tab w:val="center" w:pos="4153"/>
        <w:tab w:val="right" w:pos="8306"/>
      </w:tabs>
      <w:snapToGrid w:val="0"/>
      <w:jc w:val="left"/>
    </w:pPr>
    <w:rPr>
      <w:sz w:val="18"/>
      <w:szCs w:val="18"/>
    </w:rPr>
  </w:style>
  <w:style w:type="character" w:customStyle="1" w:styleId="ac">
    <w:name w:val="页脚 字符"/>
    <w:basedOn w:val="a0"/>
    <w:link w:val="ab"/>
    <w:uiPriority w:val="99"/>
    <w:rsid w:val="006C0E4E"/>
    <w:rPr>
      <w:rFonts w:ascii="Times New Roman" w:eastAsia="仿宋_GB2312" w:hAnsi="Times New Roman" w:cs="Times New Roman"/>
      <w:sz w:val="18"/>
      <w:szCs w:val="18"/>
    </w:rPr>
  </w:style>
  <w:style w:type="paragraph" w:styleId="ad">
    <w:name w:val="header"/>
    <w:basedOn w:val="a"/>
    <w:link w:val="ae"/>
    <w:qFormat/>
    <w:rsid w:val="006C0E4E"/>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6C0E4E"/>
    <w:rPr>
      <w:rFonts w:ascii="Times New Roman" w:eastAsia="仿宋_GB2312" w:hAnsi="Times New Roman" w:cs="Times New Roman"/>
      <w:sz w:val="18"/>
      <w:szCs w:val="18"/>
    </w:rPr>
  </w:style>
  <w:style w:type="paragraph" w:styleId="af">
    <w:name w:val="Normal (Web)"/>
    <w:basedOn w:val="a"/>
    <w:qFormat/>
    <w:rsid w:val="006C0E4E"/>
    <w:pPr>
      <w:spacing w:before="100" w:beforeAutospacing="1" w:after="100" w:afterAutospacing="1"/>
      <w:jc w:val="left"/>
    </w:pPr>
    <w:rPr>
      <w:rFonts w:ascii="Calibri" w:hAnsi="Calibri"/>
      <w:kern w:val="0"/>
      <w:sz w:val="24"/>
    </w:rPr>
  </w:style>
  <w:style w:type="paragraph" w:styleId="21">
    <w:name w:val="Body Text First Indent 2"/>
    <w:basedOn w:val="a7"/>
    <w:next w:val="a"/>
    <w:link w:val="22"/>
    <w:qFormat/>
    <w:rsid w:val="006C0E4E"/>
    <w:pPr>
      <w:ind w:firstLine="420"/>
    </w:pPr>
    <w:rPr>
      <w:rFonts w:ascii="Times New Roman" w:eastAsia="宋体" w:hAnsi="Times New Roman"/>
      <w:szCs w:val="32"/>
    </w:rPr>
  </w:style>
  <w:style w:type="character" w:customStyle="1" w:styleId="22">
    <w:name w:val="正文文本首行缩进 2 字符"/>
    <w:basedOn w:val="a8"/>
    <w:link w:val="21"/>
    <w:rsid w:val="006C0E4E"/>
    <w:rPr>
      <w:rFonts w:ascii="Times New Roman" w:eastAsia="宋体" w:hAnsi="Times New Roman" w:cs="Times New Roman"/>
      <w:sz w:val="32"/>
      <w:szCs w:val="32"/>
    </w:rPr>
  </w:style>
  <w:style w:type="character" w:styleId="af0">
    <w:name w:val="Strong"/>
    <w:basedOn w:val="a0"/>
    <w:qFormat/>
    <w:rsid w:val="006C0E4E"/>
    <w:rPr>
      <w:rFonts w:ascii="Times New Roman" w:eastAsia="宋体" w:hAnsi="Times New Roman" w:cs="Times New Roman"/>
      <w:b/>
    </w:rPr>
  </w:style>
  <w:style w:type="paragraph" w:customStyle="1" w:styleId="Bodytext1">
    <w:name w:val="Body text|1"/>
    <w:basedOn w:val="a"/>
    <w:qFormat/>
    <w:rsid w:val="006C0E4E"/>
    <w:pPr>
      <w:spacing w:line="319" w:lineRule="auto"/>
      <w:ind w:firstLine="400"/>
    </w:pPr>
    <w:rPr>
      <w:rFonts w:ascii="宋体" w:hAnsi="宋体" w:cs="宋体"/>
      <w:sz w:val="20"/>
      <w:szCs w:val="20"/>
      <w:lang w:val="zh-CN" w:bidi="zh-CN"/>
    </w:rPr>
  </w:style>
  <w:style w:type="paragraph" w:customStyle="1" w:styleId="Heading11">
    <w:name w:val="Heading #1|1"/>
    <w:basedOn w:val="a"/>
    <w:qFormat/>
    <w:rsid w:val="006C0E4E"/>
    <w:pPr>
      <w:spacing w:before="950" w:after="500"/>
      <w:jc w:val="center"/>
      <w:outlineLvl w:val="0"/>
    </w:pPr>
    <w:rPr>
      <w:rFonts w:ascii="宋体" w:hAnsi="宋体" w:cs="宋体"/>
      <w:kern w:val="0"/>
      <w:sz w:val="34"/>
      <w:szCs w:val="34"/>
      <w:lang w:val="zh-CN" w:bidi="zh-CN"/>
    </w:rPr>
  </w:style>
  <w:style w:type="paragraph" w:customStyle="1" w:styleId="11">
    <w:name w:val="正文1"/>
    <w:qFormat/>
    <w:rsid w:val="006C0E4E"/>
    <w:pPr>
      <w:jc w:val="both"/>
    </w:pPr>
    <w:rPr>
      <w:rFonts w:ascii="Times New Roman" w:eastAsia="宋体" w:hAnsi="Times New Roman" w:cs="Times New Roman"/>
      <w:szCs w:val="21"/>
    </w:rPr>
  </w:style>
  <w:style w:type="paragraph" w:customStyle="1" w:styleId="23">
    <w:name w:val="样式 首行缩进:  2 字符"/>
    <w:basedOn w:val="a"/>
    <w:uiPriority w:val="99"/>
    <w:qFormat/>
    <w:rsid w:val="006C0E4E"/>
    <w:pPr>
      <w:adjustRightInd w:val="0"/>
      <w:snapToGrid w:val="0"/>
      <w:spacing w:line="520" w:lineRule="exact"/>
      <w:ind w:firstLine="560"/>
    </w:pPr>
    <w:rPr>
      <w:rFonts w:ascii="Calibri" w:hAnsi="Calibri"/>
      <w:color w:val="000000"/>
      <w:szCs w:val="22"/>
    </w:rPr>
  </w:style>
  <w:style w:type="character" w:customStyle="1" w:styleId="31">
    <w:name w:val="标题 3 字符1"/>
    <w:link w:val="3"/>
    <w:qFormat/>
    <w:rsid w:val="006C0E4E"/>
    <w:rPr>
      <w:rFonts w:ascii="Calibri" w:eastAsia="楷体_GB2312" w:hAnsi="Calibri" w:cs="Times New Roman"/>
      <w:sz w:val="32"/>
      <w:szCs w:val="24"/>
    </w:rPr>
  </w:style>
  <w:style w:type="paragraph" w:styleId="af1">
    <w:name w:val="List Paragraph"/>
    <w:basedOn w:val="a"/>
    <w:uiPriority w:val="99"/>
    <w:qFormat/>
    <w:rsid w:val="006C0E4E"/>
    <w:pPr>
      <w:widowControl/>
      <w:ind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134</Pages>
  <Words>9921</Words>
  <Characters>56554</Characters>
  <Application>Microsoft Office Word</Application>
  <DocSecurity>0</DocSecurity>
  <Lines>471</Lines>
  <Paragraphs>132</Paragraphs>
  <ScaleCrop>false</ScaleCrop>
  <Company/>
  <LinksUpToDate>false</LinksUpToDate>
  <CharactersWithSpaces>66343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2023-06-05T07:19:00Z</dcterms:created>
  <dcterms:modified xsi:type="dcterms:W3CDTF">2023-06-07T08:20:00Z</dcterms:modified>
</cp:coreProperties>
</file>