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81161">
      <w:pPr>
        <w:pStyle w:val="13"/>
        <w:ind w:firstLine="0" w:firstLineChars="0"/>
        <w:rPr>
          <w:rFonts w:hint="default" w:ascii="Times New Roman" w:hAnsi="Times New Roman" w:cs="Times New Roman"/>
        </w:rPr>
      </w:pPr>
      <w:bookmarkStart w:id="0" w:name="_Toc2552"/>
      <w:bookmarkStart w:id="1" w:name="_Toc14047"/>
      <w:bookmarkStart w:id="2" w:name="_Toc12146"/>
      <w:bookmarkStart w:id="3" w:name="_Toc6877"/>
      <w:bookmarkStart w:id="4" w:name="_Toc91519941"/>
    </w:p>
    <w:p w14:paraId="2FC2B187">
      <w:pPr>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w:t>
      </w:r>
      <w:bookmarkStart w:id="10" w:name="_GoBack"/>
      <w:r>
        <w:rPr>
          <w:rFonts w:hint="default" w:ascii="Times New Roman" w:hAnsi="Times New Roman" w:eastAsia="方正小标宋简体" w:cs="Times New Roman"/>
          <w:sz w:val="44"/>
          <w:szCs w:val="44"/>
        </w:rPr>
        <w:t>临淄区应急管理局</w:t>
      </w:r>
    </w:p>
    <w:p w14:paraId="710E72D7">
      <w:pPr>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“双随机、一公开”抽查工作指引</w:t>
      </w:r>
      <w:bookmarkEnd w:id="10"/>
      <w:r>
        <w:rPr>
          <w:rFonts w:hint="default" w:ascii="Times New Roman" w:hAnsi="Times New Roman" w:eastAsia="方正小标宋简体" w:cs="Times New Roman"/>
          <w:sz w:val="44"/>
          <w:szCs w:val="44"/>
        </w:rPr>
        <w:t>》的通知</w:t>
      </w:r>
    </w:p>
    <w:p w14:paraId="6DCBD82A">
      <w:pPr>
        <w:pStyle w:val="4"/>
        <w:spacing w:before="0" w:beforeLines="0"/>
        <w:jc w:val="both"/>
        <w:rPr>
          <w:rFonts w:hint="default" w:ascii="Times New Roman" w:hAnsi="Times New Roman" w:eastAsia="仿宋_GB2312" w:cs="Times New Roman"/>
          <w:sz w:val="32"/>
          <w:szCs w:val="32"/>
        </w:rPr>
      </w:pPr>
    </w:p>
    <w:p w14:paraId="3F71FD5C">
      <w:pPr>
        <w:pStyle w:val="4"/>
        <w:spacing w:before="0" w:beforeLines="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局机关各科室、应急中心、执法大队：</w:t>
      </w:r>
    </w:p>
    <w:p w14:paraId="7C762A66">
      <w:pPr>
        <w:ind w:firstLine="640"/>
        <w:rPr>
          <w:rFonts w:hint="default" w:ascii="Times New Roman" w:hAnsi="Times New Roman" w:cs="Times New Roman"/>
          <w:szCs w:val="32"/>
        </w:rPr>
      </w:pPr>
      <w:r>
        <w:rPr>
          <w:rFonts w:hint="default" w:ascii="Times New Roman" w:hAnsi="Times New Roman" w:cs="Times New Roman"/>
          <w:szCs w:val="32"/>
        </w:rPr>
        <w:t>现将《临淄区应急管理局“双随机、一公开”抽查工作指引》印发给你们，请认真贯彻落实。</w:t>
      </w:r>
    </w:p>
    <w:p w14:paraId="37E0BEAC">
      <w:pPr>
        <w:pStyle w:val="13"/>
        <w:ind w:firstLine="640"/>
        <w:rPr>
          <w:rFonts w:hint="default" w:ascii="Times New Roman" w:hAnsi="Times New Roman" w:cs="Times New Roman"/>
          <w:szCs w:val="32"/>
        </w:rPr>
      </w:pPr>
    </w:p>
    <w:p w14:paraId="1B1B0202">
      <w:pPr>
        <w:ind w:left="640" w:leftChars="200" w:firstLine="0" w:firstLineChars="0"/>
        <w:rPr>
          <w:rFonts w:hint="default" w:ascii="Times New Roman" w:hAnsi="Times New Roman" w:cs="Times New Roman"/>
          <w:szCs w:val="32"/>
        </w:rPr>
      </w:pPr>
      <w:r>
        <w:rPr>
          <w:rFonts w:hint="default" w:ascii="Times New Roman" w:hAnsi="Times New Roman" w:cs="Times New Roman"/>
          <w:szCs w:val="32"/>
        </w:rPr>
        <w:t>附件：临淄区应急管理局“双随机、一公开”抽查工作指引</w:t>
      </w:r>
    </w:p>
    <w:p w14:paraId="5429BD99">
      <w:pPr>
        <w:pStyle w:val="13"/>
        <w:ind w:firstLine="640"/>
        <w:rPr>
          <w:rFonts w:hint="default" w:ascii="Times New Roman" w:hAnsi="Times New Roman" w:cs="Times New Roman"/>
          <w:szCs w:val="32"/>
        </w:rPr>
      </w:pPr>
    </w:p>
    <w:p w14:paraId="529FA4E9">
      <w:pPr>
        <w:ind w:firstLine="640"/>
        <w:rPr>
          <w:rFonts w:hint="default" w:ascii="Times New Roman" w:hAnsi="Times New Roman" w:cs="Times New Roman"/>
          <w:szCs w:val="32"/>
        </w:rPr>
      </w:pPr>
    </w:p>
    <w:p w14:paraId="3D99DCB5">
      <w:pPr>
        <w:ind w:firstLine="640"/>
        <w:rPr>
          <w:rFonts w:hint="default" w:ascii="Times New Roman" w:hAnsi="Times New Roman" w:cs="Times New Roman"/>
        </w:rPr>
      </w:pPr>
    </w:p>
    <w:p w14:paraId="304BAC9D">
      <w:pPr>
        <w:ind w:firstLine="640"/>
        <w:rPr>
          <w:rFonts w:hint="default" w:ascii="Times New Roman" w:hAnsi="Times New Roman" w:cs="Times New Roman"/>
          <w:szCs w:val="32"/>
        </w:rPr>
      </w:pPr>
      <w:r>
        <w:rPr>
          <w:rFonts w:hint="default" w:ascii="Times New Roman" w:hAnsi="Times New Roman" w:cs="Times New Roman"/>
          <w:szCs w:val="32"/>
        </w:rPr>
        <w:t xml:space="preserve">                           临淄区应急管理局</w:t>
      </w:r>
    </w:p>
    <w:p w14:paraId="2FE7788A">
      <w:pPr>
        <w:pStyle w:val="13"/>
        <w:ind w:firstLine="640"/>
        <w:rPr>
          <w:rFonts w:hint="default" w:ascii="Times New Roman" w:hAnsi="Times New Roman" w:cs="Times New Roman"/>
          <w:szCs w:val="32"/>
        </w:rPr>
      </w:pPr>
      <w:r>
        <w:rPr>
          <w:rFonts w:hint="default" w:ascii="Times New Roman" w:hAnsi="Times New Roman" w:cs="Times New Roman"/>
          <w:szCs w:val="32"/>
        </w:rPr>
        <w:t xml:space="preserve">                            2024年4月2日</w:t>
      </w:r>
    </w:p>
    <w:bookmarkEnd w:id="0"/>
    <w:bookmarkEnd w:id="1"/>
    <w:p w14:paraId="29753ED5">
      <w:pPr>
        <w:pStyle w:val="4"/>
        <w:spacing w:before="0" w:beforeLines="0"/>
        <w:rPr>
          <w:rFonts w:hint="default" w:ascii="Times New Roman" w:hAnsi="Times New Roman" w:eastAsia="仿宋_GB2312" w:cs="Times New Roman"/>
          <w:sz w:val="32"/>
          <w:szCs w:val="32"/>
        </w:rPr>
      </w:pPr>
    </w:p>
    <w:p w14:paraId="24E079AB">
      <w:pPr>
        <w:ind w:firstLine="640"/>
        <w:rPr>
          <w:rFonts w:hint="default" w:ascii="Times New Roman" w:hAnsi="Times New Roman" w:cs="Times New Roman"/>
          <w:szCs w:val="32"/>
        </w:rPr>
      </w:pPr>
    </w:p>
    <w:p w14:paraId="006870FF">
      <w:pPr>
        <w:pStyle w:val="13"/>
        <w:ind w:firstLine="640"/>
        <w:rPr>
          <w:rFonts w:hint="default" w:ascii="Times New Roman" w:hAnsi="Times New Roman" w:cs="Times New Roman"/>
        </w:rPr>
      </w:pPr>
    </w:p>
    <w:p w14:paraId="0B70CF97">
      <w:pPr>
        <w:pStyle w:val="13"/>
        <w:ind w:firstLine="640"/>
        <w:rPr>
          <w:rFonts w:hint="default" w:ascii="Times New Roman" w:hAnsi="Times New Roman" w:cs="Times New Roman"/>
          <w:szCs w:val="32"/>
        </w:rPr>
      </w:pPr>
    </w:p>
    <w:p w14:paraId="3D45D4E7">
      <w:pPr>
        <w:pStyle w:val="4"/>
        <w:spacing w:before="0" w:beforeLines="0"/>
        <w:rPr>
          <w:rFonts w:hint="default" w:ascii="Times New Roman" w:hAnsi="Times New Roman"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474" w:bottom="1440" w:left="1474" w:header="851" w:footer="992" w:gutter="0"/>
          <w:cols w:space="425" w:num="1"/>
          <w:docGrid w:type="lines" w:linePitch="312" w:charSpace="0"/>
        </w:sectPr>
      </w:pPr>
    </w:p>
    <w:p w14:paraId="417C060F">
      <w:pPr>
        <w:pStyle w:val="4"/>
        <w:spacing w:before="0" w:beforeLines="0"/>
        <w:rPr>
          <w:rFonts w:hint="default" w:ascii="Times New Roman" w:hAnsi="Times New Roman" w:cs="Times New Roman"/>
        </w:rPr>
      </w:pPr>
      <w:r>
        <w:rPr>
          <w:rFonts w:hint="default" w:ascii="Times New Roman" w:hAnsi="Times New Roman" w:cs="Times New Roman"/>
        </w:rPr>
        <w:t>临淄区应急管理局</w:t>
      </w:r>
    </w:p>
    <w:p w14:paraId="39907B88">
      <w:pPr>
        <w:pStyle w:val="4"/>
        <w:spacing w:before="0" w:beforeLines="0"/>
        <w:rPr>
          <w:rFonts w:hint="default" w:ascii="Times New Roman" w:hAnsi="Times New Roman" w:cs="Times New Roman"/>
        </w:rPr>
      </w:pPr>
      <w:bookmarkStart w:id="5" w:name="_Toc31286"/>
      <w:bookmarkStart w:id="6" w:name="_Toc15707"/>
      <w:bookmarkStart w:id="7" w:name="_Toc23681"/>
      <w:r>
        <w:rPr>
          <w:rFonts w:hint="default" w:ascii="Times New Roman" w:hAnsi="Times New Roman" w:cs="Times New Roman"/>
        </w:rPr>
        <w:t>“双随机、一公开”抽查</w:t>
      </w:r>
      <w:bookmarkEnd w:id="2"/>
      <w:bookmarkEnd w:id="3"/>
      <w:bookmarkStart w:id="8" w:name="_Toc10662"/>
      <w:bookmarkStart w:id="9" w:name="_Toc25748"/>
      <w:r>
        <w:rPr>
          <w:rFonts w:hint="default" w:ascii="Times New Roman" w:hAnsi="Times New Roman" w:cs="Times New Roman"/>
        </w:rPr>
        <w:t>工作指引</w:t>
      </w:r>
      <w:bookmarkEnd w:id="4"/>
      <w:bookmarkEnd w:id="5"/>
      <w:bookmarkEnd w:id="6"/>
      <w:bookmarkEnd w:id="7"/>
      <w:bookmarkEnd w:id="8"/>
      <w:bookmarkEnd w:id="9"/>
    </w:p>
    <w:p w14:paraId="68651521">
      <w:pPr>
        <w:ind w:firstLine="0" w:firstLineChars="0"/>
        <w:jc w:val="center"/>
        <w:rPr>
          <w:rFonts w:hint="default" w:ascii="Times New Roman" w:hAnsi="Times New Roman" w:eastAsia="楷体_GB2312" w:cs="Times New Roman"/>
          <w:szCs w:val="32"/>
        </w:rPr>
      </w:pPr>
      <w:r>
        <w:rPr>
          <w:rFonts w:hint="default" w:ascii="Times New Roman" w:hAnsi="Times New Roman" w:eastAsia="楷体_GB2312" w:cs="Times New Roman"/>
          <w:szCs w:val="32"/>
        </w:rPr>
        <w:t>总  述</w:t>
      </w:r>
    </w:p>
    <w:p w14:paraId="02262E8C">
      <w:pPr>
        <w:ind w:firstLine="640"/>
        <w:rPr>
          <w:rFonts w:hint="default" w:ascii="Times New Roman" w:hAnsi="Times New Roman" w:cs="Times New Roman"/>
        </w:rPr>
      </w:pPr>
    </w:p>
    <w:p w14:paraId="44F9C6DD">
      <w:pPr>
        <w:ind w:firstLine="640"/>
        <w:rPr>
          <w:rFonts w:hint="default" w:ascii="Times New Roman" w:hAnsi="Times New Roman" w:cs="Times New Roman"/>
        </w:rPr>
      </w:pPr>
      <w:r>
        <w:rPr>
          <w:rFonts w:hint="default" w:ascii="Times New Roman" w:hAnsi="Times New Roman" w:cs="Times New Roman"/>
        </w:rPr>
        <w:t>本工作指引适用于使用省“双随机、一公开”监管工作平台对《山东省“双随机、一公开”抽查事项清单（2021年版）》所列的应急管理系统各抽查事项进行实地核查。</w:t>
      </w:r>
    </w:p>
    <w:p w14:paraId="7F4C43B0">
      <w:pPr>
        <w:ind w:firstLine="640"/>
        <w:rPr>
          <w:rFonts w:hint="default" w:ascii="Times New Roman" w:hAnsi="Times New Roman" w:cs="Times New Roman"/>
        </w:rPr>
      </w:pPr>
      <w:r>
        <w:rPr>
          <w:rFonts w:hint="default" w:ascii="Times New Roman" w:hAnsi="Times New Roman" w:cs="Times New Roman"/>
        </w:rPr>
        <w:t>本工作指引适用于生产经营单位、安全生产评价检测检验机构、安全生产培训机构以及注册安全工程师等各类检查对象。</w:t>
      </w:r>
    </w:p>
    <w:p w14:paraId="1EFC7A8F">
      <w:pPr>
        <w:ind w:firstLine="640"/>
        <w:rPr>
          <w:rFonts w:hint="default" w:ascii="Times New Roman" w:hAnsi="Times New Roman" w:cs="Times New Roman"/>
        </w:rPr>
      </w:pPr>
      <w:r>
        <w:rPr>
          <w:rFonts w:hint="default" w:ascii="Times New Roman" w:hAnsi="Times New Roman" w:cs="Times New Roman"/>
        </w:rPr>
        <w:t>实地核查应结合山东省安全生产移动执法系统，按照行政执法法定程序开展。</w:t>
      </w:r>
    </w:p>
    <w:p w14:paraId="20AEECCB">
      <w:pPr>
        <w:pStyle w:val="29"/>
        <w:snapToGrid w:val="0"/>
        <w:spacing w:line="560" w:lineRule="exact"/>
        <w:ind w:firstLine="640"/>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一、前期准备</w:t>
      </w:r>
    </w:p>
    <w:p w14:paraId="2B100DF8">
      <w:pPr>
        <w:ind w:firstLine="640"/>
        <w:rPr>
          <w:rFonts w:hint="default" w:ascii="Times New Roman" w:hAnsi="Times New Roman" w:cs="Times New Roman"/>
        </w:rPr>
      </w:pPr>
      <w:r>
        <w:rPr>
          <w:rFonts w:hint="default" w:ascii="Times New Roman" w:hAnsi="Times New Roman" w:cs="Times New Roman"/>
        </w:rPr>
        <w:t>实地核查前，可根据需要查阅企业登记、备案、行政许可、行政处罚等基本信息，或委托第三方机构、数据公司，通过信息化手段进行事先检索，初步了解企业可能存在的问题等，提高检查效率。</w:t>
      </w:r>
    </w:p>
    <w:p w14:paraId="26802000">
      <w:pPr>
        <w:ind w:firstLine="640"/>
        <w:rPr>
          <w:rFonts w:hint="default" w:ascii="Times New Roman" w:hAnsi="Times New Roman" w:cs="Times New Roman"/>
        </w:rPr>
      </w:pPr>
      <w:r>
        <w:rPr>
          <w:rFonts w:hint="default" w:ascii="Times New Roman" w:hAnsi="Times New Roman" w:cs="Times New Roman"/>
        </w:rPr>
        <w:t>在开展</w:t>
      </w:r>
      <w:r>
        <w:rPr>
          <w:rFonts w:hint="default" w:ascii="Times New Roman" w:hAnsi="Times New Roman" w:cs="Times New Roman"/>
          <w:szCs w:val="32"/>
        </w:rPr>
        <w:t>“双随机、一公开”</w:t>
      </w:r>
      <w:r>
        <w:rPr>
          <w:rFonts w:hint="default" w:ascii="Times New Roman" w:hAnsi="Times New Roman" w:cs="Times New Roman"/>
        </w:rPr>
        <w:t>监管工作时，要根据企业信用风险分类结果，合理确定、动态调整抽查比例和频次，实施差异化监管。对A类企业，可合理降低抽查比例和频次，除投诉举报、大数据监测发现问题、转办交办案件线索及法律法规另有规定外，根据实际情况可不主动实施现场检查，实现“无事不扰”；对B类企业，按常规比例和频次开展抽查；对C类企业，实行重点关注，适当提高抽查比例和频次；对D类企业，实行严格监管，有针对性地大幅提高抽查比例和频次，必要时主动实施现场检查。</w:t>
      </w:r>
    </w:p>
    <w:p w14:paraId="6AAA3A07">
      <w:pPr>
        <w:pStyle w:val="29"/>
        <w:snapToGrid w:val="0"/>
        <w:spacing w:line="560" w:lineRule="exact"/>
        <w:ind w:firstLine="640"/>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二、实地核查</w:t>
      </w:r>
    </w:p>
    <w:p w14:paraId="7F3414BA">
      <w:pPr>
        <w:ind w:firstLine="640"/>
        <w:rPr>
          <w:rFonts w:hint="default" w:ascii="Times New Roman" w:hAnsi="Times New Roman" w:cs="Times New Roman"/>
        </w:rPr>
      </w:pPr>
      <w:r>
        <w:rPr>
          <w:rFonts w:hint="default" w:ascii="Times New Roman" w:hAnsi="Times New Roman" w:cs="Times New Roman"/>
        </w:rPr>
        <w:t>实地核查人员不得少于两人，并应当出示执法证件。在核查中，应当按照《山东省行政执法全过程记录办法》的规定，通过文字记录、音像记录、签字确认、集中归档等方式，实行检查前、检查中、检查后全过程记录，必要时可邀请相关人员作为见证人。</w:t>
      </w:r>
    </w:p>
    <w:p w14:paraId="5DC5542D">
      <w:pPr>
        <w:pStyle w:val="29"/>
        <w:snapToGrid w:val="0"/>
        <w:spacing w:line="560" w:lineRule="exact"/>
        <w:ind w:firstLine="640"/>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三、结果公示</w:t>
      </w:r>
    </w:p>
    <w:p w14:paraId="7C7BF93E">
      <w:pPr>
        <w:ind w:firstLine="640"/>
        <w:rPr>
          <w:rFonts w:hint="default" w:ascii="Times New Roman" w:hAnsi="Times New Roman" w:cs="Times New Roman"/>
        </w:rPr>
      </w:pPr>
      <w:r>
        <w:rPr>
          <w:rFonts w:hint="default" w:ascii="Times New Roman" w:hAnsi="Times New Roman" w:cs="Times New Roman"/>
        </w:rPr>
        <w:t>检查结果应当在抽查检查完成之日起20个工作日内，履行审批程序，通过国家企业信用信息公示系统记于企业名下并向社会公示。已实施检查但未公示的，视为未完成此次抽查。</w:t>
      </w:r>
    </w:p>
    <w:p w14:paraId="64380D8C">
      <w:pPr>
        <w:ind w:firstLine="640"/>
        <w:rPr>
          <w:rFonts w:hint="default" w:ascii="Times New Roman" w:hAnsi="Times New Roman" w:cs="Times New Roman"/>
        </w:rPr>
      </w:pPr>
      <w:r>
        <w:rPr>
          <w:rFonts w:hint="default" w:ascii="Times New Roman" w:hAnsi="Times New Roman" w:cs="Times New Roman"/>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该企业已注销或吊销”）。</w:t>
      </w:r>
    </w:p>
    <w:p w14:paraId="7032E35F">
      <w:pPr>
        <w:ind w:firstLine="640"/>
        <w:rPr>
          <w:rFonts w:hint="default" w:ascii="Times New Roman" w:hAnsi="Times New Roman" w:cs="Times New Roman"/>
        </w:rPr>
      </w:pPr>
      <w:r>
        <w:rPr>
          <w:rFonts w:hint="default" w:ascii="Times New Roman" w:hAnsi="Times New Roman" w:cs="Times New Roman"/>
        </w:rPr>
        <w:t>（一）通过对此次抽查所匹配的抽查事项的检查，未发现违反本指引所列法律法规的，可认定为“未发现问题”。</w:t>
      </w:r>
    </w:p>
    <w:p w14:paraId="7203D595">
      <w:pPr>
        <w:ind w:firstLine="640"/>
        <w:rPr>
          <w:rFonts w:hint="default" w:ascii="Times New Roman" w:hAnsi="Times New Roman" w:cs="Times New Roman"/>
        </w:rPr>
      </w:pPr>
      <w:r>
        <w:rPr>
          <w:rFonts w:hint="default" w:ascii="Times New Roman" w:hAnsi="Times New Roman" w:cs="Times New Roman"/>
        </w:rPr>
        <w:t>（二）本系统抽查事项不涉及“未按规定公示应当公示的信息”、“公示信息隐瞒真实情况弄虚作假”、“通过登记的住所（经营场所）无法联系”三个类型结果。</w:t>
      </w:r>
    </w:p>
    <w:p w14:paraId="719804B9">
      <w:pPr>
        <w:ind w:firstLine="640"/>
        <w:rPr>
          <w:rFonts w:hint="default" w:ascii="Times New Roman" w:hAnsi="Times New Roman" w:cs="Times New Roman"/>
        </w:rPr>
      </w:pPr>
      <w:r>
        <w:rPr>
          <w:rFonts w:hint="default" w:ascii="Times New Roman" w:hAnsi="Times New Roman" w:cs="Times New Roman"/>
        </w:rPr>
        <w:t>（三）对检查发现的违反本指引所列法律法规的行为，通过指导、提示、告诫等方式要求企业当场改正，且已当场改正的，可认定为“发现问题已责令改正”。</w:t>
      </w:r>
    </w:p>
    <w:p w14:paraId="1E6E2C53">
      <w:pPr>
        <w:ind w:firstLine="640"/>
        <w:rPr>
          <w:rFonts w:hint="default" w:ascii="Times New Roman" w:hAnsi="Times New Roman" w:cs="Times New Roman"/>
        </w:rPr>
      </w:pPr>
      <w:r>
        <w:rPr>
          <w:rFonts w:hint="default" w:ascii="Times New Roman" w:hAnsi="Times New Roman" w:cs="Times New Roman"/>
        </w:rPr>
        <w:t>（四）有以下情形之一的，可认定为“不配合检查情节严重”：</w:t>
      </w:r>
    </w:p>
    <w:p w14:paraId="38FD988D">
      <w:pPr>
        <w:ind w:firstLine="640"/>
        <w:rPr>
          <w:rFonts w:hint="default" w:ascii="Times New Roman" w:hAnsi="Times New Roman" w:cs="Times New Roman"/>
        </w:rPr>
      </w:pPr>
      <w:r>
        <w:rPr>
          <w:rFonts w:hint="default" w:ascii="Times New Roman" w:hAnsi="Times New Roman" w:cs="Times New Roman"/>
        </w:rPr>
        <w:t>1.拒绝检查人员或其委托的专业机构进入被检查场所的；</w:t>
      </w:r>
    </w:p>
    <w:p w14:paraId="19A810C0">
      <w:pPr>
        <w:ind w:firstLine="640"/>
        <w:rPr>
          <w:rFonts w:hint="default" w:ascii="Times New Roman" w:hAnsi="Times New Roman" w:cs="Times New Roman"/>
        </w:rPr>
      </w:pPr>
      <w:r>
        <w:rPr>
          <w:rFonts w:hint="default" w:ascii="Times New Roman" w:hAnsi="Times New Roman" w:cs="Times New Roman"/>
        </w:rPr>
        <w:t>2.拒绝向检查人员或其委托的专业机构提供相关材料的；</w:t>
      </w:r>
    </w:p>
    <w:p w14:paraId="5577D4FD">
      <w:pPr>
        <w:ind w:firstLine="640"/>
        <w:rPr>
          <w:rFonts w:hint="default" w:ascii="Times New Roman" w:hAnsi="Times New Roman" w:cs="Times New Roman"/>
        </w:rPr>
      </w:pPr>
      <w:r>
        <w:rPr>
          <w:rFonts w:hint="default" w:ascii="Times New Roman" w:hAnsi="Times New Roman" w:cs="Times New Roman"/>
        </w:rPr>
        <w:t>3.其他阻扰、妨碍检查工作的行为，致使检查工作无法正常进行的。</w:t>
      </w:r>
    </w:p>
    <w:p w14:paraId="31FF6813">
      <w:pPr>
        <w:ind w:firstLine="640"/>
        <w:rPr>
          <w:rFonts w:hint="default" w:ascii="Times New Roman" w:hAnsi="Times New Roman" w:cs="Times New Roman"/>
        </w:rPr>
      </w:pPr>
      <w:r>
        <w:rPr>
          <w:rFonts w:hint="default" w:ascii="Times New Roman" w:hAnsi="Times New Roman" w:cs="Times New Roman"/>
        </w:rPr>
        <w:t>（五）未发现企业从事本次抽查匹配的抽查事项，并经企业书面承诺的，可认定为“未发现开展本次抽查涉及的经营活动”。</w:t>
      </w:r>
    </w:p>
    <w:p w14:paraId="142BC56E">
      <w:pPr>
        <w:ind w:firstLine="640"/>
        <w:rPr>
          <w:rFonts w:hint="default" w:ascii="Times New Roman" w:hAnsi="Times New Roman" w:cs="Times New Roman"/>
        </w:rPr>
      </w:pPr>
      <w:r>
        <w:rPr>
          <w:rFonts w:hint="default" w:ascii="Times New Roman" w:hAnsi="Times New Roman" w:cs="Times New Roman"/>
        </w:rPr>
        <w:t>（六）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68E07B83">
      <w:pPr>
        <w:pStyle w:val="13"/>
        <w:ind w:firstLine="640"/>
        <w:rPr>
          <w:rFonts w:hint="default" w:ascii="Times New Roman" w:hAnsi="Times New Roman" w:cs="Times New Roman"/>
        </w:rPr>
      </w:pPr>
    </w:p>
    <w:p w14:paraId="566DB435">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sz w:val="44"/>
          <w:szCs w:val="44"/>
          <w:lang w:val="en-US"/>
        </w:rPr>
        <w:t>第一章   对非煤矿山企业的监督检查   工作指引</w:t>
      </w:r>
    </w:p>
    <w:p w14:paraId="6812BC01">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7DA85C4E">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对金属、非金属地下矿山安全生产情况的行政检查</w:t>
      </w:r>
    </w:p>
    <w:p w14:paraId="400985F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5AC64B1C">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（一）矿山企业相关证照情况</w:t>
      </w:r>
    </w:p>
    <w:p w14:paraId="5AC72D2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1.是否取得安全生产许可证；</w:t>
      </w:r>
    </w:p>
    <w:p w14:paraId="35BA70F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2.安全生产许可证是否按规定延期；</w:t>
      </w:r>
    </w:p>
    <w:p w14:paraId="3DCA3A2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3.采矿许可证失效，被暂扣、撤销、吊销、和注销的，安全安全生产许可证是否按规定交回；</w:t>
      </w:r>
    </w:p>
    <w:p w14:paraId="2D8A322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4.安全生产许可证是否按规定变更；</w:t>
      </w:r>
    </w:p>
    <w:p w14:paraId="196535E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5.是否存在转让、冒用安全生产许可证或者使用伪造的安全生产许可证问题。</w:t>
      </w:r>
    </w:p>
    <w:p w14:paraId="03BEF22E">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（二）建设项目安全“三同时”情况</w:t>
      </w:r>
    </w:p>
    <w:p w14:paraId="327DBE2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1.是否按照规定对矿山建设项目进行安全评价；</w:t>
      </w:r>
    </w:p>
    <w:p w14:paraId="6E42DB8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2.矿山建设项目是否有安全设施设计或者安全设施设计是否按照规定报经有关部门审查同意；</w:t>
      </w:r>
    </w:p>
    <w:p w14:paraId="6EFB470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3.矿山建设项目的施工单位是否按照批准的安全设施设计施工；</w:t>
      </w:r>
    </w:p>
    <w:p w14:paraId="1E63536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4.矿山建设项目竣工投入生产或者使用前，安全设施是否经验收合格；</w:t>
      </w:r>
    </w:p>
    <w:p w14:paraId="29DAF82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5.已经批准的建设项目安全设施设计发生重大变更，是否存在生产经营单位未报原批准部门审查同意擅自开工建设的问题。</w:t>
      </w:r>
    </w:p>
    <w:p w14:paraId="21247B5D">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（三）安全基础管理情况</w:t>
      </w:r>
    </w:p>
    <w:p w14:paraId="741FD4D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1.建立健全本单位安全生产责任制情况；</w:t>
      </w:r>
    </w:p>
    <w:p w14:paraId="3EFC518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2.制定安全生产规章制度和操作规程情况；</w:t>
      </w:r>
    </w:p>
    <w:p w14:paraId="2DE7841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3.安全生产管理机构设置或者专职安全生产管理人员配备情况；</w:t>
      </w:r>
    </w:p>
    <w:p w14:paraId="39930D9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4.注册安全工程师配备情况；</w:t>
      </w:r>
    </w:p>
    <w:p w14:paraId="514DCC3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5.安全总监设置情况；</w:t>
      </w:r>
    </w:p>
    <w:p w14:paraId="40D1DE4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6.主要负责人和安全生产管理人员参加安全培训考核情况；</w:t>
      </w:r>
    </w:p>
    <w:p w14:paraId="0C4F348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7.特种作业人员经专门的安全作业培训并取得相应资格、上岗作业情况，特种作业人员档案建立情况；</w:t>
      </w:r>
    </w:p>
    <w:p w14:paraId="32E33CA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8.从业人员、被派遣劳动者、实习学生安全生产教育和培训情况；</w:t>
      </w:r>
    </w:p>
    <w:p w14:paraId="398CD7C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9.如实记录安全生产教育和培训情况；</w:t>
      </w:r>
    </w:p>
    <w:p w14:paraId="5D74D28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10.应急管理情况：①是否按照规定制定事故应急预案；②事故应急预案演练情况；③是否按照规定进行应急预案备案；④在应急预案编制前是否按照规定开展风险辨识、评估和应急资源调查；⑤是否按照规定开展应急预案评审；⑥事故风险可能影响周边单位、人员的，是否将事故风险的性质、影响范围和应急防范措施告知周边单位和人员；</w:t>
      </w:r>
      <w:r>
        <w:rPr>
          <w:rFonts w:hint="default" w:ascii="Times New Roman" w:hAnsi="Times New Roman" w:cs="Times New Roman"/>
          <w:color w:val="000000"/>
          <w:sz w:val="32"/>
          <w:szCs w:val="32"/>
          <w:lang w:val="en-US"/>
        </w:rPr>
        <w:fldChar w:fldCharType="begin"/>
      </w:r>
      <w:r>
        <w:rPr>
          <w:rFonts w:hint="default" w:ascii="Times New Roman" w:hAnsi="Times New Roman" w:cs="Times New Roman"/>
          <w:color w:val="000000"/>
          <w:sz w:val="32"/>
          <w:szCs w:val="32"/>
          <w:lang w:val="en-US"/>
        </w:rPr>
        <w:instrText xml:space="preserve"> = 7 \* GB3 </w:instrText>
      </w:r>
      <w:r>
        <w:rPr>
          <w:rFonts w:hint="default" w:ascii="Times New Roman" w:hAnsi="Times New Roman" w:cs="Times New Roman"/>
          <w:color w:val="000000"/>
          <w:sz w:val="32"/>
          <w:szCs w:val="32"/>
          <w:lang w:val="en-US"/>
        </w:rPr>
        <w:fldChar w:fldCharType="separate"/>
      </w:r>
      <w:r>
        <w:rPr>
          <w:rFonts w:hint="default" w:ascii="Times New Roman" w:hAnsi="Times New Roman" w:cs="Times New Roman"/>
          <w:color w:val="000000"/>
          <w:sz w:val="32"/>
          <w:szCs w:val="32"/>
          <w:lang w:val="en-US"/>
        </w:rPr>
        <w:t>⑦</w:t>
      </w:r>
      <w:r>
        <w:rPr>
          <w:rFonts w:hint="default" w:ascii="Times New Roman" w:hAnsi="Times New Roman" w:cs="Times New Roman"/>
          <w:color w:val="000000"/>
          <w:sz w:val="32"/>
          <w:szCs w:val="32"/>
          <w:lang w:val="en-US"/>
        </w:rPr>
        <w:fldChar w:fldCharType="end"/>
      </w:r>
      <w:r>
        <w:rPr>
          <w:rFonts w:hint="default" w:ascii="Times New Roman" w:hAnsi="Times New Roman" w:cs="Times New Roman"/>
          <w:color w:val="000000"/>
          <w:sz w:val="32"/>
          <w:szCs w:val="32"/>
          <w:lang w:val="en-US"/>
        </w:rPr>
        <w:t>是否按照规定开展应急预案评估；</w:t>
      </w:r>
      <w:r>
        <w:rPr>
          <w:rFonts w:hint="default" w:ascii="Times New Roman" w:hAnsi="Times New Roman" w:cs="Times New Roman"/>
          <w:color w:val="000000"/>
          <w:sz w:val="32"/>
          <w:szCs w:val="32"/>
          <w:lang w:val="en-US"/>
        </w:rPr>
        <w:fldChar w:fldCharType="begin"/>
      </w:r>
      <w:r>
        <w:rPr>
          <w:rFonts w:hint="default" w:ascii="Times New Roman" w:hAnsi="Times New Roman" w:cs="Times New Roman"/>
          <w:color w:val="000000"/>
          <w:sz w:val="32"/>
          <w:szCs w:val="32"/>
          <w:lang w:val="en-US"/>
        </w:rPr>
        <w:instrText xml:space="preserve"> = 8 \* GB3 </w:instrText>
      </w:r>
      <w:r>
        <w:rPr>
          <w:rFonts w:hint="default" w:ascii="Times New Roman" w:hAnsi="Times New Roman" w:cs="Times New Roman"/>
          <w:color w:val="000000"/>
          <w:sz w:val="32"/>
          <w:szCs w:val="32"/>
          <w:lang w:val="en-US"/>
        </w:rPr>
        <w:fldChar w:fldCharType="separate"/>
      </w:r>
      <w:r>
        <w:rPr>
          <w:rFonts w:hint="default" w:ascii="Times New Roman" w:hAnsi="Times New Roman" w:cs="Times New Roman"/>
          <w:color w:val="000000"/>
          <w:sz w:val="32"/>
          <w:szCs w:val="32"/>
          <w:lang w:val="en-US"/>
        </w:rPr>
        <w:t>⑧</w:t>
      </w:r>
      <w:r>
        <w:rPr>
          <w:rFonts w:hint="default" w:ascii="Times New Roman" w:hAnsi="Times New Roman" w:cs="Times New Roman"/>
          <w:color w:val="000000"/>
          <w:sz w:val="32"/>
          <w:szCs w:val="32"/>
          <w:lang w:val="en-US"/>
        </w:rPr>
        <w:fldChar w:fldCharType="end"/>
      </w:r>
      <w:r>
        <w:rPr>
          <w:rFonts w:hint="default" w:ascii="Times New Roman" w:hAnsi="Times New Roman" w:cs="Times New Roman"/>
          <w:color w:val="000000"/>
          <w:sz w:val="32"/>
          <w:szCs w:val="32"/>
          <w:lang w:val="en-US"/>
        </w:rPr>
        <w:t>是否按照规定进行应急预案修订；</w:t>
      </w:r>
      <w:r>
        <w:rPr>
          <w:rFonts w:hint="default" w:ascii="Times New Roman" w:hAnsi="Times New Roman" w:cs="Times New Roman"/>
          <w:color w:val="000000"/>
          <w:sz w:val="32"/>
          <w:szCs w:val="32"/>
          <w:lang w:val="en-US"/>
        </w:rPr>
        <w:fldChar w:fldCharType="begin"/>
      </w:r>
      <w:r>
        <w:rPr>
          <w:rFonts w:hint="default" w:ascii="Times New Roman" w:hAnsi="Times New Roman" w:cs="Times New Roman"/>
          <w:color w:val="000000"/>
          <w:sz w:val="32"/>
          <w:szCs w:val="32"/>
          <w:lang w:val="en-US"/>
        </w:rPr>
        <w:instrText xml:space="preserve"> = 9 \* GB3 </w:instrText>
      </w:r>
      <w:r>
        <w:rPr>
          <w:rFonts w:hint="default" w:ascii="Times New Roman" w:hAnsi="Times New Roman" w:cs="Times New Roman"/>
          <w:color w:val="000000"/>
          <w:sz w:val="32"/>
          <w:szCs w:val="32"/>
          <w:lang w:val="en-US"/>
        </w:rPr>
        <w:fldChar w:fldCharType="separate"/>
      </w:r>
      <w:r>
        <w:rPr>
          <w:rFonts w:hint="default" w:ascii="Times New Roman" w:hAnsi="Times New Roman" w:cs="Times New Roman"/>
          <w:color w:val="000000"/>
          <w:sz w:val="32"/>
          <w:szCs w:val="32"/>
          <w:lang w:val="en-US"/>
        </w:rPr>
        <w:t>⑨</w:t>
      </w:r>
      <w:r>
        <w:rPr>
          <w:rFonts w:hint="default" w:ascii="Times New Roman" w:hAnsi="Times New Roman" w:cs="Times New Roman"/>
          <w:color w:val="000000"/>
          <w:sz w:val="32"/>
          <w:szCs w:val="32"/>
          <w:lang w:val="en-US"/>
        </w:rPr>
        <w:fldChar w:fldCharType="end"/>
      </w:r>
      <w:r>
        <w:rPr>
          <w:rFonts w:hint="default" w:ascii="Times New Roman" w:hAnsi="Times New Roman" w:cs="Times New Roman"/>
          <w:color w:val="000000"/>
          <w:sz w:val="32"/>
          <w:szCs w:val="32"/>
          <w:lang w:val="en-US"/>
        </w:rPr>
        <w:t>是否落实应急预案规定的应急物资及装备。</w:t>
      </w:r>
    </w:p>
    <w:p w14:paraId="1262EF4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11.安全生产费用提取和使用管理和安全生产责任保险缴纳情况；</w:t>
      </w:r>
    </w:p>
    <w:p w14:paraId="7465705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12.劳动防护用品配备情况。</w:t>
      </w:r>
    </w:p>
    <w:p w14:paraId="33D97692">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（四）现场安全管理情况</w:t>
      </w:r>
    </w:p>
    <w:p w14:paraId="65731F0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1.安全出口（地表、每个生产水平、每个采区）是否符合国家标准、行业标准或设计要求；</w:t>
      </w:r>
    </w:p>
    <w:p w14:paraId="616CA92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2.机械通风系统建立及运行情况；</w:t>
      </w:r>
    </w:p>
    <w:p w14:paraId="32C2B3B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3.自救器和便携式气体检测仪配备情况；</w:t>
      </w:r>
    </w:p>
    <w:p w14:paraId="2A02E03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4.井下人员定位系统运行情况；</w:t>
      </w:r>
    </w:p>
    <w:p w14:paraId="08CE5E8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5.顶板监测管控和采空区普查治理监测情况；</w:t>
      </w:r>
    </w:p>
    <w:p w14:paraId="65CD944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6.井下探放水制度落实、水害隐患治理情况；</w:t>
      </w:r>
    </w:p>
    <w:p w14:paraId="306BEE4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7.提升设备定期检测检验情况；</w:t>
      </w:r>
    </w:p>
    <w:p w14:paraId="09C517E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8.淘汰危及安全生产工艺设备情况；</w:t>
      </w:r>
    </w:p>
    <w:p w14:paraId="7CE17D9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图纸是否齐全及更新情况（矿区地形地质和水文地质图；井上、下对照图；中段平面图；通风系统图；提升运输系统图；风、水管网系统图；充填系统图；井下通讯系统图；井上、下配电系统图；井下电气设备布置图；井下避灾路线图）。</w:t>
      </w:r>
    </w:p>
    <w:p w14:paraId="6D4C22D3">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（五）安全风险分级管控和隐患排查治理体系运行情况</w:t>
      </w:r>
    </w:p>
    <w:p w14:paraId="5A00BC6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1.是否建立健全安全生产风险分级管控制度；</w:t>
      </w:r>
    </w:p>
    <w:p w14:paraId="3A32A25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2.是否按照规定对从业人员进行安全生产风险教育培训；</w:t>
      </w:r>
    </w:p>
    <w:p w14:paraId="247F6FE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3.是否建立健全并落实生产安全事故隐患排查治理制度。</w:t>
      </w:r>
    </w:p>
    <w:p w14:paraId="62BC6E61">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74F0F31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6B97B63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67EB03C0">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14:paraId="24243B6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生产经营单位的主要负责人对本单位安全生产工作负有下列职责:</w:t>
      </w:r>
    </w:p>
    <w:p w14:paraId="7999519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（一）建立健全并落实本单位全员安全生产责任制，加强安全生产标准化建设；</w:t>
      </w:r>
    </w:p>
    <w:p w14:paraId="792CFD9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（二）组织制定并实施本单位安全生产规章制度和操作规程；</w:t>
      </w:r>
    </w:p>
    <w:p w14:paraId="3101FB3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（三）组织制定并实施本单位安全生产教育和培训计划；</w:t>
      </w:r>
    </w:p>
    <w:p w14:paraId="267EC79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（四）保证本单位安全生产投入的有效实施；</w:t>
      </w:r>
    </w:p>
    <w:p w14:paraId="5A79780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（五）组织建立并落实安全风险分级管控和隐患排查治理双重预防工作机制，督促、检查本单位的安全生产工作，及时消除生产安全事故隐患；</w:t>
      </w:r>
    </w:p>
    <w:p w14:paraId="7ED81F1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（六）组织制定并实施本单位的生产安全事故应急救援预案；</w:t>
      </w:r>
    </w:p>
    <w:p w14:paraId="7FDB2CB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（七）及时、如实报告生产安全事故。</w:t>
      </w:r>
    </w:p>
    <w:p w14:paraId="4EDAA26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第二十七条 生产经营单位的主要负责人和安全生产管理人员必须具备与本单位所从事的生产经营活动相应的安全生产知识和管理能力。</w:t>
      </w:r>
    </w:p>
    <w:p w14:paraId="504DAFB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物品的生产、经营、储存、装卸单位以及矿山、金属冶炼、建筑施工、运输单位的主要负责人和安全生产管理人员，应当由主管的负有安全生产监督管理职责的部门对其安全生产知识和管理能力考核合格。…。</w:t>
      </w:r>
    </w:p>
    <w:p w14:paraId="68476EA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危险物品的生产、储存、装卸单位以及矿山、金属冶炼单位应当有注册安全工程师从事安全生产管理工作。…。</w:t>
      </w:r>
    </w:p>
    <w:p w14:paraId="1D98D2C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第三十二条 矿山、金属冶炼建设项目和用于生产、储存、装卸危险物品的建设项目，应当按照国家有关规定进行安全评价。</w:t>
      </w:r>
    </w:p>
    <w:p w14:paraId="4AE7450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 建设项目安全设施的设计人、设计单位应当对安全设施设计负责。</w:t>
      </w:r>
    </w:p>
    <w:p w14:paraId="521DC84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矿山、金属冶炼建设项目和用于生产、储存、装卸危险物品的建设项目的安全设施设计应当按照国家有关规定报经有关部门审查，审查部门及其负责审查的人员对审查结果负责。</w:t>
      </w:r>
    </w:p>
    <w:p w14:paraId="3A6A1E0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第三十四条 矿山、金属冶炼建设项目和用于生产、储存、装卸危险物品的建设项目的施工单位必须按照批准的安全设施设计施工，并对安全设施的工程质量负责。</w:t>
      </w:r>
    </w:p>
    <w:p w14:paraId="3CCAF8E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3AAF5E0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第四十一条 生产经营单位应当建立安全风险分级管控制度，按照安全风险分级采取相应的管控措施。</w:t>
      </w:r>
    </w:p>
    <w:p w14:paraId="356DC36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生产经营单位应当建立健全并落实生产安全事故隐患，排查治理制度，采取技术、管理措施，及时发现并消除事故隐患。</w:t>
      </w:r>
    </w:p>
    <w:p w14:paraId="3CC7BDA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02F0776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14:paraId="20FAFE4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2CFEC61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5B6A67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2489A21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14:paraId="2227E463">
      <w:pPr>
        <w:widowControl/>
        <w:numPr>
          <w:ilvl w:val="0"/>
          <w:numId w:val="1"/>
        </w:numPr>
        <w:shd w:val="clear" w:color="auto" w:fill="FFFFFF"/>
        <w:ind w:firstLine="640"/>
        <w:jc w:val="left"/>
        <w:rPr>
          <w:rFonts w:hint="default" w:ascii="Times New Roman" w:hAnsi="Times New Roman" w:cs="Times New Roman"/>
          <w:color w:val="000000"/>
          <w:szCs w:val="32"/>
        </w:rPr>
      </w:pPr>
      <w:r>
        <w:rPr>
          <w:rFonts w:hint="default" w:ascii="Times New Roman" w:hAnsi="Times New Roman" w:eastAsia="楷体_GB2312" w:cs="Times New Roman"/>
          <w:color w:val="000000"/>
          <w:szCs w:val="32"/>
        </w:rPr>
        <w:t>《矿山安全法》（ 1992 年 11月7日通过，2009年8月 27 日修正）</w:t>
      </w:r>
    </w:p>
    <w:p w14:paraId="6003D9B2">
      <w:pPr>
        <w:widowControl/>
        <w:shd w:val="clear" w:color="auto" w:fill="FFFFFF"/>
        <w:snapToGrid w:val="0"/>
        <w:ind w:firstLine="640"/>
        <w:jc w:val="left"/>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第三十四条   县级以上人民政府管理矿山企业的主管部门对矿山安全工作行使下列管理职责：</w:t>
      </w:r>
    </w:p>
    <w:p w14:paraId="6C93DF82">
      <w:pPr>
        <w:pStyle w:val="29"/>
        <w:snapToGrid w:val="0"/>
        <w:spacing w:line="560" w:lineRule="exact"/>
        <w:ind w:firstLine="640"/>
        <w:textAlignment w:val="baseline"/>
        <w:rPr>
          <w:rFonts w:hint="default" w:ascii="Times New Roman" w:hAnsi="Times New Roman" w:cs="Times New Roman"/>
          <w:color w:val="000000"/>
          <w:kern w:val="0"/>
          <w:sz w:val="32"/>
          <w:szCs w:val="32"/>
          <w:lang w:val="en-US"/>
        </w:rPr>
      </w:pPr>
      <w:r>
        <w:rPr>
          <w:rFonts w:hint="default" w:ascii="Times New Roman" w:hAnsi="Times New Roman" w:cs="Times New Roman"/>
          <w:color w:val="000000"/>
          <w:kern w:val="0"/>
          <w:sz w:val="32"/>
          <w:szCs w:val="32"/>
          <w:lang w:val="en-US"/>
        </w:rPr>
        <w:t>（一）检查矿山企业贯彻执行矿山安全法律、法规的情况；</w:t>
      </w:r>
    </w:p>
    <w:p w14:paraId="001299A1">
      <w:pPr>
        <w:pStyle w:val="29"/>
        <w:snapToGrid w:val="0"/>
        <w:spacing w:line="560" w:lineRule="exact"/>
        <w:ind w:firstLine="640"/>
        <w:textAlignment w:val="baseline"/>
        <w:rPr>
          <w:rFonts w:hint="default" w:ascii="Times New Roman" w:hAnsi="Times New Roman" w:cs="Times New Roman"/>
          <w:color w:val="000000"/>
          <w:kern w:val="0"/>
          <w:sz w:val="32"/>
          <w:szCs w:val="32"/>
          <w:lang w:val="en-US"/>
        </w:rPr>
      </w:pPr>
      <w:r>
        <w:rPr>
          <w:rFonts w:hint="default" w:ascii="Times New Roman" w:hAnsi="Times New Roman" w:cs="Times New Roman"/>
          <w:color w:val="000000"/>
          <w:kern w:val="0"/>
          <w:sz w:val="32"/>
          <w:szCs w:val="32"/>
          <w:lang w:val="en-US"/>
        </w:rPr>
        <w:t>（二）审查批准矿山建设工程安全设施的设计；</w:t>
      </w:r>
    </w:p>
    <w:p w14:paraId="15CA6FC0">
      <w:pPr>
        <w:pStyle w:val="29"/>
        <w:snapToGrid w:val="0"/>
        <w:spacing w:line="560" w:lineRule="exact"/>
        <w:ind w:firstLine="640"/>
        <w:textAlignment w:val="baseline"/>
        <w:rPr>
          <w:rFonts w:hint="default" w:ascii="Times New Roman" w:hAnsi="Times New Roman" w:cs="Times New Roman"/>
          <w:color w:val="000000"/>
          <w:kern w:val="0"/>
          <w:sz w:val="32"/>
          <w:szCs w:val="32"/>
          <w:lang w:val="en-US"/>
        </w:rPr>
      </w:pPr>
      <w:r>
        <w:rPr>
          <w:rFonts w:hint="default" w:ascii="Times New Roman" w:hAnsi="Times New Roman" w:cs="Times New Roman"/>
          <w:color w:val="000000"/>
          <w:kern w:val="0"/>
          <w:sz w:val="32"/>
          <w:szCs w:val="32"/>
          <w:lang w:val="en-US"/>
        </w:rPr>
        <w:t>（三）负责矿山建设工程安全设施的竣工验收；</w:t>
      </w:r>
    </w:p>
    <w:p w14:paraId="690CD175">
      <w:pPr>
        <w:pStyle w:val="29"/>
        <w:snapToGrid w:val="0"/>
        <w:spacing w:line="560" w:lineRule="exact"/>
        <w:ind w:firstLine="640"/>
        <w:textAlignment w:val="baseline"/>
        <w:rPr>
          <w:rFonts w:hint="default" w:ascii="Times New Roman" w:hAnsi="Times New Roman" w:cs="Times New Roman"/>
          <w:color w:val="000000"/>
          <w:kern w:val="0"/>
          <w:sz w:val="32"/>
          <w:szCs w:val="32"/>
          <w:lang w:val="en-US"/>
        </w:rPr>
      </w:pPr>
      <w:r>
        <w:rPr>
          <w:rFonts w:hint="default" w:ascii="Times New Roman" w:hAnsi="Times New Roman" w:cs="Times New Roman"/>
          <w:color w:val="000000"/>
          <w:kern w:val="0"/>
          <w:sz w:val="32"/>
          <w:szCs w:val="32"/>
          <w:lang w:val="en-US"/>
        </w:rPr>
        <w:t>（四）组织矿长和矿山企业安全工作人员的培训工作；</w:t>
      </w:r>
    </w:p>
    <w:p w14:paraId="4E5BDE8D">
      <w:pPr>
        <w:pStyle w:val="29"/>
        <w:snapToGrid w:val="0"/>
        <w:spacing w:line="560" w:lineRule="exact"/>
        <w:ind w:firstLine="640"/>
        <w:textAlignment w:val="baseline"/>
        <w:rPr>
          <w:rFonts w:hint="default" w:ascii="Times New Roman" w:hAnsi="Times New Roman" w:cs="Times New Roman"/>
          <w:color w:val="000000"/>
          <w:kern w:val="0"/>
          <w:sz w:val="32"/>
          <w:szCs w:val="32"/>
          <w:lang w:val="en-US"/>
        </w:rPr>
      </w:pPr>
      <w:r>
        <w:rPr>
          <w:rFonts w:hint="default" w:ascii="Times New Roman" w:hAnsi="Times New Roman" w:cs="Times New Roman"/>
          <w:color w:val="000000"/>
          <w:kern w:val="0"/>
          <w:sz w:val="32"/>
          <w:szCs w:val="32"/>
          <w:lang w:val="en-US"/>
        </w:rPr>
        <w:t>（五）调查和处理重大矿山事故；</w:t>
      </w:r>
    </w:p>
    <w:p w14:paraId="710895E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kern w:val="0"/>
          <w:sz w:val="32"/>
          <w:szCs w:val="32"/>
          <w:lang w:val="en-US"/>
        </w:rPr>
        <w:t>（六）法律、行政法规规定的其他管理职责</w:t>
      </w:r>
      <w:r>
        <w:rPr>
          <w:rFonts w:hint="default" w:ascii="Times New Roman" w:hAnsi="Times New Roman" w:cs="Times New Roman"/>
          <w:color w:val="000000"/>
          <w:sz w:val="32"/>
          <w:szCs w:val="32"/>
          <w:lang w:val="en-US"/>
        </w:rPr>
        <w:t>。</w:t>
      </w:r>
    </w:p>
    <w:p w14:paraId="506EB9E3">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（三）《非煤矿矿山企业安全生产许可证实施办法》（国家安全监管总局令第20号，2015年5月26日修正）</w:t>
      </w:r>
    </w:p>
    <w:p w14:paraId="125A861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第三十三条：县级以上地方人民政府安全生产监督管理部门负责本行政区域内取得安全生产许可证的非煤矿矿山企业的日常监督检查…</w:t>
      </w:r>
    </w:p>
    <w:p w14:paraId="58F90C53">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（四）《金属非金属矿山重大事故隐患判定标准》（矿安〔2022〕88号）金属非金属地下矿山重大生产安全事故隐患：</w:t>
      </w:r>
    </w:p>
    <w:p w14:paraId="04369579">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（一）安全出口存在下列情形之一的：</w:t>
      </w:r>
    </w:p>
    <w:p w14:paraId="739B1428">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1.矿井直达地面的独立安全出口少于2个，或者与设计不一致；</w:t>
      </w:r>
    </w:p>
    <w:p w14:paraId="6EDC8220">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2.矿井只有两个独立直达地面的安全出口且安全出口的间距小于30米，或者矿体一翼走向长度超过1000米且未在此翼设置安全出口；</w:t>
      </w:r>
    </w:p>
    <w:p w14:paraId="33B25589">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3.矿井的全部安全出口均为竖井且竖井内均未设置梯子间，或者作为主要安全出口的罐笼提升井只有1套提升系统且未设梯子间；</w:t>
      </w:r>
    </w:p>
    <w:p w14:paraId="7E813CBB">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4.主要生产中段（水平）、单个采区、盘区或者矿块的安全出口少于2个，或者未与通往地面的安全出口相通；</w:t>
      </w:r>
    </w:p>
    <w:p w14:paraId="6E031047">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5.安全出口出现堵塞或者其梯子、踏步等设施不能正常使用，导致安全出口不畅通。</w:t>
      </w:r>
    </w:p>
    <w:p w14:paraId="0678F0FE">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（二）使用国家明令禁止使用的设备、材料或者工艺。</w:t>
      </w:r>
    </w:p>
    <w:p w14:paraId="77376BB1">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（三）不同矿权主体的相邻矿山井巷相互贯通，或者同一矿权主体相邻独立生产系统的井巷擅自贯通。</w:t>
      </w:r>
    </w:p>
    <w:p w14:paraId="7A011362">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（四）地下矿山现状图纸存在下列情形之一的：</w:t>
      </w:r>
    </w:p>
    <w:p w14:paraId="6E06A7D0">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1.未保存《金属非金属矿山安全规程》（GB16423 -2020）第4.1.10 条规定的图纸，或者生产矿山每3个月、基建矿山每1个月未更新上述图纸；</w:t>
      </w:r>
    </w:p>
    <w:p w14:paraId="448C988C">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2.岩体移动范围内的地面建构筑物、运输道路及沟谷河流与实际不符；</w:t>
      </w:r>
    </w:p>
    <w:p w14:paraId="4DEB5099">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3.开拓工程和采准工程的井巷或者井下采区与实际不符；</w:t>
      </w:r>
    </w:p>
    <w:p w14:paraId="6A1DF577">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4.相邻矿山采区位置关系与实际不符；</w:t>
      </w:r>
    </w:p>
    <w:p w14:paraId="5C258076">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5.采空区和废弃井巷的位置、处理方式、现状，以及地表塌陷区的位置与实际不符。</w:t>
      </w:r>
    </w:p>
    <w:p w14:paraId="0A5BC536">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（五）露天转地下开采存在下列情形之一的：</w:t>
      </w:r>
    </w:p>
    <w:p w14:paraId="7EAEAA2D">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1.未按设计采取防排水措施；</w:t>
      </w:r>
    </w:p>
    <w:p w14:paraId="156774E4">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2.露天与地下联合开采时，回采顺序与设计不符；</w:t>
      </w:r>
    </w:p>
    <w:p w14:paraId="234883A2">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3.未按设计采取留设安全顶柱或者岩石垫层等防护措施。</w:t>
      </w:r>
    </w:p>
    <w:p w14:paraId="6297ECB1">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（六）矿区及其附近的地表水或者大气降水危及井下安全时，未按设计采取防治水措施。</w:t>
      </w:r>
    </w:p>
    <w:p w14:paraId="47DDAE0D">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（七）井下主要排水系统存在下列情形之一的：</w:t>
      </w:r>
    </w:p>
    <w:p w14:paraId="1A57D11B">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1.排水泵数量少于3台，或者工作水泵、备用水泵的额定排水能力低于设计要求；</w:t>
      </w:r>
    </w:p>
    <w:p w14:paraId="7FD3BD45">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2.井巷中未按设计设置工作和备用排水管路，或者排水管路与水泵未有效连接；</w:t>
      </w:r>
    </w:p>
    <w:p w14:paraId="10AE9C43">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3.井下最低中段的主水泵房通往中段巷道的出口未装设防水门，或者另外一个出口未高于水泵房地面 7米以上；</w:t>
      </w:r>
    </w:p>
    <w:p w14:paraId="2AC9A379">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4.利用采空区或者其他废弃巷道作为水仓。</w:t>
      </w:r>
    </w:p>
    <w:p w14:paraId="147C5D9A">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（八）井口标高未达到当地历史最高洪水位1米以上，且未按设计采取相应防护措施。</w:t>
      </w:r>
    </w:p>
    <w:p w14:paraId="0AAC3A70">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（九）水文地质类型为中等或者复杂的矿井，存在下列情形之一的：</w:t>
      </w:r>
    </w:p>
    <w:p w14:paraId="2537652D">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1.未配备防治水专业技术人员；</w:t>
      </w:r>
    </w:p>
    <w:p w14:paraId="7F6B5BBD">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2.未设置防治水机构，或者未建立探放水队伍；</w:t>
      </w:r>
    </w:p>
    <w:p w14:paraId="6524F5AF">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3.未配齐专用探放水设备，或者未按设计进行探放水作业。</w:t>
      </w:r>
    </w:p>
    <w:p w14:paraId="2CE7F4FC">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（十）水文地质类型复杂的矿山存在下列情形之一的：</w:t>
      </w:r>
    </w:p>
    <w:p w14:paraId="7F0ED9A1">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1.关键巷道防水门设置与设计不符；</w:t>
      </w:r>
    </w:p>
    <w:p w14:paraId="48F76FF5">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2.主要排水系统的水仓与水泵房之间的隔墙或者配水阀未按设计设置。</w:t>
      </w:r>
    </w:p>
    <w:p w14:paraId="2D3286C5">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（十一）在突水威胁区域或者可疑区域进行采掘作业，存在下列情形之一的：</w:t>
      </w:r>
    </w:p>
    <w:p w14:paraId="4C3F2685">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1.未编制防治水技术方案，或者未在施工前制定专门的施工安全技术措施；</w:t>
      </w:r>
    </w:p>
    <w:p w14:paraId="3825E52E">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2.未超前探放水，或者超前钻孔的数量、深度低于设计要求，或者超前钻孔方位不符合设计要求。</w:t>
      </w:r>
    </w:p>
    <w:p w14:paraId="3BD462CC">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（十二）受地表水倒灌威胁的矿井在强降雨天气或者其来水上游发生洪水期间，未实施停产撤人。</w:t>
      </w:r>
    </w:p>
    <w:p w14:paraId="355851C2">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（十三）有自然发火危险的矿山，存在下列情形之一的：</w:t>
      </w:r>
    </w:p>
    <w:p w14:paraId="5645B07D">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1.未安装井下环境监测系统，实现自动监测与报警；</w:t>
      </w:r>
    </w:p>
    <w:p w14:paraId="6C39DD6E">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2.未按设计或者国家标准、行业标准采取防灭火措施；</w:t>
      </w:r>
    </w:p>
    <w:p w14:paraId="787FA08C">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3.发现自然发火预兆，未采取有效处理措施。</w:t>
      </w:r>
    </w:p>
    <w:p w14:paraId="562515FF">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（十四）相邻矿山开采岩体移动范围存在交叉重叠等相互影响时，未按设计留设保安矿（岩）柱或者采取其他措施。</w:t>
      </w:r>
    </w:p>
    <w:p w14:paraId="00B46083">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（十五）地表设施设置存在下列情形之一，未按设计采取有效安全措施的：</w:t>
      </w:r>
    </w:p>
    <w:p w14:paraId="1158FEA8">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1.岩体移动范围内存在居民村庄或者重要设备设施；</w:t>
      </w:r>
    </w:p>
    <w:p w14:paraId="734ABA36">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2.主要开拓工程出入口易受地表滑坡、滚石、泥石流等地质灾害影响。</w:t>
      </w:r>
    </w:p>
    <w:p w14:paraId="584EEF25">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（十六）保安矿（岩）柱或者采场矿柱存在下列情形之一的：</w:t>
      </w:r>
    </w:p>
    <w:p w14:paraId="0CAD433A">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1.未按设计留设矿（岩）柱；</w:t>
      </w:r>
    </w:p>
    <w:p w14:paraId="75FFDD32">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2.未按设计回采矿柱；</w:t>
      </w:r>
    </w:p>
    <w:p w14:paraId="47F0D994">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3.擅自开采、损毁矿（岩）柱。</w:t>
      </w:r>
    </w:p>
    <w:p w14:paraId="2856AB6D">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（十七）未按设计要求的处理方式或者时间对采空区进行处理。</w:t>
      </w:r>
    </w:p>
    <w:p w14:paraId="394CAE02">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（十八）工程地质类型复杂、有严重地压活动的矿山存在下列情形之一的：</w:t>
      </w:r>
    </w:p>
    <w:p w14:paraId="45068696">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1.未设置专门机构、配备专门人员负责地压防治工作；</w:t>
      </w:r>
    </w:p>
    <w:p w14:paraId="30A15EBC">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2.未制定防治地压灾害的专门技术措施；</w:t>
      </w:r>
    </w:p>
    <w:p w14:paraId="16806BFB">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3.发现大面积地压活动预兆，未立即停止作业、撤出人员。</w:t>
      </w:r>
    </w:p>
    <w:p w14:paraId="5C6D0661">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（十九）巷道或者采场顶板未按设计采取支护措施。</w:t>
      </w:r>
    </w:p>
    <w:p w14:paraId="568378DD">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（二十）矿井未采用机械通风，或者采用机械通风的矿井存在下列情形之一的：</w:t>
      </w:r>
    </w:p>
    <w:p w14:paraId="2DE698F2">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1.在正常生产情况下，主通风机未连续运转；</w:t>
      </w:r>
    </w:p>
    <w:p w14:paraId="025560BB">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2.主通风机发生故障或者停机检查时，未立即向调度室和企业主要负责人报告，或者未采取必要安全措施；</w:t>
      </w:r>
    </w:p>
    <w:p w14:paraId="7E64C395">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3.主通风机未按规定配备备用电动机，或者未配备能迅速调换电动机的设备及工具；</w:t>
      </w:r>
    </w:p>
    <w:p w14:paraId="21384157">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4.作业工作面风速、风量、风质不符合国家标准或者行业标准要求；</w:t>
      </w:r>
    </w:p>
    <w:p w14:paraId="21467531">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5.未设置通风系统在线监测系统的矿井，未按国家标准规定每年对通风系统进行1次检测；</w:t>
      </w:r>
    </w:p>
    <w:p w14:paraId="14E64883">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6.主通风设施不能在10分钟之内实现矿井反风，或者反风试验周期超过1年。</w:t>
      </w:r>
    </w:p>
    <w:p w14:paraId="430D63AF">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（二十一）未配齐或者随身携带具有矿用产品安全标志的便携式气体检测报警仪和自救器，或者从业人员不能正确使用自救器。</w:t>
      </w:r>
    </w:p>
    <w:p w14:paraId="6E8C6C07">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（二十二）担负提升人员的提升系统，存在下列情形之一的：</w:t>
      </w:r>
    </w:p>
    <w:p w14:paraId="5D2D7F8E">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1.提升机、防坠器、钢丝绳、连接装置、提升容器未按国家规定进行定期检测检验，或者提升设备的安全保护装置失效；</w:t>
      </w:r>
    </w:p>
    <w:p w14:paraId="0930B9C4">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2.竖井井口和井下各中段马头门设置的安全门或者摇台与提升机未实现联锁；</w:t>
      </w:r>
    </w:p>
    <w:p w14:paraId="0499A997">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3.竖井提升系统过卷段未按国家规定设置过卷缓冲装置、楔形罐道、过卷挡梁或者不能正常使用，或者提升人员的罐笼提升系统未按国家规定在井架或者井塔的过卷段内设置罐笼防坠装置；</w:t>
      </w:r>
    </w:p>
    <w:p w14:paraId="1135BAA0">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4.斜井串车提升系统未按国家规定设置常闭式防跑车装置、阻车器、挡车栏，或者连接链、连接插销不符合国家规定；</w:t>
      </w:r>
    </w:p>
    <w:p w14:paraId="61AEDCA3">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5.斜井提升信号系统与提升机之间未实现闭锁。</w:t>
      </w:r>
    </w:p>
    <w:p w14:paraId="3DB2C911">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（二十三）井下无轨运人车辆存在下列情形之一的：</w:t>
      </w:r>
    </w:p>
    <w:p w14:paraId="65F7E722">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1.未取得金属非金属矿山矿用产品安全标志；</w:t>
      </w:r>
    </w:p>
    <w:p w14:paraId="5C005999">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2.载人数量超过25人或者超过核载人数；</w:t>
      </w:r>
    </w:p>
    <w:p w14:paraId="235AB614">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3.制动系统采用干式制动器，或者未同时配备行车制动系统、驻车制动系统和应急制动系统；</w:t>
      </w:r>
    </w:p>
    <w:p w14:paraId="34224F41">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4.未按国家规定对车辆进行检测检验。</w:t>
      </w:r>
    </w:p>
    <w:p w14:paraId="2D2B6F0C">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（二十四）一级负荷未采用双重电源供电，或者双重电源中的任一电源不能满足全部一级负荷需要。</w:t>
      </w:r>
    </w:p>
    <w:p w14:paraId="61209D8C">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（二十五）向井下采场供电的6kV～35kV系统的中性点采用直接接地。</w:t>
      </w:r>
    </w:p>
    <w:p w14:paraId="4AE626D4">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（二十六）工程地质或者水文地质类型复杂的矿山，井巷工程施工未进行施工组织设计，或者未按施工组织设计落实安全措施。</w:t>
      </w:r>
    </w:p>
    <w:p w14:paraId="026D2D69">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（二十七）新建、改扩建矿山建设项目有下列行为之一的：</w:t>
      </w:r>
    </w:p>
    <w:p w14:paraId="01D8D216">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1.安全设施设计未经批准，或者批准后出现重大变更未经再次批准擅自组织施工；</w:t>
      </w:r>
    </w:p>
    <w:p w14:paraId="0B7AFF75">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2.在竣工验收前组织生产，经批准的联合试运转除外。</w:t>
      </w:r>
    </w:p>
    <w:p w14:paraId="5CCFF103">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（二十八）矿山企业违反国家有关工程项目发包规定，有下列行为之一的：</w:t>
      </w:r>
    </w:p>
    <w:p w14:paraId="36E25A2E">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1.将工程项目发包给不具有法定资质和条件的单位，或者承包单位数量超过国家规定的数量；</w:t>
      </w:r>
    </w:p>
    <w:p w14:paraId="6458402F">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2.承包单位项目部的负责人、安全生产管理人员、专业技术人员、特种作业人员不符合国家规定的数量、条件或者不属于承包单位正式职工。</w:t>
      </w:r>
    </w:p>
    <w:p w14:paraId="09513162">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（二十九）井下或者井口动火作业未按国家规定落实审批制度或者安全措施。</w:t>
      </w:r>
    </w:p>
    <w:p w14:paraId="78F53018">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（三十）矿山年产量超过矿山设计年生产能力幅度在20%及以上，或者月产量大于矿山设计年生产能力的20%及以上。</w:t>
      </w:r>
    </w:p>
    <w:p w14:paraId="04A5B761">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三十一）矿井未建立安全监测监控系统、人员定位系统、通信联络系统，或者已经建立的系统不符合国家有关规定，或者系统运行不正常未及时修复，或者关闭、破坏该系统，或者篡改、隐瞒、销毁其相关数据、信息。</w:t>
      </w:r>
    </w:p>
    <w:p w14:paraId="41E276C4">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（三十二）未配备具有矿山相关专业的专职矿长、总工程师以及分管安全、生产、机电的副矿长，或者未配备具有采矿、地质、测量、机电等专业的技术人员。</w:t>
      </w:r>
    </w:p>
    <w:p w14:paraId="1466AF78">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第二章 对非煤矿山企业落实领导带班下井制度情况的监督检查工作指引</w:t>
      </w:r>
    </w:p>
    <w:p w14:paraId="7CC29327">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3403C0F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非煤矿山企业落实领导带班下井制度情况</w:t>
      </w:r>
    </w:p>
    <w:p w14:paraId="087B7A1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76EE47F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（一）领导带班下井制度建立、健全、考核、奖惩情况；</w:t>
      </w:r>
    </w:p>
    <w:p w14:paraId="1798C9B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（二）领导带班下井月度计划制定、公告、公示、落实情况；</w:t>
      </w:r>
    </w:p>
    <w:p w14:paraId="75DFC3F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（二）带班下井交接班记录、带班下井登记档案填写情况。</w:t>
      </w:r>
    </w:p>
    <w:p w14:paraId="375ECE97">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7FEFBDA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2B3CE50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2A00AD0D">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14:paraId="3850D89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4878EF7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14:paraId="60FD494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381D856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938A7D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9DA88F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14:paraId="298B487D">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（二）《金属非金属地下矿山企业领导带班下井及监督检查暂行规定》（国家安全监管总局令第34号，2015年5月26日修正）</w:t>
      </w:r>
    </w:p>
    <w:p w14:paraId="4AA561A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安全生产监督管理部门对矿山企业落实领导带班下井制度情况进行监督检查，并依法作出现场处理或者实施行政处罚。</w:t>
      </w:r>
    </w:p>
    <w:p w14:paraId="68AF70E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矿山企业应当建立健全领导带班下井制度，制定领导带班下井考核奖惩办法和月度计划，建立和完善领导带班下井档案。</w:t>
      </w:r>
    </w:p>
    <w:p w14:paraId="1538F0E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矿山企业领导带班下井月度计划，应当明确每个工作班次带班下井的领导名单、下井及升井的时间以及特殊情况下的请假与调换人员审批程序等内容。</w:t>
      </w:r>
    </w:p>
    <w:p w14:paraId="2DB4CC2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领导带班下井月度计划应当在本单位网站和办公楼及矿井井口予以公告，接受群众监督。</w:t>
      </w:r>
    </w:p>
    <w:p w14:paraId="3A23A74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矿山企业应当每月对领导带班下井情况进行考核。领导带班下井情况与其经济收入挂钩，对按照规定带班下井并认真履行职责的，给予奖励；对未按照规定带班下井、冒名顶替下井或者弄虚作假的，按照有关规定予以处理。</w:t>
      </w:r>
    </w:p>
    <w:p w14:paraId="7C6D880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矿山企业领导带班下井的月度计划完成情况，应当在矿山企业公示栏公示，接受群众监督。</w:t>
      </w:r>
    </w:p>
    <w:p w14:paraId="6B085A6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安全生产监督管理部门应当将矿山企业领导带班下井制度的建立、执行、考核、奖惩等情况作为安全监管的重要内容，并将其纳入年度安全监管执法工作计划，定期进行检查。</w:t>
      </w:r>
    </w:p>
    <w:p w14:paraId="25F76B6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矿山企业未按照规定建立健全领导带班下井制度或者未制定领导带班下井月度计划的，给予警告，并处3万元的罚款；对其主要负责人给予警告，并处1万元的罚款；情节严重的，依法暂扣其安全生产许可证，责令停产整顿。</w:t>
      </w:r>
    </w:p>
    <w:p w14:paraId="53F5D00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矿山企业存在下列行为之一的，责令限期整改，并处3万元的罚款；对其主要负责人给予警告，并处1万元的罚款：</w:t>
      </w:r>
    </w:p>
    <w:p w14:paraId="5803B2B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（一）未制定领导带班下井制度的；</w:t>
      </w:r>
    </w:p>
    <w:p w14:paraId="2B2A63A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（二）未按照规定公告领导带班下井月度计划的；</w:t>
      </w:r>
    </w:p>
    <w:p w14:paraId="7668D3A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（三）未按照规定公示领导带班下井月度计划完成情况的。</w:t>
      </w:r>
    </w:p>
    <w:p w14:paraId="4BC684F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矿山企业领导未按照规定填写带班下井交接班记录、带班下井登记档案，或者弄虚作假的，给予警告，并处1万元的罚款。</w:t>
      </w:r>
    </w:p>
    <w:p w14:paraId="729D273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矿山企业领导未按照规定带班下井的，对矿山企业给予警告，处3万元的罚款；情节严重的，依法责令停产整顿；对违反规定的矿山企业领导按照擅离职守处理，并处1万元的罚款。</w:t>
      </w:r>
    </w:p>
    <w:p w14:paraId="57B888A6">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第三章 对非煤矿山外包工程的安全生产监督检查工作指引</w:t>
      </w:r>
    </w:p>
    <w:p w14:paraId="6E9F0DCC">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46E35BF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非煤矿山外包工程的行政检查。</w:t>
      </w:r>
    </w:p>
    <w:p w14:paraId="2CE91A29">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1F01D530">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（一）行政许可和施工资质管理</w:t>
      </w:r>
    </w:p>
    <w:p w14:paraId="6CE34E3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1.承包单位取得非煤矿山安全生产许可证和相应等级的施工资质情况。</w:t>
      </w:r>
    </w:p>
    <w:p w14:paraId="01B0EC7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2.承包单位向作业所在地县级人民政府安全生产监督管理部门书面报告情况；</w:t>
      </w:r>
    </w:p>
    <w:p w14:paraId="5A95806E">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（二）安全生产管理协议签订情况</w:t>
      </w:r>
    </w:p>
    <w:p w14:paraId="3895B92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发包单位应当与承包单位签订安全生产管理协议，安全生产管理协议应当包括下列内容：（1）安全投入保障；（2）安全设施和施工条件；（3）隐患排查与治理；（4）安全教育与培训；（5）事故应急救援；（6）安全检查与考评；（7）违约责任。</w:t>
      </w:r>
    </w:p>
    <w:p w14:paraId="00AFD0EF">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（三）主要负责人、安全生产管理人员和特种作业人员培训及持证上岗情况；</w:t>
      </w:r>
    </w:p>
    <w:p w14:paraId="736067A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1.项目部负责人取得安全生产管理人员安全资格证情况。</w:t>
      </w:r>
    </w:p>
    <w:p w14:paraId="69833C9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2.专职工程技术人员配备情况；</w:t>
      </w:r>
    </w:p>
    <w:p w14:paraId="185DBF1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3.特种作业人员持证上岗情况；</w:t>
      </w:r>
    </w:p>
    <w:p w14:paraId="75CC137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4.地下矿山工程承包单位及其项目部的主要负责人和领导班子其他成员执行带班下井制度情况；</w:t>
      </w:r>
    </w:p>
    <w:p w14:paraId="51404DA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5.应急预案及应急演练情况。</w:t>
      </w:r>
    </w:p>
    <w:p w14:paraId="045304C8">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（四）从业人员安全生产教育和培训情况</w:t>
      </w:r>
    </w:p>
    <w:p w14:paraId="16DD2F7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项目部工作人员接受安全生产教育培训与考核情况。</w:t>
      </w:r>
    </w:p>
    <w:p w14:paraId="6CAFDD40">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3BFE07D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75A19CAF">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793918AF">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14:paraId="0F9871E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第四十九条第三款 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5BA131AC">
      <w:pPr>
        <w:widowControl/>
        <w:shd w:val="clear" w:color="auto" w:fill="FFFFFF"/>
        <w:ind w:firstLine="640"/>
        <w:rPr>
          <w:rFonts w:hint="default" w:ascii="Times New Roman" w:hAnsi="Times New Roman" w:eastAsia="楷体_GB2312" w:cs="Times New Roman"/>
          <w:color w:val="000000"/>
          <w:szCs w:val="32"/>
        </w:rPr>
      </w:pPr>
      <w:r>
        <w:rPr>
          <w:rFonts w:hint="default" w:ascii="Times New Roman" w:hAnsi="Times New Roman" w:eastAsia="楷体_GB2312" w:cs="Times New Roman"/>
          <w:color w:val="000000"/>
          <w:szCs w:val="32"/>
        </w:rPr>
        <w:t xml:space="preserve">（二）《非煤矿矿山企业安全生产许可证实施办法》（国家安全监管总局令第20号，2015年5月26日修正）                                       </w:t>
      </w:r>
    </w:p>
    <w:p w14:paraId="49984C1E">
      <w:pPr>
        <w:widowControl/>
        <w:shd w:val="clear" w:color="auto" w:fill="FFFFFF"/>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第三十三条 县级以上地方人民政府安全生产监督管理部门负责本行政区域内取得安全生产许可证的非煤矿矿山企业的日常监督检查，并将监督检查中发现的问题及时报告安全生产许可证颁发管理机关。中央管理的非煤矿矿山企业由设区的市级以上地方人民政府安全生产监督管理部门负责日常监督检查。</w:t>
      </w:r>
    </w:p>
    <w:p w14:paraId="20565593">
      <w:pPr>
        <w:widowControl/>
        <w:shd w:val="clear" w:color="auto" w:fill="FFFFFF"/>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国家安全生产监督管理总局负责取得安全生产许可证的中央管理的非煤矿矿山企业总部和海洋石油天然气企业的日常监督检查。</w:t>
      </w:r>
    </w:p>
    <w:p w14:paraId="5CD618AA">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（三）《非煤矿山外包工程安全管理暂行办法》（国家安全监管总局令第62号，2015年5月26日修正）</w:t>
      </w:r>
    </w:p>
    <w:p w14:paraId="2FFC315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第十九条第一款 承包单位应当依法取得非煤矿山安全生产许可证和相应等级的施工资质，并在其资质范围内承包工程。</w:t>
      </w:r>
    </w:p>
    <w:p w14:paraId="3F61406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第二十条第一款 承包单位应当加强对所属项目部的安全管理，每半年至少进行一次安全生产检查，对项目部人员每年至少进行一次安全生产教育培训与考核。</w:t>
      </w:r>
    </w:p>
    <w:p w14:paraId="39FBA9D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承包单位及其项目部应当根据承揽工程的规模和特点，依法健全安全生产责任体系，完善安全生产管理基本制度，设置安全生产管理机构，配备专职安全生产管理人员和有关工程技术人员。</w:t>
      </w:r>
    </w:p>
    <w:p w14:paraId="503F41A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承包地下矿山工程的项目部应当配备与工程施工作业相适应的专职工程技术人员，其中至少有1名注册安全工程师或者具有5年以上井下工作经验的安全生产管理人员。</w:t>
      </w:r>
    </w:p>
    <w:p w14:paraId="5A43901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项目部负责人应当取得安全生产管理人员安全资格证。</w:t>
      </w:r>
    </w:p>
    <w:p w14:paraId="27F3FF0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第二十三条 承包单位应当依照有关规定制定施工方案，加强现场作业安全管理，及时发现并消除事故隐患，落实各项规章制度和安全操作规程。</w:t>
      </w:r>
    </w:p>
    <w:p w14:paraId="7DF7904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承包单位发现事故隐患后应当立即治理；不能立即治理的应当采取必要的防范措施，并及时书面报告发包单位协商解决，消除事故隐患。</w:t>
      </w:r>
    </w:p>
    <w:p w14:paraId="4B39252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地下矿山工程承包单位及其项目部的主要负责人和领导班子其他成员应当严格依照《金属非金属地下矿山企业领导带班下井及监督检查暂行规定》执行带班下井制度。</w:t>
      </w:r>
    </w:p>
    <w:p w14:paraId="45A5F99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 承包单位应当接受发包单位组织的安全生产培训与指导，加强对本单位从业人员的安全生产教育和培训，保证从业人员掌握必需的安全生产知识和操作技能。</w:t>
      </w:r>
    </w:p>
    <w:p w14:paraId="183FBDC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 …总承包单位和分项承包单位应当按照国家有关规定和应急预案的要求，分别建立应急救援组织或者指定应急救援人员，配备救援设备设施和器材，并定期组织演练。</w:t>
      </w:r>
    </w:p>
    <w:p w14:paraId="0E65A3C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外包工程实行分项承包的，分项承包单位应当…编制现场应急处置方案，并配合发包单位定期进行演练。</w:t>
      </w:r>
    </w:p>
    <w:p w14:paraId="02DBB7E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第二十九条：安全生产监督管理部门应当加强对外包工程的安全生产监督检查，重点检查下列事项：</w:t>
      </w:r>
    </w:p>
    <w:p w14:paraId="7A65BA3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（一）发包单位非煤矿山安全生产许可证、安全生产管理协议、安全投入等情况；</w:t>
      </w:r>
    </w:p>
    <w:p w14:paraId="2729B7A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（二）承包单位的施工资质、应当依法取得的非煤矿山安全生产许可证、安全投入落实、承包单位及其项目部的安全生产管理机构、技术力量配备、相关人员的安全资格和持证等情况；</w:t>
      </w:r>
    </w:p>
    <w:p w14:paraId="75BF0CE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（三）违法发包、转包、分项发包等行为。</w:t>
      </w:r>
    </w:p>
    <w:p w14:paraId="4F38E813">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第四章 对尾矿库生产经营单位安全生产的监督检查工作指引</w:t>
      </w:r>
    </w:p>
    <w:p w14:paraId="675A8EA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549FCFE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对尾矿库生产经营单位或尾矿库管理单位的行政检查</w:t>
      </w:r>
    </w:p>
    <w:p w14:paraId="151747B0">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7CC2EC1B">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（一）企业相关证照情况</w:t>
      </w:r>
    </w:p>
    <w:p w14:paraId="39627DA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1.取得安全生产许可证情况；</w:t>
      </w:r>
    </w:p>
    <w:p w14:paraId="557E348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2.筑坝方式，坝型、坝外坡坡比、最终堆积标高和最终坝轴线的位置，坝体防渗、排渗及反滤层的设置，排洪系统的型式、布置及尺寸，设计以外的尾矿、废料或者废水进库等事项变更情况；</w:t>
      </w:r>
    </w:p>
    <w:p w14:paraId="49F9508A">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（二）建设项目安全“三同时”情况</w:t>
      </w:r>
    </w:p>
    <w:p w14:paraId="5AF8635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1.对生产运行的尾矿库，是否存在未经技术论证和安全生产监督管理部门的批准，设计以外的尾矿、废料或者废水进库等问题；</w:t>
      </w:r>
    </w:p>
    <w:p w14:paraId="569FC65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2.是否存在未经生产经营单位进行技术论证并同意，以及尾矿库建设项目安全设施设计原审批部门批准，在库区从事爆破、采砂、地下采矿等危害尾矿库安全的作业问题。</w:t>
      </w:r>
    </w:p>
    <w:p w14:paraId="5A9DEFA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3.生产运行的尾矿库，是否存在未经技术论证和安全生产监督管理部门的批准，变更筑坝方式、排放方式、坝型、坝外坡坡比、最终堆积标高和最终坝轴线的位置等问题；</w:t>
      </w:r>
    </w:p>
    <w:p w14:paraId="57AA304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4.坝面是否按规定按设计设置排水沟；</w:t>
      </w:r>
    </w:p>
    <w:p w14:paraId="3F18F34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5.安全评价是否每三年至少进行一次；</w:t>
      </w:r>
    </w:p>
    <w:p w14:paraId="5C7AE79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6.上游式尾矿坝堆积至二分之一至三分之二最终设计坝高时，是否按规定对坝体进行一次全面勘察，并进行稳定性专项评价；</w:t>
      </w:r>
    </w:p>
    <w:p w14:paraId="43B332B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7.尾矿库运行到设计最终标高的前12个月内，生产经营单位是否按规定进行闭库前的安全现状评价和闭库设计，闭库设计应当包括安全设施设计；</w:t>
      </w:r>
    </w:p>
    <w:p w14:paraId="3E3A288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8.坝体防渗、排渗及反滤层的设置是否符合设计要求；</w:t>
      </w:r>
    </w:p>
    <w:p w14:paraId="022FE5A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9.排洪系统的型式、布置及尺寸是否符合设计要求；</w:t>
      </w:r>
    </w:p>
    <w:p w14:paraId="2CB4E12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10.在排水构筑物上或尾矿库内适当地点，是否按规定设置清晰醒目的水位标尺；</w:t>
      </w:r>
    </w:p>
    <w:p w14:paraId="447D683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11.安全超高和干滩长度是否符合设计规定；</w:t>
      </w:r>
    </w:p>
    <w:p w14:paraId="7D50F0D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12.坝肩是否按要求设置截水沟。</w:t>
      </w:r>
    </w:p>
    <w:p w14:paraId="4E65833F">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（三）安全生产管理机构和人员配备情况</w:t>
      </w:r>
    </w:p>
    <w:p w14:paraId="78BFCA1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配备相应的安全管理机构或者安全管理人员，并配备与工作需要相适应的专业技术人员或者具有相应工作能力的人员情况。</w:t>
      </w:r>
    </w:p>
    <w:p w14:paraId="2A6744E0">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（四）管理制度和责任制落实情况</w:t>
      </w:r>
    </w:p>
    <w:p w14:paraId="5B63040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1.组织建立、健全尾矿库安全生产责任制，制定完备的安全生产规章制度和操作规程情况；</w:t>
      </w:r>
    </w:p>
    <w:p w14:paraId="357AD0A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2.尾矿库年度、季度作业计划编制及执行情况；</w:t>
      </w:r>
    </w:p>
    <w:p w14:paraId="60BB10D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3.建立尾矿库工程档案建立并长期保存情况；</w:t>
      </w:r>
    </w:p>
    <w:p w14:paraId="0152ABD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4.一等、二等、三等尾矿库是否安装在线监测系统；</w:t>
      </w:r>
    </w:p>
    <w:p w14:paraId="3784FED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5.一等、二等、三等、四等尾矿库是否按规定监测位移，浸润线、干滩、库水位、降水量等。五等尾矿库是否按规定监测位移、浸润线、干滩、库水位。监测数据是否连续、完整。</w:t>
      </w:r>
    </w:p>
    <w:p w14:paraId="2AF680E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6.尾矿库运行到设计最终标高或者不再进行排尾作业的，是否在一年内完成闭库。</w:t>
      </w:r>
    </w:p>
    <w:p w14:paraId="7CC1A66D">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（五）从业人员培训和持证上岗情况</w:t>
      </w:r>
    </w:p>
    <w:p w14:paraId="4BE23E0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1.主要负责人是否经经安全生产监督管理部门考核合格并取得安全资格证书；</w:t>
      </w:r>
    </w:p>
    <w:p w14:paraId="2C54CAC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3.从事尾矿库放矿、筑坝、排洪和排渗设施操作的专职作业人员是否取得特种作业人员操作资格证书，方可上岗作业；</w:t>
      </w:r>
    </w:p>
    <w:p w14:paraId="4858BAA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4.是否按有关规定对职工进行安全教育、培训，分配职工上岗作业。</w:t>
      </w:r>
    </w:p>
    <w:p w14:paraId="1C643C2E">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（六）安全投入、工伤保险情况</w:t>
      </w:r>
    </w:p>
    <w:p w14:paraId="67207A5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1.参加工伤保险情况；</w:t>
      </w:r>
    </w:p>
    <w:p w14:paraId="2A0CE14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2.按照国家有关规定提取和使用安全生产费用情况。</w:t>
      </w:r>
    </w:p>
    <w:p w14:paraId="551B5E0C">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（七）应急预案、应急器材和应急演练情况</w:t>
      </w:r>
    </w:p>
    <w:p w14:paraId="7E0EAE0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生产经营单位是否针对垮坝、漫顶等生产安全事故和重大险情制定应急救援预案，并进行预案演练。</w:t>
      </w:r>
    </w:p>
    <w:p w14:paraId="3A7D1045">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17FCEDB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101F3B27">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694C78D7">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14:paraId="435AB9A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0F1A706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14:paraId="089EBDF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790B9FF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2BD485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618103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14:paraId="3EB6013D">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（二）《尾矿库安全监督管理规定》（国家安全监管总局令第38号，2015年5月29日修订）</w:t>
      </w:r>
    </w:p>
    <w:p w14:paraId="3ECCD65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第四条第三款 省级安全生产监督管理部门负责总库容100万立方米(含100万)以上尾矿库的安全监督管理；地(市)级安全生产监督管理部门负责总库容100万立方米以下尾矿库的安全监督管理，并可以结合实际情况委托县级安全生产监督管理部门进行监督管理。</w:t>
      </w:r>
    </w:p>
    <w:p w14:paraId="45F9096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生产经营单位负责组织建立、健全尾矿库安全生产责任制，制定完备的安全生产规章制度和操作规程，实施安全管理。</w:t>
      </w:r>
    </w:p>
    <w:p w14:paraId="7AF4A53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生产经营单位应当保证尾矿库具备安全生产条件所必需的资金投入，配备相应的安全管理机构或者安全管理人员，并配备与工作需要相适应的专业技术人员或者具有相应工作能力的人员。</w:t>
      </w:r>
    </w:p>
    <w:p w14:paraId="2D75B9F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生产经营单位应当针对垮坝、漫顶等生产安全事故和重大险情制定应急救援预案，并进行预案演练。</w:t>
      </w:r>
    </w:p>
    <w:p w14:paraId="1275EA9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生产经营单位应当建立尾矿库工程档案，特别是隐蔽工程的档案，并长期保管。</w:t>
      </w:r>
    </w:p>
    <w:p w14:paraId="2DF5993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从事尾矿库放矿、筑坝、排洪和排渗设施操作的专职作业人员必须取得特种作业人员操作资格证书，方可上岗作业。</w:t>
      </w:r>
    </w:p>
    <w:p w14:paraId="2CB8123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尾矿库的勘察、设计、安全评价、施工及施工监理等应当由具有相应资质的单位承担。</w:t>
      </w:r>
    </w:p>
    <w:p w14:paraId="4C46D65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第十一条第二款 尾矿库建设项目安全设施设计审查与竣工验收应当符合《非煤矿矿山建设项目安全设施设计审查与竣工验收办法》及有关法律、法规的规定。</w:t>
      </w:r>
    </w:p>
    <w:p w14:paraId="465AE80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尾矿库工程设计应当包括安全专篇。安全专篇应当对尾矿库及尾矿坝稳定性、尾矿库防洪能力及排洪设施和安全观测设施的可靠性进行充分论证。</w:t>
      </w:r>
    </w:p>
    <w:p w14:paraId="21A9581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第十三条第一款 尾矿库建设项目应当进行安全设施设计并经审查合格，方可施工。无安全设施设计或者安全设施设计未通过审查，不得施工。</w:t>
      </w:r>
    </w:p>
    <w:p w14:paraId="785DB96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对涉及尾矿库库址、等别、尾矿坝坝型、排洪方式等重大设计方案变更时，应当报经尾矿库建设项目安全设施设计的原审批部门批准。</w:t>
      </w:r>
    </w:p>
    <w:p w14:paraId="5647C71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施工中需要对设计进行局部修改的，应当经原设计单位认可；对设计进行重大修改的，应当由原设计单位重新设计，并报尾矿库建设项目安全设施设计的原审批部门批准。</w:t>
      </w:r>
    </w:p>
    <w:p w14:paraId="7679C9D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生产经营单位应当按照《非煤矿矿山企业安全生产许可证实施办法》的有关规定，为其尾矿库申请领取安全生产许可证。未依法取得安全生产许可证的尾矿库，不得生产运行。</w:t>
      </w:r>
    </w:p>
    <w:p w14:paraId="782DE9B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对生产运行中的尾矿库，未经技术论证和安全生产监督管理部门的批准，任何单位和个人不得对下列事项进行变更：</w:t>
      </w:r>
    </w:p>
    <w:p w14:paraId="7E347E4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(一)筑坝方式；</w:t>
      </w:r>
    </w:p>
    <w:p w14:paraId="2240D07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(二)坝型、坝外坡坡比、最终堆积标高和最终坝轴线的位置；</w:t>
      </w:r>
    </w:p>
    <w:p w14:paraId="757CD9F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(三)坝体防渗、排渗及反滤层的设置；</w:t>
      </w:r>
    </w:p>
    <w:p w14:paraId="34B7A18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（四)排洪系统的型式、布置及尺寸；</w:t>
      </w:r>
    </w:p>
    <w:p w14:paraId="24D792D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(五)设计以外的尾矿、废料或者废水进库等。</w:t>
      </w:r>
    </w:p>
    <w:p w14:paraId="6106ACC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尾矿库应当每三年至少进行一次安全评价。安全评价包括现场调查、收集资料、危险因素识别、相关安全性验算和编写安全评价报告。</w:t>
      </w:r>
    </w:p>
    <w:p w14:paraId="774C316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第三十五条 安全生产监督管理部门应当加强对尾矿库生产经营单位安全生产的监督检查，对检查中发现的事故隐患和违法违规生产行为，依法作出处理。</w:t>
      </w:r>
    </w:p>
    <w:p w14:paraId="6F8EF475">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（二）《金属非金属矿山重大事故隐患判定标准》（矿安〔2022〕88号）尾矿库重大生产安全事故隐患：</w:t>
      </w:r>
    </w:p>
    <w:p w14:paraId="1CF368A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（一）库区或者尾矿坝上存在未按设计进行开采、挖掘、爆破等危及尾矿库安全的活动。</w:t>
      </w:r>
    </w:p>
    <w:p w14:paraId="0105CC3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（二）坝体存在下列情形之一的：</w:t>
      </w:r>
    </w:p>
    <w:p w14:paraId="7C8484B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1.坝体出现严重的管涌、流土变形等现象；</w:t>
      </w:r>
    </w:p>
    <w:p w14:paraId="213651E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2.坝体出现贯穿性裂缝、坍塌、滑动迹象；</w:t>
      </w:r>
    </w:p>
    <w:p w14:paraId="0DF4BD6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3.坝体出现大面积纵向裂缝，且出现较大范围渗透水高位出逸或者大面积沼泽化。</w:t>
      </w:r>
    </w:p>
    <w:p w14:paraId="0E38182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（三）坝体的平均外坡比或者堆积子坝的外坡比陡于设计坡比。</w:t>
      </w:r>
    </w:p>
    <w:p w14:paraId="38452CE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（四）坝体高度超过设计总坝高，或者尾矿库超过设计库容贮存尾矿。</w:t>
      </w:r>
    </w:p>
    <w:p w14:paraId="770E4CF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（五）尾矿堆积坝上升速率大于设计堆积上升速率。</w:t>
      </w:r>
    </w:p>
    <w:p w14:paraId="1ED84FF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（六）采用尾矿堆坝的尾矿库，未按《尾矿库安全规程》（GB39496-2020）第6.1.9条规定对尾矿坝做全面的安全性复核。</w:t>
      </w:r>
    </w:p>
    <w:p w14:paraId="0A6C32F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（七）浸润线埋深小于控制浸润线埋深。</w:t>
      </w:r>
    </w:p>
    <w:p w14:paraId="6134550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（八）汛前未按国家有关规定对尾矿库进行调洪演算，或者湿式尾矿库防洪高度和干滩长度小于设计值，或者干式尾矿库防洪高度和防洪宽度小于设计值。</w:t>
      </w:r>
    </w:p>
    <w:p w14:paraId="7DFDF1A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（九）排洪系统存在下列情形之一的：</w:t>
      </w:r>
    </w:p>
    <w:p w14:paraId="09F972D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1.排水井、排水斜槽、排水管、排水隧洞、拱板、盖板等排洪建构筑物混凝土厚度、强度或者型式不满足设计要求；</w:t>
      </w:r>
    </w:p>
    <w:p w14:paraId="02612ED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2.排洪设施部分堵塞或者坍塌、排水井有所倾斜，排水能力有所降低，达不到设计要求；</w:t>
      </w:r>
    </w:p>
    <w:p w14:paraId="60B2180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3.排洪构筑物终止使用时，封堵措施不满足设计要求。</w:t>
      </w:r>
    </w:p>
    <w:p w14:paraId="5346D6D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（十）设计以外的尾矿、废料或者废水进库。</w:t>
      </w:r>
    </w:p>
    <w:p w14:paraId="7721F1C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（十一）多种矿石性质不同的尾砂混合排放时，未按设计进行排放。</w:t>
      </w:r>
    </w:p>
    <w:p w14:paraId="7EB26D0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（十二）冬季未按设计要求的冰下放矿方式进行放矿作业。</w:t>
      </w:r>
    </w:p>
    <w:p w14:paraId="00D38EA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（十三）安全监测系统存在下列情形之一的：</w:t>
      </w:r>
    </w:p>
    <w:p w14:paraId="253C716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1.未按设计设置安全监测系统；</w:t>
      </w:r>
    </w:p>
    <w:p w14:paraId="51D37F7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2.安全监测系统运行不正常未及时修复；</w:t>
      </w:r>
    </w:p>
    <w:p w14:paraId="631CBE8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3.关闭、破坏安全监测系统，或者篡改、隐瞒、销毁其相关数据、信息。</w:t>
      </w:r>
    </w:p>
    <w:p w14:paraId="3FDFB69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（十四）干式尾矿库存在下列情形之一的：</w:t>
      </w:r>
    </w:p>
    <w:p w14:paraId="231BEED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1.入库尾矿的含水率大于设计值，无法进行正常碾压且未设置可靠的防范措施；</w:t>
      </w:r>
    </w:p>
    <w:p w14:paraId="65ACF70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2.堆存推进方向与设计不一致；</w:t>
      </w:r>
    </w:p>
    <w:p w14:paraId="5A7A660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3.分层厚度或者台阶高度大于设计值；</w:t>
      </w:r>
    </w:p>
    <w:p w14:paraId="15C6C18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4.未按设计要求进行碾压。</w:t>
      </w:r>
    </w:p>
    <w:p w14:paraId="0046BA6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（十五）经验算，坝体抗滑稳定最小安全系数小于国家标准规定值的0.98倍。</w:t>
      </w:r>
    </w:p>
    <w:p w14:paraId="4290B92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（十六）三等及以上尾矿库及“头顶库”未按设计设置通往坝顶、排洪系统附近的应急道路，或者应急道路无法满足应急抢险时通行和运送应急物资的需求。</w:t>
      </w:r>
    </w:p>
    <w:p w14:paraId="283CCC7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（十七）尾矿库回采存在下列情形之一的：</w:t>
      </w:r>
    </w:p>
    <w:p w14:paraId="74BA764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1.未经批准擅自回采；</w:t>
      </w:r>
    </w:p>
    <w:p w14:paraId="7C973E9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2.回采方式、顺序、单层开采高度、台阶坡面角不符合设计要求；</w:t>
      </w:r>
    </w:p>
    <w:p w14:paraId="028C4A1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3.同时进行回采和排放。</w:t>
      </w:r>
    </w:p>
    <w:p w14:paraId="490EF04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（十八）用以贮存独立选矿厂进行矿石选别后排出尾矿的场所，未按尾矿库实施安全管理的。</w:t>
      </w:r>
    </w:p>
    <w:p w14:paraId="3986042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（十九）未按国家规定配备专职安全生产管理人员、专业技术人员和特种作业人员。</w:t>
      </w:r>
    </w:p>
    <w:p w14:paraId="67E6971B">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第五章 对小型露天采石场的监督检查   工作指引</w:t>
      </w:r>
    </w:p>
    <w:p w14:paraId="37F9B1E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7B55C00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小型露天采石场的监督检查</w:t>
      </w:r>
    </w:p>
    <w:p w14:paraId="26EED903">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二、检查内容与方法</w:t>
      </w:r>
    </w:p>
    <w:p w14:paraId="32DC3547">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（一）企业相关证照情况</w:t>
      </w:r>
    </w:p>
    <w:p w14:paraId="2FC2F2F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1.取得非煤矿矿山企业安全生产许可证情况；</w:t>
      </w:r>
    </w:p>
    <w:p w14:paraId="2E1038E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2.安全生产许可证保持有效情况；</w:t>
      </w:r>
    </w:p>
    <w:p w14:paraId="1E588CB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3.承包爆破作业的专业服务单位取得爆破作业单位许可证情况；</w:t>
      </w:r>
    </w:p>
    <w:p w14:paraId="6163CC3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4.承包采矿和剥离作业的采掘施工单位持有非煤矿矿山企业安全生产许可证情况。</w:t>
      </w:r>
    </w:p>
    <w:p w14:paraId="777CF5BF">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（二）建设项目安全“三同时”情况</w:t>
      </w:r>
    </w:p>
    <w:p w14:paraId="608BC4B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1.新建、改建、扩建小型露天采石场开采设计或者开采方案编制情况；</w:t>
      </w:r>
    </w:p>
    <w:p w14:paraId="2005D22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2.新建、改建、扩建工程项目安全设施履行设计审查程序情况。</w:t>
      </w:r>
    </w:p>
    <w:p w14:paraId="0D01501B">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（三）安全生产管理机构和人员配备情况</w:t>
      </w:r>
    </w:p>
    <w:p w14:paraId="22DAE39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1.安全管理机构设置情况；</w:t>
      </w:r>
    </w:p>
    <w:p w14:paraId="10664F0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2.专职安全管理人员配备情况。</w:t>
      </w:r>
    </w:p>
    <w:p w14:paraId="7B6A10AE">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（四）领导带班、管理制度和责任制落实情况</w:t>
      </w:r>
    </w:p>
    <w:p w14:paraId="519AA76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1.安全生产管理制度和岗位安全操作规程制定情况；</w:t>
      </w:r>
    </w:p>
    <w:p w14:paraId="65BB821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2.相邻两个采石场签订安全生产管理协议情况；</w:t>
      </w:r>
    </w:p>
    <w:p w14:paraId="05BEB0E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3.民用爆炸物品和爆破作业管理制度制定及落实情况；</w:t>
      </w:r>
    </w:p>
    <w:p w14:paraId="5EC4F73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4.外包施工单位管理制度制定及落实情况；</w:t>
      </w:r>
    </w:p>
    <w:p w14:paraId="7A3CB4F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5.是否采用扩壶爆破、掏底崩落、掏挖开采和不分层的“一面墙”等开采方式；</w:t>
      </w:r>
    </w:p>
    <w:p w14:paraId="423AABB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6.台阶式开采是否符合相关规定。</w:t>
      </w:r>
    </w:p>
    <w:p w14:paraId="48D06DB7">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（五）从业人员培训和持证上岗情况</w:t>
      </w:r>
    </w:p>
    <w:p w14:paraId="3685BC4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1.主要负责人是否经安全生产监督管理部门考核合格并取得安全资格证书；</w:t>
      </w:r>
    </w:p>
    <w:p w14:paraId="474CA07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2.安全生产管理人员是否按照国家有关规定经安全生产监督管理部门考核合格并取得安全资格证书；</w:t>
      </w:r>
    </w:p>
    <w:p w14:paraId="711525F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3.新进矿山的作业人员是否接受不少于40小时的安全培训，已在岗的作业人员是否每年接受不少于20小时的安全再培训。</w:t>
      </w:r>
    </w:p>
    <w:p w14:paraId="16269C6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4.特种作业人员是否按照国家有关规定经专门的安全技术培训并考核合格，取得特种作业操作证书后上岗作业。</w:t>
      </w:r>
    </w:p>
    <w:p w14:paraId="39FA40CE">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（六）安全投入、工伤保险情况</w:t>
      </w:r>
    </w:p>
    <w:p w14:paraId="31DD3DB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1.参加工伤保险情况；</w:t>
      </w:r>
    </w:p>
    <w:p w14:paraId="1FF895E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2.按照国家有关规定提取和使用安全生产费用情况。</w:t>
      </w:r>
    </w:p>
    <w:p w14:paraId="0D41553D">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（七）应急预案、应急器材和应急演练情况。</w:t>
      </w:r>
    </w:p>
    <w:p w14:paraId="172FC65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1.应急救援预案制定及演练、兼职救援队伍建立情况；</w:t>
      </w:r>
    </w:p>
    <w:p w14:paraId="44BC04F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2.与邻近的矿山救护队或者其他具备救护条件的单位签订救护协议情况。</w:t>
      </w:r>
    </w:p>
    <w:p w14:paraId="4DBAC89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三、检查依据</w:t>
      </w:r>
    </w:p>
    <w:p w14:paraId="04047AC6">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14:paraId="1C42F14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63D5514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14:paraId="7F91402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4B33C80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193811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5FC9D1C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14:paraId="4C60325A">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（二）《小型露天采石场安全管理与监督检查规定》（国家安全监管总局令第39号，2015年5月26日修正）</w:t>
      </w:r>
    </w:p>
    <w:p w14:paraId="606BB5C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第三条 县级以上地方人民政府安全生产监督管理部门对小型露天采石场的安全生产实施监督管理。</w:t>
      </w:r>
    </w:p>
    <w:p w14:paraId="683B83C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 小型露天采石场主要负责人对本单位的安全生产工作负总责，应当组织制定和落实安全生产责任制，改善劳动条件和作业环境，保证安全生产投入的有效实施。</w:t>
      </w:r>
    </w:p>
    <w:p w14:paraId="0FDC318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小型露天采石场主要负责人应当经安全生产监督管理部门考核合格并取得安全资格证书。</w:t>
      </w:r>
    </w:p>
    <w:p w14:paraId="00968C9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小型露天采石场应当建立健全安全生产管理制度和岗位安全操作规程，至少配备一名专职安全生产管理人员。</w:t>
      </w:r>
    </w:p>
    <w:p w14:paraId="17B18AE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安全生产管理人员应当按照国家有关规定经安全生产监督管理部门考核合格并取得安全资格证书。</w:t>
      </w:r>
    </w:p>
    <w:p w14:paraId="3B65EDE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小型露天采石场应当至少配备一名专业技术人员，或者聘用专业技术人员、注册安全工程师、委托相关技术服务机构为其提供安全生产管理服务。</w:t>
      </w:r>
    </w:p>
    <w:p w14:paraId="5F06DC0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小型露天采石场新进矿山的作业人员应当接受不少于40小时的安全培训，已在岗的作业人员应当每年接受不少于20小时的安全再培训。</w:t>
      </w:r>
    </w:p>
    <w:p w14:paraId="48DD0F8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特种作业人员必须按照国家有关规定经专门的安全技术培训并考核合格，取得特种作业操作证书后，方可上岗作业。</w:t>
      </w:r>
    </w:p>
    <w:p w14:paraId="31C6263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小型露天采石场必须参加工伤保险，按照国家有关规定提取和使用安全生产费用。</w:t>
      </w:r>
    </w:p>
    <w:p w14:paraId="53E07FD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新建、改建、扩建小型露天采石场应当由具有建设主管部门认定资质的设计单位编制开采设计或者开采方案。采石场布置和开采方式发生重大变化时，应当重新编制开采设计或者开采方案，并由原审查部门审查批准。</w:t>
      </w:r>
    </w:p>
    <w:p w14:paraId="40310CC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小型露天采石场新建、改建、扩建工程项目安全设施应当按照规定履行设计审查程序。</w:t>
      </w:r>
    </w:p>
    <w:p w14:paraId="4939927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第十一条第一款 小型露天采石场应当依法取得非煤矿矿山企业安全生产许可证。未取得安全生产许可证的，不得从事生产活动。</w:t>
      </w:r>
    </w:p>
    <w:p w14:paraId="69930CF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相邻的采石场开采范围之间最小距离应当大于300米。对可能危及对方生产安全的，双方应当签订安全生产管理协议，明确各自的安全生产管理职责和应当采取的安全措施，指定专门人员进行安全检查与协调。</w:t>
      </w:r>
    </w:p>
    <w:p w14:paraId="1206D46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第十三条第一款 小型露天采石场应当采用中深孔爆破，严禁采用扩壶爆破、掏底崩落、掏挖开采和不分层的“一面墙”等开采方式。</w:t>
      </w:r>
    </w:p>
    <w:p w14:paraId="28E1B76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不采用爆破方式直接使用挖掘机进行采矿作业的，台阶高度不得超过挖掘机最大挖掘高度。</w:t>
      </w:r>
    </w:p>
    <w:p w14:paraId="28A5C43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小型露天采石场应当采用台阶式开采。不能采用台阶式开采的，应当自上而下分层顺序开采。</w:t>
      </w:r>
    </w:p>
    <w:p w14:paraId="10CFAA7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p>
    <w:p w14:paraId="004B6C3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分层开采的凿岩平台宽度由设计确定，最小凿岩平台宽度不得小于4米。</w:t>
      </w:r>
    </w:p>
    <w:p w14:paraId="7A69ACC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分层开采的底部装运平台宽度由设计确定，且应当满足调车作业所需的最小平台宽度要求。</w:t>
      </w:r>
    </w:p>
    <w:p w14:paraId="737748B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第十六条第一款 小型露天采石场应当遵守国家有关民用爆炸物品和爆破作业的安全规定，由具有相应资格的爆破作业人员进行爆破…。</w:t>
      </w:r>
    </w:p>
    <w:p w14:paraId="7699BCD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承包爆破作业的专业服务单位应当取得爆破作业单位许可证，承包采矿和剥离作业的采掘施工单位应当持有非煤矿矿山企业安全生产许可证。</w:t>
      </w:r>
    </w:p>
    <w:p w14:paraId="7789CDF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 小型露天采石场应当制定完善的防洪措施。对开采境界上方汇水影响安全的，应当设置截水沟。</w:t>
      </w:r>
    </w:p>
    <w:p w14:paraId="07F73F6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 小型露天采石场应当制定应急救援预案，建立兼职救援队伍，明确救援人员的职责，并与邻近的矿山救护队或者其他具备救护条件的单位签订救护协议。…。</w:t>
      </w:r>
    </w:p>
    <w:p w14:paraId="32FCDC8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第三十五条 安全生产监督管理部门应当加强对尾矿库生产经营单位安全生产的监督检查，对检查中发现的事故隐患和违法违规生产行为，依法作出处理。</w:t>
      </w:r>
    </w:p>
    <w:p w14:paraId="66806E47">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（二）《金属非金属矿山重大事故隐患判定标准》（矿安〔2022〕88号）金属非金属露天矿山重大生产安全事故隐患：</w:t>
      </w:r>
    </w:p>
    <w:p w14:paraId="159E368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（一）地下开采转露天开采前，未探明采空区和溶洞，或者未按设计处理对露天开采安全有威胁的采空区和溶洞。</w:t>
      </w:r>
    </w:p>
    <w:p w14:paraId="7C32211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（二）使用国家明令禁止使用的设备、材料或者工艺。</w:t>
      </w:r>
    </w:p>
    <w:p w14:paraId="10CD931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（三）未采用自上而下的开采顺序分台阶或者分层开采。</w:t>
      </w:r>
    </w:p>
    <w:p w14:paraId="7E9B04E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（四）工作帮坡角大于设计工作帮坡角，或者最终边坡台阶高度超过设计高度。</w:t>
      </w:r>
    </w:p>
    <w:p w14:paraId="148439A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（五）开采或者破坏设计要求保留的矿（岩）柱或者挂帮矿体。</w:t>
      </w:r>
    </w:p>
    <w:p w14:paraId="015B70E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（六）未按有关国家标准或者行业标准对采场边坡、排土场边坡进行稳定性分析。</w:t>
      </w:r>
    </w:p>
    <w:p w14:paraId="72339BE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（七）边坡存在下列情形之一的：</w:t>
      </w:r>
    </w:p>
    <w:p w14:paraId="154D4DB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1.高度200米及以上的采场边坡未进行在线监测；</w:t>
      </w:r>
    </w:p>
    <w:p w14:paraId="137D340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2.高度200米及以上的排土场边坡未建立边坡稳定监测系统；</w:t>
      </w:r>
    </w:p>
    <w:p w14:paraId="1774180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3.关闭、破坏监测系统或者隐瞒、篡改、销毁其相关数据、信息。</w:t>
      </w:r>
    </w:p>
    <w:p w14:paraId="0079861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（八）边坡出现滑移现象，存在下列情形之一的：</w:t>
      </w:r>
    </w:p>
    <w:p w14:paraId="4604CAA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1.边坡出现横向及纵向放射状裂缝；</w:t>
      </w:r>
    </w:p>
    <w:p w14:paraId="6EEEE5A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2.坡体前缘坡脚处出现上隆（凸起）现象，后缘的裂缝急剧扩展；</w:t>
      </w:r>
    </w:p>
    <w:p w14:paraId="0698F9C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3.位移观测资料显示的水平位移量或者垂直位移量出现加速变化的趋势。</w:t>
      </w:r>
    </w:p>
    <w:p w14:paraId="390A51E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（九）运输道路坡度大于设计坡度10%以上。</w:t>
      </w:r>
    </w:p>
    <w:p w14:paraId="766DC28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（十）凹陷露天矿山未按设计建设防洪、排洪设施。</w:t>
      </w:r>
    </w:p>
    <w:p w14:paraId="46FCF93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（十一）排土场存在下列情形之一的：</w:t>
      </w:r>
    </w:p>
    <w:p w14:paraId="011F880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1.在平均坡度大于1:5的地基上顺坡排土，未按设计采取安全措施；</w:t>
      </w:r>
    </w:p>
    <w:p w14:paraId="3263192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2.排土场总堆置高度2倍范围以内有人员密集场所，未按设计采取安全措施；</w:t>
      </w:r>
    </w:p>
    <w:p w14:paraId="6E4F4A4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3.山坡排土场周围未按设计修筑截、排水设施。</w:t>
      </w:r>
    </w:p>
    <w:p w14:paraId="0120D14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（十二）露天采场未按设计设置安全平台和清扫平台。</w:t>
      </w:r>
    </w:p>
    <w:p w14:paraId="499EF71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（十三）擅自对在用排土场进行回采作业。</w:t>
      </w:r>
    </w:p>
    <w:p w14:paraId="3001F642">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第六章  对工贸企业有限空间作业的监督检查工作指引</w:t>
      </w:r>
    </w:p>
    <w:p w14:paraId="43006CA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0DA36B8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对工贸企业有限空间作业的监督检查</w:t>
      </w:r>
    </w:p>
    <w:p w14:paraId="28F96048">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26C33D57">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（一）有限空间作业安全管理制度制定情况</w:t>
      </w:r>
    </w:p>
    <w:p w14:paraId="18238F0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按照规定制定有限空间作业管理制度及操作规程：（1）有限空间作业安全责任制度；（2）有限空间作业审批制度；（3）有限空间作业现场安全管理制度；（4）有限空间作业现场负责人、监护人员、作业人员、应急救援人员安全培训教育制度；（5）有限空间作业应急管理制度；（6）有限空间作业安全操作规程。</w:t>
      </w:r>
    </w:p>
    <w:p w14:paraId="50AA934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2.是否存在方案未经审批擅自作业：（1）制定有限空间作业方案；（2）有限空间作业作业审批表；（3）有限空间作业审批表经本企业安全生产管理人员审核，负责人批准进行作业等内容。</w:t>
      </w:r>
    </w:p>
    <w:p w14:paraId="559E288A">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（二）有限空间辨识及管理台账、检测记录情况</w:t>
      </w:r>
    </w:p>
    <w:p w14:paraId="7BA2B2E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1.是否在有限空间作业场所设置明显的安全警示标志；</w:t>
      </w:r>
    </w:p>
    <w:p w14:paraId="2AE80FC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2.是否对有限空间作业进行辨识、建立有限空间管理台账：（1）排查、辨识本企业的有限空间且无遗漏，并确定有限空间的数量、位置以及危险有害因素等基本情况；（2）建立有限空间管理台账，并及时更新。</w:t>
      </w:r>
    </w:p>
    <w:p w14:paraId="740CA608">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（三）劳动防护用品配备情况</w:t>
      </w:r>
    </w:p>
    <w:p w14:paraId="710EB5E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是否向作业人员提供符合国家标准或者行业标准的安全帽、全身式安全带、三脚架、安全绳，以及与作业环境危险有害因素相适应的检测报警仪器、正压式呼吸器等劳动防护用品。</w:t>
      </w:r>
    </w:p>
    <w:p w14:paraId="38BB5A2F">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（四）应急救援演练、专项安全培训等情况</w:t>
      </w:r>
    </w:p>
    <w:p w14:paraId="4881D4D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1.是否对有限空间的现场负责人、监护人员、作业人员和应急救援人员进行安全培训；</w:t>
      </w:r>
    </w:p>
    <w:p w14:paraId="7F684AA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有限空间作业专项安全培训内容是否涵盖《工贸企业有限空间作业安全管理与监督暂行规定》第六条第一款规定的4项内容：（1）有限空间作业的危险有害因素和安全防范措施；（2）有限空间作业的安全操作规程；（3）检测仪器、劳动防护用品的正确使用；（4）紧急情况下的应急处置措施；</w:t>
      </w:r>
    </w:p>
    <w:p w14:paraId="7503828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3.是否如实记录安全生产教育和培训情况：建立健全从业人员安全生产教育和培训档案，详细、准确记录培训的时间、内容、参加人员以及考核结果等情况；</w:t>
      </w:r>
    </w:p>
    <w:p w14:paraId="2B81046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4.是否制定包含有限空间作业应急救援内容生产安全事故应急救援预案（综合应急预案、专项应急预案或现场处置方案）；</w:t>
      </w:r>
    </w:p>
    <w:p w14:paraId="740A798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5.是否制定包含有限空间作业应急预案演练计划，根据本单位的事故风险特点，每年至少组织一次综合应急预案演练或者专项应急预案演练，每半年至少组织一次现场处置方案演练；</w:t>
      </w:r>
    </w:p>
    <w:p w14:paraId="59DF37E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应急预案编制是否规范：（1）应急预案编制前是否按照规定开展风险辨识、评估和应急资源调查；（2）是否按照规定开展应急预案评审、评估；（3）事故风险可能影响周边单位、人员的，是否将事故风险的性质、影响范围和应急防范措施告知周边单位和人员；（4）是否按照规定进行应急预案修订；（5）是否落实应急预案规定的应急物资及装备。</w:t>
      </w:r>
    </w:p>
    <w:p w14:paraId="4EF96C4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7.是否按照规定进行应急预案备案。</w:t>
      </w:r>
    </w:p>
    <w:p w14:paraId="23FF1ADD">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（五）与承包单位有限空间作业的协调管理情况</w:t>
      </w:r>
    </w:p>
    <w:p w14:paraId="37702B3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1.是否对承包单位的有限空间作业统一协调、管理；</w:t>
      </w:r>
    </w:p>
    <w:p w14:paraId="244C20A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2.是否严格遵守“先通风、再检测、后作业”的原则，实施有限空间作业前是否进行危险有害因素检测或者监测，并实行专人监护作业。</w:t>
      </w:r>
    </w:p>
    <w:p w14:paraId="0C5CCB4B">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419AD08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04E1F602">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25FDEA1C">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（一）《工贸企业有限空间作业安全管理与监督暂行规定》（国家安全监管总局令第59号，2015年5月29日修正）</w:t>
      </w:r>
    </w:p>
    <w:p w14:paraId="25FA0FC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第四条第二款 县级以上地方各级安全生产监督管理部门按照属地监管、分级负责的原则，对本行政区域内工贸企业有限空间作业安全实施监督管理。</w:t>
      </w:r>
    </w:p>
    <w:p w14:paraId="180C2F5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存在有限空间作业的工贸企业应当建立下列安全生产制度和规程：</w:t>
      </w:r>
    </w:p>
    <w:p w14:paraId="5755E46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（一）有限空间作业安全责任制度；</w:t>
      </w:r>
    </w:p>
    <w:p w14:paraId="4CE0272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（二）有限空间作业审批制度；</w:t>
      </w:r>
    </w:p>
    <w:p w14:paraId="018CA7A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（三）有限空间作业现场安全管理制度；</w:t>
      </w:r>
    </w:p>
    <w:p w14:paraId="7D8B7AA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（四）有限空间作业现场负责人、监护人员、作业人员、应急救援人员安全培训教育制度；</w:t>
      </w:r>
    </w:p>
    <w:p w14:paraId="6B2BCD2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（五）有限空间作业应急管理制度；</w:t>
      </w:r>
    </w:p>
    <w:p w14:paraId="1AF09E6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（六）有限空间作业安全操作规程。</w:t>
      </w:r>
    </w:p>
    <w:p w14:paraId="65BBCDA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工贸企业应当对从事有限空间作业的现场负责人、监护人员、作业人员、应急救援人员进行专项安全培训。专项安全培训应当包括下列内容:</w:t>
      </w:r>
    </w:p>
    <w:p w14:paraId="20E35C6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（一）有限空间作业的危险有害因素和安全防范措施；</w:t>
      </w:r>
    </w:p>
    <w:p w14:paraId="319E79E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（二）有限空间作业的安全操作规程；</w:t>
      </w:r>
    </w:p>
    <w:p w14:paraId="53EF36B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（三）检测仪器、劳动防护用品的正确使用；</w:t>
      </w:r>
    </w:p>
    <w:p w14:paraId="18E3385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（四）紧急情况下的应急处置措施。</w:t>
      </w:r>
    </w:p>
    <w:p w14:paraId="7D9EF2C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安全培训应当有专门记录，并由参加培训的人员签字确认。</w:t>
      </w:r>
    </w:p>
    <w:p w14:paraId="6791DBC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工贸企业应当对本企业的有限空间进行辨识，确定有限空间的数量、位置以及危险有害因素等基本情况，建立有限空间管理台账，并及时更新。</w:t>
      </w:r>
    </w:p>
    <w:p w14:paraId="0F64682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工贸企业实施有限空间作业前，应当对作业环境进行评估，分析存在的危险有害因素，提出消除、控制危害的措施，制定有限空间作业方案，并经本企业安全生产管理人员审核，负责人批准。</w:t>
      </w:r>
    </w:p>
    <w:p w14:paraId="505E46D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工贸企业应当按照有限空间作业方案，明确作业现场负责人、监护人员、作业人员及其安全职责。</w:t>
      </w:r>
    </w:p>
    <w:p w14:paraId="6DC5B9C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有限空间作业应当严格遵守“先通风、再检测、后作业”的原则。检测指标包括氧浓度、易燃易爆物质（可燃性气体、爆炸性粉尘）浓度、有毒有害气体浓度。检测应当符合相关国家标准或者行业标准的规定。</w:t>
      </w:r>
    </w:p>
    <w:p w14:paraId="44407FA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未经通风和检测合格，任何人员不得进入有限空间作业。检测的时间不得早于作业开始前30分钟。</w:t>
      </w:r>
    </w:p>
    <w:p w14:paraId="28EDA48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在有限空间作业过程中，工贸企业应当对作业场所中的危险有害因素进行定时检测或者连续监测。</w:t>
      </w:r>
    </w:p>
    <w:p w14:paraId="5060082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作业中断超过30分钟，作业人员再次进入有限空间作业前，应当重新通风、检测合格后方可进入。</w:t>
      </w:r>
    </w:p>
    <w:p w14:paraId="194E703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工贸企业应当根据有限空间存在危险有害因素的种类和危害程度，为作业人员提供符合国家标准或者行业标准规定的劳动防护用品，并教育监督作业人员正确佩戴与使用。</w:t>
      </w:r>
    </w:p>
    <w:p w14:paraId="0A2756B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p w14:paraId="11DF612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工贸企业将有限空间作业发包给其他单位实施的，应当发包给具备国家规定资质或者安全生产条件的承包方，并与承包方签订专门的安全生产管理协议或者在承包合同中明确各自的安全生产职责。工贸企业应当对承包单位的安全生产工作统一协调、管理，定期进行安全检查，发现安全问题的，应当及时督促整改。</w:t>
      </w:r>
    </w:p>
    <w:p w14:paraId="016A201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第二十四条：安全生产监督管理部门应当加强对工贸企业有限空间作业的监督检查，将检查纳入年度执法工作计划。对发现的事故隐患和违法行为，依法作出处理。</w:t>
      </w:r>
    </w:p>
    <w:p w14:paraId="4DD0210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安全生产监督管理部门对工贸企业有限空间作业实施监督检查时，应当重点抽查有限空间作业安全管理制度、有限空间管理台账、检测记录、劳动防护用品配备、应急救援演练、专项安全培训等情况。</w:t>
      </w:r>
    </w:p>
    <w:p w14:paraId="1EE5C91F">
      <w:pPr>
        <w:pStyle w:val="29"/>
        <w:snapToGrid w:val="0"/>
        <w:spacing w:line="560" w:lineRule="exact"/>
        <w:ind w:firstLine="640"/>
        <w:textAlignment w:val="baseline"/>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val="en-US"/>
        </w:rPr>
        <w:t>（二）《工贸企业重大事故隐患判定标准》（中华人民共和国应急管理部令第10号）专项类重大事故隐患（三）有限空间作业相关的行业领域。</w:t>
      </w:r>
    </w:p>
    <w:p w14:paraId="533884E4">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1.未对有限空间进行辨识、建立安全管理台账，并且未设置明显的安全警示标志的。</w:t>
      </w:r>
    </w:p>
    <w:p w14:paraId="2F835E47">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2.未落实有限空间作业审批，或者未执行“先通风、再检测、后作业”要求，或者作业现场未设置监护人员的。</w:t>
      </w:r>
    </w:p>
    <w:p w14:paraId="5408FB28">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第七章 对冶金企业和有色金属企业安全生产工作的监督检查工作指引</w:t>
      </w:r>
    </w:p>
    <w:p w14:paraId="2B36318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6F5761D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（一）对冶金企业安全生产情况的行政检查</w:t>
      </w:r>
    </w:p>
    <w:p w14:paraId="6BE354A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（二）对有色企业安全生产情况的行政检查</w:t>
      </w:r>
    </w:p>
    <w:p w14:paraId="67F7A042">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3847BF99">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（一）对冶金企业安全生产情况的行政检查</w:t>
      </w:r>
    </w:p>
    <w:p w14:paraId="03D5C1A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基础管理情况：（1）安全生产管理制度建立情况；（2）安全投入情况；（3）安全管理机构设置及人员配备情况；（4）主要负责人、安全管理人员考核合格和特种作业人员持证上岗及全员培训情况；（5）岗位操作规程制定并落实情况。</w:t>
      </w:r>
    </w:p>
    <w:p w14:paraId="56B8FEF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钢铁企业安全生产执法检查8项重点事项：（1）炼钢厂在吊运铁水、钢水或液渣时，是否使用固定式龙门钩的铸造起重机；炼铁厂铸铁车间吊运铁水、液渣起重机是否符合冶金起重机的相关要求；（2）吊运铁水、钢水和液渣起重机龙门钩横梁焊缝、耳轴销和吊钩、钢丝绳及其端头固定零件，是否进行定期检查，发现问题是否及时整改；（3）操作室、会议室、交接班室、活动室、休息室、更衣室等场所是否设置在铁水、钢水和液渣吊运影响的范围内；（4）钢水铸造（连铸、模铸）流程是否规范设置钢水罐、溢流槽等高温熔融金属紧急排放和应急储存设施；（5）氧枪等水冷元件是否配置出水温度和进出水流量差检测、报警装置，是否与炉体倾动、氧气开闭等联锁；（6）高炉、转炉、钢水连铸、加热炉和煤气柜等煤气区域的有人值守的主控室、操作室和人员休息室等人员较集中的地方以及在可能发生煤气泄漏、聚集的场所，是否设置固定式一氧化碳监测报警装置；（7）高炉、转炉、加热炉、煤气柜、除尘器等设施的煤气管道是否设置隔断装置和吹扫设施；（8）是否使用国家明令禁止使用的设备、材料和工艺。</w:t>
      </w:r>
    </w:p>
    <w:p w14:paraId="62EA6A72">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（二）对有色企业安全生产情况的行政检查</w:t>
      </w:r>
    </w:p>
    <w:p w14:paraId="2DB1937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人员管理情况：（1）是否按规定设置安全管理机构或配备安全管理人员；（2）是否按规定设置安全总监；建立安全生产委员会。（3）主要负责人和安全管理人员培训情况；（4）特种作业人员培训档案和持证上岗情况；（5）从业人员安全生产教育和培训档案。</w:t>
      </w:r>
    </w:p>
    <w:p w14:paraId="31DE323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建设项目安全评价及建设项目安全设施“三同时”情况：（1）建设项目在可行性研究阶段，建设单位是否依法进行安全评价；（2）在初步设计阶段，建设单位是否委托具备国家规定资质的设计单位对其安全设施进行设计，并编制安全设施设计；（3）建设项目竣工投入生产或者使用前，建设单位是否按照有关规定进行安全设施竣工验收。</w:t>
      </w:r>
    </w:p>
    <w:p w14:paraId="7F64B19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起重机使用情况：（1）吊运高温熔融金属的起重机，是否满足《起重机械安全技术监察规程--桥式起重机》(TSGQ002)和《起重机械定期检验规则》（TSGQ7015）的要求；（2）企业是否定期对吊运、盛装熔融金属的吊具、罐体（本体、耳轴）进行安全检查和探伤检测。</w:t>
      </w:r>
    </w:p>
    <w:p w14:paraId="3B87745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4.人员聚集场所设置情况：企业的操作室、会议室、活动室、休息室、更衣室等场所是否设置在高温熔融金属吊运的影响范围内。</w:t>
      </w:r>
    </w:p>
    <w:p w14:paraId="5E3E768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5.防积水情况：冶炼、熔炼、精炼生产区域的安全坑内及溶体泄露、喷溅影响范围内是否有积水、潮湿杂物和易燃易爆物。</w:t>
      </w:r>
    </w:p>
    <w:p w14:paraId="13BC909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6.有色金属铸造、浇铸流程紧急排放和应急储存设施情况：金属铸造、连铸、浇铸流程是否设置铁水罐、钢水罐、溢流槽、中间溢流罐等熔融金属紧急排放和应急储存设施。</w:t>
      </w:r>
    </w:p>
    <w:p w14:paraId="7BDE15E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7.应急预案、应急演练情况：（1）应急预案编制、评审、备案情况；（2）应急演练情况。</w:t>
      </w:r>
    </w:p>
    <w:p w14:paraId="481E6BF9">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3EE0FC4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5488FE8D">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1291C460">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（一）《冶金企业和有色金属企业安全生产规定》（国家安全监管总局令第91号）</w:t>
      </w:r>
    </w:p>
    <w:p w14:paraId="321CF59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第二款：县级以上地方人民政府安全生产监督管理部门和有关部门（以下统称负有冶金有色安全生产监管职责的部门）根据本级人民政府规定的职责，按照属地监管、分级负责的原则，对本行政区域内的冶金企业和有色金属企业的安全生产工作实施监督管理。</w:t>
      </w:r>
    </w:p>
    <w:p w14:paraId="632FBB7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企业应当建立健全全员安全生产责任制&lt;。</w:t>
      </w:r>
    </w:p>
    <w:p w14:paraId="4610D70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企业存在金属冶炼工艺，从业人员在一百人以上的，应当设置安全生产管理机构或者配备不低于从业人员千分之三的专职安全生产管理人员，但最低不少于三人；从业人员在一百人以下的，应当设置安全生产管理机构或者配备专职安全生产管理人员。</w:t>
      </w:r>
    </w:p>
    <w:p w14:paraId="5DC91CE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企业主要负责人、安全生产管理人员应当接受安全生产教育和培训，具备与本企业生产经营活动相适应的安全生产知识和管理能力。其中，存在金属冶炼工艺的企业的主要负责人、安全生产管理人员自任职之日起六个月内，必须接受负有冶金有色安全生产监管职责的部门对其进行安全生产知识和管理能力考核，并考核合格。</w:t>
      </w:r>
    </w:p>
    <w:p w14:paraId="171B0D3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按照国家有关规定对从业人员进行安全生产教育和培训，保证从业人员具备必要的安全生产知识，了解有关安全生产法律法规，熟悉本企业规章制度和安全技术操作规程，掌握本岗位安全操作技能，并建立培训档案，记录培训、考核等情况。未经安全生产教育培训合格的从业人员，不得上岗作业。</w:t>
      </w:r>
    </w:p>
    <w:p w14:paraId="7239107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对新上岗从业人员进行厂（公司）、车间（职能部门）、班组三级安全生产教育和培训；对调整工作岗位、离岗半年以上重新上岗的从业人员，应当经车间(职能部门)、班组安全生产教育和培训合格后，方可上岗作业。</w:t>
      </w:r>
    </w:p>
    <w:p w14:paraId="46DDD65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新工艺、新技术、新材料、新设备投入使用前，企业应当对有关操作岗位人员进行专门的安全生产教育和培训。</w:t>
      </w:r>
    </w:p>
    <w:p w14:paraId="5A227E3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企业从事煤气生产、储存、输送、使用、维护检修作业的特种作业人员必须依法经专门的安全技术培训，并经考核合格，取得《中华人民共和国特种作业操作证》后，方可上岗作业。</w:t>
      </w:r>
    </w:p>
    <w:p w14:paraId="209B6FB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企业新建、改建、扩建工程项目（以下统称建设项目）的安全设施和…应当严格执行国家有关安全生产、职业病防治法律、行政法规和国家标准或者行业标准的规定，并与主体工程同时设计、同时施工、同时投入生产和使用。安全设施和…的投资应当纳入建设项目概算。</w:t>
      </w:r>
    </w:p>
    <w:p w14:paraId="2F70E56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金属冶炼建设项目在可行性研究阶段，建设单位应当依法进行安全评价。</w:t>
      </w:r>
    </w:p>
    <w:p w14:paraId="4E142C2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建设项目在初步设计阶段，建设单位应当委托具备国家规定资质的设计单位对其安全设施进行设计，并编制安全设施设计。</w:t>
      </w:r>
    </w:p>
    <w:p w14:paraId="3C179F5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建设项目竣工投入生产或者使用前，建设单位应当按照有关规定进行安全设施竣工验收。</w:t>
      </w:r>
    </w:p>
    <w:p w14:paraId="5D0F32D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第十五条第二款 省、自治区、直辖市人民政府负有冶金有色安全生产监管职责的部门对本行政区域内金属冶炼建设项目实施指导和监督管理，确定并公布本行政区域内有关部门对金属冶炼建设项目安全设施设计审查的管辖权限。</w:t>
      </w:r>
    </w:p>
    <w:p w14:paraId="4CF8297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企业应当对本企业存在的各类危险因素进行辨识，在有较大危险因素的场所和设施、设备上，按照有关国家标准、行业标准的要求设置安全警示标志，并定期进行检查维护。</w:t>
      </w:r>
    </w:p>
    <w:p w14:paraId="3FAE4A0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对于辨识出的重大危险源，企业应当登记建档、监测监控，定期检测、评估，制定应急预案并定期开展应急演练。</w:t>
      </w:r>
    </w:p>
    <w:p w14:paraId="1DB15D6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企业应当将重大危险源及有关安全措施、应急预案报有关地方人民政府负有冶金有色安全生产监管职责的部门备案。</w:t>
      </w:r>
    </w:p>
    <w:p w14:paraId="592C9FF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企业应当建立应急救援组织。生产规模较小的，可以不建立应急救援组织，但应当指定兼职的应急救援人员，并且可以与邻近的应急救援队伍签订应急救援协议。</w:t>
      </w:r>
    </w:p>
    <w:p w14:paraId="4D7B7A3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企业应当配备必要的应急救援器材、设备和物资，并进行经常性维护、保养，保证正常运转。</w:t>
      </w:r>
    </w:p>
    <w:p w14:paraId="32EA837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企业应当加强对施工、检修等重点工程和生产经营项目、场所的承包单位的安全管理，不得将有关工程、项目、场所发包给不具备安全生产条件或者相应资质的单位。企业和承包单位的承包协议应当明确约定双方的安全生产责任和义务。</w:t>
      </w:r>
    </w:p>
    <w:p w14:paraId="3A46B18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企业应当对承包单位的安全生产进行统一协调、管理，对从事检修工程的承包单位检修方案中的安全措施和应急处置措施进行审核，监督承包单位落实。</w:t>
      </w:r>
    </w:p>
    <w:p w14:paraId="2317602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企业应当对承包检修作业现场进行安全交底，并安排专人负责安全检查和协调。</w:t>
      </w:r>
    </w:p>
    <w:p w14:paraId="041585D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企业应当从合法的劳务公司录用劳务人员，并与劳务公司签订合同，对劳务人员进行统一的安全生产教育和培训。</w:t>
      </w:r>
    </w:p>
    <w:p w14:paraId="503FB69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企业的正常生产活动与其他单位的建设施工或者检修活动同时在本企业同一作业区域内进行的，企业应当指定专职安全生产管理人员负责作业现场的安全检查工作，对有关作业活动进行统一协调、管理。</w:t>
      </w:r>
    </w:p>
    <w:p w14:paraId="1053DBB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第二十三条 企业应当建立健全设备设施安全管理制度，加强设备设施的检查、维护、保养和检修，确保设备设施安全运行。</w:t>
      </w:r>
    </w:p>
    <w:p w14:paraId="20A4683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对重要岗位的电气、机械等设备，企业应当实行操作牌制度。</w:t>
      </w:r>
    </w:p>
    <w:p w14:paraId="0C34120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 企业不得使用不符合国家标准或者行业标准的技术、工艺和设备；对现有工艺、设备进行更新或者改造的，不得降低其安全技术性能。</w:t>
      </w:r>
    </w:p>
    <w:p w14:paraId="56BF69B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 企业对起重设备进行改造并增加荷重的，应当同时对承重厂房结构进行荷载核定，并对承重结构采取必要的加固措施，确保承重结构具有足够的承重能力。</w:t>
      </w:r>
    </w:p>
    <w:p w14:paraId="1A38576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第二十七条 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14:paraId="1903D8B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第二十八条 企业在进行高温熔融金属冶炼、保温、运输、吊运过程中，应当采取防止泄漏、喷溅、爆炸伤人的安全措施，其影响区域不得有非生产性积水。</w:t>
      </w:r>
    </w:p>
    <w:p w14:paraId="5A69FEF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高温熔融金属运输专用路线应当避开煤气、氧气、氢气、天然气、水管等管道及电缆；确需通过的，运输车辆与管道、电缆之间应当保持足够的安全距离，并采取有效的隔热措施。</w:t>
      </w:r>
    </w:p>
    <w:p w14:paraId="3CA9C3C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14:paraId="4451E87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 企业对电炉、电解车间应当采取防雨措施和有效的排水设施，防止雨水进入槽下地坪，确保电炉、电解槽下没有积水。</w:t>
      </w:r>
    </w:p>
    <w:p w14:paraId="52FB131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企业对电炉、铸造熔炼炉、保温炉、倾翻炉、铸机、流液槽、熔盐电解槽等设备，应当设置熔融金属紧急排放和储存的设施，并在设备周围设置拦挡围堰，防止熔融金属外流。</w:t>
      </w:r>
    </w:p>
    <w:p w14:paraId="6547005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 吊运高温熔融金属的起重机，应当满足《起重机械安全技术监察规程--桥式起重机》(TSGQ002)和《起重机械定期检验规则》（TSGQ7015）的要求。</w:t>
      </w:r>
    </w:p>
    <w:p w14:paraId="6B61E2E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企业应当定期对吊运、盛装熔融金属的吊具、罐体（本体、耳轴）进行安全检查和探伤检测。</w:t>
      </w:r>
    </w:p>
    <w:p w14:paraId="79DCDD6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第三十一条 生产、储存、使用煤气的企业应当建立煤气防护站（组），配备必要的煤气防护人员、煤气检测报警装置及防护设施，并且每年至少组织一次煤气事故应急演练。</w:t>
      </w:r>
    </w:p>
    <w:p w14:paraId="54D7370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第三十二条 生产、储存、使用煤气的企业应当严格执行《工业企业煤气安全规程》（GB6222），在可能发生煤气泄漏、聚集的场所，设置固定式煤气检测报警仪和安全警示标志。</w:t>
      </w:r>
    </w:p>
    <w:p w14:paraId="4E72BF8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进入煤气区域作业的人员，应当携带便携式一氧化碳检测报警仪，配备空气呼吸器，并由企业安排专门人员进行安全管理。</w:t>
      </w:r>
    </w:p>
    <w:p w14:paraId="3CF7910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煤气柜区域应当设有隔离围栏，安装在线监控设备，并由企业安排专门人员值守。煤气柜区域严禁烟火。</w:t>
      </w:r>
    </w:p>
    <w:p w14:paraId="6FD550B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 企业对涉及煤气、氧气、氢气等易燃易爆危险化学品生产、输送、使用、储存的设施以及油库、电缆隧道（沟）等重点防火部位，应当按照有关规定采取有效、可靠的防火、防爆和防泄漏措施。</w:t>
      </w:r>
    </w:p>
    <w:p w14:paraId="60F4FC4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企业对具有爆炸危险环境的场所，应当按照《爆炸性气体环境用电气设备》（GB3836）及《爆炸危险环境电力装置设计规范》（GB50058）设置自动检测报警和防灭火装置。</w:t>
      </w:r>
    </w:p>
    <w:p w14:paraId="52DC00D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第三十四条 企业对反应槽、罐、池、釜和储液罐、酸洗槽应当采取防腐蚀措施，设置事故池，进行经常性安全检查、维护、保养，并定期检测，保证正常运转。</w:t>
      </w:r>
    </w:p>
    <w:p w14:paraId="1A1D87D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企业实施浸出、萃取作业时，应当采取防火防爆、防冒槽喷溅和防中毒等安全措施。</w:t>
      </w:r>
    </w:p>
    <w:p w14:paraId="1D594FD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第三十五条 企业从事产生酸雾危害的电解作业时，应当采取防止酸雾扩散及槽体、厂房防腐措施。电解车间应当保持厂房通风良好，防止电解产生的氢气聚集。</w:t>
      </w:r>
    </w:p>
    <w:p w14:paraId="3F1B2DB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第三十六条 企业在使用酸、碱的作业场所，应当采取防止人员灼伤的措施，并设置安全喷淋或者洗涤设施。</w:t>
      </w:r>
    </w:p>
    <w:p w14:paraId="7F59BB6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采用剧毒物品的电镀、钝化等作业，企业应当在电镀槽的下方设置事故池，并加强对剧毒物品的安全管理。</w:t>
      </w:r>
    </w:p>
    <w:p w14:paraId="4D55597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第三十七条 企业对生产过程中存在二氧化硫、氯气、砷化氢、氟化氢等有毒有害气体的工作场所，应当采取防止人员中毒的措施。</w:t>
      </w:r>
    </w:p>
    <w:p w14:paraId="4DC795D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企业对存在铅、镉、铬、砷、汞等重金属蒸气、粉尘的作业场所，应当采取预防重金属中毒的措施。</w:t>
      </w:r>
    </w:p>
    <w:p w14:paraId="758DF85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第三十八条 企业应当建立有限空间、动火、高处作业、能源介质停送等较大危险作业和检修、维修作业审批制度，实施工作票（作业票）和操作票管理，严格履行内部审批手续，并安排专门人员进行现场安全管理，确保作业安全。</w:t>
      </w:r>
    </w:p>
    <w:p w14:paraId="131E46DD">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（二）《工贸行业重大生产安全事故隐患判定标准（2017版）》行业类重大事故隐患（一）冶金行业</w:t>
      </w:r>
    </w:p>
    <w:p w14:paraId="37B808C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1.会议室、活动室、休息室、更衣室等场所设置在铁水、钢水与液渣吊运影响的范围内。</w:t>
      </w:r>
    </w:p>
    <w:p w14:paraId="01629BA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吊运铁水、钢水与液渣起重机不符合冶金起重机的相关要求；炼钢厂在吊运重罐铁水、钢水或液渣时，未使用固定式龙门钩的铸造起重机，龙门钩横梁、耳轴销和吊钩、钢丝绳及其端头固定零件，未进行定期检查，发现问题未及时整改。</w:t>
      </w:r>
    </w:p>
    <w:p w14:paraId="643FB63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3.盛装铁水、钢水与液渣的罐（包、盆）等容器耳轴未按国家标准规定要求定期进行探伤检测。</w:t>
      </w:r>
    </w:p>
    <w:p w14:paraId="6B2E505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冶炼、熔炼、精炼生产区域的安全坑内及熔体泄漏、喷溅影响范围内存在积水，放置有易燃易爆物品。金属铸造、连铸、浇铸流程未设置铁水罐、钢水罐、溢流槽、中间溢流罐等高温熔融金属紧急排放和应急储存设施。</w:t>
      </w:r>
    </w:p>
    <w:p w14:paraId="4F97BDC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5.炉、窑、槽、罐类设备本体及附属设施未定期检查，出现严重焊缝开裂、腐蚀、破损、衬砖损坏、壳体发红及明显弯曲变形等未报修或报废，仍继续使用。</w:t>
      </w:r>
    </w:p>
    <w:p w14:paraId="2A52EA8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6.氧枪等水冷元件未配置出水温度与进出水流量差检测、报警装置及温度监测，未与炉体倾动、氧气开闭等联锁。</w:t>
      </w:r>
    </w:p>
    <w:p w14:paraId="4016502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7.煤气柜建设在居民稠密区，未远离大型建筑、仓库、通信和交通枢纽等重要设施；附属设备设施未按防火防爆要求配置防爆型设备；柜顶未设置防雷装置。</w:t>
      </w:r>
    </w:p>
    <w:p w14:paraId="348D2A6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8.煤气区域的值班室、操作室等人员较集中的地方，未设置固定式一氧化碳监测报警装置。</w:t>
      </w:r>
    </w:p>
    <w:p w14:paraId="47C3D67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9.高炉、转炉、加热炉、煤气柜、除尘器等设施的煤气管道未设置可靠隔离装置和吹扫设施。</w:t>
      </w:r>
    </w:p>
    <w:p w14:paraId="0E0F5FC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10.煤气分配主管上支管引接处，未设置可靠的切断装置；车间内各类燃气管线，在车间入口未设置总管切断阀。</w:t>
      </w:r>
    </w:p>
    <w:p w14:paraId="0702265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11.金属冶炼企业主要负责人和安全生产管理人员未依法经考核合格。</w:t>
      </w:r>
    </w:p>
    <w:p w14:paraId="0899343A">
      <w:pPr>
        <w:pStyle w:val="29"/>
        <w:snapToGrid w:val="0"/>
        <w:spacing w:line="560" w:lineRule="exact"/>
        <w:ind w:firstLine="640"/>
        <w:textAlignment w:val="baseline"/>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val="en-US"/>
        </w:rPr>
        <w:t>（二）《工贸企业重大事故隐患判定标准》（中华人民共和国应急管理部令第10号）行业类重大事故隐患（一）冶金行业</w:t>
      </w:r>
    </w:p>
    <w:p w14:paraId="42C1A88B">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1.会议室、活动室、休息室、操作室、交接班室、更衣室（含澡堂）等6类人员聚集场所,以及钢铁水罐冷（热）修工位设置在铁水、钢水、液渣吊运跨的地坪区域内的；</w:t>
      </w:r>
    </w:p>
    <w:p w14:paraId="6D49FD4C">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2.生产期间冶炼、精炼和铸造生产区域的事故坑、炉下渣坑，以及熔融金属泄漏和喷溅影响范围内的炉前平台、炉基区域、厂房内吊运和地面运输通道等6类区域存在积水的；</w:t>
      </w:r>
    </w:p>
    <w:p w14:paraId="7E06BD8A">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3.炼钢连铸流程未设置事故钢水罐、中间罐漏钢坑（槽）、中间罐溢流坑（槽）、漏钢回转溜槽，或者模铸流程未设置事故钢水罐（坑、槽）的；</w:t>
      </w:r>
    </w:p>
    <w:p w14:paraId="5CDAFCBC">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4.转炉、电弧炉、AOD炉、LF炉、RH炉、VOD炉等炼钢炉的水冷元件未设置出水温度、进出水流量差等监测报警装置，或者监测报警装置未与炉体倾动、氧（副）枪自动提升、电极自动断电和升起装置联锁的；</w:t>
      </w:r>
    </w:p>
    <w:p w14:paraId="5556F8D6">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5.高炉生产期间炉顶工作压力设定值超过设计文件规定的最高工作压力，或者炉顶工作压力监测装置未与炉顶放散阀联锁，或者炉顶放散阀的联锁放散压力设定值超过设备设计压力值的；</w:t>
      </w:r>
    </w:p>
    <w:p w14:paraId="5B6D6AA3">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6.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14:paraId="24C4BE13">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7.加热炉、煤气柜、除尘器、加压机、烘烤器等设施，以及进入车间前的煤气管道未安装隔断装置的；</w:t>
      </w:r>
    </w:p>
    <w:p w14:paraId="45097D16">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8.正压煤气输配管线水封式排水器的最高封堵煤气压力小于30kPa，或者同一煤气管道隔断装置的两侧共用一个排水器，或者不同煤气管道排水器上部的排水管连通，或者不同介质的煤气管道共用一个排水器的。</w:t>
      </w:r>
    </w:p>
    <w:p w14:paraId="1DF0EA21">
      <w:pPr>
        <w:pStyle w:val="29"/>
        <w:snapToGrid w:val="0"/>
        <w:spacing w:line="560" w:lineRule="exact"/>
        <w:ind w:firstLine="640"/>
        <w:textAlignment w:val="baseline"/>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val="en-US"/>
        </w:rPr>
        <w:t>（三）《工贸行业重大生产安全事故隐患判定标准（2017版）》行业类重大事故隐患（二）有色行业。</w:t>
      </w:r>
    </w:p>
    <w:p w14:paraId="1DB1A1B4">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1.会议室、活动室、休息室、操作室、交接班室、更衣室（含澡堂）等6类人员聚集场所设置在熔融金属吊运跨的地坪区域内的；</w:t>
      </w:r>
    </w:p>
    <w:p w14:paraId="06839A07">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2.生产期间冶炼、精炼、铸造生产区域的事故坑、炉下渣坑，以及熔融金属泄漏、喷溅影响范围内的炉前平台、炉基区域、厂房内吊运和地面运输通道等6类区域存在非生产性积水的；</w:t>
      </w:r>
    </w:p>
    <w:p w14:paraId="05D9CF5F">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3.熔融金属铸造环节未设置紧急排放和应急储存设施的（倾动式熔炼炉、倾动式保温炉、倾动式熔保一体炉、带保温炉的固定式熔炼炉除外）；</w:t>
      </w:r>
    </w:p>
    <w:p w14:paraId="43E54C1D">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4.采用水冷冷却的冶炼炉窑、铸造机（铝加工深井铸造工艺的结晶器除外）、加热炉未设置应急水源的；</w:t>
      </w:r>
    </w:p>
    <w:p w14:paraId="24EC94DA">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5.熔融金属冶炼炉窑的闭路循环水冷元件未设置出水温度、进出水流量差监测报警装置，或者开路水冷元件未设置进水流量、压力监测报警装置，或者未监测开路水冷元件出水温度的；</w:t>
      </w:r>
    </w:p>
    <w:p w14:paraId="702C1665">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6.铝加工深井铸造工艺的结晶器冷却水系统未设置进水压力、进水流量监测报警装置，或者监测报警装置未与快速切断阀、紧急排放阀、流槽断开装置联锁，或者监测报警装置未与倾动式浇铸炉控制系统联锁的；</w:t>
      </w:r>
    </w:p>
    <w:p w14:paraId="5B61DCB8">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7.铝加工深井铸造工艺的浇铸炉铝液出口流槽、流槽与模盘（分配流槽）入口连接处未设置液位监测报警装置，或者固定式浇铸炉的铝液出口未设置机械锁紧装置的；</w:t>
      </w:r>
    </w:p>
    <w:p w14:paraId="02019825">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8.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14:paraId="40FBC87D">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9.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p w14:paraId="00C01F1F">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10.铝加工深井铸造机钢丝卷扬系统选用非钢芯钢丝绳，或者未落实钢丝绳定期检查、更换制度的；</w:t>
      </w:r>
    </w:p>
    <w:p w14:paraId="13925252">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11.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p>
    <w:p w14:paraId="1C23D1BC">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12.使用煤气（天然气）并强制送风的燃烧装置的燃气总管未设置压力监测报警装置，或者监测报警装置未与紧急自动切断装置联锁的；</w:t>
      </w:r>
    </w:p>
    <w:p w14:paraId="52372539">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13.正压煤气输配管线水封式排水器的最高封堵煤气压力小于30kPa，或者同一煤气管道隔断装置的两侧共用一个排水器，或者不同煤气管道排水器上部的排水管连通，或者不同介质的煤气管道共用一个排水器的。</w:t>
      </w:r>
    </w:p>
    <w:p w14:paraId="1B0EDEF2">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第八章 对食品生产企业安全生产的监督检查工作指引</w:t>
      </w:r>
    </w:p>
    <w:p w14:paraId="2FA5394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38D4F34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对食品生产企业安全生产的监督检查查</w:t>
      </w:r>
    </w:p>
    <w:p w14:paraId="44B80343">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252BD4E9">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（一）安全生产管理机构和人员情况</w:t>
      </w:r>
    </w:p>
    <w:p w14:paraId="440715B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1.是否设置安全生产管理机构或配备安全生产管理人员。</w:t>
      </w:r>
    </w:p>
    <w:p w14:paraId="3A885C1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2.是否设立安委会并按规定开展工作：从业人员在1000人以上的企业，应当建立安全生产委员会。</w:t>
      </w:r>
    </w:p>
    <w:p w14:paraId="751F45A6">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（二）组织保障、管理制度和责任制落实情况</w:t>
      </w:r>
    </w:p>
    <w:p w14:paraId="10D2DF7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1.生产经营单位是否建立、健全安全生产责任制度，实行全员安全生产责任制。</w:t>
      </w:r>
    </w:p>
    <w:p w14:paraId="177D38D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生产会议、安全生产资金投入、安全生产教育培训和特种作业人员管理、劳动防护用品管理、安全设施和设备管理、安全生产检查、危险作业管理、事故隐患排查治理、重大危险源监控管理、安全生产奖惩、调查处理，以及法律、法规、规章规定的其他内容。</w:t>
      </w:r>
    </w:p>
    <w:p w14:paraId="2C37A176">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（三）从业人员培训和持证上岗情况</w:t>
      </w:r>
    </w:p>
    <w:p w14:paraId="536CE27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1.企业应将安全培训工作纳入本单位工作计划并保证其所需资金。</w:t>
      </w:r>
    </w:p>
    <w:p w14:paraId="42263ED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2.生产经营单位应建立健全从业人员安全培训档案，详细、准确记录培训考核情况。</w:t>
      </w:r>
    </w:p>
    <w:p w14:paraId="680419C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3.制冷、电工作业人员应取得特种作业操作证；</w:t>
      </w:r>
    </w:p>
    <w:p w14:paraId="49C805D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4.特种作业人员是否伪造特种作业操作证或者使用伪造的特种作业操作证。</w:t>
      </w:r>
    </w:p>
    <w:p w14:paraId="46A688D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5.生产经营单位应当加强对本单位特种作业人员的管理，建立健全特种作业人员培训、复审档案。</w:t>
      </w:r>
    </w:p>
    <w:p w14:paraId="07258B53">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（四）有限空间作业管理情况</w:t>
      </w:r>
    </w:p>
    <w:p w14:paraId="758BAB1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1.未按照规定制定有限空间作业方案或者方案未经审批擅自作业；</w:t>
      </w:r>
    </w:p>
    <w:p w14:paraId="1914FE4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2.未在有限空间作业场所设置明显的安全警示标志；</w:t>
      </w:r>
    </w:p>
    <w:p w14:paraId="0D7A494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3.未向作业人员提供符合国家标准或者行业标准的安全帽、全身式安全带、三脚架、安全绳，以及与作业环境危险有害因素相适应的检测报警仪器、正压式呼吸器等劳动防护用品；</w:t>
      </w:r>
    </w:p>
    <w:p w14:paraId="1807DA4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4.未对承包单位的有限空间作业统一协调、管理。</w:t>
      </w:r>
    </w:p>
    <w:p w14:paraId="5660E403">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（五）高温设备安全保护措施配备情况</w:t>
      </w:r>
    </w:p>
    <w:p w14:paraId="4BF1648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涉及烘制、油炸等设施设备，是否采取防过热自动报警切断装置和隔热防护措施。</w:t>
      </w:r>
    </w:p>
    <w:p w14:paraId="7FE71F6B">
      <w:pPr>
        <w:pStyle w:val="29"/>
        <w:numPr>
          <w:ilvl w:val="0"/>
          <w:numId w:val="2"/>
        </w:numPr>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液氨使用安全情况：</w:t>
      </w:r>
    </w:p>
    <w:p w14:paraId="3B0DE7C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1.制冷机房外部区域设于室外的贮氨器、冷凝器、油分离器等制冷设备，是否有防止非操作人员进入的围栏和警示标识；</w:t>
      </w:r>
    </w:p>
    <w:p w14:paraId="0D07015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2.氨制冷机房事故排风机，在控制室排风机控制柜上和制冷机房门外墙上是否安装人工启停控制按钮；</w:t>
      </w:r>
    </w:p>
    <w:p w14:paraId="2B3FEA8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3.在氨制冷机房门口外侧便于操作的位置，是否设置切断制冷系统电源的紧急控制装置；</w:t>
      </w:r>
    </w:p>
    <w:p w14:paraId="2458CD5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4.制冷系统充氨口应设置在氨制冷机房外并设安全标识；</w:t>
      </w:r>
    </w:p>
    <w:p w14:paraId="10B38B7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5.氨制冷系统是否装设紧急泄氨器；</w:t>
      </w:r>
    </w:p>
    <w:p w14:paraId="22A515B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6.氨气探（检）测器安装是否符合规范，制冷剂泄漏报警系统是否安装独立的应急系统电源（如电池）；</w:t>
      </w:r>
    </w:p>
    <w:p w14:paraId="3C4E06F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7.在制冷机房门口适当位置是否安装洗眼器、淋洗器；</w:t>
      </w:r>
    </w:p>
    <w:p w14:paraId="6781599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8.压缩机房是否设事故排风装置，排风机是否选用防爆型；</w:t>
      </w:r>
    </w:p>
    <w:p w14:paraId="6428FF1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9.氨制冷机房、高低压配电室是否设置应急照明，照明灯具、线路、开关是否选用防爆型；</w:t>
      </w:r>
    </w:p>
    <w:p w14:paraId="15373C2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10.活塞压缩机排出口处是否设止逆阀；螺杆压缩机吸气管、排气管处是否设止逆阀；压缩机冷却水出水管上设是否断水停机保护装置；</w:t>
      </w:r>
    </w:p>
    <w:p w14:paraId="07AC0D1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11.冷凝器是否设冷凝压力超压报警装置，水冷冷凝器是否设断水报警装置，蒸发式冷凝器是否增设压力表、安全阀及风机故障报警装置；</w:t>
      </w:r>
    </w:p>
    <w:p w14:paraId="214C411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12.贮氨器、低压循环桶、气液分离器和中间冷却器是否均设超高液位报警装置；是否设有维持其正常液位的供液装置；</w:t>
      </w:r>
    </w:p>
    <w:p w14:paraId="7482AD1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13.贮氨器、低压循环桶、气液分离器、中间冷却器、排液桶和集油器等是否设液位指示器，其液位指示器两端连接件是否有自动关闭装置；</w:t>
      </w:r>
    </w:p>
    <w:p w14:paraId="7EC4535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14.贮罐区：大型冷库氨压缩机房贮氨器上方是否设置水喷淋系统，是否选用开式喷头，喷淋水是否能覆盖整个贮氨器区域；开式头设置高度是否高于贮氨器0.5-2米。贮氨器水喷淋系统是否设有相应的排水措施，贮氨器处设置地漏排水，在贮氨器周边设置挡水槛墙，高度为250mm，地面标高坡向地漏处。若无事故池，液氨储罐的围堰高度是否达到1.0m。</w:t>
      </w:r>
    </w:p>
    <w:p w14:paraId="4661267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15.控制室区域：氨制冷机房的控制室和操作人员值班室应是否与机器间隔开；是否设固定密闭观察窗。</w:t>
      </w:r>
    </w:p>
    <w:p w14:paraId="6991203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16.速冻装置区域：对采用氨直接蒸发的成套快速冻结装置，是否在快速冻结装置出口处的上方安装氨气浓度传感器，在加工间内应布置氨气浓度报警装置。当氨气浓度达到100ppm或150ppm时，是否自动发出报警信号、自动开启事故排风机、自动停止成套冻结装置的运行，漏氨信号应同时传送至制冷机房控制室报警。</w:t>
      </w:r>
    </w:p>
    <w:p w14:paraId="78B71DC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17.采用热氨介质融霜的速冻装置是否与加工车间采用密封性好、不燃烧的实体进行有效隔离。作业间内作业人员是否超过9人，是否按规范要求设置事故排风设施。</w:t>
      </w:r>
    </w:p>
    <w:p w14:paraId="3B1F267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18.包装间、分割间、产品整理间等人员较多生产场所是否采用氨直接蒸发制冷空调系统。</w:t>
      </w:r>
    </w:p>
    <w:p w14:paraId="6270F66B">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（八）涉爆粉尘管理情况</w:t>
      </w:r>
    </w:p>
    <w:p w14:paraId="21357AE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1.不同种类的可燃性粉尘、可燃性粉尘与可燃气体等易加剧爆炸危险的介质共用一套除尘系统，不同防火分区的除尘系统互联互通；</w:t>
      </w:r>
    </w:p>
    <w:p w14:paraId="69290D0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2.干式除尘系统未规范采用泄爆、隔爆、惰化、抑爆、抗爆等一种或多种控爆措施；</w:t>
      </w:r>
    </w:p>
    <w:p w14:paraId="705E719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3.除尘系统采用重力沉降室除尘，或者采用干式巷道式构筑物作为除尘风道；</w:t>
      </w:r>
    </w:p>
    <w:p w14:paraId="5EA84F0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4粉碎、研磨、造粒、砂光等易产生机械火花的工艺，未规范采用杂物去除或火花探测消除等防范点燃源措施；</w:t>
      </w:r>
    </w:p>
    <w:p w14:paraId="13B13C4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5.未按规范制定粉尘清理制度，作业现场积尘未及时规范清扫。</w:t>
      </w:r>
    </w:p>
    <w:p w14:paraId="6C80CFB9">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（九）应急预案、应急器材和应急演练情况</w:t>
      </w:r>
    </w:p>
    <w:p w14:paraId="112988D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1.生产经营单位应当制定本单位生产安全事故应急救援预案（综合预案、专项预案、现场处置方案）；</w:t>
      </w:r>
    </w:p>
    <w:p w14:paraId="0A2CE37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2.编制应急预案前，编制单位应当进行事故风险辨识、评估和应急资源调查；</w:t>
      </w:r>
    </w:p>
    <w:p w14:paraId="6C1E717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3.事故风险可能影响周边其他单位、人员的，生产经营单位应当将有关事故风险的性质、影响范围和应急防范措施告知周边的其他单位和人员；</w:t>
      </w:r>
    </w:p>
    <w:p w14:paraId="42D1991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4.生产经营单位应当制定本单位的应急预案演练计划，根据本单位的事故风险特点，每年至少组织一次综合应急预案演练或者专项应急预案演练，每半年至少组织一次现场处置方案演练；</w:t>
      </w:r>
    </w:p>
    <w:p w14:paraId="74DDF8E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5.中型规模以上的其他生产经营单位，应当每三年进行一次应急预案评估；</w:t>
      </w:r>
    </w:p>
    <w:p w14:paraId="485DFC8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6.应急预案应当及时修订并归档；</w:t>
      </w:r>
    </w:p>
    <w:p w14:paraId="1E5DB1D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7.落实应急预案规定的应急物资及装备。</w:t>
      </w:r>
    </w:p>
    <w:p w14:paraId="7C95F81C">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26831B3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169C9702">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62D16F6E">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14:paraId="69580DA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622AB87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14:paraId="7368CF4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740503D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8F02EE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28851E5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14:paraId="78DF90FD">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（二）《食品生产企业安全生产监督管理暂行规定》（国家安全监管总局令第66号，2015年5月29日修正）</w:t>
      </w:r>
    </w:p>
    <w:p w14:paraId="70B9E78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第三条第二款 县级以上地方人民政府安全生产监督管理部门和有关部门（以下统称负责食品生产企业安全生产监管的部门）根据本级人民政府规定的职责，按照属地监管、分级负责的原则，对本行政区域内食品生产企业的安全生产工作实施监督管理。</w:t>
      </w:r>
    </w:p>
    <w:p w14:paraId="4ED2D1B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食品生产企业应当严格遵守有关安全生产法律、行政法规和国家标准、行业标准的规定，建立健全安全生产责任制、安全生产规章制度和安全操作规程。</w:t>
      </w:r>
    </w:p>
    <w:p w14:paraId="4CFB8E6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从业人员超过100人的食品生产企业，应当设置安全生产管理机构或者配备3名以上专职安全生产管理人员，鼓励配备注册安全工程师从事安全生产管理工作。</w:t>
      </w:r>
    </w:p>
    <w:p w14:paraId="4CB1E71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前款规定以外的其他食品生产企业，应当配备专职或者兼职安全生产管理人员，或者委托安全生产中介机构提供安全生产服务。</w:t>
      </w:r>
    </w:p>
    <w:p w14:paraId="0FE7828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第七条第一款 食品生产企业应当支持安全生产管理机构和安全生产管理人员履行管理职责，并保证其开展工作所必须的条件。</w:t>
      </w:r>
    </w:p>
    <w:p w14:paraId="530F09D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食品生产企业新建、改建和扩建建设项目（以下统称建设项目）的安全设施，必须与主体工程同时设计、同时施工、同时投入生产和使用。安全设施投资应当纳入建设项目概算。</w:t>
      </w:r>
    </w:p>
    <w:p w14:paraId="1F0E209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食品生产企业应当建立健全事故隐患排查治理制度，明确事故隐患治理的措施、责任、资金、时限和预案，采取技术、管理措施，及时发现并消除事故隐患。事故隐患排查治理情况应当如实记录，向从业人员通报，并按规定报告所在地负责食品生产企业安全生产监管的部门。</w:t>
      </w:r>
    </w:p>
    <w:p w14:paraId="56AC202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食品生产企业的加工、制作等项目有多个承包单位、承租单位，或者存在空间交叉的，应当对承包单位、承租单位的安全生产工作进行统一协调、管理。承包单位、承租单位应当服从食品生产企业的统一管理，并对作业现场的安全生产负责。</w:t>
      </w:r>
    </w:p>
    <w:p w14:paraId="3D6D4BD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食品生产企业应当对新录用、季节性复工、调整工作岗位和离岗半年以上重新上岗的从业人员，进行相应的安全生产教育培训。未经安全生产教育培训合格的从业人员，不得上岗作业。</w:t>
      </w:r>
    </w:p>
    <w:p w14:paraId="725CAAE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第十五条第一款 食品生产企业应当定期组织开展危险源辨识，并将其工作场所存在和作业过程中可能产生的危险因素、防范措施和事故应急措施等如实书面告知从业人员，不得隐瞒或者欺骗。</w:t>
      </w:r>
    </w:p>
    <w:p w14:paraId="0898834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食品生产企业的作业场所应当符合下列要求：</w:t>
      </w:r>
    </w:p>
    <w:p w14:paraId="38D3628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（一）生产设施设备，按照国家有关规定配备有温度、压力、流量、液位以及粉尘浓度、可燃和有毒气体浓度等工艺指标的超限报警装置；</w:t>
      </w:r>
    </w:p>
    <w:p w14:paraId="3A64A0C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（二）用电设备设施和场所，采取保护措施，并在配电设备设施上安装剩余电流动作保护装置或者其他防止触电的装置；</w:t>
      </w:r>
    </w:p>
    <w:p w14:paraId="7086E2B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（三）涉及烘制、油炸等高温的设施设备和岗位，采用必要的防过热自动报警切断和隔热板、墙等保护设施；</w:t>
      </w:r>
    </w:p>
    <w:p w14:paraId="6D23EA9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（四）涉及淀粉等可燃性粉尘爆炸危险的场所、设施设备，采用惰化、抑爆、阻爆、泄爆等措施防止粉尘爆炸，现场安全管理措施和条件符合《粉尘防爆安全规程》（GB15577）等国家标准或者行业标准的要求；</w:t>
      </w:r>
    </w:p>
    <w:p w14:paraId="5ADC5FA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油库（罐）、燃气站、除尘器、压缩空气站、压力容器、压力管道、电缆隧道（沟）等重点防火防爆部位，采取有效、可靠的监控、监测、预警、防火、防爆、防毒等安全措施。安全附件和联锁装置不得随意拆弃和解除，声、光报警等信号不得随意切断；</w:t>
      </w:r>
    </w:p>
    <w:p w14:paraId="5F3F22C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制冷车间符合《冷库设计规范》（GB50072）、《冷库安全规程》（GB28009）等国家标准或者行业标准的规定，设置气体浓度报警装置，且与制冷电机联锁、与事故排风机联动。在包装间、分割间等人员密集场所，严禁采用氨直接蒸发的制冷系统。</w:t>
      </w:r>
    </w:p>
    <w:p w14:paraId="53E620F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食品生产企业涉及生产、储存和使用危险化学品的，应当严格按照《危险化学品安全管理条例》等法律、行政法规、国家标准或者行业标准的规定，根据危险化学品的种类和危险特性，在生产、储存和使用场所设置相应的监测、监控、通风、防晒、调温、防火、灭火、防爆、泄压、防毒、中和、防潮、防雷、防静电、防腐、防泄漏以及防护围堤等安全设施设备，并对安全设施设备进行经常性维护保养，保证其正常运行。</w:t>
      </w:r>
    </w:p>
    <w:p w14:paraId="382D7BA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食品生产企业的中间产品为危险化学品的，应当依照有关规定取得危险化学品安全生产许可证。</w:t>
      </w:r>
    </w:p>
    <w:p w14:paraId="0375B1B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第二十条第二款 食品生产企业应当在有危险因素的场所和有关设施、设备上设置明显的安全警示标志和警示说明。</w:t>
      </w:r>
    </w:p>
    <w:p w14:paraId="1AC6369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食品生产企业进行高处作业、吊装作业、临近高压输电线路作业、电焊气焊等动火作业，以及在污水池等有限空间内作业的，应当实行作业审批制度，安排专门人员负责现场安全管。</w:t>
      </w:r>
    </w:p>
    <w:p w14:paraId="692B2A2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县级以上人民政府负责食品生产企业安全生产监管的部门及其行政执法人员应当在其职责范围内加强对食品生产企业安全生产的监督检查，对违反有关安全生产法律、行政法规、国家标准或者行业标准和本规定的违法行为，依法实施行政处罚。</w:t>
      </w:r>
    </w:p>
    <w:p w14:paraId="12E7909D">
      <w:pPr>
        <w:pStyle w:val="29"/>
        <w:snapToGrid w:val="0"/>
        <w:spacing w:line="560" w:lineRule="exact"/>
        <w:ind w:firstLine="640"/>
        <w:textAlignment w:val="baseline"/>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val="en-US"/>
        </w:rPr>
        <w:t>（二）《工贸行业重大生产安全事故隐患判定标准（2017版）》行业类重大事故隐患（五）轻工行业</w:t>
      </w:r>
    </w:p>
    <w:p w14:paraId="5C2DFAE4">
      <w:pPr>
        <w:pStyle w:val="29"/>
        <w:snapToGrid w:val="0"/>
        <w:spacing w:line="560" w:lineRule="exact"/>
        <w:ind w:firstLine="640"/>
        <w:textAlignment w:val="baseline"/>
        <w:rPr>
          <w:rFonts w:hint="default" w:ascii="Times New Roman" w:hAnsi="Times New Roman" w:cs="Times New Roman"/>
          <w:color w:val="FF0000"/>
          <w:sz w:val="32"/>
          <w:szCs w:val="32"/>
          <w:lang w:val="en-US"/>
        </w:rPr>
      </w:pPr>
      <w:r>
        <w:rPr>
          <w:rFonts w:hint="default" w:ascii="Times New Roman" w:hAnsi="Times New Roman" w:cs="Times New Roman"/>
          <w:sz w:val="32"/>
          <w:szCs w:val="32"/>
          <w:lang w:val="en-US"/>
        </w:rPr>
        <w:t>1.食品制造企业烘制、油炸设备未设置防过热自动切断装置的。</w:t>
      </w:r>
    </w:p>
    <w:p w14:paraId="59C110A0">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第九章 对地质勘探单位安全生产的监督检查工作指引</w:t>
      </w:r>
    </w:p>
    <w:p w14:paraId="6303792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56841B8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对地质勘探单位安全生产的监督检查。</w:t>
      </w:r>
    </w:p>
    <w:p w14:paraId="3A785DDC">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397BE36D">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（一）安全生产管理机构设立和专职安全生产管理人员配备情况</w:t>
      </w:r>
    </w:p>
    <w:p w14:paraId="5BC64CE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地质勘探单位及其主管单位是否按照有关规定设置安全生产管理机构或者配备专职安全生产管理人员；（1）地质勘探单位从业人员超过100人的，是否设置安全生产管理机构，并按不低于从业人员1%的比例配备专职安全生产管理人员；从业人员在100人以下的，是否配备不少于2名的专职安全生产管理人员；（2）所属地质勘探单位从业人员总数在3000人以上的地质勘探主管单位，是否设置安全生产管理机构，并按不低于从业人员总数1‰的比例配备专职安全生产管理人员；从业人员总数在3000人以下的，是否设置安全生产管理机构或者配备不少于1名的专职安全生产管理人员。</w:t>
      </w:r>
    </w:p>
    <w:p w14:paraId="40AE7DF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3.专职安全生产管理人员中是否有注册安全工程师。</w:t>
      </w:r>
    </w:p>
    <w:p w14:paraId="35DB4EE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4.地质勘探单位的主要负责人和安全生产管理人员是否具备与本单位所从事地质勘探活动相适应的安全生产知识和管理能力，并经安全生产监督管理部门考核合格。</w:t>
      </w:r>
    </w:p>
    <w:p w14:paraId="4ACD9426">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（二）特种作业人员持证上岗情况</w:t>
      </w:r>
    </w:p>
    <w:p w14:paraId="471AC02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地质勘探单位的特种作业人员是否经专门的安全技术培训并考核合格，取得特种作业操作证后，方可上岗作业。</w:t>
      </w:r>
    </w:p>
    <w:p w14:paraId="30B008D2">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（三）从事坑探工程作业人员安全生产教育和培训情况</w:t>
      </w:r>
    </w:p>
    <w:p w14:paraId="2A6A31F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地质勘探单位从事坑探工程作业的人员，首次上岗作业前是否接受不少于72小时的安全生产教育和培训，是否每年接受不少于20小时的安全生产再培训。</w:t>
      </w:r>
    </w:p>
    <w:p w14:paraId="1EE578A2">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（四）安全生产制度和规程建立情况</w:t>
      </w:r>
    </w:p>
    <w:p w14:paraId="50FB6C2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地质勘探单位应当建立健全下列安全生产制度和规程：</w:t>
      </w:r>
    </w:p>
    <w:p w14:paraId="2A31D1B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（1）主要负责人、分管负责人、安全生产管理人员和职能部门、岗位的安全生产责任制度；</w:t>
      </w:r>
    </w:p>
    <w:p w14:paraId="02B148A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（2）岗位作业安全规程和工种操作规程；</w:t>
      </w:r>
    </w:p>
    <w:p w14:paraId="0DEC09F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（3）现场安全生产检查制度；</w:t>
      </w:r>
    </w:p>
    <w:p w14:paraId="62C828A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（4）安全生产教育培训制度；</w:t>
      </w:r>
    </w:p>
    <w:p w14:paraId="45120A3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（5）重大危险源检测监控制度；</w:t>
      </w:r>
    </w:p>
    <w:p w14:paraId="4FA5CBE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（6）安全投入保障制度；</w:t>
      </w:r>
    </w:p>
    <w:p w14:paraId="2B6FBAD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（7）事故隐患排查治理制度；</w:t>
      </w:r>
    </w:p>
    <w:p w14:paraId="6638561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（8）事故信息报告、应急预案管理和演练制度；</w:t>
      </w:r>
    </w:p>
    <w:p w14:paraId="2A64F72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（9）劳动防护用品、野外救生用品和野外特殊生活用品配备使用制度；</w:t>
      </w:r>
    </w:p>
    <w:p w14:paraId="3E1EC08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（10）安全生产考核和奖惩制度；</w:t>
      </w:r>
    </w:p>
    <w:p w14:paraId="4ECA2C2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（11）其他必须建立的安全生产制度。</w:t>
      </w:r>
    </w:p>
    <w:p w14:paraId="5D9B46C6">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（五）安全生产费用提取和使用情况</w:t>
      </w:r>
    </w:p>
    <w:p w14:paraId="0291E81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地质勘探单位是否按照国家有关规定提取和使用安全生产费用。安全生产费用列入生产成本，并实行专户存储、规范使用。</w:t>
      </w:r>
    </w:p>
    <w:p w14:paraId="5DA9F5DF">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7AA283E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0DC24C60">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4C503E7B">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14:paraId="108E774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5069D9A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14:paraId="2E4FF58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56D2CF0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4DA66B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A5B280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14:paraId="62D9F9CE">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（二）《金属与非金属矿产资源地质勘探安全生产监督管理暂行规定》（国家安全监管总局令第35号；2015年5月26日修正）</w:t>
      </w:r>
    </w:p>
    <w:p w14:paraId="1F981C5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第五条第二款 县级以上地方各级人民政府安全生产监督管理部门对本行政区域内地质勘探作业的安全生产工作实施监督管理。</w:t>
      </w:r>
    </w:p>
    <w:p w14:paraId="42AF77F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地质勘探单位应当遵守有关安全生产法律、法规、规章、国家标准以及行业标准的规定，加强安全生产管理，排查治理事故隐患，确保安全生产。</w:t>
      </w:r>
    </w:p>
    <w:p w14:paraId="43C37ED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从事钻探工程、坑探工程施工的地质勘探单位应当取得安全生产许可证。</w:t>
      </w:r>
    </w:p>
    <w:p w14:paraId="79BDBAA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地质勘探单位从事地质勘探活动，应当持本单位地质勘查资质证书和地质勘探项目任务批准文件或者合同书，向工作区域所在地县级安全生产监督管理部门书面报告，并接受其监督检查。</w:t>
      </w:r>
    </w:p>
    <w:p w14:paraId="7EF0C36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地质勘探单位应当建立健全下列安全生产制度和规程：</w:t>
      </w:r>
    </w:p>
    <w:p w14:paraId="13C50ED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（一）主要负责人、分管负责人、安全生产管理人员和职能部门、岗位的安全生产责任制度；</w:t>
      </w:r>
    </w:p>
    <w:p w14:paraId="01B2D95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（二）岗位作业安全规程和工种操作规程；</w:t>
      </w:r>
    </w:p>
    <w:p w14:paraId="5415E97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（三）现场安全生产检查制度；</w:t>
      </w:r>
    </w:p>
    <w:p w14:paraId="1583408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（四）安全生产教育培训制度；</w:t>
      </w:r>
    </w:p>
    <w:p w14:paraId="3EF4883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（五）重大危险源检测监控制度；</w:t>
      </w:r>
    </w:p>
    <w:p w14:paraId="77B3988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（六）安全投入保障制度；</w:t>
      </w:r>
    </w:p>
    <w:p w14:paraId="6200EBD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（七）事故隐患排查治理制度；</w:t>
      </w:r>
    </w:p>
    <w:p w14:paraId="3C2B2B9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（八）事故信息报告、应急预案管理和演练制度；</w:t>
      </w:r>
    </w:p>
    <w:p w14:paraId="100E9F8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（九）劳动防护用品、野外救生用品和野外特殊生活用品配备使用制度；</w:t>
      </w:r>
    </w:p>
    <w:p w14:paraId="736FDB8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（十）安全生产考核和奖惩制度；</w:t>
      </w:r>
    </w:p>
    <w:p w14:paraId="336B522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（十一）其他必须建立的安全生产制度。</w:t>
      </w:r>
    </w:p>
    <w:p w14:paraId="209E5B9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地质勘探单位及其主管单位应当按照下列规定设置安全生产管理机构或者配备专职安全生产管理人员：</w:t>
      </w:r>
    </w:p>
    <w:p w14:paraId="09150F3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（一）地质勘探单位从业人员超过100人的，应当设置安全生产管理机构，并按不低于从业人员1%的比例配备专职安全生产管理人员；从业人员在100人以下的，应当配备不少于2名的专职安全生产管理人员；</w:t>
      </w:r>
    </w:p>
    <w:p w14:paraId="6278084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所属地质勘探单位从业人员总数在3000人以上的地质勘探主管单位，应当设置安全生产管理机构，并按不低于从业人员总数1‰的比例配备专职安全生产管理人员；从业人员总数在3000人以下的，应当设置安全生产管理机构或者配备不少于1名的专职安全生产管理人员。</w:t>
      </w:r>
    </w:p>
    <w:p w14:paraId="26D99E6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专职安全生产管理人员中应当有注册安全工程师。</w:t>
      </w:r>
    </w:p>
    <w:p w14:paraId="3B068F9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地质勘探单位的主要负责人和安全生产管理人员应当具备与本单位所从事地质勘探活动相适应的安全生产知识和管理能力，并经安全生产监督管理部门考核合格。</w:t>
      </w:r>
    </w:p>
    <w:p w14:paraId="5F27CE5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地质勘探单位的特种作业人员必须经专门的安全技术培训并考核合格，取得特种作业操作证后，方可上岗作业。</w:t>
      </w:r>
    </w:p>
    <w:p w14:paraId="463F63C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地质勘探单位从事坑探工程作业的人员，首次上岗作业前应当接受不少于72小时的安全生产教育和培训，以后每年应当接受不少于20小时的安全生产再培训。</w:t>
      </w:r>
    </w:p>
    <w:p w14:paraId="0078FDD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地质勘探单位应当按照国家有关规定提取和使用安全生产费用。安全生产费用列入生产成本，并实行专户存储、规范使用。</w:t>
      </w:r>
    </w:p>
    <w:p w14:paraId="24CFEC8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地质勘探工程的设计、施工和安全管理应当符合《地质勘探安全规程》（AQ2004-2005）的规定。</w:t>
      </w:r>
    </w:p>
    <w:p w14:paraId="46E9BED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第十五条第一款 坑探工程的设计方案中应当设有安全专篇。安全专篇应当经所在地安全生产监督管理部门审查同意；未经审查同意的，有关单位不得施工。</w:t>
      </w:r>
    </w:p>
    <w:p w14:paraId="3354485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地质勘探单位不得将其承担的地质勘探工程项目转包给不具备安全生产条件或者相应地质勘查资质的地质勘探单位，不得允许其他单位以本单位的名义从事地质勘探活动。</w:t>
      </w:r>
    </w:p>
    <w:p w14:paraId="532B17C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地质勘探单位应当为从业人员配备必要的劳动防护用品、野外救生用品和野外特殊生活用品。</w:t>
      </w:r>
    </w:p>
    <w:p w14:paraId="42DA45B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地质勘探单位应当根据本单位实际情况制定野外作业突发事件等安全生产应急预案，建立健全应急救援组织或者与邻近的应急救援组织签订救护协议，配备必要的应急救援器材和设备，按照有关规定组织开展应急演练。</w:t>
      </w:r>
    </w:p>
    <w:p w14:paraId="3AF5756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应急预案应当按照有关规定报安全生产监督管理部门和地质勘探主管单位备案。</w:t>
      </w:r>
    </w:p>
    <w:p w14:paraId="4E3828B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地质勘探主管单位应当按照国家有关规定，定期检查所属地质勘探单位落实安全生产责任制和安全生产费用提取使用、安全生产教育培训、事故隐患排查治理等情况，并组织实施安全生产绩效考核。</w:t>
      </w:r>
    </w:p>
    <w:p w14:paraId="74783D8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安全生产监督管理部门应当加强对地质勘探单位安全生产的监督检查，对检查中发现的事故隐患和安全生产违法违规行为，依法作出现场处理或者实施行政处罚。</w:t>
      </w:r>
    </w:p>
    <w:p w14:paraId="562AD527">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第十章 对生产经营单位安全培训及特种作业人员持证上岗情况的监督检查工作指引</w:t>
      </w:r>
    </w:p>
    <w:p w14:paraId="335EC8E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1E2F974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对生产经营单位安全培训情况的行政检查。</w:t>
      </w:r>
    </w:p>
    <w:p w14:paraId="05181292">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1778395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（一）安全培训经费投入和使用情况；</w:t>
      </w:r>
    </w:p>
    <w:p w14:paraId="553A2BE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（二）制定安全培训制度、年度培训计划并实施，建立安全培训管理档案情况；</w:t>
      </w:r>
    </w:p>
    <w:p w14:paraId="44F5A26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（三）从业人员安全生产教育和培训情况；</w:t>
      </w:r>
    </w:p>
    <w:p w14:paraId="58FD510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（四）主要负责人、安全生产管理人员和特种作业人员培训情况。</w:t>
      </w:r>
    </w:p>
    <w:p w14:paraId="2E7BD3FF">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0D0B1CB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7F408A40">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31CCB5E9">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14:paraId="0E92283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5D9372C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3B42498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生产经营单位接收中等职业学校、高等学校学生实习的，应当对实习学生进行相应的安全生产教育和培训，提供必要的劳动防护用品。学校应当协助生产经营单位对实习学生进行安全生产教育和培训。</w:t>
      </w:r>
    </w:p>
    <w:p w14:paraId="1D8C880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生产经营单位应当建立安全生产教育和培训档案，如实记录安全生产教育和培训的时间、内容、参加人员以及考核结果等情况。</w:t>
      </w:r>
    </w:p>
    <w:p w14:paraId="16916AB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 生产经营单位采用新工艺、新技术、新材料或者使用新设备，必须了解、掌握其安全技术特性，采取有效的安全防护措施，并对从业人员进行专门的安全生产教育和培训。</w:t>
      </w:r>
    </w:p>
    <w:p w14:paraId="4FDB513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 生产经营单位的特种作业人员必须按照国家有关规定经专门的安全作业培训，取得相应资格，方可上岗作业。</w:t>
      </w:r>
    </w:p>
    <w:p w14:paraId="62CB0D8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6B69576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14:paraId="50EFF3D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10FC44F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43F2F4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52A2911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14:paraId="1BAE645F">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（二）《生产经营单位安全培训规定》（国家安全监管总局令第3号）</w:t>
      </w:r>
    </w:p>
    <w:p w14:paraId="2477600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第三条第二款 生产经营单位应当按照安全生产法和有关法律、行政法规和本规定，建立健全安全培训工作制度。</w:t>
      </w:r>
    </w:p>
    <w:p w14:paraId="229CF33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第四条第一款 生产经营单位应当进行安全培训的从业人员包括主要负责人、安全生产管理人员、特种作业人员和其他从业人员。</w:t>
      </w:r>
    </w:p>
    <w:p w14:paraId="6776164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第四款 生产经营单位从业人员应当接受安全培训，熟悉有关安全生产规章制度和安全操作规程，具备必要的安全生产知识，掌握本岗位的安全操作技能，了解事故应急处理措施，知悉自身在安全生产方面的权利和义务。</w:t>
      </w:r>
    </w:p>
    <w:p w14:paraId="608A157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第五款 未经安全培训合格的从业人员，不得上岗作业。</w:t>
      </w:r>
    </w:p>
    <w:p w14:paraId="0B8FF82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第五条第五款 各级安全生产监督管理部门和煤矿安全监察机构（以下简称安全生产监管监察部门）按照各自的职责，依法对生产经营单位的安全培训工作实施监督管理。</w:t>
      </w:r>
    </w:p>
    <w:p w14:paraId="340E8F4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生产经营单位主要负责人和安全生产管理人员应当接受安全培训，具备与所从事的生产经营活动相适应的安全生产知识和管理能力。</w:t>
      </w:r>
    </w:p>
    <w:p w14:paraId="66326FC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生产经营单位主要负责人和安全生产管理人员初次安全培训时间不得少于32学时。每年再培训时间不得少于12学时。</w:t>
      </w:r>
    </w:p>
    <w:p w14:paraId="7827F8F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…、非煤矿山、危险化学品、烟花爆竹、金属冶炼等生产经营单位主要负责人和安全生产管理人员初次安全培训时间不得少于48学时，每年再培训时间不得少于16学时。</w:t>
      </w:r>
    </w:p>
    <w:p w14:paraId="4EA3886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非煤矿山、危险化学品、烟花爆竹、金属冶炼等生产经营单位必须对新上岗的临时工、合同工、劳务工、轮换工、协议工等进行强制性安全培训，保证其具备本岗位安全操作、自救互救以及应急处置所需的知识和技能后，方能安排上岗作业。</w:t>
      </w:r>
    </w:p>
    <w:p w14:paraId="09C8B32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加工、制造业等生产单位的其他从业人员，在上岗前必须经过厂（矿）、车间（工段、区、队）、班组三级安全培训教育。</w:t>
      </w:r>
    </w:p>
    <w:p w14:paraId="6005CAB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生产经营单位应当根据工作性质对其他从业人员进行安全培训，保证其具备本岗位安全操作、应急处置等知识和技能。</w:t>
      </w:r>
    </w:p>
    <w:p w14:paraId="2406B83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生产经营单位新上岗的从业人员，岗前安全培训时间不得少于24学时。</w:t>
      </w:r>
    </w:p>
    <w:p w14:paraId="7234945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…、非煤矿山、危险化学品、烟花爆竹、金属冶炼等生产经营单位新上岗的从业人员安全培训时间不得少于72学时，每年再培训的时间不得少于20学时。</w:t>
      </w:r>
    </w:p>
    <w:p w14:paraId="2A99963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第二十五条第一款：安全生产监管监察部门依法对生产经营单位安全培训情况进行监督检查，督促生产经营单位按照国家有关法律法规和本规定开展安全培训工作。</w:t>
      </w:r>
    </w:p>
    <w:p w14:paraId="463A9B3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第二十六条：各级安全生产监管监察部门对生产经营单位安全培训及其持证上岗的情况进行监督检查，主要包括以下内容：</w:t>
      </w:r>
    </w:p>
    <w:p w14:paraId="2E17212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（一）安全培训制度、计划的制定及其实施的情况；</w:t>
      </w:r>
    </w:p>
    <w:p w14:paraId="42586C8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非煤矿山、危险化学品、烟花爆竹、金属冶炼等生产经营单位主要负责人和安全生产管理人员安全培训以及安全生产知识和管理能力考核的情况；其他生产经营单位主要负责人和安全生产管理人员培训的情况；</w:t>
      </w:r>
    </w:p>
    <w:p w14:paraId="75B2F0C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（三）特种作业人员操作资格证持证上岗的情况；</w:t>
      </w:r>
    </w:p>
    <w:p w14:paraId="0E6751A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（四）建立安全生产教育和培训档案，并如实记录的情况；</w:t>
      </w:r>
    </w:p>
    <w:p w14:paraId="03AC4DA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（五）对从业人员现场抽考本职工作的安全生产知识；</w:t>
      </w:r>
    </w:p>
    <w:p w14:paraId="67C82A7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（六）其他需要检查的内容。</w:t>
      </w:r>
    </w:p>
    <w:p w14:paraId="74BC226C">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（三）《安全生产培训管理办法》（国家安全监管总局令第44号，2013年8月29日第一次修正,2015年5月29日第二次修正）</w:t>
      </w:r>
    </w:p>
    <w:p w14:paraId="661D2C0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第三十条：安全生产监督管理部门、煤矿安全培训监管机构应当对生产经营单位的安全培训情况进行监督检查，检查内容包括：</w:t>
      </w:r>
    </w:p>
    <w:p w14:paraId="07AB9B1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（一）安全培训制度、年度培训计划、安全培训管理档案的制定和实施的情况；</w:t>
      </w:r>
    </w:p>
    <w:p w14:paraId="458BE47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（二）安全培训经费投入和使用的情况；</w:t>
      </w:r>
    </w:p>
    <w:p w14:paraId="398690C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（三）主要负责人、安全生产管理人员接受安全生产知识和管理能力考核的情况；</w:t>
      </w:r>
    </w:p>
    <w:p w14:paraId="6AA64CC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（四）特种作业人员持证上岗的情况；</w:t>
      </w:r>
    </w:p>
    <w:p w14:paraId="64EE735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（五）应用新工艺、新技术、新材料、新设备以及转岗前对从业人员安全培训的情况；</w:t>
      </w:r>
    </w:p>
    <w:p w14:paraId="78D9DB3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（六）其他从业人员安全培训的情况；</w:t>
      </w:r>
    </w:p>
    <w:p w14:paraId="1003AA7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（七）法律法规规定的其他内容。</w:t>
      </w:r>
    </w:p>
    <w:p w14:paraId="3A21D505">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第十一章 对生产、储存、使用、经营危险化学品单位的安全生产监督检查工作指引</w:t>
      </w:r>
    </w:p>
    <w:p w14:paraId="4BA2D31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4C35433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（一）对一般危险化学品生产、储存的行政检查</w:t>
      </w:r>
    </w:p>
    <w:p w14:paraId="3B54EF5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（二）对一般危险化学品经营的行政检查</w:t>
      </w:r>
    </w:p>
    <w:p w14:paraId="1A8E83F5">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4EFDEAC3">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（一）对一般危险化学品生产、储存的行政检查内容</w:t>
      </w:r>
    </w:p>
    <w:p w14:paraId="5F477B0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1.安全生产许可情况</w:t>
      </w:r>
    </w:p>
    <w:p w14:paraId="6871B9D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（1）是否未取得《安全生产许可》证擅自进行生产；</w:t>
      </w:r>
    </w:p>
    <w:p w14:paraId="2B825BB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（2）是否《安全生产许可证》有效期满未办理延期手续，继续进行生产；</w:t>
      </w:r>
    </w:p>
    <w:p w14:paraId="7F129CD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（3）是否违反规定出租、出借、转让安全生产许可证；</w:t>
      </w:r>
    </w:p>
    <w:p w14:paraId="2E5A744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（4）是否接受转让、冒用安全生产许可证或者使用伪造的安全生产许可证；</w:t>
      </w:r>
    </w:p>
    <w:p w14:paraId="02AA29A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（5）《安全生产许可证》有效期内主要负责人、企业名称、注册地址、隶属关系发生变更或者新增产品、改变工艺技术对企业安全生产产生重大影响，是否按照规定的时限提出安全生产许可证变更申请；</w:t>
      </w:r>
    </w:p>
    <w:p w14:paraId="5143DF0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（6）《安全生产许可证》有效期内，其危险化学品建设项目安全设施竣工验收合格后，是否按照规定的时限提出安全生产许可证变更申请并擅自投入运行。</w:t>
      </w:r>
    </w:p>
    <w:p w14:paraId="3C646B4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2.履行建设项目安全设施“三同时”情况</w:t>
      </w:r>
    </w:p>
    <w:p w14:paraId="31785B5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（1）是否按照规定对危险化学品生产、储存建设项目进行安全评价。</w:t>
      </w:r>
    </w:p>
    <w:p w14:paraId="55CA882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（2）是否危险化学品建设项目未有安全设施设计，安全设施设计未按照规定报经有关部门审查同意。</w:t>
      </w:r>
    </w:p>
    <w:p w14:paraId="3B75DD0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（3）是否用于生产、储存危险化学品的建设项目竣工投入生产或者使用前，安全设施未经验收合格。</w:t>
      </w:r>
    </w:p>
    <w:p w14:paraId="6F0DDB9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3.企业主要负责人、安全管理人员安全生产教育情况（人员培训和持证上岗情况）</w:t>
      </w:r>
    </w:p>
    <w:p w14:paraId="45A3753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（1）主要负责人、分管安全生产的负责人或者安全总监、安全生产管理人员是否经过培训，并由负有安全生产监督管理职责的主管部门对其安全生产知识和管理能力考核合格；</w:t>
      </w:r>
    </w:p>
    <w:p w14:paraId="32A386F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特种作业人员是否按照国家有关规定经专门的安全作业培训，取得相应资格后上岗作业（重点抽查电工作业操作证、焊接与热切割作业操作证、高处作业操作证、制冷与空调作业操作证、危险化学品安全作业操作证等）；</w:t>
      </w:r>
    </w:p>
    <w:p w14:paraId="6CA61B5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（3）特种作业人员是否伪造、涂改特种作业操作证或者使用伪造的特种作业操作证；</w:t>
      </w:r>
    </w:p>
    <w:p w14:paraId="0D53A6C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（4）特种作业人员是否转借、转让、冒用特种作业操作证；</w:t>
      </w:r>
    </w:p>
    <w:p w14:paraId="460CB89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（5）是否按照规定对从业人员、被派遣劳动者、实习学生进行安全生产教育和培训；</w:t>
      </w:r>
    </w:p>
    <w:p w14:paraId="0241628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（6）是否如实记录安全生产教育和培训的时间、内容、参加人员以及考核结果等情况</w:t>
      </w:r>
    </w:p>
    <w:p w14:paraId="3B13D27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（7）危险化学品生产企业新上岗的从业人员安全培训时间是否是72学时，每年再培训的时间是否是20学时。</w:t>
      </w:r>
    </w:p>
    <w:p w14:paraId="45E8CC0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（8）调整工作岗位或离岗一年以上重新上岗时，或采用新工艺、新技术、新材料或者使用新设备时，是否对有关从业人员重新进行安全培训。</w:t>
      </w:r>
    </w:p>
    <w:p w14:paraId="3237900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4.编制事故应急预案并进行演练情况</w:t>
      </w:r>
    </w:p>
    <w:p w14:paraId="5BCE462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（1）是否制定本单位生产安全事故应急救援预案；</w:t>
      </w:r>
    </w:p>
    <w:p w14:paraId="2641146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（2）是否对本单位编制的应急预案进行评审，并形成书面纪要；</w:t>
      </w:r>
    </w:p>
    <w:p w14:paraId="062E37E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（3）是否将其制定的生产安全事故应急救援预案按照国家有关规定报送县级以上人民政府负有安全生产监督管理职责的部门备案；</w:t>
      </w:r>
    </w:p>
    <w:p w14:paraId="507D46C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（4）是否至少每半年组织1次生产安全事故应急救援预案演练；</w:t>
      </w:r>
    </w:p>
    <w:p w14:paraId="1742089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（5）是否按照应急预案的规定，落实应急物资及装备，建立应急物资、装备配备及其使用档案。</w:t>
      </w:r>
    </w:p>
    <w:p w14:paraId="42957CC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5.外包工程管理情况</w:t>
      </w:r>
    </w:p>
    <w:p w14:paraId="11B11CA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（1）是否将生产经营项目、场所、设备发包或者出租给不具备安全生产条件或者相应资质的单位或者个人；</w:t>
      </w:r>
    </w:p>
    <w:p w14:paraId="6D2D366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（2）是否与承包单位、承租单位签订专门的安全生产管理协议或者未在承包合同、租赁合同中明确各自的安全生产管理职责；</w:t>
      </w:r>
    </w:p>
    <w:p w14:paraId="11C18CF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（3）是否对承包单位、承租单位的安全生产统一协调、管理</w:t>
      </w:r>
    </w:p>
    <w:p w14:paraId="0299CBA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6.劳动防护用品佩戴和使用情况</w:t>
      </w:r>
    </w:p>
    <w:p w14:paraId="141D464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是否为从业人员提供符合国家标准、行业标准或者地方标准的劳动防护用品；</w:t>
      </w:r>
    </w:p>
    <w:p w14:paraId="17BE441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7.“两重点一重大”安全管理情况</w:t>
      </w:r>
    </w:p>
    <w:p w14:paraId="21E9040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（1）涉及“两重点一重大”的生产装置、储存设施外部安全防护距离不符合国家标准要求。</w:t>
      </w:r>
    </w:p>
    <w:p w14:paraId="0DFB33B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（2）涉及重点监管危险化工工艺的装置未实现自动化控制，系统未实现紧急停车功能，装备的自动化控制系统、紧急停车系统未投入使用。</w:t>
      </w:r>
    </w:p>
    <w:p w14:paraId="1594053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（3）构成一级、二级重大危险源的危险化学品罐区未实现紧急切断功能；涉及毒性气体、液化气体、剧毒液体的一级、二级重大危险源的危险化学品罐区未配备独立的安全仪表系统。</w:t>
      </w:r>
    </w:p>
    <w:p w14:paraId="17FCB0C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（4）涉及可燃和有毒有害气体泄漏的场所未按国家标准设置检测报警装置，爆炸危险场所未按国家标准安装使用防爆电气设备。</w:t>
      </w:r>
    </w:p>
    <w:p w14:paraId="2F12B23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（5）液化烃、液氨、液氯等易燃易爆、有毒有害液化气体的充装未使用万向管道充装系统。</w:t>
      </w:r>
    </w:p>
    <w:p w14:paraId="0784BB4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（6）光气、氯气等剧毒气体及硫化氢气体管道穿越除厂区(包括化工园区、工业园区）外的公共区域。</w:t>
      </w:r>
    </w:p>
    <w:p w14:paraId="202A4D4F">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（二）对一般危险化学品经营的行政检查内容</w:t>
      </w:r>
    </w:p>
    <w:p w14:paraId="0BAB8A7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1.经营许可证情况</w:t>
      </w:r>
    </w:p>
    <w:p w14:paraId="2EF7547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（1）是否取得危险化学品经营许可证从事危险化学品经营；</w:t>
      </w:r>
    </w:p>
    <w:p w14:paraId="62006F8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（2）在经营许可证有效期届满后，是否经延期批准，仍然从事危险化学品经营；</w:t>
      </w:r>
    </w:p>
    <w:p w14:paraId="2E88A7B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（3）是否经营国家禁止经营的危险化学品；</w:t>
      </w:r>
    </w:p>
    <w:p w14:paraId="2CBFD9D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（4）是否伪造、变造或者出租、出借、转让经营许可证，或者使用伪造、变造的经营许可证；</w:t>
      </w:r>
    </w:p>
    <w:p w14:paraId="6AB5807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（5）已经取得经营许可证的企业变更企业名称、主要负责人、注册地址或者危险化学品储存设施及其监控措施的，是否按规定申请变更；</w:t>
      </w:r>
    </w:p>
    <w:p w14:paraId="2D652BE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（6）取得经营许可证的企业有新建、改建、扩建危险化学品储存设施建设项目的，是否按规定申请变更。</w:t>
      </w:r>
    </w:p>
    <w:p w14:paraId="165D895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2.企业主要负责人、安全生产管理人员、特种作业人员持证上岗情况；其他从业人员安全生产教育培训情况</w:t>
      </w:r>
    </w:p>
    <w:p w14:paraId="6A9095F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（1）主要负责人、分管安全生产的负责人或者安全总监、安全生产管理人员是否经过培训，并由负有安全生产监督管理职责的主管部门对其安全生产知识和管理能力考核合格。</w:t>
      </w:r>
    </w:p>
    <w:p w14:paraId="2100EAA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（2）特种作业人员是否按照国家有关规定经专门的安全作业培训，取得相应资格后上岗作业。</w:t>
      </w:r>
    </w:p>
    <w:p w14:paraId="2204854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（3）特种作业人员是否伪造、涂改特种作业操作证或者使用伪造的特种作业操作证；</w:t>
      </w:r>
    </w:p>
    <w:p w14:paraId="5E35632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（4）特种作业人员是否转借、转让、冒用特种作业操作证。</w:t>
      </w:r>
    </w:p>
    <w:p w14:paraId="28229E1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（5）是否按照规定对从业人员、被派遣劳动者、实习学生进行安全生产教育和培训；</w:t>
      </w:r>
    </w:p>
    <w:p w14:paraId="7630B2A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（6）是否如实记录安全生产教育和培训情况；</w:t>
      </w:r>
    </w:p>
    <w:p w14:paraId="28D4A0E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（7）危险化学品经营企业新上岗的从业人员安全培训时间是否是72学时，每年再培训的时间是否是20学时。</w:t>
      </w:r>
    </w:p>
    <w:p w14:paraId="6081617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（8）从业人员在本生产经营单位内调整工作岗位或离岗一年以上重新上岗时，是否重新接受车间（工段、区、队）和班组级的安全培训。</w:t>
      </w:r>
    </w:p>
    <w:p w14:paraId="4B272EE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3.安全生产规章制度、操作规程建立情况</w:t>
      </w:r>
    </w:p>
    <w:p w14:paraId="1308F00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（1）是否建立事故隐患排查治理制度；</w:t>
      </w:r>
    </w:p>
    <w:p w14:paraId="251E64F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（2）经营、储存危险化学品，是否建立专门安全管理制度、未采取可靠的安全措施；</w:t>
      </w:r>
    </w:p>
    <w:p w14:paraId="0F87B76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（3）储存危险化学品的单位是否建立危险化学品出入库核查、登记制度；</w:t>
      </w:r>
    </w:p>
    <w:p w14:paraId="3E1921B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（4）危险化学品专用仓库是否设专人负责管理，或者对储存的剧毒化学品以及储存数量构成重大危险源的其他危险化学品未实行双人收发、双人保管制度的；</w:t>
      </w:r>
    </w:p>
    <w:p w14:paraId="1A48E7F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（5）是否按照规定执行单位负责人现场带班制度。</w:t>
      </w:r>
    </w:p>
    <w:p w14:paraId="36260C3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4.经营和储存场所、设施、建筑物符合相关国家标准、行业标准情况</w:t>
      </w:r>
    </w:p>
    <w:p w14:paraId="792C342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（1）涉及“两重点一重大”的储存设施外部安全防护距离是否符合国家标准要求。</w:t>
      </w:r>
    </w:p>
    <w:p w14:paraId="26E2DB2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（2）地区架空电力线路是否穿越库区且不符合国家标准要求。</w:t>
      </w:r>
    </w:p>
    <w:p w14:paraId="2E3D900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（3）储存危险化学品数量构成重大危险源的储存设施与《危险化学品安全管理条例》（2013年修正本）第十九条第一款规定的“八类场所、区域”距离不符合要求。</w:t>
      </w:r>
    </w:p>
    <w:p w14:paraId="3609A7E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（4）企业总平面布置防火间距是否满足GB50016、GB50160、GB50074等相关规范的要求。</w:t>
      </w:r>
    </w:p>
    <w:p w14:paraId="32F2D3B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（5）有区域排洪沟通过生产区或者通过厂区时未采取防止泄漏的可燃液体和受污染的消防水流入区域排洪沟的措施。</w:t>
      </w:r>
    </w:p>
    <w:p w14:paraId="35BACFE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（6）是否有地区输油（输气）管道穿越厂区。</w:t>
      </w:r>
    </w:p>
    <w:p w14:paraId="696AB4B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（7）石油库的围墙与爆破作业场地(如采石场)的安全距离，不应小于300m。</w:t>
      </w:r>
    </w:p>
    <w:p w14:paraId="343CE3C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（8）控制室或机柜间面向具有火灾、爆炸危险性装置一侧不满足国家标准关于防火防爆的要求。</w:t>
      </w:r>
    </w:p>
    <w:p w14:paraId="56B9EA5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5.编制事故应急预案并进行演练情况</w:t>
      </w:r>
    </w:p>
    <w:p w14:paraId="6016BC8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（1）是否按照规定制定生产安全事故应急救援预案或者未定期组织演练；</w:t>
      </w:r>
    </w:p>
    <w:p w14:paraId="552D666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（2）生产经营单位是否将生产安全事故应急救援预案报送备案、是否建立应急值班制度或者配备应急值班人员。</w:t>
      </w:r>
    </w:p>
    <w:p w14:paraId="3DBCDAB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（3）是否建立应急救援组织或者生产经营规模较小、未指定兼职应急救援人员的；</w:t>
      </w:r>
    </w:p>
    <w:p w14:paraId="7AD7C1A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（4）是否配备必要的应急救援器材、设备和物资，并进行经常性维护、保养，保证正常运转的。</w:t>
      </w:r>
    </w:p>
    <w:p w14:paraId="23920BE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（5）是否按照规定开展应急预案评审的；</w:t>
      </w:r>
    </w:p>
    <w:p w14:paraId="41C8152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（6）事故风险可能影响周边单位、人员的，是否将事故风险的性质、影响范围和应急防范措施告知周边单位和人员的；</w:t>
      </w:r>
    </w:p>
    <w:p w14:paraId="60F5199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（7）是否按照规定开展应急预案评估的；</w:t>
      </w:r>
    </w:p>
    <w:p w14:paraId="14C551F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（8）是否按照规定进行应急预案修订的。</w:t>
      </w:r>
    </w:p>
    <w:p w14:paraId="3BA4DE9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6.劳动防护用品发放情况</w:t>
      </w:r>
    </w:p>
    <w:p w14:paraId="3B824FB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是否为从业人员提供符合国家标准、行业标准或者地方标准的劳动防护用品。</w:t>
      </w:r>
    </w:p>
    <w:p w14:paraId="5113AC98">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3BCCA61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716B65C7">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5FC34EF2">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14:paraId="4CEA158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1C9637B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14:paraId="32C846F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34D8702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3AA188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3AD75A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14:paraId="75278852">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（二）《危险化学品安全管理条例》（国务院令第344号，2011年2月6日修订）</w:t>
      </w:r>
    </w:p>
    <w:p w14:paraId="12E142D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第四条第三款 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14:paraId="2DF9162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第六条：对危险化学品的生产、储存、使用、经营、运输实施安全监督管理的有关部门(以下统称负有危险化学品安全监督管理职责的部门)，依照下列规定履行职责：</w:t>
      </w:r>
    </w:p>
    <w:p w14:paraId="78BAC5F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w:t>
      </w:r>
    </w:p>
    <w:p w14:paraId="46820A2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第七条第一款 负有危险化学品安全监督管理职责的部门依法进行监督检查，可以采取下列措施：</w:t>
      </w:r>
    </w:p>
    <w:p w14:paraId="4B0D281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（一）进入危险化学品作业场所实施现场检查，向有关单位和人员了解情况，查阅、复制有关文件、资料；</w:t>
      </w:r>
    </w:p>
    <w:p w14:paraId="4A1668F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（二）发现危险化学品事故隐患，责令立即消除或者限期消除；</w:t>
      </w:r>
    </w:p>
    <w:p w14:paraId="37E296C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（三）对不符合法律、行政法规、规章规定或者国家标准、行业标准要求的设施、设备、装置、器材、运输工具，责令立即停止使用；</w:t>
      </w:r>
    </w:p>
    <w:p w14:paraId="44011CC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经本部门主要负责人批准，查封违法生产、储存、使用、经营危险化学品的场所，扣押违法生产、储存、使用、经营、运输的危险化学品以及用于违法生产、使用、运输危险化学品的原材料、设备、运输工具；</w:t>
      </w:r>
    </w:p>
    <w:p w14:paraId="3214536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（五）发现影响危险化学品安全的违法行为，当场予以纠正或者责令限期改正。</w:t>
      </w:r>
    </w:p>
    <w:p w14:paraId="1C826C7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新建、改建、扩建生产、储存危险化学品的建设项目（以下简称建设项目），应当由安全生产监督管理部门进行安全条件审查。</w:t>
      </w:r>
    </w:p>
    <w:p w14:paraId="5320CC9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w:t>
      </w:r>
    </w:p>
    <w:p w14:paraId="2E08439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14:paraId="791DE2A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危险化学品生产企业进行生产前，应当依照《安全生产许可证条例》的规定，取得危险化学品安全生产许可证。</w:t>
      </w:r>
    </w:p>
    <w:p w14:paraId="4CA8CF2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生产列入国家实行生产许可证制度的工业产品目录的危险化学品的企业，应当依照《中华人民共和国工业产品生产许可证管理条例》的规定，取得工业产品生产许可证。</w:t>
      </w:r>
    </w:p>
    <w:p w14:paraId="0288B34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14:paraId="2FB4BBC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14:paraId="42FC8B7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14:paraId="7CA738A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 危险化学品专用仓库应当符合国家标准、行业标准的要求，并设置明显的标志。储存剧毒化学品、易制爆危险化学品的专用仓库，应当按照国家有关规定设置相应的技术防范设施。</w:t>
      </w:r>
    </w:p>
    <w:p w14:paraId="3D09AD4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储存危险化学品的单位应当对其危险化学品专用仓库的安全设施、设备定期进行检测、检验。</w:t>
      </w:r>
    </w:p>
    <w:p w14:paraId="32A24A4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 国家对危险化学品经营（包括仓储经营，下同）实行许可制度。未经许可，任何单位和个人不得经营危险化学品。</w:t>
      </w:r>
    </w:p>
    <w:p w14:paraId="00CAB87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依法设立的危险化学品生产企业在其厂区范围内销售本企业生产的危险化学品，不需要取得危险化学品经营许可。</w:t>
      </w:r>
    </w:p>
    <w:p w14:paraId="27EEDCA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14:paraId="0F4EB58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第三十四条 从事危险化学品经营的企业应当具备下列条件：</w:t>
      </w:r>
    </w:p>
    <w:p w14:paraId="7CF7594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（一）有符合国家标准、行业标准的经营场所，储存危险化学品的，还应当有符合国家标准、行业标准的储存设施；</w:t>
      </w:r>
    </w:p>
    <w:p w14:paraId="73166B2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（二）从业人员经过专业技术培训并经考核合格；</w:t>
      </w:r>
    </w:p>
    <w:p w14:paraId="1928C10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（三）有健全的安全管理规章制度；</w:t>
      </w:r>
    </w:p>
    <w:p w14:paraId="2014A1F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（四）有专职安全管理人员；</w:t>
      </w:r>
    </w:p>
    <w:p w14:paraId="6A79C02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（五）有符合国家规定的危险化学品事故应急预案和必要的应急救援器材、设备；</w:t>
      </w:r>
    </w:p>
    <w:p w14:paraId="6510D6C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（六）法律、法规规定的其他条件。</w:t>
      </w:r>
    </w:p>
    <w:p w14:paraId="161CBD3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第七十条 危险化学品单位应当制定本单位危险化学品事故应急预案，配备应急救援人员和必要的应急救援器材、设备，并定期组织应急救援演练。</w:t>
      </w:r>
    </w:p>
    <w:p w14:paraId="0995AB5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危险化学品单位应当将其危险化学品事故应急预案报所在地设区的市级人民政府安全生产监督管理部门备案。</w:t>
      </w:r>
    </w:p>
    <w:p w14:paraId="1AE298E8">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（三）《危险化学品经营许可证管理办法》（国家安全监管总局令第55号，2015年5月27日修正）</w:t>
      </w:r>
    </w:p>
    <w:p w14:paraId="5CC8961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 安全生产监督管理部门在监督检查中，发现已经取得经营许可证的企业不再具备法律、法规、规章、国家标准、行业标准和本办法规定的安全生产条件，或者存在违反法律、法规、规章和本办法规定的行为的，应当依法作出处理，并及时告知原发证机关。</w:t>
      </w:r>
    </w:p>
    <w:p w14:paraId="6060E2F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 发证机关发现企业以欺骗、贿赂等不正当手段取得经营许可证的，应当撤销已经颁发的经营许可证。</w:t>
      </w:r>
    </w:p>
    <w:p w14:paraId="4A7DC44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第二十七条第一款 已经取得经营许可证的企业有下列情形之一的，发证机关应当注销其经营许可证：</w:t>
      </w:r>
    </w:p>
    <w:p w14:paraId="091FDDA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（一）经营许可证有效期届满未被批准延期的；</w:t>
      </w:r>
    </w:p>
    <w:p w14:paraId="660DAEA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（二）终止危险化学品经营活动的；</w:t>
      </w:r>
    </w:p>
    <w:p w14:paraId="25F8B1D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（三）经营许可证被依法撤销的；</w:t>
      </w:r>
    </w:p>
    <w:p w14:paraId="45A53F1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（四）经营许可证被依法吊销的。</w:t>
      </w:r>
    </w:p>
    <w:p w14:paraId="3B0275F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 未取得经营许可证从事危险化学品经营的，依照《中华人民共和国安全生产法》有关未经依法批准擅自生产、经营、储存危险物品的法律责任条款并处罚款；构成犯罪的，依法追究刑事责任。</w:t>
      </w:r>
    </w:p>
    <w:p w14:paraId="00B80FC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企业在经营许可证有效期届满后，仍然从事危险化学品经营的，依照前款规定给予处罚。</w:t>
      </w:r>
    </w:p>
    <w:p w14:paraId="47684E4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w:t>
      </w:r>
    </w:p>
    <w:p w14:paraId="2AD027A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（一）对重复使用的危险化学品包装物、容器，在重复使用前不进行检查的；</w:t>
      </w:r>
    </w:p>
    <w:p w14:paraId="23A165E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（二）未根据其储存的危险化学品的种类和危险特性，在作业场所设置相关安全设施、设备，或者未按照国家标准、行业标准或者国家有关规定对安全设施、设备进行经常性维护、保养的；</w:t>
      </w:r>
    </w:p>
    <w:p w14:paraId="33F5564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（三）未将危险化学品储存在专用仓库内，或者未将剧毒化学品以及储存数量构成重大危险源的其他危险化学品在专用仓库内单独存放的；</w:t>
      </w:r>
    </w:p>
    <w:p w14:paraId="7B6C4B9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（四）未对其安全生产条件定期进行安全评价的；</w:t>
      </w:r>
    </w:p>
    <w:p w14:paraId="18E8128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（五）危险化学品的储存方式、方法或者储存数量不符合国家标准或者国家有关规定的；</w:t>
      </w:r>
    </w:p>
    <w:p w14:paraId="2A992DF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（六）危险化学品专用仓库不符合国家标准、行业标准的要求的；</w:t>
      </w:r>
    </w:p>
    <w:p w14:paraId="406C22B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（七）未对危险化学品专用仓库的安全设施、设备定期进行检测、检验的。</w:t>
      </w:r>
    </w:p>
    <w:p w14:paraId="098A8A8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第三十一条 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p w14:paraId="76C00F3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第三十二条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p w14:paraId="487228F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 已经取得经营许可证的企业出现本办法第十四条、第十六条规定的情形之一，未依照本办法的规定申请变更的，责令限期改正，处1万元以下的罚款；逾期仍不申请变更的，处1万元以上3万元以下的罚款。</w:t>
      </w:r>
    </w:p>
    <w:p w14:paraId="2B9D3BFA">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第十二章 对危险化学品重大危险源的监督检查工作指引</w:t>
      </w:r>
    </w:p>
    <w:p w14:paraId="6B62B72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65D5E67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对危险化学品重大危险源的监督检查</w:t>
      </w:r>
    </w:p>
    <w:p w14:paraId="3E4A829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0187DF5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（一）重大危险源的运行情况、安全管理规章制度及安全操作规程制定和落实情况；</w:t>
      </w:r>
    </w:p>
    <w:p w14:paraId="0BDDA83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（二）重大危险源的辨识、分级、安全评估、登记建档、备案情况；</w:t>
      </w:r>
    </w:p>
    <w:p w14:paraId="4D895CB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（三）重大危险源的监测监控情况；</w:t>
      </w:r>
    </w:p>
    <w:p w14:paraId="1FEBCDC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（四）重大危险源安全设施和安全监测监控系统的检测、检验以及维护保养情况；</w:t>
      </w:r>
    </w:p>
    <w:p w14:paraId="341ABB6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（五）重大危险源事故应急预案的编制、评审、备案、修订和演练情况；</w:t>
      </w:r>
    </w:p>
    <w:p w14:paraId="1C59C6A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（六）有关从业人员的安全培训教育情况；</w:t>
      </w:r>
    </w:p>
    <w:p w14:paraId="4046A5D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（七）安全标志设置情况；</w:t>
      </w:r>
    </w:p>
    <w:p w14:paraId="57A3035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（八）应急救援器材、设备、物资配备情况；</w:t>
      </w:r>
    </w:p>
    <w:p w14:paraId="75A5162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（九）预防和控制事故措施的落实情况。</w:t>
      </w:r>
    </w:p>
    <w:p w14:paraId="2243750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6E62BB0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400B316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58040172">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14:paraId="10F8A1C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6E18F86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14:paraId="436F30D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58954B8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2DBA63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CDDFD1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14:paraId="5818B815">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（二）《危险化学品重大危险源监督管理暂行规定》（国家安全监管总局令第40号）</w:t>
      </w:r>
    </w:p>
    <w:p w14:paraId="3A2C3E6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危险化学品单位应当按照《危险化学品重大危险源辨识》标准，对本单位的危险化学品生产、经营、储存和使用装置、设施或者场所进行重大危险源辨识，并记录辨识过程与结果。</w:t>
      </w:r>
    </w:p>
    <w:p w14:paraId="65B90A5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第八条第一款 危险化学品单位应当对重大危险源进行安全评估并确定重大危险源等级。…。</w:t>
      </w:r>
    </w:p>
    <w:p w14:paraId="05D1561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重大危险源有下列情形之一的，应当委托具有相应资质的安全评价机构，按照有关标准的规定采用定量风险评价方法进行安全评估，确定个人和社会风险值：</w:t>
      </w:r>
    </w:p>
    <w:p w14:paraId="3711D52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（一）构成一级或者二级重大危险源，且毒性气体实际存在（在线）量与其在《危险化学品重大危险源辨识》中规定的临界量比值之和大于或等于1的；</w:t>
      </w:r>
    </w:p>
    <w:p w14:paraId="3BF0070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（二）构成一级重大危险源，且爆炸品或液化易燃气体实际存在（在线）量与其在《危险化学品重大危险源辨识》中规定的临界量比值之和大于或等于1的。</w:t>
      </w:r>
    </w:p>
    <w:p w14:paraId="5F1019C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有下列情形之一的，危险化学品单位应当对重大危险源重新进行辨识、安全评估及分级：</w:t>
      </w:r>
    </w:p>
    <w:p w14:paraId="6038FF8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（一）重大危险源安全评估已满三年的；</w:t>
      </w:r>
    </w:p>
    <w:p w14:paraId="0C59E1D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（二）构成重大危险源的装置、设施或者场所进行新建、改建、扩建的；</w:t>
      </w:r>
    </w:p>
    <w:p w14:paraId="082924F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（三）危险化学品种类、数量、生产、使用工艺或者储存方式及重要设备、设施等发生变化，影响重大危险源级别或者风险程度的；</w:t>
      </w:r>
    </w:p>
    <w:p w14:paraId="307F571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（四）外界生产安全环境因素发生变化，影响重大危险源级别和风险程度的；</w:t>
      </w:r>
    </w:p>
    <w:p w14:paraId="3226817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（五）发生危险化学品事故造成人员死亡，或者10人以上受伤，或者影响到公共安全的；</w:t>
      </w:r>
    </w:p>
    <w:p w14:paraId="720AF2B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（六）有关重大危险源辨识和安全评估的国家标准、行业标准发生变化的。</w:t>
      </w:r>
    </w:p>
    <w:p w14:paraId="2B37711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危险化学品单位应当建立完善重大危险源安全管理规章制度和安全操作规程，并采取有效措施保证其得到执行。</w:t>
      </w:r>
    </w:p>
    <w:p w14:paraId="479A453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危险化学品单位应当根据构成重大危险源的危险化学品种类、数量、生产、使用工艺（方式）或者相关设备、设施等实际情况，按照下列要求建立健全安全监测监控体系，完善控制措施：</w:t>
      </w:r>
    </w:p>
    <w:p w14:paraId="7D4A24A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14:paraId="75F14A4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（二）重大危险源的化工生产装置装备满足安全生产要求的自动化控制系统；一级或者二级重大危险源，装备紧急停车系统；</w:t>
      </w:r>
    </w:p>
    <w:p w14:paraId="7C5FBDF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14:paraId="21B3795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（四）重大危险源中储存剧毒物质的场所或者设施，设置视频监控系统；</w:t>
      </w:r>
    </w:p>
    <w:p w14:paraId="583137E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（五）安全监测监控系统符合国家标准或者行业标准的规定。</w:t>
      </w:r>
    </w:p>
    <w:p w14:paraId="4DCBEBC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危险化学品单位应当按照国家有关规定，定期对重大危险源的安全设施和安全监测监控系统进行检测、检验，并进行经常性维护、保养，保证重大危险源的安全设施和安全监测监控系统有效、可靠运行。…。</w:t>
      </w:r>
    </w:p>
    <w:p w14:paraId="097F380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14:paraId="70551AB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危险化学品单位应当对重大危险源的管理和操作岗位人员进行安全操作技能培训，使其了解重大危险源的危险特性，熟悉重大危险源安全管理规章制度和安全操作规程，掌握本岗位的安全操作技能和应急措施。</w:t>
      </w:r>
    </w:p>
    <w:p w14:paraId="08A8F32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危险化学品单位应当在重大危险源所在场所设置明显的安全警示标志，写明紧急情况下的应急处置办法。</w:t>
      </w:r>
    </w:p>
    <w:p w14:paraId="79ACE87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危险化学品单位应当将重大危险源可能发生的事故后果和应急措施等信息，以适当方式告知可能受影响的单位、区域及人员。</w:t>
      </w:r>
    </w:p>
    <w:p w14:paraId="790E692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14:paraId="38C02F9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14:paraId="75C279C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危险化学品单位应当制定重大危险源事故应急预案演练计划，并按照下列要求进行事故应急预案演练：</w:t>
      </w:r>
    </w:p>
    <w:p w14:paraId="0EAA427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（一）对重大危险源专项应急预案，每年至少进行一次；</w:t>
      </w:r>
    </w:p>
    <w:p w14:paraId="6648455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（二）对重大危险源现场处置方案，每半年至少进行一次。</w:t>
      </w:r>
    </w:p>
    <w:p w14:paraId="416B090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应急预案演练结束后，危险化学品单位应当对应急预案演练效果进行评估，撰写应急预案演练评估报告，分析存在的问题，对应急预案提出修订意见，并及时修订完善。</w:t>
      </w:r>
    </w:p>
    <w:p w14:paraId="14DADFE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危险化学品单位应当对辨识确认的重大危险源及时、逐项进行登记建档。</w:t>
      </w:r>
    </w:p>
    <w:p w14:paraId="2DD261A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重大危险源档案应当包括下列文件、资料：</w:t>
      </w:r>
    </w:p>
    <w:p w14:paraId="4F731EB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（一）辨识、分级记录；</w:t>
      </w:r>
    </w:p>
    <w:p w14:paraId="0C3D9A9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（二）重大危险源基本特征表；</w:t>
      </w:r>
    </w:p>
    <w:p w14:paraId="12E389A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（三）涉及的所有化学品安全技术说明书；</w:t>
      </w:r>
    </w:p>
    <w:p w14:paraId="52B7D10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（四）区域位置图、平面布置图、工艺流程图和主要设备一览表；</w:t>
      </w:r>
    </w:p>
    <w:p w14:paraId="1CFC9EF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（五）重大危险源安全管理规章制度及安全操作规程；</w:t>
      </w:r>
    </w:p>
    <w:p w14:paraId="2E62907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（六）安全监测监控系统、措施说明、检测、检验结果；</w:t>
      </w:r>
    </w:p>
    <w:p w14:paraId="2046913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（七）重大危险源事故应急预案、评审意见、演练计划和评估报告；</w:t>
      </w:r>
    </w:p>
    <w:p w14:paraId="3FBAEE2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（八）安全评估报告或者安全评价报告；</w:t>
      </w:r>
    </w:p>
    <w:p w14:paraId="1FAA341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（九）重大危险源关键装置、重点部位的责任人、责任机构名称；</w:t>
      </w:r>
    </w:p>
    <w:p w14:paraId="4AE663F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（十）重大危险源场所安全警示标志的设置情况；</w:t>
      </w:r>
    </w:p>
    <w:p w14:paraId="4B91CAD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（十一）其他文件、资料。</w:t>
      </w:r>
    </w:p>
    <w:p w14:paraId="497110E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县级以上地方各级人民政府安全生产监督管理部门应当加强对存在重大危险源的危险化学品单位的监督检查，…。首次对重大危险源的监督检查应当包括下列主要内容：（一）重大危险源的运行情况、安全管理规章制度及安全操作规程制定和落实情况；（二）重大危险源的辨识、分级、安全评估、登记建档、备案情况；（三）重大危险源的监测监控情况；（四）重大危险源安全设施和安全监测监控系统的检测、检验以及维护保养情况；（五）重大危险源事故应急预案的编制、评审、备案、修订和演练情况；（六）有关从业人员的安全培训教育情况；（七）安全标志设置情况；（八）应急救援器材、设备、物资配备情况；（九）预防和控制事故措施的落实情况。</w:t>
      </w:r>
    </w:p>
    <w:p w14:paraId="5937B14E">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第十三章 对危险化学品管道安全生产的监督检查工作指引</w:t>
      </w:r>
    </w:p>
    <w:p w14:paraId="19A9137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7C0AE56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对危险化学品管道安全生产的监督检查。</w:t>
      </w:r>
    </w:p>
    <w:p w14:paraId="512732E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60FBC59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(一)建立、健全有关危险化学品管道安全生产的规章制度和操作规程情况；</w:t>
      </w:r>
    </w:p>
    <w:p w14:paraId="7043C39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（二）落实建设项目“三同时”情况；</w:t>
      </w:r>
    </w:p>
    <w:p w14:paraId="1B65616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（三）管道检测、维护情况。</w:t>
      </w:r>
    </w:p>
    <w:p w14:paraId="4543A03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1520436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1FEA01A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02C46E4E">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《危险化学品输送管道安全管理规定》（国家安全监管总局令第43号，2015年5月27日修正）</w:t>
      </w:r>
    </w:p>
    <w:p w14:paraId="7B0465D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第四条：各级安全生产监督管理部门负责危险化学品管道安全生产的监督检查，并依法对危险化学品管道建设项目实施安全条件审查。</w:t>
      </w:r>
    </w:p>
    <w:p w14:paraId="683BFAE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对新建、改建、扩建的危险化学品管道，建设单位应当依照国家安全生产监督管理总局有关危险化学品建设项目安全监督管理的规定，依法办理安全条件审查、安全设施设计审查和安全设施竣工验收手续。</w:t>
      </w:r>
    </w:p>
    <w:p w14:paraId="73A9641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对新建、改建、扩建的危险化学品管道，建设单位应当依照有关法律、行政法规的规定，委托具备相应资质的设计单位进行设计。</w:t>
      </w:r>
    </w:p>
    <w:p w14:paraId="4B88F07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承担危险化学品管道的施工单位应当具备有关法律、行政法规规定的相应资质。施工单位应当按照有关法律、法规、国家标准、行业标准和技术规范的规定，以及经过批准的安全设施设计进行施工，并对工程质量负责。</w:t>
      </w:r>
    </w:p>
    <w:p w14:paraId="3296B18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参加危险化学品管道焊接、防腐、无损检测作业的人员应当具备相应的操作资格证书。</w:t>
      </w:r>
    </w:p>
    <w:p w14:paraId="1A29E50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危险化学品管道应当设置明显标志。发现标志毁损的，管道单位应当及时予以修复或者更新。</w:t>
      </w:r>
    </w:p>
    <w:p w14:paraId="743BCE8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管道单位应当建立、健全危险化学品管道巡护制度，配备专人进行日常巡护。巡护人员发现危害危险化学品管道安全生产情形的，应当立即报告单位负责人并及时处理。</w:t>
      </w:r>
    </w:p>
    <w:p w14:paraId="5BF2C10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管道单位对危险化学品管道存在的事故隐患应当及时排除；对自身排除确有困难的外部事故隐患，应当向当地安全生产监督管理部门报告。</w:t>
      </w:r>
    </w:p>
    <w:p w14:paraId="643C9B1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管道单位应当按照有关国家标准、行业标准和技术规范对危险化学品管道进行定期检测、维护，确保其处于完好状态；对安全风险较大的区段和场所，应当进行重点监测、监控；对不符合安全标准的危险化学品管道，应当及时更新、改造或者停止使用，并向当地安全生产监督管理部门报告。对涉及更新、改造的危险化学品管道，还应当按照本办法第九条的规定办理安全条件审查手续。</w:t>
      </w:r>
    </w:p>
    <w:p w14:paraId="2A707D5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第二十八条第一款 管道单位应当按照有关规定制定本单位危险化学品管道事故应急预案，配备相应的应急救援人员和设备物资，定期组织应急演练。</w:t>
      </w:r>
    </w:p>
    <w:p w14:paraId="3394B6D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省级、设区的市级安全生产监督管理部门应当按照国家安全生产监督管理总局有关危险化学品建设项目安全监督管理的规定，对新建、改建、扩建管道建设项目办理安全条件审查、安全设施设计审查、试生产（使用）方案备案和安全设施竣工验收手续。</w:t>
      </w:r>
    </w:p>
    <w:p w14:paraId="3BD380DF">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第十四章 对生产、经营非药品类易制毒化学品的监督检查工作指引</w:t>
      </w:r>
    </w:p>
    <w:p w14:paraId="2332E9B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2313A7E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对非药品类易制毒化学品经营的行政检查</w:t>
      </w:r>
    </w:p>
    <w:p w14:paraId="1EECA24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57197092">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（一）非药品类易制毒化学品许可、备案制度的执行情况</w:t>
      </w:r>
    </w:p>
    <w:p w14:paraId="5C5A8A5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1.生产、经营第一类非药品类易制毒化学品的，取得非药品类易制毒化学品生产、经营许可证情况；</w:t>
      </w:r>
    </w:p>
    <w:p w14:paraId="2C3BA75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2.第一类非药品类易制毒化学品生产、经营许可证变更情况；</w:t>
      </w:r>
    </w:p>
    <w:p w14:paraId="2DA42B9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3.第一类非药品类易制毒化学品生产、经营单位不再生产、经营非药品类易制毒化学品时，是否在停止生产、经营后3个月内办理注销许可手续；</w:t>
      </w:r>
    </w:p>
    <w:p w14:paraId="496576B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4.生产、经营第二类、第三类非药品类易制毒化学品是否进行了非药品类易制毒化学品生产、经营备案；</w:t>
      </w:r>
    </w:p>
    <w:p w14:paraId="3865E12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5.第二类、第三类非药品类易制毒化学品生产、经营单位的法定代表人或者主要负责人、单位名称、单位地址发生变化的，生产或者经营的备案品种增加、主要流向改变的，是否重新办理备案手续；</w:t>
      </w:r>
    </w:p>
    <w:p w14:paraId="24035E1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6.第二类、第三类非药品类易制毒化学品生产、经营单位不再生产、经营非药品类易制毒化学品时，是否在终止生产、经营后3个月内办理备案注销手续。</w:t>
      </w:r>
    </w:p>
    <w:p w14:paraId="5EBA0A8C">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（二）非药品类易制毒化学品管理制度的建立和落实情况</w:t>
      </w:r>
    </w:p>
    <w:p w14:paraId="37A5BA6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建立健全非药品类易制毒化学品管理责任体系情况：建立健全包括主要负责人、分管负责人、销售负责人及有关人员在内的责任体系，健全管理机构，至少配备1名专职人员或者以非药品类易制毒化学品管理为主要职责的固定管理人员。</w:t>
      </w:r>
    </w:p>
    <w:p w14:paraId="72430A8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健全完善各项非药品类易制毒化学品管理制度情况：企业负责人的管理职责和管理人员的岗位职责，非药品类易制毒化学品生产、出入库管理、仓储安全管理制度，购销管理、购销合同管理、销售流向登记、销售记录管理、购买和运输凭证存档等制度，非药品类易制毒化学品信息系统填报制度，从业人员非药品类易制毒化学品知识教育培训制度，违法违规行为举报奖励制度等。</w:t>
      </w:r>
    </w:p>
    <w:p w14:paraId="64CF8B0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非药品类易制毒化学品生产设备、仓储设施、产品包装要符合国家标准要求或有关规定情况：不得采用国家明令淘汰的生产工艺装置；仓储设施要符合非药品类易制毒化学品的理化特性要求，符合防盗等安全监控要求；产品包装必须标明产品名称、化学分子式、成分和含量，确保包装可靠，属于危险化学品的，必须符合有关法律法规对危险化学品安全的有关规定。</w:t>
      </w:r>
    </w:p>
    <w:p w14:paraId="62DD1D9C">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（三）非药品类易制毒化学品销售情况</w:t>
      </w:r>
    </w:p>
    <w:p w14:paraId="232A31B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1.是否销售流向清晰、档案记录完整。</w:t>
      </w:r>
    </w:p>
    <w:p w14:paraId="7DD0458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2.是否如实记录销售的品种、数量、日期和购买方的详细地址、联系方式和自述用途等情况，留存上述资质证明和身份证的复印件。记录和留存复印件等销售资料应当保存2年备查。</w:t>
      </w:r>
    </w:p>
    <w:p w14:paraId="16C36DF8">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（四）非药品类易制毒化学品教育培训情况</w:t>
      </w:r>
    </w:p>
    <w:p w14:paraId="5E71A72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1.企业每年是否对全体员工进行一次非药品类易制毒化学品管理方面的遵纪守法教育培训；</w:t>
      </w:r>
    </w:p>
    <w:p w14:paraId="5BBD078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2.企业主要负责人、技术人员和管理人员是否接受非药品类易制毒化学品管理的教育和培训；</w:t>
      </w:r>
    </w:p>
    <w:p w14:paraId="3E2CD72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3.涉及第一类非药品类易制毒化学品的企业主要负责人、技术人员和管理人员，是否按照有关规定取得考核合格证明。</w:t>
      </w:r>
    </w:p>
    <w:p w14:paraId="03DD851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1224B01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333F6AE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1B215DB3">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（一）《易制毒化学品管理条例》（国务院令第445号，2016年2月修改）</w:t>
      </w:r>
    </w:p>
    <w:p w14:paraId="4496912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第七条第一款 申请生产第一类易制毒化学品，应当具备下列条件，并经本条例第八条规定的行政主管部门审批，取得生产许可证后，方可进行生产：</w:t>
      </w:r>
    </w:p>
    <w:p w14:paraId="62B20AC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（一）属依法登记的化工产品生产企业或者药品生产企业；</w:t>
      </w:r>
    </w:p>
    <w:p w14:paraId="5F41840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（二）有符合国家标准的生产设备、仓储设施和污染物处理设施；</w:t>
      </w:r>
    </w:p>
    <w:p w14:paraId="4EA4E35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（三）有严格的安全生产管理制度和环境突发事件应急预案；</w:t>
      </w:r>
    </w:p>
    <w:p w14:paraId="5FD858A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（四）企业法定代表人和技术、管理人员具有安全生产和易制毒化学品的有关知识，无毒品犯罪记录；</w:t>
      </w:r>
    </w:p>
    <w:p w14:paraId="796F546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（五）法律、法规、规章规定的其他条件。</w:t>
      </w:r>
    </w:p>
    <w:p w14:paraId="3253965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申请经营第一类易制毒化学品，应当具备下列条件，并经本条例第十条规定的行政主管部门审批，取得经营许可证后，方可进行经营：</w:t>
      </w:r>
    </w:p>
    <w:p w14:paraId="4468E1B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（一）属依法登记的化工产品经营企业或者药品经营企业；</w:t>
      </w:r>
    </w:p>
    <w:p w14:paraId="5A60A4C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（二）有符合国家规定的经营场所，需要储存、保管易制毒化学品的，还应当有符合国家技术标准的仓储设施；</w:t>
      </w:r>
    </w:p>
    <w:p w14:paraId="500EE5E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（三）有易制毒化学品的经营管理制度和健全的销售网络；</w:t>
      </w:r>
    </w:p>
    <w:p w14:paraId="525191F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（四）企业法定代表人和销售、管理人员具有易制毒化学品的有关知识，无毒品犯罪记录；</w:t>
      </w:r>
    </w:p>
    <w:p w14:paraId="65B2C36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（五）法律、法规、规章规定的其他条件。</w:t>
      </w:r>
    </w:p>
    <w:p w14:paraId="205CA42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经营单位应当建立易制毒化学品销售台账，如实记录销售的品种、数量、日期、购买方等情况。销售台账和证明材料复印件应当保存2年备查。</w:t>
      </w:r>
    </w:p>
    <w:p w14:paraId="0FE4AA2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第一类易制毒化学品的销售情况，应当自销售之日起5日内报当地公安机关备案；第一类易制毒化学品的使用单位，应当建立使用台账，并保存2年备查。</w:t>
      </w:r>
    </w:p>
    <w:p w14:paraId="7536B67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第二类、第三类易制毒化学品的销售情况，应当自销售之日起30日内报当地公安机关备案。</w:t>
      </w:r>
    </w:p>
    <w:p w14:paraId="443F731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二条：县级以上人民政府公安机关、…、安全生产监督管理部门、…，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1F92DCC8">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（二）《非药品类易制毒化学品生产、经营许可办法》（原国家安全监管总局令第5号）</w:t>
      </w:r>
    </w:p>
    <w:p w14:paraId="2E090E0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第四条第二款 县级以上人民政府安全生产监督管理部门负责本行政区域内执行非药品类易制毒化学品生产、经营许可制度的监督管理工作。</w:t>
      </w:r>
    </w:p>
    <w:p w14:paraId="1D6D428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生产、经营第一类非药品类易制毒化学品的，必须取得非药品类易制毒化学品生产、经营许可证方可从事生产、经营活动。</w:t>
      </w:r>
    </w:p>
    <w:p w14:paraId="488D45B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第一类非药品类易制毒化学品生产、经营单位在非药品类易制毒化学品生产、经营许可证有效期内出现下列情形之一的，应当向原许可证颁发管理部门申请变更许可证：</w:t>
      </w:r>
    </w:p>
    <w:p w14:paraId="324DF98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（一）单位法定代表人或者主要负责人改变；</w:t>
      </w:r>
    </w:p>
    <w:p w14:paraId="6062F11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（二）单位名称改变；</w:t>
      </w:r>
    </w:p>
    <w:p w14:paraId="1A94C73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（三）许可品种主要流向改变；</w:t>
      </w:r>
    </w:p>
    <w:p w14:paraId="3ECA1E5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（四）需要增加许可品种、数量。</w:t>
      </w:r>
    </w:p>
    <w:p w14:paraId="22849D8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第一类非药品类易制毒化学品生产、经营单位不再生产、经营非药品类易制毒化学品时，应当在停止生产、经营后3个月内办理注销许可手续。</w:t>
      </w:r>
    </w:p>
    <w:p w14:paraId="0A5711B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生产、经营第二类、第三类非药品类易制毒化学品的，必须进行非药品类易制毒化学品生产、经营备案。</w:t>
      </w:r>
    </w:p>
    <w:p w14:paraId="40692D7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生产第二类、第三类非药品类易制毒化学品的，应当自生产之日起30个工作日内，将生产的品种、数量等情况，向所在地的设区的市级人民政府安全生产监督管理部门备案。</w:t>
      </w:r>
    </w:p>
    <w:p w14:paraId="08B65F0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经营第二类非药品类易制毒化学品的，应当自经营之日起30个工作日内，将经营的品种、数量、主要流向等情况，向所在地的设区的市级人民政府安全生产监督管理部门备案。</w:t>
      </w:r>
    </w:p>
    <w:p w14:paraId="28B7033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经营第三类非药品类易制毒化学品的，应当自经营之日起30个工作日内，将经营的品种、数量、主要流向等情况，向所在地的县级人民政府安全生产监督管理部门备案。</w:t>
      </w:r>
    </w:p>
    <w:p w14:paraId="439B364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第二十三条 第二类、第三类非药品类易制毒化学品生产、经营单位的法定代表人或者主要负责人、单位名称、单位地址发生变化的，应当自工商营业执照变更之日起30个工作日内重新办理备案手续；生产或者经营的备案品种增加、主要流向改变的，在发生变化后30个工作日内重新办理备案手续。</w:t>
      </w:r>
    </w:p>
    <w:p w14:paraId="43CCD31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 第二类、第三类非药品类易制毒化学品生产、经营单位不再生产、经营非药品类易制毒化学品时，应当在终止生产、经营后3个月内办理备案注销手续。</w:t>
      </w:r>
    </w:p>
    <w:p w14:paraId="2F35B33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第二十五条：县级以上人民政府安全生产监督管理部门应当加强非药品类易制毒化学品生产、经营的监督检查工作。</w:t>
      </w:r>
    </w:p>
    <w:p w14:paraId="6D5AF71D">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第十五章 对危险化学品登记情况的监督检查工作指引</w:t>
      </w:r>
    </w:p>
    <w:p w14:paraId="110A7F1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472BA7C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对危险化学品登记情况的监督检查</w:t>
      </w:r>
    </w:p>
    <w:p w14:paraId="4CFDDD4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1C9B173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（一）危化品登记证书的有效性</w:t>
      </w:r>
    </w:p>
    <w:p w14:paraId="54B7C28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（二）危化品登记证书载明情况和实际情况的一致性</w:t>
      </w:r>
    </w:p>
    <w:p w14:paraId="754F2DB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（三）化学品安全技术说明书、安全标签配备使用情况</w:t>
      </w:r>
    </w:p>
    <w:p w14:paraId="39FD44F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（四）危化品管理档案建立情况</w:t>
      </w:r>
    </w:p>
    <w:p w14:paraId="380BC7F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（五）应急咨询电话设立情况</w:t>
      </w:r>
    </w:p>
    <w:p w14:paraId="09228D9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158F26F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7FF749E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3A31A42A">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（一）《危险化学品安全管理条例》（国务院令第344号）</w:t>
      </w:r>
    </w:p>
    <w:p w14:paraId="5BDCD57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对危险化学品的生产、储存、使用、经营、运输实施安全监督管理的有关部门(以下统称负有危险化学品安全监督管理职责的部门)，依照下列规定履行职责：(一)安全生产监督管理部门负责危险化学品安全监督管理综合工作，…，并负责危险化学品登记工作；</w:t>
      </w:r>
    </w:p>
    <w:p w14:paraId="6427B5BD">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（二）《危险化学品登记管理办法》（原国家安全监管总局令第53号）</w:t>
      </w:r>
    </w:p>
    <w:p w14:paraId="05814CE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登记企业应当对本企业的各类危险化学品进行普查,建立危险化学品管理档案。</w:t>
      </w:r>
    </w:p>
    <w:p w14:paraId="27E620A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危险化学品管理档案应当包括危险化学品名称、数量、标识信息、危险性分类和化学品安全技术说明书、化学品安全标签等内容。</w:t>
      </w:r>
    </w:p>
    <w:p w14:paraId="2045BBD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登记企业应当按照规定向登记机构办理危险化学品登记，如实填报登记内容和提交有关材料，并接受安全生产监督管理部门依法进行的监督检查。</w:t>
      </w:r>
    </w:p>
    <w:p w14:paraId="58EFA80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登记企业应当指定人员负责危险化学品登记的相关工作，配合登记人员在必要时对本企业危险化学品登记内容进行核查。</w:t>
      </w:r>
    </w:p>
    <w:p w14:paraId="04477DC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登记企业从事危险化学品登记的人员应当具备危险化学品登记相关知识和能力。</w:t>
      </w:r>
    </w:p>
    <w:p w14:paraId="21F440B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对危险特性尚未确定的化学品，登记企业应当按照国家关于化学品危险性鉴定的有关规定，委托具有国家规定资质的机构对其进行危险性鉴定；属于危险化学品的，应当依照本办法的规定进行登记。</w:t>
      </w:r>
    </w:p>
    <w:p w14:paraId="327AD4F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14:paraId="26DD6C6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危险化学品生产企业不能提供前款规定应急咨询服务的，应当委托登记机构代理应急咨询服务。</w:t>
      </w:r>
    </w:p>
    <w:p w14:paraId="2F86DE1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危险化学品进口企业应当自行或者委托进口代理商、登记机构提供符合本条第一款要求的应急咨询服务，并在其进口的危险化学品安全标签上标明应急咨询服务电话号码。</w:t>
      </w:r>
    </w:p>
    <w:p w14:paraId="1D6261F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p>
    <w:p w14:paraId="3239CCB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第二十三条 登记企业不得转让、冒用或者使用伪造的危险化学品登记证。</w:t>
      </w:r>
    </w:p>
    <w:p w14:paraId="532A30A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第二十四条：安全生产监督管理部门应当将危险化学品登记情况纳入危险化学品安全执法检查内容，对登记企业未按照规定予以登记的，依法予以处理。</w:t>
      </w:r>
    </w:p>
    <w:p w14:paraId="6B657CBD">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第十六章 对烟花爆竹生产经营单位的监督检查工作指引</w:t>
      </w:r>
    </w:p>
    <w:p w14:paraId="4FD8E7D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1722B96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（一）对烟花爆竹零售的行政检查</w:t>
      </w:r>
    </w:p>
    <w:p w14:paraId="7B97038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（二）对烟花爆竹批发的行政检查</w:t>
      </w:r>
    </w:p>
    <w:p w14:paraId="5EEC407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080327DC">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（一）对烟花爆竹零售的行政检查内容和方法</w:t>
      </w:r>
    </w:p>
    <w:p w14:paraId="7FC37C0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1.主要负责人参加培训情况；</w:t>
      </w:r>
    </w:p>
    <w:p w14:paraId="4390171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2.销售人员安全知识教育情况；</w:t>
      </w:r>
    </w:p>
    <w:p w14:paraId="1F89A1E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3.经营许可证合法有效情况；</w:t>
      </w:r>
    </w:p>
    <w:p w14:paraId="33E6D25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4.零售场所安全管理情况；</w:t>
      </w:r>
    </w:p>
    <w:p w14:paraId="5FD5C58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5.零售场所规章制度建立情况。</w:t>
      </w:r>
    </w:p>
    <w:p w14:paraId="4967729E">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（二）对烟花爆竹批发的行政检查内容和方法</w:t>
      </w:r>
    </w:p>
    <w:p w14:paraId="4FF64B4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1.安全许可情况；</w:t>
      </w:r>
    </w:p>
    <w:p w14:paraId="3819706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2.安全管理机构设置及安全管理人员配备情况；</w:t>
      </w:r>
    </w:p>
    <w:p w14:paraId="4144805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3.安全生产责任制等安全管理制度、操作规程建立及落实情况；</w:t>
      </w:r>
    </w:p>
    <w:p w14:paraId="1647303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4.从业人员培训及持证上岗情况；</w:t>
      </w:r>
    </w:p>
    <w:p w14:paraId="0DA0A74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5.流向管理情况；</w:t>
      </w:r>
    </w:p>
    <w:p w14:paraId="3ACA106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6.仓储库房建设合规性情况；</w:t>
      </w:r>
    </w:p>
    <w:p w14:paraId="025C12A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7.“三同时”落实情况；</w:t>
      </w:r>
    </w:p>
    <w:p w14:paraId="7CB4DD1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8.应急预案、应急器材和应急演练情况；</w:t>
      </w:r>
    </w:p>
    <w:p w14:paraId="5A9EFBB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9.风险管控及隐患排查治理情况。</w:t>
      </w:r>
    </w:p>
    <w:p w14:paraId="42E856E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21DF379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4A54824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3D14F687">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（一）《烟花爆竹生产经营安全规定》（国家安全监管总局令第93号）</w:t>
      </w:r>
    </w:p>
    <w:p w14:paraId="7AC0A77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生产企业、批发企业应当建立健全全员安全生产责任制，建立健全安全生产工作责任体系，制定并落实符合法律、行政法规和国家标准或者行业标准的安全生产规章制度和操作规程。</w:t>
      </w:r>
    </w:p>
    <w:p w14:paraId="196D810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14:paraId="21CDE04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零售经营场所应当设置清晰、醒目的易燃易爆以及周边严禁烟火、严禁燃放烟花爆竹的安全标志。</w:t>
      </w:r>
    </w:p>
    <w:p w14:paraId="79ECA6C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生产经营单位应当对本单位从业人员进行烟花爆竹安全知识、岗位操作技能等培训，未经安全生产教育和培训的从业人员，不得上岗作业。危险工序作业等特种作业人员应当依法取得相应资格，方可上岗作业。</w:t>
      </w:r>
    </w:p>
    <w:p w14:paraId="3796255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生产经营单位的主要负责人和安全生产管理人员应当由安全生产监督管理部门对其进行安全生产知识和管理能力考核合格。考核不得收费。</w:t>
      </w:r>
    </w:p>
    <w:p w14:paraId="3CF9EEE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生产企业可以依法申请设立批发企业和零售经营场所。批发企业可以依法申请设立零售经营场所。</w:t>
      </w:r>
    </w:p>
    <w:p w14:paraId="113D246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应当严格按照安全生产许可或者经营许可批准的范围，组织开展生产经营活动。禁止在许可证载明的场所外从事烟花爆竹生产、经营、储存活动，禁止许可证过期继续从事生产经营活动。禁止销售超标、违禁烟花爆竹产品或者非法烟花爆竹产品。</w:t>
      </w:r>
    </w:p>
    <w:p w14:paraId="21DECEF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生产企业不得向其他企业销售烟花爆竹含药半成品，不得从其他企业购买烟花爆竹含药半成品加工后销售，不得购买其他企业烟花爆竹成品加贴本企业标签后销售。</w:t>
      </w:r>
    </w:p>
    <w:p w14:paraId="4C40BF3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批发企业不得向零售经营者或者个人销售专业燃放类烟花爆竹产品。</w:t>
      </w:r>
    </w:p>
    <w:p w14:paraId="7C802D9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零售经营者不得在居民居住场所同一建筑物内经营、储存烟花爆竹。</w:t>
      </w:r>
    </w:p>
    <w:p w14:paraId="2FD44A2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生产企业、批发企业应当依法建立安全风险分级管控和事故隐患排查治理双重预防机制，采取技术、管理等措施，管控安全风险，及时消除事故隐患，建立安全风险分级管控和事故隐患排查治理档案，如实记录安全风险分级管控和事故隐患排查治理情况，并向本企业从业人员通报。</w:t>
      </w:r>
    </w:p>
    <w:p w14:paraId="5FA8667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生产企业、批发企业应当按照设计用途、危险等级、核定药量使用药物总库和成品总库，并按规定堆码，分类分级存放，保持仓库内通道畅通，准确记录药物和产品数量。</w:t>
      </w:r>
    </w:p>
    <w:p w14:paraId="200A029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禁止在仓库内进行拆箱、包装作业。禁止将性质不相容的物质混存。禁止将高危险等级物品储存在危险等级低的仓库。禁止在烟花爆竹仓库储存不属于烟花爆竹的其他危险物品。</w:t>
      </w:r>
    </w:p>
    <w:p w14:paraId="1F3C8B7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第二十三条 生产企业、批发企业在烟花爆竹购销活动中，应当依法签订规范的烟花爆竹买卖合同，建立烟花爆竹买卖合同和流向管理制度，使用全国统一的烟花爆竹流向管理信息系统，如实登记烟花爆竹流向。</w:t>
      </w:r>
    </w:p>
    <w:p w14:paraId="4B61C3E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生产企业应当在专业燃放类产品包装（包括运输包装和销售包装）及个人燃放类产品运输包装上张贴流向登记标签，并在产品入库和销售出库时登记录入。</w:t>
      </w:r>
    </w:p>
    <w:p w14:paraId="3AACA7D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批发企业购进烟花爆竹时，应当查验流向登记标签，并在产品入库和销售出库时登记录入。</w:t>
      </w:r>
    </w:p>
    <w:p w14:paraId="3EBED50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 生产企业、批发企业所生产、销售烟花爆竹的质量、包装、标志应当符合国家标准或者行业标准的规定。</w:t>
      </w:r>
    </w:p>
    <w:p w14:paraId="555E17A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地方各级安全生产监督管理部门应当加强对本行政区域内生产经营单位的监督检查，明确每个生产经营单位的安全生产监督管理主体，制定并落实年度监督检查计划，对生产经营单位的安全生产违法行为，依法实施行政处罚。</w:t>
      </w:r>
    </w:p>
    <w:p w14:paraId="21D9A974">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（二）《烟花爆竹经营许可实施办法》（国家安全监管总局令第7号）</w:t>
      </w:r>
    </w:p>
    <w:p w14:paraId="46CC1F9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条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14:paraId="02DA5A3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从事烟花爆竹进出口的企业，应当按照本办法的规定申请办理批发许可证。</w:t>
      </w:r>
    </w:p>
    <w:p w14:paraId="612FFBC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未取得烟花爆竹经营许可证的，任何单位或者个人不得从事烟花爆竹经营活动。</w:t>
      </w:r>
    </w:p>
    <w:p w14:paraId="5CEFEE7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 烟花爆竹经营单位的布点，应当按照保障安全、统一规划、合理布局、总量控制、适度竞争的原则审批；对从事黑火药、引火线批发和烟花爆竹进出口的企业，应当按照严格许可条件、严格控制数量的原则审批。</w:t>
      </w:r>
    </w:p>
    <w:p w14:paraId="036F751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批发企业不得在城市建成区内设立烟花爆竹储存仓库，不得在批发（展示）场所摆放有药样品；严格控制城市建成区内烟花爆竹零售点数量，且烟花爆竹零售点不得与居民居住场所设置在同一建筑物内。</w:t>
      </w:r>
    </w:p>
    <w:p w14:paraId="6F36EE2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批发企业应当符合下列条件：</w:t>
      </w:r>
    </w:p>
    <w:p w14:paraId="6D82418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（一）具备企业法人条件；</w:t>
      </w:r>
    </w:p>
    <w:p w14:paraId="361E74B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（二）符合所在地省级安全监管局制定的批发企业布点规划；</w:t>
      </w:r>
    </w:p>
    <w:p w14:paraId="053642A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具有与其经营规模和产品相适应的仓储设施。仓库的内外部安全距离、库房布局、建筑结构、疏散通道、消防、防爆、防雷、防静电等安全设施以及电气设施等，符合《烟花爆竹工程设计安全规范》（GB50161）等国家标准和行业标准的规定。仓储区域及仓库安装有符合《烟花爆竹企业安全监控系统通用技术条件》（AQ4101）规定的监控设施，并设立符合《烟花爆竹安全生产标志》（AQ4114）规定的安全警示标志和标识牌；</w:t>
      </w:r>
    </w:p>
    <w:p w14:paraId="4EEA164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（四）具备与其经营规模、产品和销售区域范围相适应的配送服务能力；</w:t>
      </w:r>
    </w:p>
    <w:p w14:paraId="416A7F0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建立安全生产责任制和各项安全管理制度、操作规程。安全管理制度和操作规程至少包括：仓库安全管理制度、仓库保管守卫制度、防火防爆安全管理制度、安全检查和隐患排查治理制度、事故应急救援与事故报告制度、买卖合同管理制度、产品流向登记制度、产品检验验收制度、从业人员安全教育培训制度、违规违章行为处罚制度、企业负责人值（带）班制度、安全生产费用提取和使用制度、装卸（搬运）作业安全规程；</w:t>
      </w:r>
    </w:p>
    <w:p w14:paraId="19D8963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（六）有安全管理机构或者专职安全生产管理人员；</w:t>
      </w:r>
    </w:p>
    <w:p w14:paraId="1AB1B0A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主要负责人、分管安全生产负责人、安全生产管理人员具备烟花爆竹经营方面的安全知识和管理能力，并经培训考核合格，取得相应资格证书。仓库保管员、守护员接受烟花爆竹专业知识培训，并经考核合格，取得相应资格证书。其他从业人员经本单位安全知识培训合格；</w:t>
      </w:r>
    </w:p>
    <w:p w14:paraId="762BCEF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（八）按照《烟花爆竹流向登记通用规范》（AQ4102）和烟花爆竹流向信息化管理的有关规定，建立并应用烟花爆竹流向信息化管理系统；</w:t>
      </w:r>
    </w:p>
    <w:p w14:paraId="7AD2428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（九）有事故应急救援预案、应急救援组织和人员，并配备必要的应急救援器材、设备；</w:t>
      </w:r>
    </w:p>
    <w:p w14:paraId="7C197FA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（十）依法进行安全评价；</w:t>
      </w:r>
    </w:p>
    <w:p w14:paraId="1B2A174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（十一）法律、法规规定的其他条件。</w:t>
      </w:r>
    </w:p>
    <w:p w14:paraId="7BB30B8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从事烟花爆竹进出口的企业申请领取批发许可证，应当具备前款第一项至第三项和第五项至第十一项规定的条件。</w:t>
      </w:r>
    </w:p>
    <w:p w14:paraId="72ABC49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第十六条零售经营者应当符合下列条件：</w:t>
      </w:r>
    </w:p>
    <w:p w14:paraId="43CD6D4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（一）符合所在地县级安全监管局制定的零售经营布点规划；</w:t>
      </w:r>
    </w:p>
    <w:p w14:paraId="2700A2F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（二）主要负责人经过安全培训合格，销售人员经过安全知识教育；</w:t>
      </w:r>
    </w:p>
    <w:p w14:paraId="57BDE5A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（三）春节期间零售点、城市长期零售点实行专店销售。乡村长期零售点在淡季实行专柜销售时，安排专人销售，专柜相对独立，并与其他柜台保持一定的距离，保证安全通道畅通；</w:t>
      </w:r>
    </w:p>
    <w:p w14:paraId="4A690EB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零售场所的面积不小于10平方米，其周边50米范围内没有其他烟花爆竹零售点，并与学校、幼儿园、医院、集贸市场等人员密集场所和加油站等易燃易爆物品生产、储存设施等重点建筑物保持100米以上的安全距离；</w:t>
      </w:r>
    </w:p>
    <w:p w14:paraId="7C03F94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（五）零售场所配备必要的消防器材，张贴明显的安全警示标志；</w:t>
      </w:r>
    </w:p>
    <w:p w14:paraId="5F42CE5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（六）法律、法规规定的其他条件。</w:t>
      </w:r>
    </w:p>
    <w:p w14:paraId="7858A938">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第十七章 对生产经营单位应急预案工作的监督检查工作指引</w:t>
      </w:r>
    </w:p>
    <w:p w14:paraId="645D11F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5B32E56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对生产经营单位应急预案工作的监督检查</w:t>
      </w:r>
    </w:p>
    <w:p w14:paraId="73DEDB1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54F394F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1.生产经营单位应急预案编制情况</w:t>
      </w:r>
    </w:p>
    <w:p w14:paraId="45FB720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2.应急预案发布、备案情况</w:t>
      </w:r>
    </w:p>
    <w:p w14:paraId="0A48A53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3.应急预案教育培训及演练情况</w:t>
      </w:r>
    </w:p>
    <w:p w14:paraId="11D9A1C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4.应急队伍建设情况</w:t>
      </w:r>
    </w:p>
    <w:p w14:paraId="7496610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5.应急物资保障情况</w:t>
      </w:r>
    </w:p>
    <w:p w14:paraId="7C733B0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11C60CB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41F8948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2FFA3D5A">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14:paraId="1280193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第八十一条 生产经营单位应当制定本单位生产安全事故应急救援预案，与所在地县级以上地方人民政府组织制定的生产安全事故应急救援预案相衔接，并定期组织演练。</w:t>
      </w:r>
    </w:p>
    <w:p w14:paraId="1D58901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第八十二条 危险物品的生产、经营、储存单位以及矿山、金属冶炼、城市轨道交通运营、建筑施工单位应当建立应急救援组织；生产经营规模较小的，可以不建立应急救援组织，但应当指定兼职的应急救援人员。</w:t>
      </w:r>
    </w:p>
    <w:p w14:paraId="50997B1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危险物品的生产、经营、储存、运输单位以及矿山、金属冶炼、城市轨道交通运营、建筑施工单位应当配备必要的应急救援器材、设备和物资，并进行经常性维护、保养，保证正常运转。</w:t>
      </w:r>
    </w:p>
    <w:p w14:paraId="0E03AF3A">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（二）《生产安全事故应急条例》（国务院令第708号）</w:t>
      </w:r>
    </w:p>
    <w:p w14:paraId="251279D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第五条第二款 生产经营单位应当针对本单位可能发生的生产安全事故的特点和危害，进行风险辨识和评估，制定相应的生产安全事故应急救援预案，并向本单位从业人员公布。</w:t>
      </w:r>
    </w:p>
    <w:p w14:paraId="071F56A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第八条第二款 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14:paraId="733E799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第三款：县级以上地方人民政府负有安全生产监督管理职责的部门应当对本行政区域内前款规定的重点生产经营单位的生产安全事故应急救援预案演练进行抽查；发现演练不符合要求的，应当责令限期改正。</w:t>
      </w:r>
    </w:p>
    <w:p w14:paraId="39F9C44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14:paraId="2D88250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第十一条第三款 应急救援队伍应当配备必要的应急救援装备和物资，并定期组织训练。</w:t>
      </w:r>
    </w:p>
    <w:p w14:paraId="0E896F20">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（三）《生产安全事故应急预案管理办法》（国家安全监管总局令第88号，2019年7月11日修正）</w:t>
      </w:r>
    </w:p>
    <w:p w14:paraId="2EF5DBF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14:paraId="42F6E58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生产经营单位风险种类多、可能发生多种类型事故的，应当组织编制综合应急预案。</w:t>
      </w:r>
    </w:p>
    <w:p w14:paraId="7B926E3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综合应急预案应当规定应急组织机构及其职责、应急预案体系、事故风险描述、预警及信息报告、应急响应、保障措施、应急预案管理等内容。</w:t>
      </w:r>
    </w:p>
    <w:p w14:paraId="5907590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对于某一种或者多种类型的事故风险，生产经营单位可以编制相应的专项应急预案，或将专项应急预案并入综合应急预案。</w:t>
      </w:r>
    </w:p>
    <w:p w14:paraId="41CC403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专项应急预案应当规定应急指挥机构与职责、处置程序和措施等内容。</w:t>
      </w:r>
    </w:p>
    <w:p w14:paraId="1AD062C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对于危险性较大的场所、装置或者设施，生产经营单位应当编制现场处置方案。</w:t>
      </w:r>
    </w:p>
    <w:p w14:paraId="2D465AD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现场处置方案应当规定应急工作职责、应急处置措施和注意事项等内容。</w:t>
      </w:r>
    </w:p>
    <w:p w14:paraId="1F17F10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事故风险单一、危险性小的生产经营单位，可以只编制现场处置方案。</w:t>
      </w:r>
    </w:p>
    <w:p w14:paraId="2EA2E89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生产经营单位应急预案应当包括向上级应急管理机构报告的内容、应急组织机构和人员的联系方式、应急物资储备清单等附件信息。附件信息发生变化时，应当及时更新，确保准确有效。</w:t>
      </w:r>
    </w:p>
    <w:p w14:paraId="6D30976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矿山、金属冶炼企业和易燃易爆物品、危险化学品的生产、经营、储存、运输企业，以及使用危险化学品达到国家规定数量的化工企业、烟花爆竹生产、批发经营企业和中型规模以上的其他生产经营单位，应当对本单位编制的应急预案进行评审，并形成书面评审纪要。</w:t>
      </w:r>
    </w:p>
    <w:p w14:paraId="039DBB6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14:paraId="52D20A7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第三十一条 各级人民政府应急管理部门应当将本部门应急预案的培训纳入安全生产培训工作计划，并组织实施本行政区域内重点生产经营单位的应急预案培训工作。</w:t>
      </w:r>
    </w:p>
    <w:p w14:paraId="6CE1B50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生产经营单位应当组织开展本单位的应急预案、应急知识、自救互救和避险逃生技能的培训活动，使有关人员了解应急预案内容，熟悉应急职责、应急处置程序和措施。</w:t>
      </w:r>
    </w:p>
    <w:p w14:paraId="1D517E4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应急培训的时间、地点、内容、师资、参加人员和考核结果等情况应当如实记入本单位的安全生产教育和培训档案。</w:t>
      </w:r>
    </w:p>
    <w:p w14:paraId="35F20CA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 生产经营单位应当制定本单位的应急预案演练计划，根据本单位的事故风险特点，每年至少组织一次综合应急预案演练或者专项应急预案演练，每半年至少组织一次现场处置方案演练。</w:t>
      </w:r>
    </w:p>
    <w:p w14:paraId="07BA355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14:paraId="3D7A5E6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第三十五条 应急预案编制单位应当建立应急预案定期评估制度，对预案内容的针对性和实用性进行分析，并对应急预案是否需要修订作出结论。</w:t>
      </w:r>
    </w:p>
    <w:p w14:paraId="2F51BD0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14:paraId="6260BF7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第三十六条 有下列情形之一的，应急预案应当及时修订并归档：</w:t>
      </w:r>
    </w:p>
    <w:p w14:paraId="4F77654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（一）依据的法律、法规、规章、标准及上位预案中的有关规定发生重大变化的；</w:t>
      </w:r>
    </w:p>
    <w:p w14:paraId="1AB4D63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（二）应急指挥机构及其职责发生调整的；</w:t>
      </w:r>
    </w:p>
    <w:p w14:paraId="4FE1E8D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（三）安全生产面临的风险发生重大变化的；</w:t>
      </w:r>
    </w:p>
    <w:p w14:paraId="7AC5057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（四）重要应急资源发生重大变化的；</w:t>
      </w:r>
    </w:p>
    <w:p w14:paraId="3CAF1A7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（五）在应急演练和事故应急救援中发现需要修订预案的重大问题的；</w:t>
      </w:r>
    </w:p>
    <w:p w14:paraId="42FDDC1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（六）编制单位认为应当修订的其他情况。</w:t>
      </w:r>
    </w:p>
    <w:p w14:paraId="76DED93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第三十七条 应急预案修订涉及组织指挥体系与职责、应急处置程序、主要处置措施、应急响应分级等内容变更的，修订工作应当参照本办法规定的应急预案编制程序进行，并按照有关应急预案报备程序重新备案。</w:t>
      </w:r>
    </w:p>
    <w:p w14:paraId="2B40AB0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第三十八条 生产经营单位应当按照应急预案的规定，落实应急指挥体系、应急救援队伍、应急物资及装备，建立应急物资、装备配备及其使用档案，并对应急物资、装备进行定期检测和维护，使其处于适用状态。</w:t>
      </w:r>
    </w:p>
    <w:p w14:paraId="74BC2884">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（四）《山东省生产安全事故应急办法》（山东省人民政府令第341号）</w:t>
      </w:r>
    </w:p>
    <w:p w14:paraId="7CA7030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生产经营单位应当建立健全本单位的生产安全事故应急预案体系，依法编制综合应急预案、专项应急预案和现场处置方案，并向本单位从业人员公布。</w:t>
      </w:r>
    </w:p>
    <w:p w14:paraId="6CE17AD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生产经营单位风险种类多、可能发生多种类型事故的，应当编制综合应急预案。</w:t>
      </w:r>
    </w:p>
    <w:p w14:paraId="29E232E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生产经营单位可以针对某一类型或者多种类型的事故风险，编制相应的专项应急预案，或者将专项应急预案并入综合应急预案。</w:t>
      </w:r>
    </w:p>
    <w:p w14:paraId="2305CC6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对于危险性较大的场所、装置或者设施，生产经营单位应当编制现场处置方案。</w:t>
      </w:r>
    </w:p>
    <w:p w14:paraId="33D5BCE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事故风险单一、危险性小的生产经营单位，可以只编制现场处置方案。</w:t>
      </w:r>
    </w:p>
    <w:p w14:paraId="1EF99A7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第十一条第三款 矿山、金属冶炼、道路运输、城市轨道交通运营、建筑施工单位，危险物品的生产、经营、储存、装卸、运输单位和使用危险物品从事生产并且使用量达到规定数量的单位等高危生产经营单位，以及宾馆、商场、娱乐场所、旅游景区等人员密集场所经营单位（以下简称高危和人员密集单位）的应急预案，应当依法向社会公布，并自公布之日起20个工作日内，按照所属行业、领域报送有关部门备案。</w:t>
      </w:r>
    </w:p>
    <w:p w14:paraId="1340BEB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第十二条第二款 生产经营单位应当将本单位的生产安全事故应急预案、应急知识、自救互救和避险逃生技能纳入年度安全生产教育培训计划并组织实施。</w:t>
      </w:r>
    </w:p>
    <w:p w14:paraId="00064D9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第十三条第二款 高危和人员密集单位应当每半年至少组织1次综合或者专项应急预案演练，每2年对所有专项应急预案至少组织1次演练，每半年对所有现场处置方案至少组织1次演练。</w:t>
      </w:r>
    </w:p>
    <w:p w14:paraId="2AB4905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其他生产经营单位应当每年至少组织1次综合或者专项应急预案演练，每3年对所有专项应急预案至少组织1次演练，每年对所有现场处置方案至少组织1次演练。</w:t>
      </w:r>
    </w:p>
    <w:p w14:paraId="17C87A5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应急预案编制单位应当建立定期评估制度，对预案内容的针对性、实用性和可操作性进行分析，实现应急预案的动态优化和科学规范管理。</w:t>
      </w:r>
    </w:p>
    <w:p w14:paraId="2FD7BF3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高危和人员密集单位应当每2年至少进行1次应急预案评估；其他生产经营单位应当每3年至少进行1次应急预案评估。</w:t>
      </w:r>
    </w:p>
    <w:p w14:paraId="3A55EFF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高危和人员密集单位应当依托本单位从业人员建立专职或者兼职应急救援队伍，并按照有关规定报送县级以上人民政府应急管理部门和其他有关部门备案。</w:t>
      </w:r>
    </w:p>
    <w:p w14:paraId="602C68F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其他生产经营单位、规模较小的高危和人员密集单位，可以不建立应急救援队伍，但应当指定兼职的应急救援人员，并与邻近的应急救援队伍签订应急救援协议。</w:t>
      </w:r>
    </w:p>
    <w:p w14:paraId="5C2390A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工业园区、开发区等产业聚集区域内的生产经营单位，可以联合建立应急救援队伍。</w:t>
      </w:r>
    </w:p>
    <w:p w14:paraId="7770BEA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应急救援队伍应当制定应急救援行动方案，定期组织训练，并每月至少开展1次救援行动演练。</w:t>
      </w:r>
    </w:p>
    <w:p w14:paraId="09164ABC">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第十八章 对安全评价检测检验机构的监督检查工作指引</w:t>
      </w:r>
    </w:p>
    <w:p w14:paraId="708E018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66D7063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对安全评价、安全生产检测检验机构的行政检查</w:t>
      </w:r>
    </w:p>
    <w:p w14:paraId="403D89F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7A18C4B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（一）安全评价检测检验机构资质条件保持情况</w:t>
      </w:r>
    </w:p>
    <w:p w14:paraId="759E7F1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（二）安全评价检测检验机构技术服务情况</w:t>
      </w:r>
    </w:p>
    <w:p w14:paraId="0A91571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31B0D5C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5B4828F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5B6D39E7">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14:paraId="7C932B4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14:paraId="46FB6BB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承担安全评价、认证、检测、检验职责的机构应当建立并实施服务公开和报告公开制度，不得租借资质、挂靠、出具虚假报告。</w:t>
      </w:r>
    </w:p>
    <w:p w14:paraId="74C46D7F">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（二）《安全评价检测检验机构管理办法》（应急管理部令第1号）</w:t>
      </w:r>
    </w:p>
    <w:p w14:paraId="1DA3207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第三条第三款：省级人民政府应急管理部门、煤矿安全生产监督管理部门（以下统称资质认可机关）按照各自的职责，分别负责安全评价检测检验机构资质认可和监督管理工作。</w:t>
      </w:r>
    </w:p>
    <w:p w14:paraId="1B27A5D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申请安全评价机构资质应当具备下列条件：</w:t>
      </w:r>
    </w:p>
    <w:p w14:paraId="5133A5E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（一）独立法人资格，固定资产不少于八百万元；</w:t>
      </w:r>
    </w:p>
    <w:p w14:paraId="77D48DD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（二）工作场所建筑面积不少于一千平方米，其中档案室不少于一百平方米，设施、设备、软件等技术支撑条件满足工作需求；</w:t>
      </w:r>
    </w:p>
    <w:p w14:paraId="584F5449">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（三）承担矿山、金属冶炼、危险化学品生产和储存、烟花爆竹等业务范围安全评价的机构，其专职安全评价师不低于本办法规定的配备标准；</w:t>
      </w:r>
    </w:p>
    <w:p w14:paraId="2E05C40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14:paraId="0DC4B47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（五）健全的内部管理制度和安全评价过程控制体系；</w:t>
      </w:r>
    </w:p>
    <w:p w14:paraId="71E1F53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（六）法定代表人出具知悉并承担安全评价的法律责任、义务、权利和风险的承诺书；</w:t>
      </w:r>
    </w:p>
    <w:p w14:paraId="6667BAE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14:paraId="2D69D3B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（八）正常运行并可以供公众查询机构信息的网站；</w:t>
      </w:r>
    </w:p>
    <w:p w14:paraId="547F55C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（九）截至申请之日三年内无重大违法失信记录；</w:t>
      </w:r>
    </w:p>
    <w:p w14:paraId="3179980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（十）法律、行政法规规定的其他条件。</w:t>
      </w:r>
    </w:p>
    <w:p w14:paraId="0F227D5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申请安全生产检测检验机构资质应当具备下列条件：</w:t>
      </w:r>
    </w:p>
    <w:p w14:paraId="03DCB4C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（一）独立法人资格，固定资产不少于一千万元；</w:t>
      </w:r>
    </w:p>
    <w:p w14:paraId="4E0823D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（二）工作场所建筑面积不少于一千平方米，有与从事安全生产检测检验相适应的设施、设备和环境，检测检验设施、设备原值不少于八百万元；</w:t>
      </w:r>
    </w:p>
    <w:p w14:paraId="422CE70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14:paraId="10584D1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（四）专业技术人员具有与承担安全生产检测检验相适应的专业技能，以及在本行业领域工作两年以上；</w:t>
      </w:r>
    </w:p>
    <w:p w14:paraId="26F6911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（五）法定代表人出具知悉并承担安全生产检测检验的法律责任、义务、权利和风险的承诺书；</w:t>
      </w:r>
    </w:p>
    <w:p w14:paraId="0BC3CDD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（六）主持安全生产检测检验工作的负责人、技术负责人、质量负责人具有高级技术职称，在本行业领域工作八年以上；</w:t>
      </w:r>
    </w:p>
    <w:p w14:paraId="343F4C4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（七）符合安全生产检测检验机构能力通用要求等相关标准和规范性文件规定的文件化管理体系；</w:t>
      </w:r>
    </w:p>
    <w:p w14:paraId="479031A6">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（八）正常运行并可以供公众查询机构信息的网站；</w:t>
      </w:r>
    </w:p>
    <w:p w14:paraId="4C6D887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（九）截至申请之日三年内无重大违法失信记录；</w:t>
      </w:r>
    </w:p>
    <w:p w14:paraId="0551F66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（十）法律、行政法规规定的其他条件。</w:t>
      </w:r>
    </w:p>
    <w:p w14:paraId="59C19C7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14:paraId="0F7A26A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安全评价检测检验机构因改制、分立或者合并等原因发生变化的，应当自发生变化之日起三十日内向原资质认可机关书面申请重新核定资质条件和业务范围。</w:t>
      </w:r>
    </w:p>
    <w:p w14:paraId="5EB0FE8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安全评价检测检验机构取得资质一年以上，需要变更业务范围的，应当向原资质认可机关提出书面申请。资质认可机关收到申请后应当按照本办法第九条至第十一条的规定办理。</w:t>
      </w:r>
    </w:p>
    <w:p w14:paraId="7CD7A0C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 资质认可机关应当将其认可的安全评价检测检验机构纳入年度安全生产监督检查计划范围</w:t>
      </w:r>
    </w:p>
    <w:p w14:paraId="5CB7149B">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14:paraId="292FCF0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资质认可机关及其下级部门应当对本行政区域内登记注册的安全评价检测检验机构资质条件保持情况、接受行政处罚和投诉举报等情况进行重点监督检查。</w:t>
      </w:r>
    </w:p>
    <w:p w14:paraId="383D0E7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资质认可机关及其下级部门、煤矿安全监察机构、事故调查组在安全生产行政许可、建设项目安全设施“三同时”审查、监督检查和事故调查中，发现生产经营单位和安全评价检测检验机构在安全评价、检测检验活动中有违法违规行为的，应当依法实施行政处罚。吊销、撤销安全评价检测检验机构资质的，由原资质认可机关决定。</w:t>
      </w:r>
    </w:p>
    <w:p w14:paraId="4D9C358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第三十三条第二款：安全生产监督管理部门和负有安全生产监督管理职责的有关部门应当对事故发生单位落实防范和整改措施的情况进行监督检查。</w:t>
      </w:r>
    </w:p>
    <w:p w14:paraId="0F20E7EB">
      <w:pPr>
        <w:pStyle w:val="29"/>
        <w:snapToGrid w:val="0"/>
        <w:spacing w:line="560" w:lineRule="exact"/>
        <w:ind w:firstLine="640"/>
        <w:textAlignment w:val="baseline"/>
        <w:rPr>
          <w:rFonts w:hint="default" w:ascii="Times New Roman" w:hAnsi="Times New Roman" w:cs="Times New Roman"/>
          <w:color w:val="000000"/>
          <w:sz w:val="32"/>
          <w:szCs w:val="32"/>
          <w:lang w:val="en-US"/>
        </w:rPr>
      </w:pPr>
    </w:p>
    <w:p w14:paraId="0999D5FB">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第十九章 对安全培训机构开展安全培训活动情况的监督检查工作指引</w:t>
      </w:r>
    </w:p>
    <w:p w14:paraId="0A33F18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05BD238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对安全生产教育培训机构的开展安全培训活动情况的行政检查</w:t>
      </w:r>
    </w:p>
    <w:p w14:paraId="4FF6EAF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1E456102">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（一）具备从事安全培训工作所需要的条件的情况；</w:t>
      </w:r>
    </w:p>
    <w:p w14:paraId="12BA086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（二）建立培训管理制度和教师配备的情况；</w:t>
      </w:r>
    </w:p>
    <w:p w14:paraId="20A3C2F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（三）培训大纲、建立培训档案和培训保障的情况；</w:t>
      </w:r>
    </w:p>
    <w:p w14:paraId="67EC76C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（四）培训收费的情况。</w:t>
      </w:r>
    </w:p>
    <w:p w14:paraId="6D192F3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70CBED4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08978A65">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40F15971">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《安全生产培训管理办法》（国家安全监管总局令第44号，2013年8月29日第一次修正,2015年5月29日第二次修正）</w:t>
      </w:r>
    </w:p>
    <w:p w14:paraId="2A91270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第五条第一款 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p w14:paraId="6451AADF">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安全培训机构应当建立安全培训工作制度和人员培训档案。安全培训相关情况，应当如实记录并建档备查。</w:t>
      </w:r>
    </w:p>
    <w:p w14:paraId="53DC03C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安全培训机构从事安全培训工作的收费，应当符合法律、法规的规定。法律、法规没有规定的，应当按照行业自律标准或者指导性标准收费。</w:t>
      </w:r>
    </w:p>
    <w:p w14:paraId="0BA4E4D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第二十九条：安全生产监督管理部门和煤矿安全培训监管机构应当对安全培训机构开展安全培训活动的情况进行监督检查，检查内容包括：</w:t>
      </w:r>
    </w:p>
    <w:p w14:paraId="448BF8F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（一）具备从事安全培训工作所需要的条件的情况；</w:t>
      </w:r>
    </w:p>
    <w:p w14:paraId="2159538E">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（二）建立培训管理制度和教师配备的情况；</w:t>
      </w:r>
    </w:p>
    <w:p w14:paraId="4A7100B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（三）执行培训大纲、建立培训档案和培训保障的情况；</w:t>
      </w:r>
    </w:p>
    <w:p w14:paraId="425254E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（四）培训收费的情况；</w:t>
      </w:r>
    </w:p>
    <w:p w14:paraId="4A9BA0D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（五）法律法规规定的其他内容。</w:t>
      </w:r>
    </w:p>
    <w:p w14:paraId="32777BDF">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第二十章 对本系统注册安全工程师的执业活动的监督检查工作指引</w:t>
      </w:r>
    </w:p>
    <w:p w14:paraId="778B95B1">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14:paraId="2B84513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对本系统注册安全工程师的执业活动的监督检查</w:t>
      </w:r>
    </w:p>
    <w:p w14:paraId="0A128DB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14:paraId="0F51CF9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本系统注册安全工程师的执业活动情况</w:t>
      </w:r>
    </w:p>
    <w:p w14:paraId="5F0A647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14:paraId="06C60B93">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14:paraId="7202BAF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14:paraId="5270E95A">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《注册安全工程师管理规定》（国家安全监管总局令第11号，2013年8月29日修订）</w:t>
      </w:r>
    </w:p>
    <w:p w14:paraId="5888514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取得资格证书的人员，经注册取得执业证和执业印章后方可以注册安全工程师的名义执业。</w:t>
      </w:r>
    </w:p>
    <w:p w14:paraId="2F6B061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申请注册的人员，必须同时具备下列条件：</w:t>
      </w:r>
    </w:p>
    <w:p w14:paraId="6176DC1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（一）取得资格证书；</w:t>
      </w:r>
    </w:p>
    <w:p w14:paraId="47C6130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（二）在生产经营单位从事安全生产管理、安全技术工作或者在安全生产中介机构从事安全生产专业服务工作。</w:t>
      </w:r>
    </w:p>
    <w:p w14:paraId="734FAD4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第二十八条 对注册安全工程师的执业活动，安全生产监督管理部门、煤矿安全监察机构和有关主管部门应当进行监督检查。</w:t>
      </w:r>
    </w:p>
    <w:p w14:paraId="6FEE55B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 未经注册擅自以注册安全工程师名义执业的，由县级以上安全生产监督管理部门、有关主管部门或者煤矿安全监察机构责令其停止违法活动，没收违法所得，并处三万元以下的罚款；造成损失的，依法承担赔偿责任。</w:t>
      </w:r>
    </w:p>
    <w:p w14:paraId="3DA501E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第三十一条 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p w14:paraId="4EC0E87C">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第三十二条 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14:paraId="16F9F11D">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（一）准许他人以本人名义执业的；</w:t>
      </w:r>
    </w:p>
    <w:p w14:paraId="2B8AB1D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（二）以个人名义承接业务、收取费用的；</w:t>
      </w:r>
    </w:p>
    <w:p w14:paraId="68F104C0">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（三）出租、出借、涂改、变造执业证和执业印章的；</w:t>
      </w:r>
    </w:p>
    <w:p w14:paraId="0E44C97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（四）泄漏执业过程中应当保守的秘密并造成严重后果的；</w:t>
      </w:r>
    </w:p>
    <w:p w14:paraId="527061BA">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（五）利用执业之便，贪污、索贿、受贿或者谋取不正当利益的；</w:t>
      </w:r>
    </w:p>
    <w:p w14:paraId="74D83DC7">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（六）提供虚假执业活动成果的；</w:t>
      </w:r>
    </w:p>
    <w:p w14:paraId="5BBCCE78">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（七）超出执业范围或者聘用单位业务范围从事执业活动的；</w:t>
      </w:r>
    </w:p>
    <w:p w14:paraId="2B03A5B4">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（八）法律、法规、规章规定的其他违法行为。</w:t>
      </w:r>
    </w:p>
    <w:p w14:paraId="3AEFA747">
      <w:pPr>
        <w:ind w:firstLine="640"/>
        <w:rPr>
          <w:rFonts w:hint="default" w:ascii="Times New Roman" w:hAnsi="Times New Roman" w:cs="Times New Roman"/>
        </w:rPr>
      </w:pP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Noto Sans CJK JP Black">
    <w:altName w:val="宋体"/>
    <w:panose1 w:val="00000000000000000000"/>
    <w:charset w:val="86"/>
    <w:family w:val="roman"/>
    <w:pitch w:val="default"/>
    <w:sig w:usb0="00000000" w:usb1="00000000" w:usb2="00000016" w:usb3="00000000" w:csb0="602E01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23763">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4FA0B">
                          <w:pPr>
                            <w:pStyle w:val="1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174FA0B">
                    <w:pPr>
                      <w:pStyle w:val="1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02B8">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1160">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4C18">
    <w:pPr>
      <w:pStyle w:val="1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67D6C">
                          <w:pPr>
                            <w:pStyle w:val="1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1067D6C">
                    <w:pPr>
                      <w:pStyle w:val="1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5FA45">
    <w:pPr>
      <w:pStyle w:val="12"/>
      <w:pBdr>
        <w:bottom w:val="none" w:color="auto" w:sz="0" w:space="1"/>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15319">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801B">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E96E"/>
    <w:multiLevelType w:val="singleLevel"/>
    <w:tmpl w:val="B935E96E"/>
    <w:lvl w:ilvl="0" w:tentative="0">
      <w:start w:val="6"/>
      <w:numFmt w:val="chineseCounting"/>
      <w:suff w:val="nothing"/>
      <w:lvlText w:val="（%1）"/>
      <w:lvlJc w:val="left"/>
      <w:rPr>
        <w:rFonts w:hint="eastAsia"/>
      </w:rPr>
    </w:lvl>
  </w:abstractNum>
  <w:abstractNum w:abstractNumId="1">
    <w:nsid w:val="BF9CE491"/>
    <w:multiLevelType w:val="singleLevel"/>
    <w:tmpl w:val="BF9CE49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wODJhNjFmYmQ2MTIwYzY1YWExNzIxOWUyMDY4M2IifQ=="/>
  </w:docVars>
  <w:rsids>
    <w:rsidRoot w:val="006C0E4E"/>
    <w:rsid w:val="00244210"/>
    <w:rsid w:val="002B4E2C"/>
    <w:rsid w:val="003661B8"/>
    <w:rsid w:val="004B3C38"/>
    <w:rsid w:val="006847E4"/>
    <w:rsid w:val="006C0E4E"/>
    <w:rsid w:val="007D19A0"/>
    <w:rsid w:val="008D1630"/>
    <w:rsid w:val="0095696F"/>
    <w:rsid w:val="00B22ED8"/>
    <w:rsid w:val="00B77308"/>
    <w:rsid w:val="00D708E0"/>
    <w:rsid w:val="00DB3E88"/>
    <w:rsid w:val="03BF4BE2"/>
    <w:rsid w:val="07395A7B"/>
    <w:rsid w:val="252437BD"/>
    <w:rsid w:val="2BA97CB5"/>
    <w:rsid w:val="392732D9"/>
    <w:rsid w:val="61635F46"/>
    <w:rsid w:val="748D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18"/>
    <w:qFormat/>
    <w:uiPriority w:val="0"/>
    <w:pPr>
      <w:keepNext/>
      <w:keepLines/>
      <w:spacing w:before="100" w:beforeLines="100"/>
      <w:ind w:firstLine="0" w:firstLineChars="0"/>
      <w:jc w:val="center"/>
      <w:outlineLvl w:val="0"/>
    </w:pPr>
    <w:rPr>
      <w:rFonts w:ascii="方正小标宋简体" w:hAnsi="方正小标宋简体" w:eastAsia="方正小标宋简体" w:cs="方正小标宋简体"/>
      <w:kern w:val="44"/>
      <w:sz w:val="44"/>
      <w:szCs w:val="22"/>
    </w:rPr>
  </w:style>
  <w:style w:type="paragraph" w:styleId="5">
    <w:name w:val="heading 2"/>
    <w:basedOn w:val="1"/>
    <w:next w:val="1"/>
    <w:link w:val="19"/>
    <w:qFormat/>
    <w:uiPriority w:val="0"/>
    <w:pPr>
      <w:jc w:val="left"/>
      <w:outlineLvl w:val="1"/>
    </w:pPr>
    <w:rPr>
      <w:rFonts w:hint="eastAsia" w:ascii="宋体" w:hAnsi="宋体" w:eastAsia="黑体"/>
      <w:kern w:val="0"/>
      <w:szCs w:val="36"/>
    </w:rPr>
  </w:style>
  <w:style w:type="paragraph" w:styleId="6">
    <w:name w:val="heading 3"/>
    <w:basedOn w:val="1"/>
    <w:next w:val="1"/>
    <w:link w:val="33"/>
    <w:qFormat/>
    <w:uiPriority w:val="0"/>
    <w:pPr>
      <w:keepNext/>
      <w:keepLines/>
      <w:outlineLvl w:val="2"/>
    </w:pPr>
    <w:rPr>
      <w:rFonts w:ascii="Calibri" w:hAnsi="Calibri" w:eastAsia="楷体_GB2312"/>
    </w:rPr>
  </w:style>
  <w:style w:type="paragraph" w:styleId="7">
    <w:name w:val="heading 4"/>
    <w:basedOn w:val="1"/>
    <w:next w:val="1"/>
    <w:link w:val="21"/>
    <w:autoRedefine/>
    <w:qFormat/>
    <w:uiPriority w:val="0"/>
    <w:pPr>
      <w:keepNext/>
      <w:keepLines/>
      <w:outlineLvl w:val="3"/>
    </w:pPr>
    <w:rPr>
      <w:rFonts w:ascii="Arial" w:hAnsi="Arial"/>
      <w:b/>
    </w:rPr>
  </w:style>
  <w:style w:type="character" w:default="1" w:styleId="16">
    <w:name w:val="Default Paragraph Font"/>
    <w:autoRedefine/>
    <w:semiHidden/>
    <w:unhideWhenUsed/>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8"/>
    <w:autoRedefine/>
    <w:qFormat/>
    <w:uiPriority w:val="0"/>
    <w:pPr>
      <w:ind w:firstLine="420"/>
    </w:pPr>
    <w:rPr>
      <w:rFonts w:ascii="Times New Roman" w:hAnsi="Times New Roman" w:eastAsia="宋体"/>
      <w:szCs w:val="32"/>
    </w:rPr>
  </w:style>
  <w:style w:type="paragraph" w:styleId="3">
    <w:name w:val="Body Text Indent"/>
    <w:basedOn w:val="1"/>
    <w:link w:val="24"/>
    <w:autoRedefine/>
    <w:qFormat/>
    <w:uiPriority w:val="0"/>
    <w:pPr>
      <w:spacing w:after="120"/>
      <w:ind w:left="420" w:leftChars="200"/>
    </w:pPr>
    <w:rPr>
      <w:rFonts w:ascii="Calibri" w:hAnsi="Calibri"/>
    </w:rPr>
  </w:style>
  <w:style w:type="paragraph" w:styleId="8">
    <w:name w:val="annotation text"/>
    <w:basedOn w:val="1"/>
    <w:link w:val="22"/>
    <w:autoRedefine/>
    <w:qFormat/>
    <w:uiPriority w:val="0"/>
    <w:pPr>
      <w:jc w:val="left"/>
    </w:pPr>
    <w:rPr>
      <w:rFonts w:ascii="Calibri" w:hAnsi="Calibri"/>
      <w:szCs w:val="22"/>
    </w:rPr>
  </w:style>
  <w:style w:type="paragraph" w:styleId="9">
    <w:name w:val="Body Text"/>
    <w:basedOn w:val="1"/>
    <w:link w:val="23"/>
    <w:autoRedefine/>
    <w:qFormat/>
    <w:uiPriority w:val="0"/>
    <w:pPr>
      <w:autoSpaceDE w:val="0"/>
      <w:autoSpaceDN w:val="0"/>
      <w:jc w:val="left"/>
    </w:pPr>
    <w:rPr>
      <w:rFonts w:ascii="Noto Sans CJK JP Black" w:hAnsi="Noto Sans CJK JP Black" w:eastAsia="Noto Sans CJK JP Black" w:cs="Noto Sans CJK JP Black"/>
      <w:kern w:val="0"/>
      <w:sz w:val="24"/>
      <w:lang w:eastAsia="en-US"/>
    </w:rPr>
  </w:style>
  <w:style w:type="paragraph" w:styleId="10">
    <w:name w:val="Plain Text"/>
    <w:basedOn w:val="1"/>
    <w:link w:val="25"/>
    <w:autoRedefine/>
    <w:qFormat/>
    <w:uiPriority w:val="0"/>
    <w:rPr>
      <w:rFonts w:ascii="宋体" w:hAnsi="Courier New" w:eastAsia="宋体" w:cs="Courier New"/>
      <w:szCs w:val="21"/>
    </w:rPr>
  </w:style>
  <w:style w:type="paragraph" w:styleId="11">
    <w:name w:val="footer"/>
    <w:basedOn w:val="1"/>
    <w:link w:val="26"/>
    <w:autoRedefine/>
    <w:qFormat/>
    <w:uiPriority w:val="99"/>
    <w:pPr>
      <w:tabs>
        <w:tab w:val="center" w:pos="4153"/>
        <w:tab w:val="right" w:pos="8306"/>
      </w:tabs>
      <w:snapToGrid w:val="0"/>
      <w:jc w:val="left"/>
    </w:pPr>
    <w:rPr>
      <w:sz w:val="18"/>
      <w:szCs w:val="18"/>
    </w:rPr>
  </w:style>
  <w:style w:type="paragraph" w:styleId="12">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rPr>
      <w:rFonts w:ascii="Calibri" w:hAnsi="Calibri"/>
    </w:rPr>
  </w:style>
  <w:style w:type="paragraph" w:styleId="14">
    <w:name w:val="Normal (Web)"/>
    <w:basedOn w:val="1"/>
    <w:autoRedefine/>
    <w:qFormat/>
    <w:uiPriority w:val="0"/>
    <w:pPr>
      <w:spacing w:before="100" w:beforeAutospacing="1" w:after="100" w:afterAutospacing="1"/>
      <w:jc w:val="left"/>
    </w:pPr>
    <w:rPr>
      <w:rFonts w:ascii="Calibri" w:hAnsi="Calibri"/>
      <w:kern w:val="0"/>
      <w:sz w:val="24"/>
    </w:rPr>
  </w:style>
  <w:style w:type="character" w:styleId="17">
    <w:name w:val="Strong"/>
    <w:basedOn w:val="16"/>
    <w:autoRedefine/>
    <w:qFormat/>
    <w:uiPriority w:val="0"/>
    <w:rPr>
      <w:rFonts w:ascii="Times New Roman" w:hAnsi="Times New Roman" w:eastAsia="宋体" w:cs="Times New Roman"/>
      <w:b/>
    </w:rPr>
  </w:style>
  <w:style w:type="character" w:customStyle="1" w:styleId="18">
    <w:name w:val="标题 1 字符"/>
    <w:basedOn w:val="16"/>
    <w:link w:val="4"/>
    <w:autoRedefine/>
    <w:qFormat/>
    <w:uiPriority w:val="0"/>
    <w:rPr>
      <w:rFonts w:ascii="方正小标宋简体" w:hAnsi="方正小标宋简体" w:eastAsia="方正小标宋简体" w:cs="方正小标宋简体"/>
      <w:kern w:val="44"/>
      <w:sz w:val="44"/>
    </w:rPr>
  </w:style>
  <w:style w:type="character" w:customStyle="1" w:styleId="19">
    <w:name w:val="标题 2 字符"/>
    <w:basedOn w:val="16"/>
    <w:link w:val="5"/>
    <w:autoRedefine/>
    <w:qFormat/>
    <w:uiPriority w:val="0"/>
    <w:rPr>
      <w:rFonts w:ascii="宋体" w:hAnsi="宋体" w:eastAsia="黑体" w:cs="Times New Roman"/>
      <w:kern w:val="0"/>
      <w:sz w:val="32"/>
      <w:szCs w:val="36"/>
    </w:rPr>
  </w:style>
  <w:style w:type="character" w:customStyle="1" w:styleId="20">
    <w:name w:val="标题 3 字符"/>
    <w:basedOn w:val="16"/>
    <w:autoRedefine/>
    <w:qFormat/>
    <w:uiPriority w:val="0"/>
    <w:rPr>
      <w:rFonts w:ascii="Times New Roman" w:hAnsi="Times New Roman" w:eastAsia="仿宋_GB2312" w:cs="Times New Roman"/>
      <w:b/>
      <w:bCs/>
      <w:sz w:val="32"/>
      <w:szCs w:val="32"/>
    </w:rPr>
  </w:style>
  <w:style w:type="character" w:customStyle="1" w:styleId="21">
    <w:name w:val="标题 4 字符"/>
    <w:basedOn w:val="16"/>
    <w:link w:val="7"/>
    <w:autoRedefine/>
    <w:qFormat/>
    <w:uiPriority w:val="0"/>
    <w:rPr>
      <w:rFonts w:ascii="Arial" w:hAnsi="Arial" w:eastAsia="仿宋_GB2312" w:cs="Times New Roman"/>
      <w:b/>
      <w:sz w:val="32"/>
      <w:szCs w:val="24"/>
    </w:rPr>
  </w:style>
  <w:style w:type="character" w:customStyle="1" w:styleId="22">
    <w:name w:val="批注文字 字符"/>
    <w:basedOn w:val="16"/>
    <w:link w:val="8"/>
    <w:autoRedefine/>
    <w:qFormat/>
    <w:uiPriority w:val="0"/>
    <w:rPr>
      <w:rFonts w:ascii="Calibri" w:hAnsi="Calibri" w:eastAsia="仿宋_GB2312" w:cs="Times New Roman"/>
      <w:sz w:val="32"/>
    </w:rPr>
  </w:style>
  <w:style w:type="character" w:customStyle="1" w:styleId="23">
    <w:name w:val="正文文本 字符"/>
    <w:basedOn w:val="16"/>
    <w:link w:val="9"/>
    <w:autoRedefine/>
    <w:qFormat/>
    <w:uiPriority w:val="0"/>
    <w:rPr>
      <w:rFonts w:ascii="Noto Sans CJK JP Black" w:hAnsi="Noto Sans CJK JP Black" w:eastAsia="Noto Sans CJK JP Black" w:cs="Noto Sans CJK JP Black"/>
      <w:kern w:val="0"/>
      <w:sz w:val="24"/>
      <w:szCs w:val="24"/>
      <w:lang w:eastAsia="en-US"/>
    </w:rPr>
  </w:style>
  <w:style w:type="character" w:customStyle="1" w:styleId="24">
    <w:name w:val="正文文本缩进 字符"/>
    <w:basedOn w:val="16"/>
    <w:link w:val="3"/>
    <w:autoRedefine/>
    <w:qFormat/>
    <w:uiPriority w:val="0"/>
    <w:rPr>
      <w:rFonts w:ascii="Calibri" w:hAnsi="Calibri" w:eastAsia="仿宋_GB2312" w:cs="Times New Roman"/>
      <w:sz w:val="32"/>
      <w:szCs w:val="24"/>
    </w:rPr>
  </w:style>
  <w:style w:type="character" w:customStyle="1" w:styleId="25">
    <w:name w:val="纯文本 字符"/>
    <w:basedOn w:val="16"/>
    <w:link w:val="10"/>
    <w:autoRedefine/>
    <w:qFormat/>
    <w:uiPriority w:val="0"/>
    <w:rPr>
      <w:rFonts w:ascii="宋体" w:hAnsi="Courier New" w:eastAsia="宋体" w:cs="Courier New"/>
      <w:sz w:val="32"/>
      <w:szCs w:val="21"/>
    </w:rPr>
  </w:style>
  <w:style w:type="character" w:customStyle="1" w:styleId="26">
    <w:name w:val="页脚 字符"/>
    <w:basedOn w:val="16"/>
    <w:link w:val="11"/>
    <w:autoRedefine/>
    <w:qFormat/>
    <w:uiPriority w:val="99"/>
    <w:rPr>
      <w:rFonts w:ascii="Times New Roman" w:hAnsi="Times New Roman" w:eastAsia="仿宋_GB2312" w:cs="Times New Roman"/>
      <w:sz w:val="18"/>
      <w:szCs w:val="18"/>
    </w:rPr>
  </w:style>
  <w:style w:type="character" w:customStyle="1" w:styleId="27">
    <w:name w:val="页眉 字符"/>
    <w:basedOn w:val="16"/>
    <w:link w:val="12"/>
    <w:autoRedefine/>
    <w:qFormat/>
    <w:uiPriority w:val="0"/>
    <w:rPr>
      <w:rFonts w:ascii="Times New Roman" w:hAnsi="Times New Roman" w:eastAsia="仿宋_GB2312" w:cs="Times New Roman"/>
      <w:sz w:val="18"/>
      <w:szCs w:val="18"/>
    </w:rPr>
  </w:style>
  <w:style w:type="character" w:customStyle="1" w:styleId="28">
    <w:name w:val="正文文本首行缩进 2 字符"/>
    <w:basedOn w:val="24"/>
    <w:link w:val="2"/>
    <w:autoRedefine/>
    <w:qFormat/>
    <w:uiPriority w:val="0"/>
    <w:rPr>
      <w:rFonts w:ascii="Times New Roman" w:hAnsi="Times New Roman" w:eastAsia="宋体" w:cs="Times New Roman"/>
      <w:sz w:val="32"/>
      <w:szCs w:val="32"/>
    </w:rPr>
  </w:style>
  <w:style w:type="paragraph" w:customStyle="1" w:styleId="29">
    <w:name w:val="Body text|1"/>
    <w:basedOn w:val="1"/>
    <w:autoRedefine/>
    <w:qFormat/>
    <w:uiPriority w:val="0"/>
    <w:pPr>
      <w:spacing w:line="319" w:lineRule="auto"/>
      <w:ind w:firstLine="400"/>
    </w:pPr>
    <w:rPr>
      <w:rFonts w:ascii="宋体" w:hAnsi="宋体" w:cs="宋体"/>
      <w:sz w:val="20"/>
      <w:szCs w:val="20"/>
      <w:lang w:val="zh-CN" w:bidi="zh-CN"/>
    </w:rPr>
  </w:style>
  <w:style w:type="paragraph" w:customStyle="1" w:styleId="30">
    <w:name w:val="Heading #1|1"/>
    <w:basedOn w:val="1"/>
    <w:autoRedefine/>
    <w:qFormat/>
    <w:uiPriority w:val="0"/>
    <w:pPr>
      <w:spacing w:before="950" w:after="500"/>
      <w:jc w:val="center"/>
      <w:outlineLvl w:val="0"/>
    </w:pPr>
    <w:rPr>
      <w:rFonts w:ascii="宋体" w:hAnsi="宋体" w:cs="宋体"/>
      <w:kern w:val="0"/>
      <w:sz w:val="34"/>
      <w:szCs w:val="34"/>
      <w:lang w:val="zh-CN" w:bidi="zh-CN"/>
    </w:rPr>
  </w:style>
  <w:style w:type="paragraph" w:customStyle="1" w:styleId="31">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样式 首行缩进:  2 字符"/>
    <w:basedOn w:val="1"/>
    <w:autoRedefine/>
    <w:qFormat/>
    <w:uiPriority w:val="99"/>
    <w:pPr>
      <w:adjustRightInd w:val="0"/>
      <w:snapToGrid w:val="0"/>
      <w:spacing w:line="520" w:lineRule="exact"/>
      <w:ind w:firstLine="560"/>
    </w:pPr>
    <w:rPr>
      <w:rFonts w:ascii="Calibri" w:hAnsi="Calibri"/>
      <w:color w:val="000000"/>
      <w:szCs w:val="22"/>
    </w:rPr>
  </w:style>
  <w:style w:type="character" w:customStyle="1" w:styleId="33">
    <w:name w:val="标题 3 字符1"/>
    <w:link w:val="6"/>
    <w:autoRedefine/>
    <w:qFormat/>
    <w:uiPriority w:val="0"/>
    <w:rPr>
      <w:rFonts w:ascii="Calibri" w:hAnsi="Calibri" w:eastAsia="楷体_GB2312" w:cs="Times New Roman"/>
      <w:sz w:val="32"/>
      <w:szCs w:val="24"/>
    </w:rPr>
  </w:style>
  <w:style w:type="paragraph" w:styleId="34">
    <w:name w:val="List Paragraph"/>
    <w:basedOn w:val="1"/>
    <w:autoRedefine/>
    <w:qFormat/>
    <w:uiPriority w:val="99"/>
    <w:pPr>
      <w:widowControl/>
      <w:ind w:firstLine="42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135</Pages>
  <Words>1525</Words>
  <Characters>1535</Characters>
  <Lines>472</Lines>
  <Paragraphs>133</Paragraphs>
  <TotalTime>5</TotalTime>
  <ScaleCrop>false</ScaleCrop>
  <LinksUpToDate>false</LinksUpToDate>
  <CharactersWithSpaces>1598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2023-06-07T08:29:00Z</dcterms:created>
  <dc:creator>Lenovo</dc:creator>
  <cp:lastModifiedBy>Administrator</cp:lastModifiedBy>
  <cp:lastPrinted>2024-04-09T00:50:00Z</cp:lastPrinted>
  <dcterms:modified xsi:type="dcterms:W3CDTF">2025-04-07T00:53:07Z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12AF294806F548A58B3BF351904478DB_13</vt:lpwstr>
  </property>
</Properties>
</file>