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关于印发《临淄区应急管理局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Style w:val="11"/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Style w:val="11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年度“双随机、一公开”抽查工作计划》的通知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textAlignment w:val="auto"/>
        <w:rPr>
          <w:rStyle w:val="11"/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局机关各科室、服务中心、执法大队：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为贯彻落实省、市、区关于“双随机、一公开”监管工作部署要求，进一步加强事中事后监管，实现差异化精准执法，提高执法效能，结合我局执法工作实际，现制定202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年度“双随机、一公开”抽查工作计划如下：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一、总体要求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贯彻落实党的二十大精神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按照区委、区政府的决策部署，严格执行《安全生产法》等相关法律、法规、规章，转变监管理念，创新监管方式，规范执法行为，解决执法随意、执法不严问题，切实消除安全隐患，促进全区安全生产形势持续稳定向好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二、工作目标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（一）完善随机抽查工作机制，在进一步强化随机抽查工作标准化、规范化建设的基础上，实现应急管理系统内部“双随机、一公开”监管常态化。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（二）深入推进部门联合抽查，在首先完成省级派发双随机任务的基础上，积极协调其他相关监管部门，合理制定部门联合双随机抽查计划。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（三）健全随机抽查方式，提高双随机抽查的精准性和问题发现率，确保随机抽查的震慑力。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（四）抽查检查结果100%公示，抽查检查发现问题后续监管到位，切实消除安全隐患，有效遏制重特大事故。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三、主要任务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（一）持续完善执法检查人员和抽查对象名录库。动态调整监察对象名录库和执法检查人员名录库，实现对检查对象的精准抽取和执法人员的精准匹配，促进执法资源的科学分配和合理使用。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深入推进联合抽查。依据监管职责和监管重点，明确配合单位及内部牵头发起科室和相关参与科室，严格执行年度“双随机、一公开”部门联合抽查计划，涉查对象占区应急局本年度双随机检查对象总数的30%，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提升“双随机、一公开”监管效能。完善双随机抽查后续处置机制，对抽查发现的违法违规行为，加强随机抽查与后续监管的有效衔接，依法定程序及时移交有处置权限的机构和相关部门，涉嫌犯罪的及时移送司法机关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四、抽查企业数量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根据我局应急监管工作实际，本年度拟抽取10家企业实施“双随机、一公开”抽查。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五、检查实施部门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（一）部门联合双随机。结合省应急厅、市应急局派发和区应急局发起的双随机任务，由应急管理部门牵头，联合临淄公安分局、区气象局、区自然资源局和区消防大队部门等相关配合实施。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（二）系统内部双随机。省应急厅、市应急局和区应急局派发、发起的系统内部双随机任务，由区应急局派员实施完成。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六、检查时间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省应急厅、市应急局派发的双随机抽查任务，按照上级规定时限按期完成；区级发起的双随机任务，202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年11月底前完成。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七、检查内容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区应急管理局按照《山东省应急厅部门联合“双随机一公开”抽查事项清单》有关检查内容进行执法检查。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其他配合部门根据其监管工作实际所确定的检查内容进行执法检查。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八、工作要求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抽查检查网上运行，年度内所有双随机执法任务，均应运用省“双随机、一公开”监管平台。对于省级派发双随机抽查任务，要及时通过监管平台实现任务认领、执法人员匹配和检查结果录入；本级发起的双随机抽查任务，要通过监管平台进行任务发起、检查对象抽取、执法人员匹配和检查结果录入等操作。对于部门联合双随机抽查任务，要及时协调相关部门共同实施，并督促其按期将检查结果录入监管平台，实现抽查结果部门间互认共享。同时，做好区政府网站“双随机、一公开”栏年度抽查计划、抽查结果、工作指引、抽查事项清单公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</w:t>
      </w:r>
      <w:r>
        <w:rPr>
          <w:rFonts w:hint="eastAsia" w:ascii="Times New Roman" w:hAnsi="Times New Roman" w:eastAsia="仿宋_GB2312" w:cs="Times New Roman"/>
          <w:w w:val="9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年度“双随机、一公开”抽查事项清单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</w:t>
      </w:r>
      <w:r>
        <w:rPr>
          <w:rFonts w:hint="eastAsia" w:ascii="Times New Roman" w:hAnsi="Times New Roman" w:eastAsia="仿宋_GB2312" w:cs="Times New Roman"/>
          <w:w w:val="9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年度部门内部双随机抽查工作计划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</w:t>
      </w:r>
      <w:r>
        <w:rPr>
          <w:rFonts w:hint="eastAsia" w:ascii="Times New Roman" w:hAnsi="Times New Roman" w:eastAsia="仿宋_GB2312" w:cs="Times New Roman"/>
          <w:w w:val="9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年度部门联合双随机抽查工作计划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淄博市临淄区应急管理局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4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19"/>
        <w:gridCol w:w="958"/>
        <w:gridCol w:w="3943"/>
        <w:gridCol w:w="936"/>
        <w:gridCol w:w="698"/>
        <w:gridCol w:w="819"/>
        <w:gridCol w:w="1039"/>
        <w:gridCol w:w="859"/>
        <w:gridCol w:w="3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RANGE!A1:J7"/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临淄区应急管理局202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年度“双随机、一公开”抽查事项清单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权责清单事项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抽查内容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抽查比例及频次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检查部门及实施层级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对非煤矿山企业的监督检查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对金属、非金属地下矿山安全生产情况的行政检查</w:t>
            </w:r>
          </w:p>
        </w:tc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矿山企业相关证照情况（采矿许可证、工商营业执照、安全生产许可证）；2.建设项目安全“三同时”情况（勘察、设计、施工、监理、安全评价、验收等）；3.安全基础管理情况（安全生产管理制度制定及落实，安全投人，安全管理机构设置及人员配备，主要负责人、安全管理人员考核合格和特种作业人员持证上岗及全员培训、岗位操作规程、应急管理等）；4.现场安全管理情况（安全出口、主通风机运行监控、自救器和便携式气体检测仪配备、井下人员定位系统运行、顶板监测管控和采空区普查治理监测、探放水制度落实水害隐患治理、提升设备定期检测检验、井下排水、淘汰危及安全生产工艺设备、图纸真实性）；5.安全风险分级管控和隐患排查治理体系运行情况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金属、非金属地下矿山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2.《矿山安全法》第三十四条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3.《非煤矿矿山企业安全生产许可证实施办法》（国家安全监管总局令第20号，2015年5月26日修正）第三十三条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4.《金属非金属矿山重大生产安全事故隐患判定标准（试行）》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对非煤矿山企业落实领导带班下井制度情况的监督检查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对非煤矿山企业落实领导带班下井制度情况的监督检查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1.领导带班下井制度建立、健全、考核、奖惩情况；2.领导带班下井月度计划制定、公告、公示、落实情况；3.带班下井交接班记录、带班下井登记档案填写情况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金属、非金属地下矿山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2.《金属非金属地下矿山企业领导带班下井及监督检查暂行规定》（国家安全监管总局令第34号2015年5月26日修正）第五条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对非煤矿山外包工程的安全生产监督检查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对非煤矿山外包工程的行政检查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1.行政许可和施工资质管理；2.安全生产管理协议签订情况；3.主要负责人、安全生产管理人员和特种作业人员培训及持证上岗情况；4.从业人员安全生产教育和培训情况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非煤矿山外包工程单位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1.《非煤矿矿山企业安全生产许可证实施办法》（国家安全监管总局令第20号，2015年5月26日修正）第三十三条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2.《非煤矿山外包工程安全管理暂行办法》（国家安全监管总局令第62号，2015年5月26日修正）第二十九条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对尾矿库生产经营单位安全生产的监督检查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对尾矿库生产经营单位或尾矿库管理单位的行政检查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企业相关证照情况（工商营业执照、安全生产许可证）；2.建设项目安全“三同时”情况（勘察、设计、施工、监理、安全评价、验收等）；3.安全生产管理机构和人员配备情况；4.领导带班、管理制度和责任制落实情况；5.从业人员培训和持证上岗情况；6.安全投入、工伤保险情况；7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2.《尾矿库安全监督管理规定》（国家安全监管总局令第38号，2015年5月修订）第三十五条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对小型露天采石场的监督检查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对小型露天采石场的监督检查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企业相关证照情况（工商营业执照、安全生产许可证）；2.建设项目安全“三同时”情况（勘察、设计、施工、监理、安全评价、验收等）；3.安全生产管理机构和人员配备情况；4.领导带班、管理制度和责任制落实情况；5.从业人员培训和持证上岗情况；6.安全投入、工伤保险情况；7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小型露天采石场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2.《小型露天采石场安全管理与监督检查规定》（国家安全监管总局令第39号，国家安全监管总局令第78号修正）第三条、第二十九条、第三十条、第三十一条、第三十二条、第三十三条、第三十四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对工贸企业有限空间作业的监督检查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对工贸企业有限空间作业的监督检查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1.有限空间作业安全管理制度制定情况；2.有限空间辨识及管理台账、检测记录情况；3.劳动防护用品配备情况；4.应急救援演练、专项安全培训等情况；5.与承包单位有限空间作业的协调管理情况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《工贸企业有限空间作业安全管理与监督暂行规定》（国家安全监管总局令第59号，2015年5月29日修正）第二十四条、第二十五条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对冶金企业和有色金属企业安全生产工作的监督检查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对冶金企业安全生产情况的行政检查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基础管理情况（安全生产管理制度，安全投入，安全管理机构设置及人员配备，主要负责人、安全管理人员考核合格和特种作业人员持证上岗及全员培训、岗位操作规程等）；2.钢铁企业安全生产执法检查8项重点事项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冶金企业（炼钢、炼铁、铁合金冶炼）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1.《冶金企业和有色金属企业安全生产规定》（国家安全监管总局令第91号）第五条第二款、第四十条、第四十一条、第四十二条、第四十三条、第四十四条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2.《工贸行业重大生产安全事故隐患判定标准（2017版）》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对有色企业安全生产情况的行政检查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员管理情况；2.建设项目安全评价及建设项目安全设施“三同时”情况；3.起重机使用情况；4.人员聚集场所设置情况；5.防积水情况；6.有色金属铸造、浇铸流程紧急排放和应急储存设施情况；7.应急预案、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1.《冶金企业和有色金属企业安全生产规定》（国家安全监管总局令第91号）第五条第二款、第四十条、第四十一条、第四十二条、第四十三条、第四十四条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2.《工贸行业重大生产安全事故隐患判定标准（2017版）》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对食品生产企业安全生产的监督检查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对食品生产企业安全生产的监督检查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管理机构和人员情况；2.组织保障、管理制度和责任制落实情况；3.从业人员培训和持证上岗情况；4.有限空间作业管理情况；5.高温设备安全保护措施配备情况；6.安全风险较高场所监测报警装置和防爆装置设置情况；7.液氨使用安全情况；8.涉爆粉尘管理情况；9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2.《食品生产企业安全生产监督管理暂行规定》（国家安全监管总局令第66号，第80号修正）第二十二条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3.《工贸行业重大生产安全事故隐患判定标准（2017版）》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对地质勘探单位安全生产的监督检查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对地质勘探单位安全生产的监督检查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1.安全生产管理机构设立和专职安全生产管理人员配备情况；2.特种作业人员持证上岗情况；3.从事坑探工程作业人员安全生产教育和培训情况；4.安全生产制度和规程建立情况；5.安全生产费用提取和使用情况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地质勘探单位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2.《金属与非金属矿产资源地质勘探安全生产监督管理暂行规定》（国家安全监管总局令第35号，2015年5月26日修正）第二十二条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对生产经营单位安全培训及特种作业人员持证上岗情况的监督检查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对生产经营单位安全培训情况的行政检查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培训经费投入和使用情况；2.制定安全培训制度、年度培训计划并实施，建立安全培训管理档案情况；3.对从业人员安全生产教育和培训情况的检查；4.主要负责人、安全生产管理人员和特种作业人员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2.《生产经营单位安全培训规定》（国家安全监管总局令第3号）第二十五条第一款、第二十六条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3.《安全生产培训管理办法》（国家安全监管总局令第44号，2013年8月29日第一次修正,2015年5月29日第二次修正）第三十条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对生产、储存、使用、经营危险化学品单位的安全生产监督检查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对一般危险化学品生产、储存、经营的行政检查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许可情况；2.履行建设项目安全设施“三同时”情况；3.企业主要负责人、安全管理人员安全生产教育情况（人员培训和特种作业人员持证上岗情况）；4.安全生产规章制度、操作规程建立情况；5.经营和储存场所、设施、建筑物符合相关国家标准、行业标准情况；6.编制事故应急预案并进行演练情况；7.外包工程管理情况；8.劳动防护用品佩戴和使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危险化学品生产、储存、经营企业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2.《危险化学品安全管理条例》（国务院令第344号）第六条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3.《危险化学品经营许可证管理办法》（国家安全监管总局令第55号）第二十五条、第二十六条、第二十七条、第二十九条、第三十条、第三十一条、第三十二条、第三十三条、第三十四条、第三十五条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对危险化学品重大危险源的监督检查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对危险化学品重大危险源的监督检查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隐患排查治理制度落实情况；2.危险化学品储罐区和储存仓库可燃气体及有毒气体报警系统、安全仪表连锁系统（SIS）、紧急停车系统（ESD）、视频监控系统、液位上下限报警系统、容器超压报警系统、紧急切断装置、安全阀切断阀、泄压排放系统、万向管道充装系统、防爆电气设备、冷却降温设施等安全运行情况；3.按标准分区分类储存危险化学品、危险化学品罐区装卸安全管理等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存在重大危险源的危险化学品企业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2.《危险化学品重大危险源监督管理暂行规定》（国家安全监管总局令第40号）第三十条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对危险化学品管道安全生产的监督检查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对危险化学品管道安全生产的监督检查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1.建立、健全有关危险化学品管道安全生产的规章制度和操作规程情况；2.落实建设项目“三同时”情况；3.管道检测、维护情况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危化品生产、储存企业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《危险化学品输送管道安全管理规定》（国家安全监管总局令第43号，2015年5月27日修正）第四条、第三十条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对生产、经营非药品类易制毒化学品的监督检查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对非药品类易制毒化学品经营的行政检查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1.非药品类易制毒化学品许可、备案制度的执行情况；2.非药品类易制毒化学品管理制度的建立和落实情况；3.非药品类易制毒化学品销售情况；4.非药品类易制毒化学品教育培训情况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非药品类易制毒化学品生产、经营企业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1.《易制毒化学品管理条例》（国务院令第445号，2016年2月修改）第三十二条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2.《非药品类易制毒化学品生产、经营许可办法》（国家安全监管总局令第5号）第四条第二款、第二十五条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对危险化学品登记情况的监督检查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对危险化学品登记情况的监督检查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1.危化品登记证书的有效性；2.危化品登记证书载明情况和实际情况的一致性；3.化学品安全技术说明书、安全标签配备使用情况；4.危化品管理档案建立情况；5.应急咨询电话设立情况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危险化学品生产、进口企业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1.《危险化学品安全管理条例》（国务院令第344号）第六条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2.《危险化学品登记管理办法》（国家安全监管总局令第53号）第二十四条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对烟花爆竹生产经营单位的监督检查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对烟花爆竹批发、零售单位的行政检查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许可情况；2.安全生产责任制等安全管理制度、操作规程建立及落实情况；3.从业人员培训及持证上岗情况；4.流向管理情况；5.仓储库房、零售场所等建设合规性情况；6.“三同时”落实情况；7.应急预案、应急器材和应急演练情况；8.风险管控及隐患排查治理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烟花爆竹零售店（点）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1.《烟花爆竹生产经营安全规定》（国家安全监管总局令第93号）第二十九条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2.《烟花爆竹经营许可实施办法》（国家安全监管总局令第7号）第四条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3.《烟花爆竹零售店（点）安全技术规范》（AQ4128-2019）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对生产经营单位应急预案工作的监督检查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对生产经营单位应急预案工作的监督检查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对产经营单位应急预案编制、发布、备案、教育培训及演练情况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1.《安全生产法》（2021年第三次修正）第九十七条第（二）项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2.《生产安全事故应急条例》（国务院令第708号）第八条第三款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3.《生产安全事故应急预案管理办法》（国家安全监管总局令第17与）第三十五条、第三十六条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4.《山东省生产安全事故应急办法》（山东省人民政府令第341号）第三十二条、第三十三条、第三十四条、第三十五条、第三十六条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对安全培训机构开展安全培训活动情况的监督检查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对安全生产教育培训机构的开展安全培训活动情况的行政检查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1.具备从事安全培训工作所需要的条件的情况；2.建立培训管理制度和教师配备的情况；3.培训大纲、建立培训档案和培训保障的情况；4.培训收费的情况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安全生产教育培训机构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《安全生产培训管理办法》（国家安全监管总局令第44号，2013年8月29日第一次修正,2015年5月29日第二次修正）第二十九条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对本系统注册安全工程师的执业活动的监督检查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对本系统注册安全工程师的执业活动的监督检查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本系统注册安全工程师的执业活动情况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已经注册的注册安全工程师（煤矿安全、建筑施工安全、道路运输安全类别除外）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《注册安全工程师管理规定》（国家安全监管总局令第11号，2013年8月修订）第二十八条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对安全培训机构开展安全培训活动情况的监督检查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对安全生产教育培训机构的开展安全培训活动情况的行政检查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1.具备从事安全培训工作所需要的条件的情况；2.建立培训管理制度和教师配备的情况；3.培训大纲、建立培训档案和培训保障的情况；4.培训收费的情况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安全生产教育培训机构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《安全生产培训管理办法》（国家安全监管总局令第44号，2013年8月29日第一次修正,2015年5月29日第二次修正）第二十九条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临淄区应急管理局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年度部门内部双随机抽查工作计划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276"/>
        <w:gridCol w:w="2268"/>
        <w:gridCol w:w="1275"/>
        <w:gridCol w:w="1276"/>
        <w:gridCol w:w="1276"/>
        <w:gridCol w:w="1417"/>
        <w:gridCol w:w="141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ind w:firstLine="200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268" w:type="dxa"/>
            <w:vAlign w:val="center"/>
          </w:tcPr>
          <w:p>
            <w:pPr>
              <w:spacing w:line="280" w:lineRule="exact"/>
              <w:ind w:firstLine="600" w:firstLineChars="3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抽查内容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抽查对象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检查方式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抽查比例及频次</w:t>
            </w: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检查部门及实施层级</w:t>
            </w:r>
          </w:p>
        </w:tc>
        <w:tc>
          <w:tcPr>
            <w:tcW w:w="2329" w:type="dxa"/>
            <w:vAlign w:val="center"/>
          </w:tcPr>
          <w:p>
            <w:pPr>
              <w:spacing w:line="280" w:lineRule="exact"/>
              <w:ind w:firstLine="600" w:firstLineChars="3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对非煤矿山企业落实领导带班下井制度情况的监督检查</w:t>
            </w:r>
          </w:p>
        </w:tc>
        <w:tc>
          <w:tcPr>
            <w:tcW w:w="226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1.领导带班下井制度建立、健全、考核、奖惩情况。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2.领导带班下井月度计划制定、公告、公示、落实情况。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3.带班下井交接班记录、带班下井登记档案填写情况。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金属、非金属地下矿山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400" w:firstLineChars="2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2.《金属非金属地下矿山企业领导带班下井及监督检查暂行规定》（国家安全监管总局令第34号2015年5月26日修正）第五条。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对生产经营单位安全培训情况的行政检查</w:t>
            </w:r>
          </w:p>
        </w:tc>
        <w:tc>
          <w:tcPr>
            <w:tcW w:w="226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1.安全培训经费投入和使用情况。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2.制定安全培训制度、年度培训计划并实施，建立安全培训管理档案情况。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3.对从业人员安全生产教育和培训情况的检查。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4.主要负责人、安全生产管理人员和特种作业人员培训情况。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生产经营单位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400" w:firstLineChars="2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2.《生产经营单位安全培训规定》（国家安全监管总局令第3号）第二十五条第一款、第二十六条。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3.《安全生产培训管理办法》（国家安全监管总局令第44号，2013年8月29日第一次修正,2015年5月29日第二次修正）第三十条。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对一般危险化学品生产、储存的行政检查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1.安全生产许可情况。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2.履行建设项目安全设施“三同时”情况。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3.企业主要负责人、安全管理人员安全生产教育情况（人员培训和持证上岗情况）。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4.编制事故应急预案并进行演练情况。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5.外包工程管理情况。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6.劳动防护用品佩戴和使用情况。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危险化学品生产、储存企业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重点检查事项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2.《危险化学品安全管理条例》（国务院令第344号）第六条。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临淄区应急管理局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年度部门联合双随机抽查工作计划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560"/>
        <w:gridCol w:w="2375"/>
        <w:gridCol w:w="1310"/>
        <w:gridCol w:w="1985"/>
        <w:gridCol w:w="1355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抽查领域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37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检查对象</w:t>
            </w:r>
          </w:p>
        </w:tc>
        <w:tc>
          <w:tcPr>
            <w:tcW w:w="131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发起部门</w:t>
            </w:r>
          </w:p>
        </w:tc>
        <w:tc>
          <w:tcPr>
            <w:tcW w:w="135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配合部门</w:t>
            </w:r>
          </w:p>
        </w:tc>
        <w:tc>
          <w:tcPr>
            <w:tcW w:w="15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检查主体</w:t>
            </w:r>
          </w:p>
        </w:tc>
        <w:tc>
          <w:tcPr>
            <w:tcW w:w="155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易制毒化学品企业专项抽查</w:t>
            </w:r>
          </w:p>
        </w:tc>
        <w:tc>
          <w:tcPr>
            <w:tcW w:w="156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对非药品类易制毒化学品经营的行政检查</w:t>
            </w:r>
          </w:p>
        </w:tc>
        <w:tc>
          <w:tcPr>
            <w:tcW w:w="237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第三类非药品类易制毒化学品生产经营单位</w:t>
            </w:r>
          </w:p>
        </w:tc>
        <w:tc>
          <w:tcPr>
            <w:tcW w:w="131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公安部门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临淄区应急管理局、淄博市公安局临淄分局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非煤矿山企业专项抽查</w:t>
            </w:r>
          </w:p>
        </w:tc>
        <w:tc>
          <w:tcPr>
            <w:tcW w:w="156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对金属、非金属地下矿山安全生产情况的行政检查</w:t>
            </w:r>
          </w:p>
        </w:tc>
        <w:tc>
          <w:tcPr>
            <w:tcW w:w="237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金属、非金属地下矿山</w:t>
            </w:r>
          </w:p>
        </w:tc>
        <w:tc>
          <w:tcPr>
            <w:tcW w:w="131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自然资源部门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临淄区应急管理局、临淄区自然资源局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11月底前完成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NWVjZDA0YTNmOWUzNjc5M2I2NzdhYjJlOWVjZWIifQ=="/>
  </w:docVars>
  <w:rsids>
    <w:rsidRoot w:val="000E2D7D"/>
    <w:rsid w:val="0007768B"/>
    <w:rsid w:val="00091A48"/>
    <w:rsid w:val="000A284F"/>
    <w:rsid w:val="000D639D"/>
    <w:rsid w:val="000E2D7D"/>
    <w:rsid w:val="001009F0"/>
    <w:rsid w:val="00103D50"/>
    <w:rsid w:val="00165B15"/>
    <w:rsid w:val="001F3007"/>
    <w:rsid w:val="0022565A"/>
    <w:rsid w:val="002373FC"/>
    <w:rsid w:val="0029088D"/>
    <w:rsid w:val="002E012B"/>
    <w:rsid w:val="003407D6"/>
    <w:rsid w:val="003575F7"/>
    <w:rsid w:val="00411D65"/>
    <w:rsid w:val="00424D93"/>
    <w:rsid w:val="00461C59"/>
    <w:rsid w:val="005402BC"/>
    <w:rsid w:val="005569A6"/>
    <w:rsid w:val="005D131A"/>
    <w:rsid w:val="005E4ACC"/>
    <w:rsid w:val="005E7E71"/>
    <w:rsid w:val="005F1177"/>
    <w:rsid w:val="006E75F4"/>
    <w:rsid w:val="007C7182"/>
    <w:rsid w:val="0084232B"/>
    <w:rsid w:val="008816CD"/>
    <w:rsid w:val="00920E6A"/>
    <w:rsid w:val="00937966"/>
    <w:rsid w:val="00A6454F"/>
    <w:rsid w:val="00A67BD3"/>
    <w:rsid w:val="00A94020"/>
    <w:rsid w:val="00AD2AAF"/>
    <w:rsid w:val="00B70F5F"/>
    <w:rsid w:val="00BD51A8"/>
    <w:rsid w:val="00BE6BCA"/>
    <w:rsid w:val="00C06BEC"/>
    <w:rsid w:val="00C66504"/>
    <w:rsid w:val="00CC1771"/>
    <w:rsid w:val="00D03F89"/>
    <w:rsid w:val="00D24FFE"/>
    <w:rsid w:val="00D66DA1"/>
    <w:rsid w:val="00D96727"/>
    <w:rsid w:val="00DA04FB"/>
    <w:rsid w:val="00DD15D5"/>
    <w:rsid w:val="00E83EA8"/>
    <w:rsid w:val="00EB6171"/>
    <w:rsid w:val="00F2540E"/>
    <w:rsid w:val="00F309E8"/>
    <w:rsid w:val="00F4440D"/>
    <w:rsid w:val="09534CB0"/>
    <w:rsid w:val="0A00497C"/>
    <w:rsid w:val="0E7C659C"/>
    <w:rsid w:val="0F49663D"/>
    <w:rsid w:val="10AC760C"/>
    <w:rsid w:val="12E017EF"/>
    <w:rsid w:val="16211E78"/>
    <w:rsid w:val="245C2C9F"/>
    <w:rsid w:val="314B20D2"/>
    <w:rsid w:val="31B7469B"/>
    <w:rsid w:val="3A317DFE"/>
    <w:rsid w:val="3C371BD0"/>
    <w:rsid w:val="3F681CEC"/>
    <w:rsid w:val="423C1CEE"/>
    <w:rsid w:val="42F23CCA"/>
    <w:rsid w:val="448C05DF"/>
    <w:rsid w:val="450D1DF0"/>
    <w:rsid w:val="45725A27"/>
    <w:rsid w:val="47A9175D"/>
    <w:rsid w:val="510A0713"/>
    <w:rsid w:val="53B019BB"/>
    <w:rsid w:val="53B45E5D"/>
    <w:rsid w:val="56C85A70"/>
    <w:rsid w:val="59626045"/>
    <w:rsid w:val="5B07329F"/>
    <w:rsid w:val="5B0C5ADD"/>
    <w:rsid w:val="605E78A2"/>
    <w:rsid w:val="64251AC9"/>
    <w:rsid w:val="67C4714E"/>
    <w:rsid w:val="67CE0D8B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Times New Roman" w:hAnsi="Times New Roman" w:eastAsia="宋体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paragraph" w:customStyle="1" w:styleId="12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8382</Words>
  <Characters>8810</Characters>
  <Lines>34</Lines>
  <Paragraphs>9</Paragraphs>
  <TotalTime>436</TotalTime>
  <ScaleCrop>false</ScaleCrop>
  <LinksUpToDate>false</LinksUpToDate>
  <CharactersWithSpaces>8871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2023-02-24T00:44:00Z</dcterms:created>
  <dc:creator>Lenovo</dc:creator>
  <cp:lastModifiedBy>明明HYY</cp:lastModifiedBy>
  <cp:lastPrinted>2024-10-24T00:58:00Z</cp:lastPrinted>
  <dcterms:modified xsi:type="dcterms:W3CDTF">2026-03-06T08:55:46Z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834AB83CC28A4528A7D3B1D0C9DD4A44</vt:lpwstr>
  </property>
</Properties>
</file>