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color w:val="333333"/>
          <w:spacing w:val="-12"/>
          <w:sz w:val="32"/>
          <w:szCs w:val="32"/>
          <w:shd w:val="clear" w:color="auto" w:fill="FFFFFF"/>
        </w:rPr>
      </w:pPr>
      <w:bookmarkStart w:id="0" w:name="_GoBack"/>
      <w:bookmarkEnd w:id="0"/>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jc w:val="center"/>
        <w:rPr>
          <w:rFonts w:hint="eastAsia" w:ascii="Times New Roman" w:hAnsi="Times New Roman" w:eastAsia="仿宋_GB2312"/>
          <w:sz w:val="32"/>
        </w:rPr>
      </w:pPr>
      <w:r>
        <w:rPr>
          <w:rFonts w:ascii="Times New Roman" w:hAnsi="Times New Roman" w:eastAsia="仿宋_GB2312" w:cs="Times New Roman"/>
          <w:sz w:val="32"/>
        </w:rPr>
        <w:t>临稷办发〔202</w:t>
      </w:r>
      <w:r>
        <w:rPr>
          <w:rFonts w:hint="eastAsia" w:ascii="Times New Roman" w:hAnsi="Times New Roman" w:eastAsia="仿宋_GB2312" w:cs="Times New Roman"/>
          <w:sz w:val="32"/>
        </w:rPr>
        <w:t>4</w:t>
      </w:r>
      <w:r>
        <w:rPr>
          <w:rFonts w:ascii="Times New Roman" w:hAnsi="Times New Roman" w:eastAsia="仿宋_GB2312" w:cs="Times New Roman"/>
          <w:sz w:val="32"/>
        </w:rPr>
        <w:t>〕</w:t>
      </w:r>
      <w:r>
        <w:rPr>
          <w:rFonts w:hint="eastAsia" w:ascii="Times New Roman" w:hAnsi="Times New Roman" w:eastAsia="仿宋_GB2312" w:cs="Times New Roman"/>
          <w:sz w:val="32"/>
        </w:rPr>
        <w:t>2</w:t>
      </w:r>
      <w:r>
        <w:rPr>
          <w:rFonts w:ascii="Times New Roman" w:hAnsi="Times New Roman" w:eastAsia="仿宋_GB2312" w:cs="Times New Roman"/>
          <w:sz w:val="32"/>
        </w:rPr>
        <w:t>2号</w:t>
      </w: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color w:val="333333"/>
          <w:spacing w:val="-12"/>
          <w:sz w:val="32"/>
          <w:szCs w:val="32"/>
          <w:shd w:val="clear" w:color="auto" w:fill="FFFFFF"/>
        </w:rPr>
      </w:pPr>
    </w:p>
    <w:p>
      <w:pPr>
        <w:spacing w:line="560" w:lineRule="exact"/>
        <w:rPr>
          <w:rFonts w:ascii="Times New Roman" w:hAnsi="Times New Roman" w:eastAsia="仿宋_GB2312" w:cs="Times New Roman"/>
          <w:spacing w:val="-12"/>
          <w:sz w:val="32"/>
          <w:szCs w:val="32"/>
          <w:shd w:val="clear" w:color="auto" w:fill="FFFFFF"/>
        </w:rPr>
      </w:pPr>
      <w:r>
        <w:rPr>
          <w:rFonts w:ascii="Times New Roman" w:hAnsi="Times New Roman" w:eastAsia="仿宋_GB2312" w:cs="Times New Roman"/>
          <w:spacing w:val="-12"/>
          <w:sz w:val="32"/>
          <w:szCs w:val="32"/>
          <w:shd w:val="clear" w:color="auto" w:fill="FFFFFF"/>
        </w:rPr>
        <w:t>各村（居）、办公室（中心）：</w:t>
      </w:r>
    </w:p>
    <w:p>
      <w:pPr>
        <w:spacing w:line="560" w:lineRule="exact"/>
        <w:ind w:firstLine="592" w:firstLineChars="200"/>
        <w:rPr>
          <w:rFonts w:ascii="Times New Roman" w:hAnsi="Times New Roman" w:eastAsia="仿宋_GB2312" w:cs="Times New Roman"/>
          <w:spacing w:val="-12"/>
          <w:sz w:val="32"/>
          <w:szCs w:val="32"/>
          <w:shd w:val="clear" w:color="auto" w:fill="FFFFFF"/>
        </w:rPr>
      </w:pPr>
      <w:r>
        <w:rPr>
          <w:rFonts w:ascii="Times New Roman" w:hAnsi="Times New Roman" w:eastAsia="仿宋_GB2312" w:cs="Times New Roman"/>
          <w:spacing w:val="-12"/>
          <w:sz w:val="32"/>
          <w:szCs w:val="32"/>
          <w:shd w:val="clear" w:color="auto" w:fill="FFFFFF"/>
        </w:rPr>
        <w:t>现将《稷下街道“无废街道”建设工作方案》印发给你们，请结合实际，认真贯彻落实。</w:t>
      </w:r>
    </w:p>
    <w:p>
      <w:pPr>
        <w:spacing w:line="560" w:lineRule="exact"/>
        <w:ind w:firstLine="592" w:firstLineChars="200"/>
        <w:rPr>
          <w:rFonts w:ascii="Times New Roman" w:hAnsi="Times New Roman" w:eastAsia="仿宋_GB2312" w:cs="Times New Roman"/>
          <w:spacing w:val="-12"/>
          <w:sz w:val="32"/>
          <w:szCs w:val="32"/>
          <w:shd w:val="clear" w:color="auto" w:fill="FFFFFF"/>
        </w:rPr>
      </w:pPr>
    </w:p>
    <w:p>
      <w:pPr>
        <w:spacing w:line="560" w:lineRule="exact"/>
        <w:ind w:firstLine="592" w:firstLineChars="200"/>
        <w:rPr>
          <w:rFonts w:ascii="Times New Roman" w:hAnsi="Times New Roman" w:eastAsia="仿宋_GB2312" w:cs="Times New Roman"/>
          <w:spacing w:val="-12"/>
          <w:sz w:val="32"/>
          <w:szCs w:val="32"/>
          <w:shd w:val="clear" w:color="auto" w:fill="FFFFFF"/>
        </w:rPr>
      </w:pPr>
    </w:p>
    <w:p>
      <w:pPr>
        <w:spacing w:line="560" w:lineRule="exact"/>
        <w:ind w:right="592"/>
        <w:jc w:val="right"/>
        <w:rPr>
          <w:rFonts w:ascii="Times New Roman" w:hAnsi="Times New Roman" w:eastAsia="仿宋_GB2312" w:cs="Times New Roman"/>
          <w:spacing w:val="-12"/>
          <w:sz w:val="32"/>
          <w:szCs w:val="32"/>
          <w:shd w:val="clear" w:color="auto" w:fill="FFFFFF"/>
        </w:rPr>
      </w:pPr>
      <w:r>
        <w:rPr>
          <w:rFonts w:ascii="Times New Roman" w:hAnsi="Times New Roman" w:eastAsia="仿宋_GB2312" w:cs="Times New Roman"/>
          <w:spacing w:val="-12"/>
          <w:sz w:val="32"/>
          <w:szCs w:val="32"/>
          <w:shd w:val="clear" w:color="auto" w:fill="FFFFFF"/>
        </w:rPr>
        <w:t>稷下街道办事处</w:t>
      </w:r>
      <w:r>
        <w:rPr>
          <w:rFonts w:hint="eastAsia" w:ascii="Times New Roman" w:hAnsi="Times New Roman" w:eastAsia="仿宋_GB2312" w:cs="Times New Roman"/>
          <w:spacing w:val="-12"/>
          <w:sz w:val="32"/>
          <w:szCs w:val="32"/>
          <w:shd w:val="clear" w:color="auto" w:fill="FFFFFF"/>
        </w:rPr>
        <w:t xml:space="preserve"> </w:t>
      </w:r>
      <w:r>
        <w:rPr>
          <w:rFonts w:ascii="Times New Roman" w:hAnsi="Times New Roman" w:eastAsia="仿宋_GB2312" w:cs="Times New Roman"/>
          <w:spacing w:val="-12"/>
          <w:sz w:val="32"/>
          <w:szCs w:val="32"/>
          <w:shd w:val="clear" w:color="auto" w:fill="FFFFFF"/>
        </w:rPr>
        <w:t xml:space="preserve">    </w:t>
      </w:r>
    </w:p>
    <w:p>
      <w:pPr>
        <w:spacing w:line="560" w:lineRule="exact"/>
        <w:ind w:right="296"/>
        <w:jc w:val="right"/>
        <w:rPr>
          <w:rFonts w:ascii="Times New Roman" w:hAnsi="Times New Roman" w:eastAsia="仿宋_GB2312" w:cs="Times New Roman"/>
          <w:spacing w:val="-12"/>
          <w:sz w:val="32"/>
          <w:szCs w:val="32"/>
          <w:shd w:val="clear" w:color="auto" w:fill="FFFFFF"/>
        </w:rPr>
      </w:pPr>
      <w:r>
        <w:rPr>
          <w:rFonts w:hint="eastAsia" w:ascii="Times New Roman" w:hAnsi="Times New Roman" w:eastAsia="仿宋_GB2312" w:cs="Times New Roman"/>
          <w:spacing w:val="-12"/>
          <w:sz w:val="32"/>
          <w:szCs w:val="32"/>
          <w:shd w:val="clear" w:color="auto" w:fill="FFFFFF"/>
        </w:rPr>
        <w:t>2</w:t>
      </w:r>
      <w:r>
        <w:rPr>
          <w:rFonts w:ascii="Times New Roman" w:hAnsi="Times New Roman" w:eastAsia="仿宋_GB2312" w:cs="Times New Roman"/>
          <w:spacing w:val="-12"/>
          <w:sz w:val="32"/>
          <w:szCs w:val="32"/>
          <w:shd w:val="clear" w:color="auto" w:fill="FFFFFF"/>
        </w:rPr>
        <w:t>024年 4月</w:t>
      </w:r>
      <w:r>
        <w:rPr>
          <w:rFonts w:hint="eastAsia" w:ascii="Times New Roman" w:hAnsi="Times New Roman" w:eastAsia="仿宋_GB2312" w:cs="Times New Roman"/>
          <w:spacing w:val="-12"/>
          <w:sz w:val="32"/>
          <w:szCs w:val="32"/>
          <w:shd w:val="clear" w:color="auto" w:fill="FFFFFF"/>
        </w:rPr>
        <w:t>2</w:t>
      </w:r>
      <w:r>
        <w:rPr>
          <w:rFonts w:ascii="Times New Roman" w:hAnsi="Times New Roman" w:eastAsia="仿宋_GB2312" w:cs="Times New Roman"/>
          <w:spacing w:val="-12"/>
          <w:sz w:val="32"/>
          <w:szCs w:val="32"/>
          <w:shd w:val="clear" w:color="auto" w:fill="FFFFFF"/>
        </w:rPr>
        <w:t xml:space="preserve"> 日    </w:t>
      </w:r>
    </w:p>
    <w:p>
      <w:pPr>
        <w:spacing w:line="560" w:lineRule="exact"/>
        <w:rPr>
          <w:rFonts w:ascii="Times New Roman" w:hAnsi="Times New Roman" w:eastAsia="方正小标宋简体" w:cs="Times New Roman"/>
          <w:color w:val="333333"/>
          <w:spacing w:val="-12"/>
          <w:sz w:val="44"/>
          <w:szCs w:val="44"/>
          <w:shd w:val="clear" w:color="auto" w:fill="FFFFFF"/>
        </w:rPr>
      </w:pPr>
    </w:p>
    <w:p>
      <w:pPr>
        <w:spacing w:line="560" w:lineRule="exact"/>
        <w:rPr>
          <w:rFonts w:ascii="Times New Roman" w:hAnsi="Times New Roman" w:eastAsia="方正小标宋简体" w:cs="Times New Roman"/>
          <w:color w:val="333333"/>
          <w:spacing w:val="-12"/>
          <w:sz w:val="44"/>
          <w:szCs w:val="44"/>
          <w:shd w:val="clear" w:color="auto" w:fill="FFFFFF"/>
        </w:rPr>
      </w:pPr>
    </w:p>
    <w:p>
      <w:pPr>
        <w:spacing w:line="560" w:lineRule="exact"/>
        <w:jc w:val="center"/>
        <w:rPr>
          <w:rFonts w:ascii="Times New Roman" w:hAnsi="Times New Roman" w:eastAsia="方正小标宋简体" w:cs="Times New Roman"/>
          <w:sz w:val="44"/>
          <w:szCs w:val="44"/>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稷下街道“无废街道”建设工作方案</w:t>
      </w:r>
    </w:p>
    <w:p>
      <w:pPr>
        <w:spacing w:line="560" w:lineRule="exact"/>
        <w:jc w:val="center"/>
        <w:rPr>
          <w:rFonts w:ascii="Times New Roman" w:hAnsi="Times New Roman" w:eastAsia="方正小标宋简体" w:cs="Times New Roman"/>
          <w:sz w:val="44"/>
          <w:szCs w:val="44"/>
        </w:rPr>
      </w:pPr>
    </w:p>
    <w:p>
      <w:pPr>
        <w:tabs>
          <w:tab w:val="left" w:pos="1555"/>
        </w:tabs>
        <w:spacing w:line="560" w:lineRule="exact"/>
        <w:ind w:firstLine="616" w:firstLineChars="200"/>
        <w:rPr>
          <w:rFonts w:ascii="Times New Roman" w:hAnsi="Times New Roman" w:eastAsia="仿宋_GB2312" w:cs="Times New Roman"/>
          <w:color w:val="000000"/>
          <w:spacing w:val="-6"/>
          <w:sz w:val="32"/>
          <w:szCs w:val="32"/>
          <w:shd w:val="clear" w:color="auto" w:fill="FFFFFF"/>
        </w:rPr>
      </w:pPr>
      <w:r>
        <w:rPr>
          <w:rFonts w:ascii="Times New Roman" w:hAnsi="Times New Roman" w:eastAsia="仿宋_GB2312" w:cs="Times New Roman"/>
          <w:color w:val="000000"/>
          <w:spacing w:val="-6"/>
          <w:sz w:val="32"/>
          <w:szCs w:val="32"/>
          <w:shd w:val="clear" w:color="auto" w:fill="FFFFFF"/>
        </w:rPr>
        <w:t>2022年4月，淄博市被生态环境部列为全国“无废城市”建设城市。为推进“无废城市”建设,促进城市可持续发展和绿色转型,根据生态环境部等18部委《关于印发〈“十四五”时期“无废城市”建设工作方案〉的通知》(环固体〔2021〕114号)、《山东省人民政府关于印发山东省“无废城市”建设工作方案的通知》（鲁政字〔2022〕130号）、《淄博市人民政府关于印发淄博市“无废城市”建设实施方案的通知》（淄政发〔2022〕17号）等文件要求,结合我街道实际,制定本方案。</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一、总体要求</w:t>
      </w:r>
    </w:p>
    <w:p>
      <w:pPr>
        <w:tabs>
          <w:tab w:val="left" w:pos="1555"/>
        </w:tabs>
        <w:spacing w:line="560" w:lineRule="exact"/>
        <w:ind w:firstLine="616" w:firstLineChars="200"/>
        <w:rPr>
          <w:rFonts w:ascii="Times New Roman" w:hAnsi="Times New Roman" w:eastAsia="楷体_GB2312" w:cs="Times New Roman"/>
          <w:color w:val="000000"/>
          <w:spacing w:val="-6"/>
          <w:sz w:val="32"/>
          <w:szCs w:val="32"/>
          <w:shd w:val="clear" w:color="auto" w:fill="FFFFFF"/>
        </w:rPr>
      </w:pPr>
      <w:r>
        <w:rPr>
          <w:rFonts w:ascii="Times New Roman" w:hAnsi="Times New Roman" w:eastAsia="楷体_GB2312" w:cs="Times New Roman"/>
          <w:color w:val="000000"/>
          <w:spacing w:val="-6"/>
          <w:sz w:val="32"/>
          <w:szCs w:val="32"/>
          <w:shd w:val="clear" w:color="auto" w:fill="FFFFFF"/>
        </w:rPr>
        <w:t>（一）指导思想</w:t>
      </w:r>
    </w:p>
    <w:p>
      <w:pPr>
        <w:tabs>
          <w:tab w:val="left" w:pos="1555"/>
        </w:tabs>
        <w:spacing w:line="560" w:lineRule="exact"/>
        <w:ind w:firstLine="616" w:firstLineChars="200"/>
        <w:rPr>
          <w:rFonts w:ascii="Times New Roman" w:hAnsi="Times New Roman" w:eastAsia="仿宋_GB2312" w:cs="Times New Roman"/>
          <w:color w:val="000000"/>
          <w:spacing w:val="-6"/>
          <w:sz w:val="32"/>
          <w:szCs w:val="32"/>
          <w:shd w:val="clear" w:color="auto" w:fill="FFFFFF"/>
        </w:rPr>
      </w:pPr>
      <w:r>
        <w:rPr>
          <w:rFonts w:ascii="Times New Roman" w:hAnsi="Times New Roman" w:eastAsia="仿宋_GB2312" w:cs="Times New Roman"/>
          <w:color w:val="000000"/>
          <w:spacing w:val="-6"/>
          <w:sz w:val="32"/>
          <w:szCs w:val="32"/>
          <w:shd w:val="clear" w:color="auto" w:fill="FFFFFF"/>
        </w:rPr>
        <w:t>深入贯彻习近平生态文明思想，全面落实习近平总书记对山东工作的重要指示要求，自觉践行绿水青山就是金山银山的理念，坚持创新、协调、绿色、开放、共享，持续推进固体废物减量化、资源化、无害化，发挥减污降碳协同效应，强化制度、技术、市场、监管等保障体系建设，提升城市精细化管理水平，协同推进黄河流域生态保护和高质量发展，为深化生态赋能，打造绿色低碳的现代化新稷下奠定坚实基础。</w:t>
      </w:r>
    </w:p>
    <w:p>
      <w:pPr>
        <w:tabs>
          <w:tab w:val="left" w:pos="1555"/>
        </w:tabs>
        <w:spacing w:line="560" w:lineRule="exact"/>
        <w:ind w:firstLine="616" w:firstLineChars="200"/>
        <w:rPr>
          <w:rFonts w:ascii="Times New Roman" w:hAnsi="Times New Roman" w:eastAsia="楷体_GB2312" w:cs="Times New Roman"/>
          <w:color w:val="000000"/>
          <w:spacing w:val="-6"/>
          <w:sz w:val="32"/>
          <w:szCs w:val="32"/>
          <w:shd w:val="clear" w:color="auto" w:fill="FFFFFF"/>
        </w:rPr>
      </w:pPr>
      <w:r>
        <w:rPr>
          <w:rFonts w:ascii="Times New Roman" w:hAnsi="Times New Roman" w:eastAsia="楷体_GB2312" w:cs="Times New Roman"/>
          <w:color w:val="000000"/>
          <w:spacing w:val="-6"/>
          <w:sz w:val="32"/>
          <w:szCs w:val="32"/>
          <w:shd w:val="clear" w:color="auto" w:fill="FFFFFF"/>
        </w:rPr>
        <w:t>（二）建设目标</w:t>
      </w:r>
    </w:p>
    <w:p>
      <w:pPr>
        <w:tabs>
          <w:tab w:val="left" w:pos="1555"/>
        </w:tabs>
        <w:spacing w:line="560" w:lineRule="exact"/>
        <w:ind w:firstLine="616" w:firstLineChars="200"/>
        <w:rPr>
          <w:rFonts w:ascii="Times New Roman" w:hAnsi="Times New Roman" w:eastAsia="仿宋_GB2312" w:cs="Times New Roman"/>
          <w:color w:val="000000"/>
          <w:spacing w:val="-6"/>
          <w:sz w:val="32"/>
          <w:szCs w:val="32"/>
          <w:shd w:val="clear" w:color="auto" w:fill="FFFFFF"/>
        </w:rPr>
      </w:pPr>
      <w:r>
        <w:rPr>
          <w:rFonts w:ascii="Times New Roman" w:hAnsi="Times New Roman" w:eastAsia="仿宋_GB2312" w:cs="Times New Roman"/>
          <w:color w:val="000000"/>
          <w:spacing w:val="-6"/>
          <w:sz w:val="32"/>
          <w:szCs w:val="32"/>
          <w:shd w:val="clear" w:color="auto" w:fill="FFFFFF"/>
        </w:rPr>
        <w:t>到2025年，建立协同高效的城市固体废物管理体系。工业绿色水平显著提升，主要农业废弃物基本实现全量利用，绿色生活方式深入人心，生活垃圾分类基本实现全覆盖，建筑垃圾资源化利用水平显著提升, 危险废物得到安全管控，主导产业实现循环化发展，各类固体废物减量化、资源化、无害化综合治理的“无废稷下”新模式初步建成。</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二、主要任务</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（一）坚持能减则减，抓好产废源头减量化</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抓好源头减量，鼓励工业固体废物产生量大的企业在场内开展利用处置，提高废水回用比例，强化废水分质分流处理，从源头减少固废产生量，工业固体废物产生强度年度增长率实现负增长，工业危险废物产生强度逐年下降，实施清洁生产的工业企业总数年度增长率达到5%。减少化肥、农药等农业投入品使用量及其废弃物产生量，化肥农药使用量实现负增长。加快形成绿色生产生活方式，推动循环型工业、生态农业、循环型服务业发展，构建循环经济产业链，绿色工厂覆盖率达到90%。加强舆论宣传教育引导，实现全域生活垃圾零增长。推进快递包装绿色治理，提高符合标准的绿色包装材料应用比例。限制商铺、超市和农贸市场销售、使用塑料袋，逐步推广可降解环保替代用品。大力推进宾馆、民宿等全面取消“六小件”。积极推广绿色建筑，推行绿色建造方式，提倡绿色构造、绿色施工、绿色室内装修。绿色建筑占新建筑比例达到100%。加快机关、企事业单位、饭店、商场、农贸市场、村社区、家庭等“无废城市细胞”建设，完成“无废城市细胞”建设50个以上。</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（二）坚持应分尽分，落实分类贮存规范化</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实施生活垃圾强制分类，实行“定时定点”投放和“三站”收集模式，生活垃圾分类基本实现全覆盖。强化医疗废物源头分类管理，推动医院、卫生院对医疗废物按规范分类，对未被污染的一次性输液瓶（袋）规范化分类处置，医疗废物安全处置率达到100%。推进工业固体废物分类贮存规范化。建立一般工业固体废物分类制度，督促企业做好固体废物产生种类、属性、数量、去向等信息填报，一般工业固体废物综合利用率、工业固体废物安全处理率达到95%。重点抓好工业危险废物分类贮存规范化管理，全面提升危险废物规范化管理达标率达92%以上。</w:t>
      </w:r>
    </w:p>
    <w:p>
      <w:pPr>
        <w:tabs>
          <w:tab w:val="left" w:pos="1555"/>
        </w:tabs>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（三）坚持应收尽收，实现收集转运专业化</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完善全域固体废物收集体系，建立健全精准化源头分类、专业化二次分拣、智能化高效清运、最大化资源利用、集中化统一处置的一般工业固体废物治理体系。推广小箱进大箱回收医疗废物做法，实现医疗废物集中收集网络体系全覆盖，医疗卫生机构可回收物资源回收率达到80%以上。落实国家和省市废旧农膜统计制度，加快推广加厚地膜和可降解农膜的使用，落实废旧农膜回收补贴政策，推行废旧农膜分类回收处理，无利用价值的废旧地膜纳入农村生活垃圾处理体系，废旧农膜回收处理率达到90%。坚持“谁生产谁负责、谁销售谁回收、谁使用谁交回”的原则，加强辖区内农资产品经营户的管理，建立完善回收机制，农药包装废弃物回收率达到90%以上，处置率达到100%。完善病死畜禽无害化处理机制，推动病死畜禽无害化处理体系覆盖饲养、屠宰、经营、运输等各环节，病死畜禽无害化处理率达到100%。</w:t>
      </w:r>
    </w:p>
    <w:p>
      <w:pPr>
        <w:numPr>
          <w:ilvl w:val="0"/>
          <w:numId w:val="1"/>
        </w:numPr>
        <w:tabs>
          <w:tab w:val="left" w:pos="1555"/>
        </w:tabs>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坚持可用尽用，促进资源利用最大化</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快推进资源循环利用，推动再生资源回收利用。生活垃圾分类覆盖面达到100%，生活垃圾回收利用率达到60%。推进建筑垃圾资源化利用，积极推动建筑垃圾精细化分类分质利用，完善收集、清运、分拣、再利用的一体化回收处置体系。着力提升农业废弃物资源化利用水平。加强畜禽粪污处理设施长效运维，以种养循环、就近利用为重点，畜禽粪污综合利用率达95%。</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（五）坚持应管严管，营造高压严管常态化</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大固体废物运输环节管控力度，严查无危险废物道路运输资质企业从事危险废物运输的行为。严控产废单位将处置费用直接交付运输单位或个人并委托其全权处置固体废物的行为。落实固体废物违法有奖举报制度，进一步完善环境保护税征管协作机制，对直接向环境排放固体废物的违法行为，依法征收环境保护税。强化行政执法与刑事司法、检察公益诉讼的协调联动，实施环境违法黑名单和产业禁入制度，形成环境执法高压震慑态势。建立工业固体废物、生活垃圾、建筑垃圾、农业废弃物、医疗废物等全领域管理台账，形成产废“一本账”。加强对辖区固体废物产废者的指导服务。坚持污染物“谁产生、谁负责”“谁产生、谁治理”的原则，延长产废者的责任追究链条，推进源头减量，推动无害化利用处置。压实行业监管职责，加大环境违法案件查处力度，实现村和社区网格化巡查队伍全覆盖，营造齐抓共管的良好工作格局。</w:t>
      </w:r>
    </w:p>
    <w:p>
      <w:pPr>
        <w:tabs>
          <w:tab w:val="left" w:pos="1555"/>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三、保障措施</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（一）强化组织领导。</w:t>
      </w:r>
      <w:r>
        <w:rPr>
          <w:rFonts w:ascii="Times New Roman" w:hAnsi="Times New Roman" w:eastAsia="仿宋_GB2312" w:cs="Times New Roman"/>
          <w:sz w:val="32"/>
          <w:szCs w:val="32"/>
        </w:rPr>
        <w:t>建立工作专班，负责辖区内“无废街道”建设重点任务落实的统筹协调。专班下设工作组，各工作组加强协调配合，强化责任落实，按照职责范围负责本行业领域重点工作的推进实施。定期汇总调度工作任务推进和完成情况。建立定期例会制度，加大指导和监督检查工作力度，及时沟通工作推进中遇到的问题，研究解决方案，确保完成方案确定的各项重点任务。</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（二）强化政策支持。</w:t>
      </w:r>
      <w:r>
        <w:rPr>
          <w:rFonts w:ascii="Times New Roman" w:hAnsi="Times New Roman" w:eastAsia="仿宋_GB2312" w:cs="Times New Roman"/>
          <w:sz w:val="32"/>
          <w:szCs w:val="32"/>
        </w:rPr>
        <w:t>落实支持资源综合利用的企业所得税、增值税等优惠政策。完善价格政策，通过差别电价等机制，引导企业和居民实施固体废物源头减量和循环利用。对固体废物综合利用产品，按照相关文件规定，在政府采购上给予优先待遇，倡导非政府机构、企业实行绿色采购。对“无废城市”重点支撑项目开通审批“绿色通道”，依法给予税收、土地等政策支持，确保项目顺利实施。对“无废城市”建设贡献突出、成绩显著的单位和个人给予通报表扬。</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（三）强化宣传引导。</w:t>
      </w:r>
      <w:r>
        <w:rPr>
          <w:rFonts w:ascii="Times New Roman" w:hAnsi="Times New Roman" w:eastAsia="仿宋_GB2312" w:cs="Times New Roman"/>
          <w:sz w:val="32"/>
          <w:szCs w:val="32"/>
        </w:rPr>
        <w:t>增强全民节约意识、环保意识、生态意识，倡导简约适度、绿色低碳的生活方式，动员全社会广泛参与“无废城市”建设。将“无废城市”理念融入家庭教育、学前教育、中小学教育、未成年人思想道德建设教学体系，组织开展社会实践活动。鼓励工会、共青团、社会团体、社会管理机构积极开展“无废城市”宣传。综合运用电视台、广播、报纸等传统媒体，网站、微博、微信及新闻客户端等新媒体，以及户外广告、电子大屏、移动电视、宣传栏等载体宣传“无废城市”经验做法。鼓励公民和社会组织积极举报环境问题，支持新闻媒体开展舆论监督。</w:t>
      </w: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（四）加强监督考核。</w:t>
      </w:r>
      <w:r>
        <w:rPr>
          <w:rFonts w:ascii="Times New Roman" w:hAnsi="Times New Roman" w:eastAsia="仿宋_GB2312" w:cs="Times New Roman"/>
          <w:sz w:val="32"/>
          <w:szCs w:val="32"/>
        </w:rPr>
        <w:t>细化量化“无废城市”建设工作任务，明确责任单位、工作路线及进度、时间安排等。将“无废城市”建设工作列入街道年度重点任务，按职责分工落实主要任务。探索建立重点任务领导干部绩效考核挂钩机制，落实每项任务第一责任人及其责任，确保按进度完成相关工作。</w:t>
      </w:r>
    </w:p>
    <w:p>
      <w:pPr>
        <w:tabs>
          <w:tab w:val="left" w:pos="1555"/>
        </w:tabs>
        <w:spacing w:line="560" w:lineRule="exact"/>
        <w:rPr>
          <w:rFonts w:ascii="Times New Roman" w:hAnsi="Times New Roman" w:eastAsia="仿宋_GB2312" w:cs="Times New Roman"/>
          <w:sz w:val="32"/>
          <w:szCs w:val="32"/>
        </w:rPr>
      </w:pPr>
    </w:p>
    <w:p>
      <w:pPr>
        <w:tabs>
          <w:tab w:val="left" w:pos="1555"/>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附件：稷下街道“无废街道”建设工作专班名单</w:t>
      </w:r>
    </w:p>
    <w:p>
      <w:pPr>
        <w:spacing w:line="560" w:lineRule="exact"/>
        <w:rPr>
          <w:rFonts w:ascii="Times New Roman" w:hAnsi="Times New Roman" w:eastAsia="黑体" w:cs="Times New Roman"/>
          <w:sz w:val="32"/>
          <w:szCs w:val="32"/>
        </w:rPr>
        <w:sectPr>
          <w:footerReference r:id="rId4" w:type="default"/>
          <w:pgSz w:w="11906" w:h="16838"/>
          <w:pgMar w:top="2098" w:right="1474" w:bottom="1984" w:left="1587" w:header="851" w:footer="992" w:gutter="0"/>
          <w:pgNumType w:fmt="numberInDash"/>
          <w:cols w:space="425" w:num="1"/>
          <w:docGrid w:type="lines" w:linePitch="312" w:charSpace="0"/>
        </w:sectPr>
      </w:pP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稷下街道“无废街道”建设工作专班名单</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为完成“无废街道”建设工作任务，强化工作组织领导，经街道党工委研究决定，成立稷下街道“无废街道”建设工作专班，下设工作组，组成人员如下：</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一、工业领域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牵头领导：苏明锋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科室干部：孙敬超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主要负责工业企业固体废物收运、处置及相关工作的协调落实，落实好工业企业废水、废气等企业污染物处置等工作。</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二、农业农村领域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牵头领导：王栋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科室干部：张晓刚  王成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主要负责农业农村废弃物收运处置，做好秸秆综合利用、病死畜禽处置、废旧农膜和农药包装处置等工作。</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三、医疗卫生和学校领域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牵头领导：蔡希君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科室干部：王风芹  王智勇  王宁</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主要负责医疗卫生机构医疗废物收集处置、可回收物回收利用、学校实验室废弃物集中收运等工作。负责学校、医院、卫生院等“无废城市细胞”建设。</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四、绿色工厂和绿色建筑领域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牵头领导：孙进  王栋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科室干部：王兴华  刘永金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主要负责督促工业企业实现清洁生产，完成绿色工厂建设目标任务。绿色建筑比例达到目标任务。负责工厂、企业等“无废城市细胞”建设。</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五、生活垃圾和建筑垃圾领域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牵头领导：孙进  吉金鹏  王栋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科室干部：史洪波  王兴华  王渊博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主要负责城镇垃圾分类、建筑垃圾回收处置、城市生活污水集中处置等工作，负责农贸市场、小区、超市、快递业等“无废城市细胞”创建等。</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六、宾馆民宿文旅领域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牵头领导：蔡希君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科室干部：王风芹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主要负责全面取消宾馆、民宿等行业“六小件”等工作，负责宾馆、民宿等“无废城市细胞”创建等。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各工作组要加强协调合作，做好本行业领域“无废街道”创建工作的同时，按照评价指标要求，同时做好各社区、村庄的指导工作。</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743"/>
        <w:tab w:val="clear" w:pos="4153"/>
      </w:tabs>
      <w:rPr>
        <w:rFonts w:hint="eastAsia" w:eastAsiaTheme="minorEastAsia"/>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16431"/>
    <w:multiLevelType w:val="singleLevel"/>
    <w:tmpl w:val="5921643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Y1ZDJmOTQ4YjI3YzgwNjNhZTU5MTA2MjkyNzAifQ=="/>
  </w:docVars>
  <w:rsids>
    <w:rsidRoot w:val="59D57250"/>
    <w:rsid w:val="003C28DE"/>
    <w:rsid w:val="0043389E"/>
    <w:rsid w:val="005C6850"/>
    <w:rsid w:val="005F65CD"/>
    <w:rsid w:val="00E131C4"/>
    <w:rsid w:val="019E1F38"/>
    <w:rsid w:val="02B443D0"/>
    <w:rsid w:val="02C848FD"/>
    <w:rsid w:val="04275653"/>
    <w:rsid w:val="048E122E"/>
    <w:rsid w:val="04A42800"/>
    <w:rsid w:val="060F45F1"/>
    <w:rsid w:val="06293905"/>
    <w:rsid w:val="06D03D80"/>
    <w:rsid w:val="070457D8"/>
    <w:rsid w:val="081E6D6D"/>
    <w:rsid w:val="08DF591E"/>
    <w:rsid w:val="0A1246B0"/>
    <w:rsid w:val="0A21777C"/>
    <w:rsid w:val="0AA479FE"/>
    <w:rsid w:val="0AFA5870"/>
    <w:rsid w:val="0B54217A"/>
    <w:rsid w:val="0B7F70D3"/>
    <w:rsid w:val="0CF32576"/>
    <w:rsid w:val="0CF91064"/>
    <w:rsid w:val="0D72055C"/>
    <w:rsid w:val="0E6354DA"/>
    <w:rsid w:val="0EBB70C4"/>
    <w:rsid w:val="10233173"/>
    <w:rsid w:val="11063FEA"/>
    <w:rsid w:val="11EB5F12"/>
    <w:rsid w:val="13B41253"/>
    <w:rsid w:val="1585667E"/>
    <w:rsid w:val="15895A18"/>
    <w:rsid w:val="166B0E41"/>
    <w:rsid w:val="16C86822"/>
    <w:rsid w:val="18950986"/>
    <w:rsid w:val="194B373A"/>
    <w:rsid w:val="19DE0091"/>
    <w:rsid w:val="1A5B5BFF"/>
    <w:rsid w:val="1D3749F4"/>
    <w:rsid w:val="1D477E44"/>
    <w:rsid w:val="1E3C64F5"/>
    <w:rsid w:val="20743577"/>
    <w:rsid w:val="20A83220"/>
    <w:rsid w:val="21224D81"/>
    <w:rsid w:val="21C83B7A"/>
    <w:rsid w:val="21DA5A2E"/>
    <w:rsid w:val="2221328A"/>
    <w:rsid w:val="22E36792"/>
    <w:rsid w:val="23845F84"/>
    <w:rsid w:val="24ED0FDA"/>
    <w:rsid w:val="250501B3"/>
    <w:rsid w:val="264C42D8"/>
    <w:rsid w:val="26812549"/>
    <w:rsid w:val="26DD1E76"/>
    <w:rsid w:val="27363334"/>
    <w:rsid w:val="27462BA9"/>
    <w:rsid w:val="27C933D0"/>
    <w:rsid w:val="27D868FE"/>
    <w:rsid w:val="280B2A12"/>
    <w:rsid w:val="282C163C"/>
    <w:rsid w:val="29B2144F"/>
    <w:rsid w:val="2B277B63"/>
    <w:rsid w:val="2C8D7E9A"/>
    <w:rsid w:val="2C907D44"/>
    <w:rsid w:val="2CB21FD4"/>
    <w:rsid w:val="2D046CA3"/>
    <w:rsid w:val="2DCA65B0"/>
    <w:rsid w:val="2E694025"/>
    <w:rsid w:val="2E8C44A4"/>
    <w:rsid w:val="2F8F5CD7"/>
    <w:rsid w:val="30DA5678"/>
    <w:rsid w:val="3128189F"/>
    <w:rsid w:val="31C87647"/>
    <w:rsid w:val="335C4122"/>
    <w:rsid w:val="339E473B"/>
    <w:rsid w:val="341B3FDD"/>
    <w:rsid w:val="35B27BC2"/>
    <w:rsid w:val="36A717E6"/>
    <w:rsid w:val="37070849"/>
    <w:rsid w:val="374C2700"/>
    <w:rsid w:val="38A162E7"/>
    <w:rsid w:val="38B8629F"/>
    <w:rsid w:val="39537D75"/>
    <w:rsid w:val="39EE7A9E"/>
    <w:rsid w:val="3B225C51"/>
    <w:rsid w:val="3B75508C"/>
    <w:rsid w:val="3DDA61AA"/>
    <w:rsid w:val="41412BA9"/>
    <w:rsid w:val="41BE244C"/>
    <w:rsid w:val="41E44F7E"/>
    <w:rsid w:val="428807C1"/>
    <w:rsid w:val="42F8373B"/>
    <w:rsid w:val="434D7F2B"/>
    <w:rsid w:val="44790C24"/>
    <w:rsid w:val="46DB343F"/>
    <w:rsid w:val="489906A4"/>
    <w:rsid w:val="4931796E"/>
    <w:rsid w:val="49AA39E1"/>
    <w:rsid w:val="49C34AA3"/>
    <w:rsid w:val="4A4C4A99"/>
    <w:rsid w:val="4AA62A44"/>
    <w:rsid w:val="4B100E76"/>
    <w:rsid w:val="4BEE2AA6"/>
    <w:rsid w:val="4E4D5283"/>
    <w:rsid w:val="4FD468D6"/>
    <w:rsid w:val="50AF5D81"/>
    <w:rsid w:val="511856D5"/>
    <w:rsid w:val="511B3C40"/>
    <w:rsid w:val="526B5CD8"/>
    <w:rsid w:val="53620E89"/>
    <w:rsid w:val="54CA318A"/>
    <w:rsid w:val="55390642"/>
    <w:rsid w:val="561B779B"/>
    <w:rsid w:val="59097FF9"/>
    <w:rsid w:val="59D57250"/>
    <w:rsid w:val="59DA39F8"/>
    <w:rsid w:val="5B811D24"/>
    <w:rsid w:val="5D78609D"/>
    <w:rsid w:val="5E40706E"/>
    <w:rsid w:val="5E631F59"/>
    <w:rsid w:val="5EB34C8F"/>
    <w:rsid w:val="60A70823"/>
    <w:rsid w:val="60AB73E1"/>
    <w:rsid w:val="61C37261"/>
    <w:rsid w:val="625B3673"/>
    <w:rsid w:val="626970D8"/>
    <w:rsid w:val="62707047"/>
    <w:rsid w:val="64754C21"/>
    <w:rsid w:val="64A55079"/>
    <w:rsid w:val="64F14763"/>
    <w:rsid w:val="657F0991"/>
    <w:rsid w:val="65A2780B"/>
    <w:rsid w:val="65AD191E"/>
    <w:rsid w:val="68A51AEC"/>
    <w:rsid w:val="68A5389A"/>
    <w:rsid w:val="6AA61B4B"/>
    <w:rsid w:val="6B032AFA"/>
    <w:rsid w:val="6D761E41"/>
    <w:rsid w:val="6D965EA7"/>
    <w:rsid w:val="6F5E7F90"/>
    <w:rsid w:val="6FE80510"/>
    <w:rsid w:val="716B13F9"/>
    <w:rsid w:val="71B27028"/>
    <w:rsid w:val="71D271CF"/>
    <w:rsid w:val="71DC40A5"/>
    <w:rsid w:val="729B641D"/>
    <w:rsid w:val="73B33896"/>
    <w:rsid w:val="74375DA0"/>
    <w:rsid w:val="74A0585D"/>
    <w:rsid w:val="74B15375"/>
    <w:rsid w:val="761E764F"/>
    <w:rsid w:val="763B75EC"/>
    <w:rsid w:val="76426E04"/>
    <w:rsid w:val="76896296"/>
    <w:rsid w:val="775A7F45"/>
    <w:rsid w:val="77CE623E"/>
    <w:rsid w:val="77EE7D8E"/>
    <w:rsid w:val="7942728A"/>
    <w:rsid w:val="79667D10"/>
    <w:rsid w:val="7A293706"/>
    <w:rsid w:val="7B4F58E7"/>
    <w:rsid w:val="7B83645A"/>
    <w:rsid w:val="7BB21B83"/>
    <w:rsid w:val="7CA247BC"/>
    <w:rsid w:val="7CCB09DA"/>
    <w:rsid w:val="7D3D39C0"/>
    <w:rsid w:val="7D450D50"/>
    <w:rsid w:val="7E2C3CBE"/>
    <w:rsid w:val="7E6B0C8A"/>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587</Words>
  <Characters>3349</Characters>
  <Lines>27</Lines>
  <Paragraphs>7</Paragraphs>
  <TotalTime>10</TotalTime>
  <ScaleCrop>false</ScaleCrop>
  <LinksUpToDate>false</LinksUpToDate>
  <CharactersWithSpaces>3929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2024-06-04T01:33:00Z</dcterms:created>
  <dc:creator>Administrator</dc:creator>
  <cp:lastModifiedBy>Administrator</cp:lastModifiedBy>
  <cp:lastPrinted>2024-06-05T06:44:00Z</cp:lastPrinted>
  <dcterms:modified xsi:type="dcterms:W3CDTF">2024-06-05T06:48:05Z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666C29D1C662435B9F0C44CCD27D8A40_11</vt:lpwstr>
  </property>
</Properties>
</file>