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宋体" w:hAnsi="宋体" w:eastAsia="宋体"/>
          <w:b/>
        </w:rPr>
      </w:pPr>
      <w:bookmarkStart w:id="8" w:name="_GoBack"/>
      <w:bookmarkEnd w:id="8"/>
      <w:bookmarkStart w:id="0" w:name="_Toc41469251"/>
      <w:r>
        <w:rPr>
          <w:rFonts w:hint="eastAsia" w:ascii="宋体" w:hAnsi="宋体" w:eastAsia="宋体"/>
          <w:b/>
        </w:rPr>
        <w:t>1 .基层政权建设和社区治理科参与工程建设设计方案联合审查工作职责岗位规范工作流程</w:t>
      </w:r>
      <w:bookmarkEnd w:id="0"/>
    </w:p>
    <w:p>
      <w:pPr>
        <w:spacing w:line="560" w:lineRule="exact"/>
        <w:jc w:val="center"/>
        <w:rPr>
          <w:rFonts w:ascii="仿宋_GB2312" w:eastAsia="仿宋_GB2312"/>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spacing w:line="560" w:lineRule="exact"/>
        <w:ind w:left="640"/>
        <w:rPr>
          <w:rFonts w:ascii="仿宋_GB2312" w:eastAsia="仿宋_GB2312"/>
          <w:sz w:val="32"/>
          <w:szCs w:val="32"/>
        </w:rPr>
      </w:pPr>
      <w:r>
        <w:rPr>
          <w:rFonts w:hint="eastAsia" w:ascii="仿宋_GB2312" w:eastAsia="仿宋_GB2312"/>
          <w:sz w:val="32"/>
          <w:szCs w:val="32"/>
        </w:rPr>
        <w:t>工程建设设计方案联合审查工作</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二、岗位规范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1.熟悉</w:t>
      </w:r>
      <w:r>
        <w:rPr>
          <w:rFonts w:hint="eastAsia" w:ascii="仿宋_GB2312" w:hAnsi="仿宋_GB2312" w:eastAsia="仿宋_GB2312" w:cs="仿宋_GB2312"/>
          <w:sz w:val="32"/>
          <w:szCs w:val="32"/>
        </w:rPr>
        <w:t>新建住宅小区社区综合服务设施用房规划、建设和移交管理的</w:t>
      </w:r>
      <w:r>
        <w:rPr>
          <w:rFonts w:hint="eastAsia" w:ascii="仿宋_GB2312" w:eastAsia="仿宋_GB2312"/>
          <w:sz w:val="32"/>
          <w:szCs w:val="32"/>
        </w:rPr>
        <w:t>相关要求。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2.掌握电脑阅图和基本分析能力。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3.具有良好的服务意识、保密意识和责任感。</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三、流程标准</w:t>
      </w:r>
    </w:p>
    <w:p>
      <w:pPr>
        <w:spacing w:line="560" w:lineRule="exact"/>
        <w:ind w:firstLine="640" w:firstLineChars="200"/>
        <w:rPr>
          <w:rFonts w:ascii="仿宋_GB2312" w:eastAsia="仿宋_GB2312"/>
          <w:sz w:val="32"/>
          <w:szCs w:val="32"/>
        </w:rPr>
      </w:pPr>
      <w:r>
        <w:rPr>
          <w:rFonts w:hint="eastAsia" w:ascii="楷体_GB2312" w:hAnsi="黑体" w:eastAsia="仿宋_GB2312"/>
          <w:sz w:val="32"/>
          <w:szCs w:val="32"/>
        </w:rPr>
        <w:t>1.对接市民政局</w:t>
      </w:r>
      <w:r>
        <w:rPr>
          <w:rFonts w:hint="eastAsia" w:ascii="仿宋_GB2312" w:eastAsia="仿宋_GB2312"/>
          <w:sz w:val="32"/>
          <w:szCs w:val="32"/>
        </w:rPr>
        <w:t>工程建设设计方案联合审查服务窗口工作人员，接收转办的工程建设设计方案或规划方案。</w:t>
      </w:r>
    </w:p>
    <w:p>
      <w:pPr>
        <w:spacing w:line="560" w:lineRule="exact"/>
        <w:ind w:firstLine="640" w:firstLineChars="200"/>
        <w:rPr>
          <w:rFonts w:ascii="仿宋_GB2312" w:eastAsia="仿宋_GB2312"/>
          <w:sz w:val="32"/>
          <w:szCs w:val="32"/>
        </w:rPr>
      </w:pPr>
      <w:r>
        <w:rPr>
          <w:rFonts w:hint="eastAsia" w:ascii="楷体_GB2312" w:hAnsi="黑体" w:eastAsia="仿宋_GB2312"/>
          <w:sz w:val="32"/>
          <w:szCs w:val="32"/>
        </w:rPr>
        <w:t>2.阅览</w:t>
      </w:r>
      <w:r>
        <w:rPr>
          <w:rFonts w:hint="eastAsia" w:ascii="仿宋_GB2312" w:eastAsia="仿宋_GB2312"/>
          <w:sz w:val="32"/>
          <w:szCs w:val="32"/>
        </w:rPr>
        <w:t>工程建设设计方案或规划方案，确定</w:t>
      </w:r>
      <w:r>
        <w:rPr>
          <w:rFonts w:hint="eastAsia" w:ascii="仿宋_GB2312" w:hAnsi="仿宋_GB2312" w:eastAsia="仿宋_GB2312" w:cs="仿宋_GB2312"/>
          <w:sz w:val="32"/>
          <w:szCs w:val="32"/>
        </w:rPr>
        <w:t>社区综合服务设施用房规划、建设情况。对应相关标准确定是否符合。</w:t>
      </w:r>
    </w:p>
    <w:p>
      <w:pPr>
        <w:spacing w:line="560" w:lineRule="exact"/>
        <w:ind w:firstLine="640" w:firstLineChars="200"/>
        <w:rPr>
          <w:rFonts w:ascii="仿宋_GB2312" w:hAnsi="仿宋_GB2312" w:eastAsia="仿宋_GB2312" w:cs="仿宋_GB2312"/>
          <w:sz w:val="32"/>
          <w:szCs w:val="32"/>
        </w:rPr>
      </w:pPr>
      <w:r>
        <w:rPr>
          <w:rFonts w:hint="eastAsia" w:ascii="楷体_GB2312" w:hAnsi="黑体" w:eastAsia="仿宋_GB2312"/>
          <w:sz w:val="32"/>
          <w:szCs w:val="32"/>
        </w:rPr>
        <w:t>3.</w:t>
      </w:r>
      <w:r>
        <w:rPr>
          <w:rFonts w:hint="eastAsia" w:ascii="仿宋_GB2312" w:eastAsia="仿宋_GB2312"/>
          <w:sz w:val="32"/>
          <w:szCs w:val="32"/>
        </w:rPr>
        <w:t>沟通工程建设施工方进一步了解</w:t>
      </w:r>
      <w:r>
        <w:rPr>
          <w:rFonts w:hint="eastAsia" w:ascii="仿宋_GB2312" w:hAnsi="仿宋_GB2312" w:eastAsia="仿宋_GB2312" w:cs="仿宋_GB2312"/>
          <w:sz w:val="32"/>
          <w:szCs w:val="32"/>
        </w:rPr>
        <w:t>社区综合服务设施用房规划、建设的明细情况并告知</w:t>
      </w:r>
      <w:r>
        <w:rPr>
          <w:rFonts w:hint="eastAsia" w:ascii="仿宋_GB2312" w:eastAsia="仿宋_GB2312"/>
          <w:sz w:val="32"/>
          <w:szCs w:val="32"/>
        </w:rPr>
        <w:t>施工方及时将</w:t>
      </w:r>
      <w:r>
        <w:rPr>
          <w:rFonts w:hint="eastAsia" w:ascii="仿宋_GB2312" w:hAnsi="仿宋_GB2312" w:eastAsia="仿宋_GB2312" w:cs="仿宋_GB2312"/>
          <w:sz w:val="32"/>
          <w:szCs w:val="32"/>
        </w:rPr>
        <w:t>综合服务设施用房规划图纸、建设说明送交工程建设项目所在地的街道办事处社会事务科。</w:t>
      </w:r>
    </w:p>
    <w:p>
      <w:pPr>
        <w:spacing w:line="560" w:lineRule="exact"/>
        <w:ind w:firstLine="640" w:firstLineChars="200"/>
        <w:rPr>
          <w:rFonts w:ascii="仿宋_GB2312" w:hAnsi="仿宋_GB2312" w:eastAsia="仿宋_GB2312" w:cs="仿宋_GB2312"/>
          <w:sz w:val="32"/>
          <w:szCs w:val="32"/>
        </w:rPr>
      </w:pPr>
      <w:r>
        <w:rPr>
          <w:rFonts w:hint="eastAsia" w:ascii="楷体_GB2312" w:hAnsi="黑体" w:eastAsia="仿宋_GB2312"/>
          <w:sz w:val="32"/>
          <w:szCs w:val="32"/>
        </w:rPr>
        <w:t>4.联系</w:t>
      </w:r>
      <w:r>
        <w:rPr>
          <w:rFonts w:hint="eastAsia" w:ascii="仿宋_GB2312" w:hAnsi="仿宋_GB2312" w:eastAsia="仿宋_GB2312" w:cs="仿宋_GB2312"/>
          <w:sz w:val="32"/>
          <w:szCs w:val="32"/>
        </w:rPr>
        <w:t>工程建设项目所在地的街道办事处社会事务科，告知及时与</w:t>
      </w:r>
      <w:r>
        <w:rPr>
          <w:rFonts w:hint="eastAsia" w:ascii="仿宋_GB2312" w:eastAsia="仿宋_GB2312"/>
          <w:sz w:val="32"/>
          <w:szCs w:val="32"/>
        </w:rPr>
        <w:t>施工方对接收取资料并根据实际情况核对后填写《</w:t>
      </w:r>
      <w:r>
        <w:rPr>
          <w:rFonts w:hint="eastAsia" w:ascii="仿宋_GB2312" w:hAnsi="仿宋_GB2312" w:eastAsia="仿宋_GB2312" w:cs="仿宋_GB2312"/>
          <w:sz w:val="32"/>
          <w:szCs w:val="32"/>
        </w:rPr>
        <w:t>济南市建设工程设计方案联合咨询审查反馈单</w:t>
      </w:r>
      <w:r>
        <w:rPr>
          <w:rFonts w:hint="eastAsia" w:ascii="仿宋_GB2312" w:eastAsia="仿宋_GB2312"/>
          <w:sz w:val="32"/>
          <w:szCs w:val="32"/>
        </w:rPr>
        <w:t>》，盖章签字报送区民政局业务科室。</w:t>
      </w:r>
    </w:p>
    <w:p>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5.区民政局业务科室汇总街道和</w:t>
      </w:r>
      <w:r>
        <w:rPr>
          <w:rFonts w:hint="eastAsia" w:ascii="仿宋_GB2312" w:eastAsia="仿宋_GB2312"/>
          <w:sz w:val="32"/>
          <w:szCs w:val="32"/>
        </w:rPr>
        <w:t>施工方全部资料后，签字盖章在规定期限内报送</w:t>
      </w:r>
      <w:r>
        <w:rPr>
          <w:rFonts w:hint="eastAsia" w:ascii="楷体_GB2312" w:hAnsi="黑体" w:eastAsia="仿宋_GB2312"/>
          <w:sz w:val="32"/>
          <w:szCs w:val="32"/>
        </w:rPr>
        <w:t>市民政局</w:t>
      </w:r>
      <w:r>
        <w:rPr>
          <w:rFonts w:hint="eastAsia" w:ascii="仿宋_GB2312" w:eastAsia="仿宋_GB2312"/>
          <w:sz w:val="32"/>
          <w:szCs w:val="32"/>
        </w:rPr>
        <w:t>工程建设设计方案联合审查服务窗口。</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pStyle w:val="3"/>
        <w:rPr>
          <w:rFonts w:ascii="宋体" w:hAnsi="宋体" w:eastAsia="宋体"/>
          <w:b/>
        </w:rPr>
      </w:pPr>
      <w:bookmarkStart w:id="1" w:name="_Toc41469252"/>
      <w:r>
        <w:rPr>
          <w:rFonts w:hint="eastAsia" w:ascii="宋体" w:hAnsi="宋体" w:eastAsia="宋体"/>
          <w:b/>
        </w:rPr>
        <w:t>2 .基层政权建设和社区治理科基层群众性自治组织特别法人统一社会信用代码证发放工作流程</w:t>
      </w:r>
      <w:bookmarkEnd w:id="1"/>
    </w:p>
    <w:p>
      <w:pPr>
        <w:spacing w:line="560" w:lineRule="exact"/>
        <w:jc w:val="center"/>
        <w:rPr>
          <w:rFonts w:ascii="仿宋_GB2312" w:eastAsia="仿宋_GB2312"/>
          <w:sz w:val="32"/>
          <w:szCs w:val="32"/>
        </w:rPr>
      </w:pPr>
    </w:p>
    <w:p>
      <w:pPr>
        <w:numPr>
          <w:ilvl w:val="0"/>
          <w:numId w:val="1"/>
        </w:numPr>
        <w:spacing w:line="560" w:lineRule="exact"/>
        <w:rPr>
          <w:rFonts w:ascii="黑体" w:hAnsi="黑体" w:eastAsia="黑体"/>
          <w:sz w:val="32"/>
          <w:szCs w:val="32"/>
        </w:rPr>
      </w:pPr>
      <w:r>
        <w:rPr>
          <w:rFonts w:hint="eastAsia" w:ascii="黑体" w:hAnsi="黑体" w:eastAsia="黑体"/>
          <w:sz w:val="32"/>
          <w:szCs w:val="32"/>
        </w:rPr>
        <w:t>事项名称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基层群众性自治组织特别法人统一社会信用代码证发放工作</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二、岗位规范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1.了解</w:t>
      </w:r>
      <w:r>
        <w:rPr>
          <w:rFonts w:hint="eastAsia" w:ascii="仿宋_GB2312" w:eastAsia="仿宋_GB2312"/>
          <w:sz w:val="32"/>
          <w:szCs w:val="32"/>
          <w:lang w:eastAsia="zh-CN"/>
        </w:rPr>
        <w:t>临淄</w:t>
      </w:r>
      <w:r>
        <w:rPr>
          <w:rFonts w:hint="eastAsia" w:ascii="仿宋_GB2312" w:eastAsia="仿宋_GB2312"/>
          <w:sz w:val="32"/>
          <w:szCs w:val="32"/>
        </w:rPr>
        <w:t>区村、社区基本情况，熟悉村居换届选举相应要求和规程。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2.掌握网上登记、线下打印和基本分析能力。</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3.具有良好的服务意识、保密意识和责任感。</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三、流程标准</w:t>
      </w:r>
    </w:p>
    <w:p>
      <w:pPr>
        <w:spacing w:line="560" w:lineRule="exact"/>
        <w:ind w:firstLine="640" w:firstLineChars="200"/>
        <w:rPr>
          <w:rFonts w:ascii="仿宋_GB2312" w:eastAsia="仿宋_GB2312"/>
          <w:sz w:val="32"/>
          <w:szCs w:val="32"/>
        </w:rPr>
      </w:pPr>
      <w:r>
        <w:rPr>
          <w:rFonts w:hint="eastAsia" w:ascii="楷体_GB2312" w:hAnsi="黑体" w:eastAsia="仿宋_GB2312"/>
          <w:sz w:val="32"/>
          <w:szCs w:val="32"/>
        </w:rPr>
        <w:t>1.接收街道办事处或社区更换或发放</w:t>
      </w:r>
      <w:r>
        <w:rPr>
          <w:rFonts w:hint="eastAsia" w:ascii="仿宋_GB2312" w:eastAsia="仿宋_GB2312"/>
          <w:sz w:val="32"/>
          <w:szCs w:val="32"/>
        </w:rPr>
        <w:t>基层群众性自治组织特别法人统一社会信用代码证的申请。</w:t>
      </w:r>
    </w:p>
    <w:p>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2.核对申请街道办事处或社区提供的原代码证原件（更换时）或换届选举结果报告单（新发放时）的真实、准确及合法性。</w:t>
      </w:r>
    </w:p>
    <w:p>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3.经核对后对符合规定的申请进行网上登记，更新数据库资料。</w:t>
      </w:r>
    </w:p>
    <w:p>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4.按照统一制式打印代码证书并加盖公章，由申请街道办事处或社区进行领取备案后发放。</w:t>
      </w:r>
    </w:p>
    <w:p>
      <w:pPr>
        <w:spacing w:line="560" w:lineRule="exact"/>
        <w:ind w:firstLine="640" w:firstLineChars="200"/>
        <w:rPr>
          <w:rFonts w:ascii="楷体_GB2312" w:hAnsi="黑体" w:eastAsia="仿宋_GB2312"/>
          <w:sz w:val="32"/>
          <w:szCs w:val="32"/>
        </w:rPr>
      </w:pPr>
      <w:r>
        <w:rPr>
          <w:rFonts w:hint="eastAsia" w:ascii="楷体_GB2312" w:hAnsi="黑体" w:eastAsia="仿宋_GB2312"/>
          <w:sz w:val="32"/>
          <w:szCs w:val="32"/>
        </w:rPr>
        <w:t>5.收回的原代码证原件（更换时）进行登记作废。</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ind w:firstLine="645"/>
        <w:rPr>
          <w:rFonts w:ascii="仿宋_GB2312" w:hAnsi="仿宋" w:eastAsia="仿宋_GB2312" w:cs="仿宋"/>
          <w:sz w:val="32"/>
          <w:szCs w:val="32"/>
        </w:rPr>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spacing w:line="560" w:lineRule="exact"/>
      </w:pPr>
    </w:p>
    <w:p>
      <w:pPr>
        <w:pStyle w:val="3"/>
        <w:rPr>
          <w:rFonts w:ascii="宋体" w:hAnsi="宋体" w:eastAsia="宋体"/>
          <w:b/>
        </w:rPr>
      </w:pPr>
      <w:bookmarkStart w:id="2" w:name="_Toc41469253"/>
      <w:r>
        <w:rPr>
          <w:rFonts w:hint="eastAsia" w:ascii="宋体" w:hAnsi="宋体" w:eastAsia="宋体"/>
          <w:b/>
        </w:rPr>
        <w:t>3.社会组织管理科区属社会团体监督管理职责岗位规范工作流程</w:t>
      </w:r>
      <w:bookmarkEnd w:id="2"/>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负责区属社会团体监督管理工作，按照管理权限对社会团体进行管理。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（一）熟悉并掌握《社会团体登记管理条例》等法律法规和具体工作要求、标准。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（二）组织开展社会团体评估工作，指导社会团体规范化建设，促进社会组织依法、规范、有序承接和履行政府职能部门转移或委托的有关职能。</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（三）负责社会团体信用管理工作，推动、支持社会团体参与社会治理和公共服务，承担全区性社会组织信息化管理工作，协助开展社会团体党组织建设。</w:t>
      </w:r>
    </w:p>
    <w:p>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社会团体评估流程：</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1.申请初核。凡符合条件且自愿参加评估的区属社会组织，按照要求填写《社会组织评估申请表》,将申请表报送至评估办公室，并将电子表格发送至邮箱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评估办公室负责审核社会组织参评资格</w:t>
      </w:r>
      <w:r>
        <w:rPr>
          <w:rFonts w:hint="eastAsia" w:ascii="仿宋_GB2312" w:hAnsi="仿宋" w:eastAsia="仿宋_GB2312" w:cs="仿宋"/>
          <w:sz w:val="32"/>
          <w:szCs w:val="32"/>
          <w:lang w:eastAsia="zh-CN"/>
        </w:rPr>
        <w:t>。</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2.自我评估。符合参评条件的社会组织对照评估指标进行自评，准备评估材料并装订成册，报送评估办公室。</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3.实地评估。在对参加评估的社会组织提交的自评材料进行审核后，由评估办公室组织人员对参评社会组织进行实地考察和初评，并将初评结果报评估委员会。</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4.审核公示。评估委员会审议，并将审议初评结果向社会进行公示；复核委员会受理复核申请和举报，提出复核意见并向社会公示。</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5.公告颁证。登记管理机关按照评估委员会和复核委员会的审议结果，授予评估等级，向社会公告，并颁发证书和牌匾。</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pStyle w:val="3"/>
        <w:jc w:val="both"/>
        <w:rPr>
          <w:rFonts w:hint="eastAsia" w:ascii="宋体" w:hAnsi="宋体" w:eastAsia="宋体"/>
          <w:b/>
        </w:rPr>
      </w:pPr>
      <w:bookmarkStart w:id="3" w:name="_Toc41469254"/>
    </w:p>
    <w:p>
      <w:pPr>
        <w:rPr>
          <w:rFonts w:hint="eastAsia"/>
        </w:rPr>
      </w:pPr>
    </w:p>
    <w:p>
      <w:pPr>
        <w:pStyle w:val="3"/>
        <w:rPr>
          <w:rFonts w:ascii="宋体" w:hAnsi="宋体" w:eastAsia="宋体"/>
          <w:b/>
        </w:rPr>
      </w:pPr>
      <w:r>
        <w:rPr>
          <w:rFonts w:hint="eastAsia" w:ascii="宋体" w:hAnsi="宋体" w:eastAsia="宋体"/>
          <w:b/>
        </w:rPr>
        <w:t>4.社会组织管理科区属民办非企业单位监督管理职责岗位规范工作流程</w:t>
      </w:r>
      <w:bookmarkEnd w:id="3"/>
    </w:p>
    <w:p>
      <w:pPr>
        <w:spacing w:line="560" w:lineRule="exact"/>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负责区属民办非企业单位监督管理工作，按照管理权限对民办非企业单位进行管理。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（一）熟悉并掌握《民办非企业单位登记管理暂行条例》等法律法规和具体工作要求、标准。</w:t>
      </w:r>
    </w:p>
    <w:p>
      <w:pPr>
        <w:spacing w:line="56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（二）指导民办非企业单位规范化建设</w:t>
      </w:r>
      <w:r>
        <w:rPr>
          <w:rFonts w:hint="eastAsia" w:ascii="仿宋_GB2312" w:hAnsi="仿宋" w:eastAsia="仿宋_GB2312" w:cs="仿宋"/>
          <w:sz w:val="32"/>
          <w:szCs w:val="32"/>
          <w:lang w:eastAsia="zh-CN"/>
        </w:rPr>
        <w:t>。</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（三）承担民办非企业单位培训、服务等工作，协助开展民办非企业单位党组织建设。</w:t>
      </w:r>
    </w:p>
    <w:p>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民办非企业单位评估流程：</w:t>
      </w:r>
    </w:p>
    <w:p>
      <w:pPr>
        <w:widowControl/>
        <w:numPr>
          <w:ilvl w:val="0"/>
          <w:numId w:val="0"/>
        </w:numPr>
        <w:spacing w:line="560" w:lineRule="exact"/>
        <w:ind w:firstLine="640" w:firstLineChars="200"/>
        <w:jc w:val="left"/>
        <w:rPr>
          <w:rFonts w:hint="eastAsia" w:ascii="仿宋_GB2312" w:hAnsi="仿宋" w:eastAsia="仿宋_GB2312" w:cs="仿宋"/>
          <w:sz w:val="32"/>
          <w:szCs w:val="32"/>
          <w:lang w:eastAsia="zh-CN"/>
        </w:rPr>
      </w:pPr>
      <w:r>
        <w:rPr>
          <w:rFonts w:hint="eastAsia" w:ascii="仿宋_GB2312" w:hAnsi="仿宋" w:eastAsia="仿宋_GB2312" w:cs="仿宋"/>
          <w:sz w:val="32"/>
          <w:szCs w:val="32"/>
          <w:lang w:val="en-US" w:eastAsia="zh-CN"/>
        </w:rPr>
        <w:t>1.</w:t>
      </w:r>
      <w:r>
        <w:rPr>
          <w:rFonts w:hint="eastAsia" w:ascii="仿宋_GB2312" w:hAnsi="仿宋" w:eastAsia="仿宋_GB2312" w:cs="仿宋"/>
          <w:sz w:val="32"/>
          <w:szCs w:val="32"/>
        </w:rPr>
        <w:t>申请初核。凡符合条件且自愿参加评估的区属社会组织，按照要求填写《社会组织评估申请表》,将申请表报送至评估办公室，并将电子表格发送至邮箱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评估办公室负责审核社会组织参评资格</w:t>
      </w:r>
      <w:r>
        <w:rPr>
          <w:rFonts w:hint="eastAsia" w:ascii="仿宋_GB2312" w:hAnsi="仿宋" w:eastAsia="仿宋_GB2312" w:cs="仿宋"/>
          <w:sz w:val="32"/>
          <w:szCs w:val="32"/>
          <w:lang w:eastAsia="zh-CN"/>
        </w:rPr>
        <w:t>。</w:t>
      </w:r>
    </w:p>
    <w:p>
      <w:pPr>
        <w:widowControl/>
        <w:numPr>
          <w:ilvl w:val="0"/>
          <w:numId w:val="0"/>
        </w:numPr>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2.自我评估。符合参评条件的社会组织对照评估指标进行自评，准备评估材料并装订成册，报送评估办公室。</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3.实地评估。在对参加评估的社会组织提交的自评材料进行审核后，由评估办公室组织人员对参评社会组织进行实地考察和初评，并将初评结果报评估委员会。</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4.审核公示。评估委员会审议，并将审议初评结果向社会进行公示；复核委员会受理复核申请和举报，提出复核意见并向社会公示。</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5.公告颁证。登记管理机关按照评估委员会和复核委员会的审议结果，授予评估等级，向社会公告，并颁发证书和牌匾。</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adjustRightInd w:val="0"/>
        <w:snapToGrid w:val="0"/>
        <w:spacing w:line="560" w:lineRule="exact"/>
        <w:ind w:firstLine="627" w:firstLineChars="196"/>
        <w:rPr>
          <w:rFonts w:ascii="仿宋_GB2312" w:hAnsi="仿宋" w:eastAsia="仿宋_GB2312"/>
          <w:sz w:val="32"/>
          <w:szCs w:val="32"/>
        </w:rPr>
      </w:pPr>
    </w:p>
    <w:p>
      <w:pPr>
        <w:pStyle w:val="3"/>
        <w:rPr>
          <w:rFonts w:ascii="宋体" w:hAnsi="宋体" w:eastAsia="宋体"/>
          <w:b/>
        </w:rPr>
      </w:pPr>
      <w:bookmarkStart w:id="4" w:name="_Toc41469255"/>
      <w:r>
        <w:rPr>
          <w:rFonts w:hint="eastAsia" w:ascii="宋体" w:hAnsi="宋体" w:eastAsia="宋体"/>
          <w:b/>
        </w:rPr>
        <w:t>5.社会组织管理科区属基金会监督管理职责岗位规范工作流程</w:t>
      </w:r>
      <w:bookmarkEnd w:id="4"/>
    </w:p>
    <w:p>
      <w:pPr>
        <w:pStyle w:val="7"/>
        <w:spacing w:line="640" w:lineRule="exact"/>
        <w:ind w:firstLine="0" w:firstLineChars="0"/>
        <w:jc w:val="center"/>
        <w:rPr>
          <w:rFonts w:ascii="华文中宋" w:hAnsi="华文中宋" w:eastAsia="华文中宋" w:cs="华文中宋"/>
          <w:b/>
          <w:bCs/>
          <w:sz w:val="44"/>
          <w:szCs w:val="44"/>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负责区属基金会监督管理工作，按照管理权限对基金会进行管理。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（一）熟悉并掌握《基金会管理条例》等法律法规和具体工作要求、标准。</w:t>
      </w:r>
    </w:p>
    <w:p>
      <w:pPr>
        <w:spacing w:line="56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（二）指导基金会规范化建设</w:t>
      </w:r>
      <w:r>
        <w:rPr>
          <w:rFonts w:hint="eastAsia" w:ascii="仿宋_GB2312" w:hAnsi="仿宋" w:eastAsia="仿宋_GB2312" w:cs="仿宋"/>
          <w:sz w:val="32"/>
          <w:szCs w:val="32"/>
          <w:lang w:eastAsia="zh-CN"/>
        </w:rPr>
        <w:t>。</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（三）承担基金会培训、服务等工作，协助开展基金会党组织建设。</w:t>
      </w:r>
    </w:p>
    <w:p>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黑体" w:hAnsi="黑体" w:eastAsia="黑体" w:cs="仿宋"/>
          <w:color w:val="FF0000"/>
          <w:sz w:val="32"/>
          <w:szCs w:val="32"/>
        </w:rPr>
      </w:pPr>
      <w:r>
        <w:rPr>
          <w:rFonts w:hint="eastAsia" w:ascii="仿宋_GB2312" w:hAnsi="仿宋" w:eastAsia="仿宋_GB2312" w:cs="仿宋"/>
          <w:sz w:val="32"/>
          <w:szCs w:val="32"/>
        </w:rPr>
        <w:t>基金会评估流程：</w:t>
      </w:r>
    </w:p>
    <w:p>
      <w:pPr>
        <w:widowControl/>
        <w:spacing w:line="560" w:lineRule="exact"/>
        <w:ind w:firstLine="640" w:firstLineChars="200"/>
        <w:jc w:val="left"/>
        <w:rPr>
          <w:rFonts w:hint="eastAsia" w:ascii="仿宋_GB2312" w:hAnsi="仿宋" w:eastAsia="仿宋_GB2312" w:cs="仿宋"/>
          <w:sz w:val="32"/>
          <w:szCs w:val="32"/>
          <w:lang w:eastAsia="zh-CN"/>
        </w:rPr>
      </w:pPr>
      <w:r>
        <w:rPr>
          <w:rFonts w:hint="eastAsia" w:ascii="仿宋_GB2312" w:hAnsi="仿宋" w:eastAsia="仿宋_GB2312" w:cs="仿宋"/>
          <w:sz w:val="32"/>
          <w:szCs w:val="32"/>
        </w:rPr>
        <w:t>1.申请初核。凡符合条件且自愿参加评估的区属社会组织，按照要求填写《社会组织评估申请表》,将申请表报送至评估办公室，并将电子表格发送至邮箱</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评估办公室负责审核社会组织参评资格</w:t>
      </w:r>
      <w:r>
        <w:rPr>
          <w:rFonts w:hint="eastAsia" w:ascii="仿宋_GB2312" w:hAnsi="仿宋" w:eastAsia="仿宋_GB2312" w:cs="仿宋"/>
          <w:sz w:val="32"/>
          <w:szCs w:val="32"/>
          <w:lang w:eastAsia="zh-CN"/>
        </w:rPr>
        <w:t>。</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2.自我评估。符合参评条件的社会组织对照评估指标进行自评，准备评估材料并装订成册，报送评估办公室。</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3.实地评估。在对参加评估的社会组织提交的自评材料进行审核后，由评估办公室组织人员对参评社会组织进行实地考察和初评，并将初评结果报评估委员会。</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4.审核公示。评估委员会审议，并将审议初评结果向社会进行公示；复核委员会受理复核申请和举报，提出复核意见并向社会公示。</w:t>
      </w:r>
    </w:p>
    <w:p>
      <w:pPr>
        <w:widowControl/>
        <w:spacing w:line="560" w:lineRule="exact"/>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5.公告颁证。登记管理机关按照评估委员会和复核委员会的审议结果，授予评估等级，向社会公告，并颁发证书和牌匾。</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spacing w:line="560" w:lineRule="exact"/>
        <w:rPr>
          <w:sz w:val="32"/>
          <w:szCs w:val="32"/>
        </w:rPr>
      </w:pPr>
    </w:p>
    <w:p>
      <w:pPr>
        <w:rPr>
          <w:rFonts w:hint="eastAsia" w:ascii="宋体" w:hAnsi="宋体" w:eastAsia="宋体"/>
          <w:b/>
        </w:rPr>
      </w:pPr>
      <w:bookmarkStart w:id="5" w:name="_Toc41469256"/>
    </w:p>
    <w:p>
      <w:pPr>
        <w:pStyle w:val="3"/>
        <w:rPr>
          <w:rFonts w:ascii="宋体" w:hAnsi="宋体" w:eastAsia="宋体"/>
          <w:b/>
        </w:rPr>
      </w:pPr>
      <w:r>
        <w:rPr>
          <w:rFonts w:hint="eastAsia" w:ascii="宋体" w:hAnsi="宋体" w:eastAsia="宋体"/>
          <w:b/>
        </w:rPr>
        <w:t>6.社会组织管理科区属社会团体执法监督职责岗位规范工作流程</w:t>
      </w:r>
      <w:bookmarkEnd w:id="5"/>
    </w:p>
    <w:p>
      <w:pPr>
        <w:spacing w:line="560" w:lineRule="exact"/>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负责对区属社会团体的行政执法监督工作。</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（一）熟悉并掌握《社会团体登记管理条例》等法律法规和具体工作要求、标准。</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（二）负责查处本区范围内未经核准登记擅自以社会团体名义进行活动的非法社会组织。</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（三）监督社会团体活动，依法查处其违法违规行为，严格遵循法定程序,依法保障行政管理相对人、利害关系人的知情权、参与权和救济权。</w:t>
      </w:r>
    </w:p>
    <w:p>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（一）立案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符合条件的，填写立案审批表，报登记管理机关负责人审批。</w:t>
      </w:r>
    </w:p>
    <w:p>
      <w:pPr>
        <w:numPr>
          <w:ilvl w:val="0"/>
          <w:numId w:val="2"/>
        </w:num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调查取证</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调查和收集证据，制作案件调查终结报告，报法制工作机构审核后，报登记管理机关负责人审批，制作案件调查终结报告，拟定处罚意见。</w:t>
      </w:r>
    </w:p>
    <w:p>
      <w:pPr>
        <w:spacing w:line="560" w:lineRule="exact"/>
        <w:ind w:firstLine="640" w:firstLineChars="200"/>
        <w:rPr>
          <w:rFonts w:ascii="仿宋_GB2312" w:hAnsi="仿宋" w:eastAsia="仿宋_GB2312" w:cs="仿宋"/>
          <w:sz w:val="32"/>
          <w:szCs w:val="32"/>
        </w:rPr>
      </w:pPr>
      <w:r>
        <w:rPr>
          <w:rFonts w:hint="eastAsia" w:ascii="楷体_GB2312" w:hAnsi="黑体" w:eastAsia="楷体_GB2312" w:cs="仿宋"/>
          <w:sz w:val="32"/>
          <w:szCs w:val="32"/>
        </w:rPr>
        <w:t>（三）行政处罚事先（听证）告知</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告知当事人拟作出行政处罚的事实、理由及依据,并告知当事人依法享有陈述、申辩的权利和其他权利。送达行政处罚事先（听证）告知书，听取陈述、申辩意见，符合听证条件的，组织听证。</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（四）行政处罚决定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确有应受行政处罚的违法行为的，根据情节轻重及具体情况，作出行政处罚决定; 违法行为轻微，依法可以不予行政处罚的，不予行政处罚;违法事实不能成立的，不得给予行政处罚;违法行为涉嫌构成犯罪的，移送司法机关。负责人审查作出行政处罚决定，对案件情节复杂或者重大违法行为给予限期停止活动、撤销登记以及较大数额罚款等较重处罚的，登记管理机关的负责人应当集体讨论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作出行政处罚决定并送达当事人</w:t>
      </w:r>
    </w:p>
    <w:p>
      <w:pPr>
        <w:spacing w:line="560" w:lineRule="exact"/>
        <w:ind w:firstLine="640" w:firstLineChars="200"/>
        <w:rPr>
          <w:rFonts w:ascii="仿宋_GB2312" w:hAnsi="仿宋" w:eastAsia="楷体_GB2312" w:cs="仿宋"/>
          <w:sz w:val="32"/>
          <w:szCs w:val="32"/>
        </w:rPr>
      </w:pPr>
      <w:r>
        <w:rPr>
          <w:rFonts w:hint="eastAsia" w:ascii="楷体_GB2312" w:hAnsi="黑体" w:eastAsia="楷体_GB2312" w:cs="仿宋"/>
          <w:sz w:val="32"/>
          <w:szCs w:val="32"/>
        </w:rPr>
        <w:t>（五）执行</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登记管理机关对当事人作出罚款处罚的，应当严格执行罚款收缴分离制度。登记管理机关及办案人员不得自行收缴罚款。当事人应当自收到行政处罚决定书之日起15日内到指定银行缴纳罚款。依法没收的非法财物，按照国家有关规定处理。社会组织被限期停止活动的，由登记管理机关封存登记证书(含正本、副本)、印章和财务凭证。停止活动的期间届满，社会组织应当向登记管理机关提交整改报告。登记管理机关依法责令社会组织撤换直接负责的主管人员的，社会组织应当在登记管理机关规定的期限内执行。登记管理机关对社会组织作出撤销登记决定的，应当收缴登记证书(含正本、副本)和印章。社会组织拒不缴回或者无法缴回的，登记管理机关可以公告作废。当事人逾期不履行行政处罚决定的，登记管理机关可以采取下列措施:(1)到期不缴纳罚款的，每日按罚款数额的百分之三加处罚款，加处罚款的标准应当告知当事人，加处罚款的数额不得超出原罚款数额;(2)申请人民法院强制执行;(3)法律规定的其他措施。</w:t>
      </w:r>
    </w:p>
    <w:p>
      <w:pPr>
        <w:numPr>
          <w:ilvl w:val="0"/>
          <w:numId w:val="0"/>
        </w:numPr>
        <w:spacing w:line="560" w:lineRule="exact"/>
        <w:ind w:firstLine="640" w:firstLineChars="200"/>
        <w:rPr>
          <w:rFonts w:hint="eastAsia" w:ascii="仿宋" w:hAnsi="仿宋" w:eastAsia="仿宋" w:cs="仿宋"/>
          <w:sz w:val="32"/>
          <w:szCs w:val="32"/>
        </w:rPr>
      </w:pPr>
      <w:r>
        <w:rPr>
          <w:rFonts w:hint="eastAsia" w:ascii="黑体" w:hAnsi="黑体" w:eastAsia="黑体" w:cs="仿宋"/>
          <w:sz w:val="32"/>
          <w:szCs w:val="32"/>
          <w:lang w:eastAsia="zh-CN"/>
        </w:rPr>
        <w:t>四、</w:t>
      </w:r>
      <w:r>
        <w:rPr>
          <w:rFonts w:hint="eastAsia" w:ascii="黑体" w:hAnsi="黑体" w:eastAsia="黑体" w:cs="仿宋"/>
          <w:sz w:val="32"/>
          <w:szCs w:val="32"/>
        </w:rPr>
        <w:t>协同科室</w:t>
      </w:r>
    </w:p>
    <w:p>
      <w:pPr>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ind w:firstLine="640" w:firstLineChars="200"/>
        <w:rPr>
          <w:rFonts w:ascii="仿宋_GB2312" w:hAnsi="黑体" w:eastAsia="仿宋_GB2312" w:cs="仿宋"/>
          <w:sz w:val="32"/>
          <w:szCs w:val="32"/>
        </w:rPr>
      </w:pPr>
    </w:p>
    <w:p>
      <w:pPr>
        <w:adjustRightInd w:val="0"/>
        <w:snapToGrid w:val="0"/>
        <w:spacing w:line="560" w:lineRule="exact"/>
        <w:ind w:firstLine="627" w:firstLineChars="196"/>
        <w:rPr>
          <w:rFonts w:ascii="仿宋_GB2312" w:hAnsi="仿宋" w:eastAsia="仿宋_GB2312"/>
          <w:sz w:val="32"/>
          <w:szCs w:val="32"/>
        </w:rPr>
      </w:pP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p>
    <w:p>
      <w:pPr>
        <w:pStyle w:val="3"/>
        <w:rPr>
          <w:rFonts w:ascii="宋体" w:hAnsi="宋体" w:eastAsia="宋体"/>
          <w:b/>
        </w:rPr>
      </w:pPr>
      <w:bookmarkStart w:id="6" w:name="_Toc41469257"/>
      <w:r>
        <w:rPr>
          <w:rFonts w:hint="eastAsia" w:ascii="宋体" w:hAnsi="宋体" w:eastAsia="宋体"/>
          <w:b/>
        </w:rPr>
        <w:t>7.社会组织管理科区属民办非企业单位执法监督职责岗位规范工作流程</w:t>
      </w:r>
      <w:bookmarkEnd w:id="6"/>
    </w:p>
    <w:p>
      <w:pPr>
        <w:spacing w:line="560" w:lineRule="exact"/>
        <w:rPr>
          <w:rFonts w:ascii="黑体" w:hAnsi="黑体" w:eastAsia="黑体" w:cs="仿宋"/>
          <w:sz w:val="32"/>
          <w:szCs w:val="32"/>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负责对区属民办非企业单位的行政执法监督工作。</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（一）熟悉并掌握《民办非企业单位登记管理暂行条例》等法律法规和具体工作要求、标准。</w:t>
      </w:r>
    </w:p>
    <w:p>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（二）负责查处本区范围内未经核准登记擅自以民办非企业单位名义进行活动的非法社会组织。</w:t>
      </w:r>
    </w:p>
    <w:p>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（三）监督民办非企业单位活动，依法查处其违法违规行为，严格遵循法定程序,依法保障行政管理相对人、利害关系人的知情权、参与权和救济权。</w:t>
      </w:r>
    </w:p>
    <w:p>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（四）工作人员在履行相关职责过程中存在滥用职权、玩忽职守、徇私舞弊等行为的，依法依规给予处理。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（一）立案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符合条件的，填写立案审批表，报登记管理机关负责人审批。</w:t>
      </w:r>
    </w:p>
    <w:p>
      <w:pPr>
        <w:numPr>
          <w:ilvl w:val="0"/>
          <w:numId w:val="2"/>
        </w:num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调查取证</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调查和收集证据，制作案件调查终结报告，报法制工作机构审核后，报登记管理机关负责人审批，制作案件调查终结报告，拟定处罚意见。</w:t>
      </w:r>
    </w:p>
    <w:p>
      <w:pPr>
        <w:spacing w:line="560" w:lineRule="exact"/>
        <w:ind w:firstLine="640" w:firstLineChars="200"/>
        <w:rPr>
          <w:rFonts w:ascii="仿宋_GB2312" w:hAnsi="仿宋" w:eastAsia="仿宋_GB2312" w:cs="仿宋"/>
          <w:sz w:val="32"/>
          <w:szCs w:val="32"/>
        </w:rPr>
      </w:pPr>
      <w:r>
        <w:rPr>
          <w:rFonts w:hint="eastAsia" w:ascii="楷体_GB2312" w:hAnsi="黑体" w:eastAsia="楷体_GB2312" w:cs="仿宋"/>
          <w:sz w:val="32"/>
          <w:szCs w:val="32"/>
        </w:rPr>
        <w:t>（三）行政处罚事先（听证）告知</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告知当事人拟作出行政处罚的事实、理由及依据,并告知当事人依法享有陈述、申辩的权利和其他权利。送达行政处罚事先（听证）告知书，听取陈述、申辩意见，符合听证条件的，组织听证。</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（四）行政处罚决定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确有应受行政处罚的违法行为的，根据情节轻重及具体情况，作出行政处罚决定; 违法行为轻微，依法可以不予行政处罚的，不予行政处罚;违法事实不能成立的，不得给予行政处罚;违法行为涉嫌构成犯罪的，移送司法机关。负责人审查作出行政处罚决定，对案件情节复杂或者重大违法行为给予限期停止活动、撤销登记以及较大数额罚款等较重处罚的，登记管理机关的负责人应当集体讨论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作出行政处罚决定并送达当事人</w:t>
      </w:r>
    </w:p>
    <w:p>
      <w:pPr>
        <w:spacing w:line="560" w:lineRule="exact"/>
        <w:ind w:firstLine="640" w:firstLineChars="200"/>
        <w:rPr>
          <w:rFonts w:ascii="仿宋_GB2312" w:hAnsi="仿宋" w:eastAsia="楷体_GB2312" w:cs="仿宋"/>
          <w:sz w:val="32"/>
          <w:szCs w:val="32"/>
        </w:rPr>
      </w:pPr>
      <w:r>
        <w:rPr>
          <w:rFonts w:hint="eastAsia" w:ascii="楷体_GB2312" w:hAnsi="黑体" w:eastAsia="楷体_GB2312" w:cs="仿宋"/>
          <w:sz w:val="32"/>
          <w:szCs w:val="32"/>
        </w:rPr>
        <w:t>（五）执行</w:t>
      </w:r>
    </w:p>
    <w:p>
      <w:pPr>
        <w:spacing w:line="560" w:lineRule="exact"/>
        <w:ind w:firstLine="640" w:firstLineChars="200"/>
        <w:rPr>
          <w:rFonts w:ascii="黑体" w:hAnsi="黑体" w:eastAsia="黑体" w:cs="仿宋"/>
          <w:sz w:val="32"/>
          <w:szCs w:val="32"/>
        </w:rPr>
      </w:pPr>
      <w:r>
        <w:rPr>
          <w:rFonts w:hint="eastAsia" w:ascii="仿宋_GB2312" w:hAnsi="仿宋" w:eastAsia="仿宋_GB2312" w:cs="仿宋"/>
          <w:sz w:val="32"/>
          <w:szCs w:val="32"/>
        </w:rPr>
        <w:t>登记管理机关对当事人作出罚款处罚的，应当严格执行罚款收缴分离制度。登记管理机关及办案人员不得自行收缴罚款。当事人应当自收到行政处罚决定书之日起15日内到指定银行缴纳罚款。依法没收的非法财物，按照国家有关规定处理。社会组织被限期停止活动的，由登记管理机关封存登记证书(含正本、副本)、印章和财务凭证。停止活动的期间届满，社会组织应当向登记管理机关提交整改报告。登记管理机关依法责令社会组织撤换直接负责的主管人员的，社会组织应当在登记管理机关规定的期限内执行。登记管理机关对社会组织作出撤销登记决定的，应当收缴登记证书(含正本、副本)和印章。社会组织拒不缴回或者无法缴回的，登记管理机关可以公告作废。当事人逾期不履行行政处罚决定的，登记管理机关可以采取下列措施:(1)到期不缴纳罚款的，每日按罚款数额的百分之三加处罚款，加处罚款的标准应当告知当事人，加处罚款的数额不得超出原罚款数额;(2)申请人民法院强制执行;(3)法律规定的其他措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仿宋" w:eastAsia="仿宋_GB2312" w:cs="仿宋"/>
          <w:color w:val="000000" w:themeColor="text1"/>
          <w:sz w:val="32"/>
          <w:szCs w:val="32"/>
          <w:lang w:eastAsia="zh-CN"/>
          <w14:textFill>
            <w14:solidFill>
              <w14:schemeClr w14:val="tx1"/>
            </w14:solidFill>
          </w14:textFill>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pPr>
        <w:spacing w:line="560" w:lineRule="exact"/>
        <w:ind w:firstLine="640" w:firstLineChars="200"/>
        <w:rPr>
          <w:rFonts w:ascii="黑体" w:hAnsi="黑体" w:eastAsia="黑体"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adjustRightInd w:val="0"/>
        <w:snapToGrid w:val="0"/>
        <w:spacing w:line="560" w:lineRule="exact"/>
        <w:ind w:firstLine="627" w:firstLineChars="196"/>
        <w:rPr>
          <w:rFonts w:ascii="仿宋_GB2312" w:hAnsi="仿宋" w:eastAsia="仿宋_GB2312" w:cs="仿宋"/>
          <w:sz w:val="32"/>
          <w:szCs w:val="32"/>
        </w:rPr>
      </w:pPr>
    </w:p>
    <w:p>
      <w:pPr>
        <w:pStyle w:val="3"/>
        <w:rPr>
          <w:rFonts w:ascii="宋体" w:hAnsi="宋体" w:eastAsia="宋体"/>
          <w:b/>
        </w:rPr>
      </w:pPr>
      <w:bookmarkStart w:id="7" w:name="_Toc41469258"/>
      <w:r>
        <w:rPr>
          <w:rFonts w:hint="eastAsia" w:ascii="宋体" w:hAnsi="宋体" w:eastAsia="宋体"/>
          <w:b/>
        </w:rPr>
        <w:t>8.社会组织管理科区属基金会执法监督职责岗位规范工作流程</w:t>
      </w:r>
      <w:bookmarkEnd w:id="7"/>
    </w:p>
    <w:p>
      <w:pPr>
        <w:pStyle w:val="7"/>
        <w:spacing w:line="640" w:lineRule="exact"/>
        <w:ind w:firstLine="0" w:firstLineChars="0"/>
        <w:jc w:val="center"/>
        <w:rPr>
          <w:rFonts w:ascii="华文中宋" w:hAnsi="华文中宋" w:eastAsia="华文中宋" w:cs="华文中宋"/>
          <w:b/>
          <w:bCs/>
          <w:sz w:val="44"/>
          <w:szCs w:val="44"/>
        </w:rPr>
      </w:pP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一、事项名称</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负责对区属基金会的行政执法监督工作。</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二、岗位规范</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（一）熟悉并掌握《基金会管理条例》等法律法规和具体工作要求、标准。</w:t>
      </w:r>
    </w:p>
    <w:p>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（二）负责查处本区范围内未经核准登记擅自以基金会名义进行活动的非法社会组织。</w:t>
      </w:r>
    </w:p>
    <w:p>
      <w:pPr>
        <w:adjustRightInd w:val="0"/>
        <w:snapToGrid w:val="0"/>
        <w:spacing w:line="560" w:lineRule="exact"/>
        <w:ind w:firstLine="627" w:firstLineChars="196"/>
        <w:rPr>
          <w:rFonts w:ascii="仿宋_GB2312" w:hAnsi="仿宋" w:eastAsia="仿宋_GB2312" w:cs="仿宋"/>
          <w:sz w:val="32"/>
          <w:szCs w:val="32"/>
        </w:rPr>
      </w:pPr>
      <w:r>
        <w:rPr>
          <w:rFonts w:hint="eastAsia" w:ascii="仿宋_GB2312" w:hAnsi="仿宋" w:eastAsia="仿宋_GB2312" w:cs="仿宋"/>
          <w:sz w:val="32"/>
          <w:szCs w:val="32"/>
        </w:rPr>
        <w:t>（三）监督基金会活动，依法查处其违法违规行为，严格遵循法定程序,依法保障行政管理相对人、利害关系人的知情权、参与权和救济权。</w:t>
      </w:r>
    </w:p>
    <w:p>
      <w:pPr>
        <w:adjustRightInd w:val="0"/>
        <w:snapToGrid w:val="0"/>
        <w:spacing w:line="560" w:lineRule="exact"/>
        <w:ind w:firstLine="627" w:firstLineChars="196"/>
        <w:rPr>
          <w:rFonts w:ascii="仿宋_GB2312" w:hAnsi="仿宋" w:eastAsia="仿宋_GB2312"/>
          <w:sz w:val="32"/>
          <w:szCs w:val="32"/>
        </w:rPr>
      </w:pPr>
      <w:r>
        <w:rPr>
          <w:rFonts w:hint="eastAsia" w:ascii="仿宋_GB2312" w:hAnsi="仿宋" w:eastAsia="仿宋_GB2312" w:cs="仿宋"/>
          <w:sz w:val="32"/>
          <w:szCs w:val="32"/>
        </w:rPr>
        <w:t>（四）</w:t>
      </w:r>
      <w:r>
        <w:rPr>
          <w:rFonts w:hint="eastAsia" w:ascii="仿宋_GB2312" w:hAnsi="仿宋" w:eastAsia="仿宋_GB2312"/>
          <w:sz w:val="32"/>
          <w:szCs w:val="32"/>
        </w:rPr>
        <w:t>工作人员在履行相关职责过程中存在滥用职权、玩忽职守、徇私舞弊等行为的，依法依规给予处理。</w:t>
      </w:r>
    </w:p>
    <w:p>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三、流程标准：</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（一）立案</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符合条件的，填写立案审批表，报登记管理机关负责人审批。</w:t>
      </w:r>
    </w:p>
    <w:p>
      <w:pPr>
        <w:numPr>
          <w:ilvl w:val="0"/>
          <w:numId w:val="2"/>
        </w:num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调查取证</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调查和收集证据，制作案件调查终结报告，报法制工作机构审核后，报登记管理机关负责人审批，制作案件调查终结报告，拟定处罚意见。</w:t>
      </w:r>
    </w:p>
    <w:p>
      <w:pPr>
        <w:spacing w:line="560" w:lineRule="exact"/>
        <w:ind w:firstLine="640" w:firstLineChars="200"/>
        <w:rPr>
          <w:rFonts w:ascii="仿宋_GB2312" w:hAnsi="仿宋" w:eastAsia="仿宋_GB2312" w:cs="仿宋"/>
          <w:sz w:val="32"/>
          <w:szCs w:val="32"/>
        </w:rPr>
      </w:pPr>
      <w:r>
        <w:rPr>
          <w:rFonts w:hint="eastAsia" w:ascii="楷体_GB2312" w:hAnsi="黑体" w:eastAsia="楷体_GB2312" w:cs="仿宋"/>
          <w:sz w:val="32"/>
          <w:szCs w:val="32"/>
        </w:rPr>
        <w:t>（三）行政处罚事先（听证）告知</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告知当事人拟作出行政处罚的事实、理由及依据,并告知当事人依法享有陈述、申辩的权利和其他权利。送达行政处罚事先（听证）告知书，听取陈述、申辩意见，符合听证条件的，组织听证。</w:t>
      </w:r>
    </w:p>
    <w:p>
      <w:pPr>
        <w:spacing w:line="560" w:lineRule="exact"/>
        <w:ind w:firstLine="640" w:firstLineChars="200"/>
        <w:rPr>
          <w:rFonts w:ascii="楷体_GB2312" w:hAnsi="黑体" w:eastAsia="楷体_GB2312" w:cs="仿宋"/>
          <w:sz w:val="32"/>
          <w:szCs w:val="32"/>
        </w:rPr>
      </w:pPr>
      <w:r>
        <w:rPr>
          <w:rFonts w:hint="eastAsia" w:ascii="楷体_GB2312" w:hAnsi="黑体" w:eastAsia="楷体_GB2312" w:cs="仿宋"/>
          <w:sz w:val="32"/>
          <w:szCs w:val="32"/>
        </w:rPr>
        <w:t>（四）行政处罚决定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确有应受行政处罚的违法行为的，根据情节轻重及具体情况，作出行政处罚决定; 违法行为轻微，依法可以不予行政处罚的，不予行政处罚;违法事实不能成立的，不得给予行政处罚;违法行为涉嫌构成犯罪的，移送司法机关。负责人审查作出行政处罚决定，对案件情节复杂或者重大违法行为给予限期停止活动、撤销登记以及较大数额罚款等较重处罚的，登记管理机关的负责人应当集体讨论决定。</w:t>
      </w:r>
    </w:p>
    <w:p>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作出行政处罚决定并送达当事人。</w:t>
      </w:r>
    </w:p>
    <w:p>
      <w:pPr>
        <w:spacing w:line="560" w:lineRule="exact"/>
        <w:ind w:firstLine="640" w:firstLineChars="200"/>
        <w:rPr>
          <w:rFonts w:ascii="仿宋_GB2312" w:hAnsi="仿宋" w:eastAsia="楷体_GB2312" w:cs="仿宋"/>
          <w:sz w:val="32"/>
          <w:szCs w:val="32"/>
        </w:rPr>
      </w:pPr>
      <w:r>
        <w:rPr>
          <w:rFonts w:hint="eastAsia" w:ascii="楷体_GB2312" w:hAnsi="黑体" w:eastAsia="楷体_GB2312" w:cs="仿宋"/>
          <w:sz w:val="32"/>
          <w:szCs w:val="32"/>
        </w:rPr>
        <w:t>（五）执行</w:t>
      </w:r>
    </w:p>
    <w:p>
      <w:pPr>
        <w:spacing w:line="560" w:lineRule="exact"/>
        <w:ind w:firstLine="640" w:firstLineChars="200"/>
        <w:rPr>
          <w:rFonts w:ascii="黑体" w:hAnsi="黑体" w:eastAsia="黑体" w:cs="仿宋"/>
          <w:sz w:val="32"/>
          <w:szCs w:val="32"/>
        </w:rPr>
      </w:pPr>
      <w:r>
        <w:rPr>
          <w:rFonts w:hint="eastAsia" w:ascii="仿宋_GB2312" w:hAnsi="仿宋" w:eastAsia="仿宋_GB2312" w:cs="仿宋"/>
          <w:sz w:val="32"/>
          <w:szCs w:val="32"/>
        </w:rPr>
        <w:t>登记管理机关对当事人作出罚款处罚的，应当严格执行罚款收缴分离制度。登记管理机关及办案人员不得自行收缴罚款。当事人应当自收到行政处罚决定书之日起15日内到指定银行缴纳罚款。依法没收的非法财物，按照国家有关规定处理。社会组织被限期停止活动的，由登记管理机关封存登记证书(含正本、副本)、印章和财务凭证。停止活动的期间届满，社会组织应当向登记管理机关提交整改报告。登记管理机关依法责令社会组织撤换直接负责的主管人员的，社会组织应当在登记管理机关规定的期限内执行。登记管理机关对社会组织作出撤销登记决定的，应当收缴登记证书(含正本、副本)和印章。社会组织拒不缴回或者无法缴回的，登记管理机关可以公告作废。当事人逾期不履行行政处罚决定的，登记管理机关可以采取下列措施:(1)到期不缴纳罚款的，每日按罚款数额的百分之三加处罚款，加处罚款的标准应当告知当事人，加处罚款的数额不得超出原罚款数额;(2)申请人民法院强制执行;(3)法律规定的其他措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四、协同科室</w:t>
      </w:r>
    </w:p>
    <w:p>
      <w:pPr>
        <w:spacing w:line="560" w:lineRule="exact"/>
        <w:ind w:firstLine="640" w:firstLineChars="200"/>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黑体" w:eastAsia="仿宋_GB2312" w:cs="仿宋"/>
          <w:color w:val="000000" w:themeColor="text1"/>
          <w:sz w:val="32"/>
          <w:szCs w:val="32"/>
          <w:lang w:eastAsia="zh-CN"/>
          <w14:textFill>
            <w14:solidFill>
              <w14:schemeClr w14:val="tx1"/>
            </w14:solidFill>
          </w14:textFill>
        </w:rPr>
        <w:t>无</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五、联系方式</w:t>
      </w:r>
    </w:p>
    <w:p>
      <w:pPr>
        <w:spacing w:line="560" w:lineRule="exact"/>
        <w:ind w:firstLine="645"/>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付自华</w:t>
      </w:r>
    </w:p>
    <w:p>
      <w:pPr>
        <w:spacing w:line="560" w:lineRule="exact"/>
        <w:ind w:firstLine="645"/>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w:t>
      </w:r>
      <w:r>
        <w:rPr>
          <w:rFonts w:hint="eastAsia" w:ascii="仿宋_GB2312" w:hAnsi="仿宋" w:eastAsia="仿宋_GB2312" w:cs="仿宋"/>
          <w:sz w:val="32"/>
          <w:szCs w:val="32"/>
          <w:lang w:val="en-US" w:eastAsia="zh-CN"/>
        </w:rPr>
        <w:t>7215694</w:t>
      </w:r>
    </w:p>
    <w:p>
      <w:pPr>
        <w:spacing w:line="560" w:lineRule="exact"/>
        <w:ind w:firstLine="645"/>
        <w:rPr>
          <w:rFonts w:hint="default" w:ascii="仿宋_GB2312" w:eastAsia="仿宋_GB2312" w:cs="黑体" w:hAnsiTheme="majorEastAsia"/>
          <w:sz w:val="32"/>
          <w:szCs w:val="32"/>
          <w:lang w:val="en-US" w:eastAsia="zh-CN"/>
        </w:rPr>
      </w:pPr>
      <w:r>
        <w:rPr>
          <w:rFonts w:hint="eastAsia" w:ascii="仿宋_GB2312" w:hAnsi="仿宋" w:eastAsia="仿宋_GB2312" w:cs="仿宋"/>
          <w:sz w:val="32"/>
          <w:szCs w:val="32"/>
        </w:rPr>
        <w:t>办公地址：</w:t>
      </w:r>
      <w:r>
        <w:rPr>
          <w:rFonts w:hint="eastAsia" w:ascii="仿宋_GB2312" w:hAnsi="仿宋" w:eastAsia="仿宋_GB2312" w:cs="仿宋"/>
          <w:sz w:val="32"/>
          <w:szCs w:val="32"/>
          <w:lang w:eastAsia="zh-CN"/>
        </w:rPr>
        <w:t>临淄区齐兴路</w:t>
      </w:r>
      <w:r>
        <w:rPr>
          <w:rFonts w:hint="eastAsia" w:ascii="仿宋_GB2312" w:hAnsi="仿宋" w:eastAsia="仿宋_GB2312" w:cs="仿宋"/>
          <w:sz w:val="32"/>
          <w:szCs w:val="32"/>
          <w:lang w:val="en-US" w:eastAsia="zh-CN"/>
        </w:rPr>
        <w:t>101号</w:t>
      </w:r>
    </w:p>
    <w:p/>
    <w:sectPr>
      <w:footerReference r:id="rId3" w:type="default"/>
      <w:pgSz w:w="11906" w:h="16838"/>
      <w:pgMar w:top="1701" w:right="1587" w:bottom="1701" w:left="158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819065"/>
      <w:docPartObj>
        <w:docPartGallery w:val="autotext"/>
      </w:docPartObj>
    </w:sdtPr>
    <w:sdtContent>
      <w:p>
        <w:pPr>
          <w:pStyle w:val="4"/>
          <w:jc w:val="center"/>
        </w:pPr>
        <w:r>
          <w:fldChar w:fldCharType="begin"/>
        </w:r>
        <w:r>
          <w:instrText xml:space="preserve">PAGE   \* MERGEFORMAT</w:instrText>
        </w:r>
        <w:r>
          <w:fldChar w:fldCharType="separate"/>
        </w:r>
        <w:r>
          <w:rPr>
            <w:lang w:val="zh-CN"/>
          </w:rPr>
          <w:t>60</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033F"/>
    <w:multiLevelType w:val="multilevel"/>
    <w:tmpl w:val="09FB033F"/>
    <w:lvl w:ilvl="0" w:tentative="0">
      <w:start w:val="1"/>
      <w:numFmt w:val="none"/>
      <w:lvlText w:val="一、"/>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2715BE"/>
    <w:multiLevelType w:val="singleLevel"/>
    <w:tmpl w:val="372715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F529B"/>
    <w:rsid w:val="218B609A"/>
    <w:rsid w:val="471F529B"/>
    <w:rsid w:val="66042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jc w:val="center"/>
      <w:outlineLvl w:val="1"/>
    </w:pPr>
    <w:rPr>
      <w:rFonts w:eastAsia="宋体" w:asciiTheme="majorHAnsi" w:hAnsiTheme="majorHAnsi" w:cstheme="majorBidi"/>
      <w:bCs/>
      <w:sz w:val="22"/>
      <w:szCs w:val="32"/>
    </w:rPr>
  </w:style>
  <w:style w:type="paragraph" w:styleId="3">
    <w:name w:val="heading 3"/>
    <w:basedOn w:val="1"/>
    <w:next w:val="1"/>
    <w:unhideWhenUsed/>
    <w:qFormat/>
    <w:uiPriority w:val="0"/>
    <w:pPr>
      <w:keepNext/>
      <w:keepLines/>
      <w:spacing w:before="260" w:after="260" w:line="416" w:lineRule="auto"/>
      <w:jc w:val="center"/>
      <w:outlineLvl w:val="2"/>
    </w:pPr>
    <w:rPr>
      <w:rFonts w:eastAsia="华文中宋"/>
      <w:bCs/>
      <w:sz w:val="44"/>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7">
    <w:name w:val="List Paragraph"/>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246</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2020-06-05T01:52:00Z</dcterms:created>
  <dc:creator>Yuetong_CHEN</dc:creator>
  <cp:lastModifiedBy>高灰调</cp:lastModifiedBy>
  <dcterms:modified xsi:type="dcterms:W3CDTF">2020-06-08T02:02:34Z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