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临淄区人力资源和社会保障局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2021年政务公开工作实施方案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880" w:firstLineChars="200"/>
        <w:jc w:val="center"/>
        <w:textAlignment w:val="auto"/>
        <w:rPr>
          <w:rFonts w:hint="default" w:ascii="Times New Roman" w:hAnsi="Times New Roman" w:eastAsia="方正小标宋简体" w:cs="Times New Roman"/>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为深入推进依法行政</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严格贯彻政府信息公开工作“公开为常态、不公开为例外”的基本原则，推进行政</w:t>
      </w:r>
      <w:r>
        <w:rPr>
          <w:rFonts w:hint="eastAsia" w:ascii="Times New Roman" w:hAnsi="Times New Roman" w:eastAsia="仿宋_GB2312" w:cs="Times New Roman"/>
          <w:i w:val="0"/>
          <w:iCs w:val="0"/>
          <w:caps w:val="0"/>
          <w:color w:val="000000"/>
          <w:spacing w:val="0"/>
          <w:sz w:val="32"/>
          <w:szCs w:val="32"/>
          <w:shd w:val="clear" w:fill="FFFFFF"/>
          <w:lang w:eastAsia="zh-CN"/>
        </w:rPr>
        <w:t>行为</w:t>
      </w:r>
      <w:r>
        <w:rPr>
          <w:rFonts w:hint="default" w:ascii="Times New Roman" w:hAnsi="Times New Roman" w:eastAsia="仿宋_GB2312" w:cs="Times New Roman"/>
          <w:i w:val="0"/>
          <w:iCs w:val="0"/>
          <w:caps w:val="0"/>
          <w:color w:val="000000"/>
          <w:spacing w:val="0"/>
          <w:sz w:val="32"/>
          <w:szCs w:val="32"/>
          <w:shd w:val="clear" w:fill="FFFFFF"/>
        </w:rPr>
        <w:t>和政务服务全过程公开</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扩大政务开放参与</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保障人民群众的知情权、参与权、表达权、监督权</w:t>
      </w:r>
      <w:r>
        <w:rPr>
          <w:rFonts w:hint="eastAsia" w:ascii="Times New Roman" w:hAnsi="Times New Roman" w:eastAsia="仿宋_GB2312" w:cs="Times New Roman"/>
          <w:i w:val="0"/>
          <w:iCs w:val="0"/>
          <w:caps w:val="0"/>
          <w:color w:val="000000"/>
          <w:spacing w:val="0"/>
          <w:sz w:val="32"/>
          <w:szCs w:val="32"/>
          <w:shd w:val="clear" w:fill="FFFFFF"/>
          <w:lang w:eastAsia="zh-CN"/>
        </w:rPr>
        <w:t>，为</w:t>
      </w:r>
      <w:r>
        <w:rPr>
          <w:rFonts w:hint="default" w:ascii="Times New Roman" w:hAnsi="Times New Roman" w:eastAsia="仿宋_GB2312" w:cs="Times New Roman"/>
          <w:i w:val="0"/>
          <w:iCs w:val="0"/>
          <w:caps w:val="0"/>
          <w:color w:val="000000"/>
          <w:spacing w:val="0"/>
          <w:sz w:val="32"/>
          <w:szCs w:val="32"/>
          <w:shd w:val="clear" w:fill="FFFFFF"/>
        </w:rPr>
        <w:t>提高</w:t>
      </w:r>
      <w:r>
        <w:rPr>
          <w:rFonts w:hint="eastAsia" w:ascii="Times New Roman" w:hAnsi="Times New Roman" w:eastAsia="仿宋_GB2312" w:cs="Times New Roman"/>
          <w:i w:val="0"/>
          <w:iCs w:val="0"/>
          <w:caps w:val="0"/>
          <w:color w:val="000000"/>
          <w:spacing w:val="0"/>
          <w:sz w:val="32"/>
          <w:szCs w:val="32"/>
          <w:shd w:val="clear" w:fill="FFFFFF"/>
          <w:lang w:eastAsia="zh-CN"/>
        </w:rPr>
        <w:t>全局</w:t>
      </w:r>
      <w:r>
        <w:rPr>
          <w:rFonts w:hint="default" w:ascii="Times New Roman" w:hAnsi="Times New Roman" w:eastAsia="仿宋_GB2312" w:cs="Times New Roman"/>
          <w:i w:val="0"/>
          <w:iCs w:val="0"/>
          <w:caps w:val="0"/>
          <w:color w:val="000000"/>
          <w:spacing w:val="0"/>
          <w:sz w:val="32"/>
          <w:szCs w:val="32"/>
          <w:shd w:val="clear" w:fill="FFFFFF"/>
          <w:lang w:eastAsia="zh-CN"/>
        </w:rPr>
        <w:t>政务</w:t>
      </w:r>
      <w:r>
        <w:rPr>
          <w:rFonts w:hint="default" w:ascii="Times New Roman" w:hAnsi="Times New Roman" w:eastAsia="仿宋_GB2312" w:cs="Times New Roman"/>
          <w:i w:val="0"/>
          <w:iCs w:val="0"/>
          <w:caps w:val="0"/>
          <w:color w:val="000000"/>
          <w:spacing w:val="0"/>
          <w:sz w:val="32"/>
          <w:szCs w:val="32"/>
          <w:shd w:val="clear" w:fill="FFFFFF"/>
        </w:rPr>
        <w:t>公开工作质量，结合实际，制定本方案</w:t>
      </w:r>
      <w:r>
        <w:rPr>
          <w:rFonts w:hint="default" w:ascii="Times New Roman" w:hAnsi="Times New Roman" w:eastAsia="仿宋_GB2312" w:cs="Times New Roman"/>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lang w:eastAsia="zh-CN"/>
        </w:rPr>
        <w:t>一、</w:t>
      </w:r>
      <w:r>
        <w:rPr>
          <w:rFonts w:hint="default" w:ascii="Times New Roman" w:hAnsi="Times New Roman" w:eastAsia="黑体" w:cs="Times New Roman"/>
          <w:i w:val="0"/>
          <w:iCs w:val="0"/>
          <w:caps w:val="0"/>
          <w:color w:val="000000"/>
          <w:spacing w:val="0"/>
          <w:sz w:val="32"/>
          <w:szCs w:val="32"/>
        </w:rPr>
        <w:t>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一</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依法公开。</w:t>
      </w:r>
      <w:r>
        <w:rPr>
          <w:rFonts w:hint="default" w:ascii="Times New Roman" w:hAnsi="Times New Roman" w:eastAsia="仿宋_GB2312" w:cs="Times New Roman"/>
          <w:i w:val="0"/>
          <w:iCs w:val="0"/>
          <w:caps w:val="0"/>
          <w:color w:val="000000"/>
          <w:spacing w:val="0"/>
          <w:sz w:val="32"/>
          <w:szCs w:val="32"/>
        </w:rPr>
        <w:t>政务公开工作应当按照国家法律、法规有关政策规定进行。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二</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真实公正。</w:t>
      </w:r>
      <w:r>
        <w:rPr>
          <w:rFonts w:hint="default" w:ascii="Times New Roman" w:hAnsi="Times New Roman" w:eastAsia="仿宋_GB2312" w:cs="Times New Roman"/>
          <w:i w:val="0"/>
          <w:iCs w:val="0"/>
          <w:caps w:val="0"/>
          <w:color w:val="000000"/>
          <w:spacing w:val="0"/>
          <w:sz w:val="32"/>
          <w:szCs w:val="32"/>
        </w:rPr>
        <w:t>公开的内容应当真实可信，办事结果应当公平公正。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三</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及时便民。</w:t>
      </w:r>
      <w:r>
        <w:rPr>
          <w:rFonts w:hint="default" w:ascii="Times New Roman" w:hAnsi="Times New Roman" w:eastAsia="仿宋_GB2312" w:cs="Times New Roman"/>
          <w:i w:val="0"/>
          <w:iCs w:val="0"/>
          <w:caps w:val="0"/>
          <w:color w:val="000000"/>
          <w:spacing w:val="0"/>
          <w:sz w:val="32"/>
          <w:szCs w:val="32"/>
        </w:rPr>
        <w:t>政务公开一定要做到及时，要方便群众办事，便于群众知情，有利于人民群众行使监督权。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四</w:t>
      </w:r>
      <w:r>
        <w:rPr>
          <w:rFonts w:hint="eastAsia" w:ascii="Times New Roman" w:hAnsi="Times New Roman" w:eastAsia="楷体_GB2312" w:cs="Times New Roman"/>
          <w:i w:val="0"/>
          <w:iCs w:val="0"/>
          <w:caps w:val="0"/>
          <w:color w:val="000000"/>
          <w:spacing w:val="0"/>
          <w:sz w:val="32"/>
          <w:szCs w:val="32"/>
          <w:lang w:eastAsia="zh-CN"/>
        </w:rPr>
        <w:t>）</w:t>
      </w:r>
      <w:r>
        <w:rPr>
          <w:rFonts w:hint="default" w:ascii="Times New Roman" w:hAnsi="Times New Roman" w:eastAsia="楷体_GB2312" w:cs="Times New Roman"/>
          <w:i w:val="0"/>
          <w:iCs w:val="0"/>
          <w:caps w:val="0"/>
          <w:color w:val="000000"/>
          <w:spacing w:val="0"/>
          <w:sz w:val="32"/>
          <w:szCs w:val="32"/>
        </w:rPr>
        <w:t>注重实效。</w:t>
      </w:r>
      <w:r>
        <w:rPr>
          <w:rFonts w:hint="default" w:ascii="Times New Roman" w:hAnsi="Times New Roman" w:eastAsia="仿宋_GB2312" w:cs="Times New Roman"/>
          <w:i w:val="0"/>
          <w:iCs w:val="0"/>
          <w:caps w:val="0"/>
          <w:color w:val="000000"/>
          <w:spacing w:val="0"/>
          <w:sz w:val="32"/>
          <w:szCs w:val="32"/>
        </w:rPr>
        <w:t>从实际出发，突出重点，循序渐进，讲求实效，不搞形式主义。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lang w:eastAsia="zh-CN"/>
        </w:rPr>
        <w:t>二</w:t>
      </w:r>
      <w:r>
        <w:rPr>
          <w:rFonts w:hint="default" w:ascii="Times New Roman" w:hAnsi="Times New Roman" w:eastAsia="黑体" w:cs="Times New Roman"/>
          <w:i w:val="0"/>
          <w:iCs w:val="0"/>
          <w:caps w:val="0"/>
          <w:color w:val="000000"/>
          <w:spacing w:val="0"/>
          <w:sz w:val="32"/>
          <w:szCs w:val="32"/>
        </w:rPr>
        <w:t>、</w:t>
      </w:r>
      <w:r>
        <w:rPr>
          <w:rFonts w:hint="default" w:ascii="Times New Roman" w:hAnsi="Times New Roman" w:eastAsia="黑体" w:cs="Times New Roman"/>
          <w:i w:val="0"/>
          <w:iCs w:val="0"/>
          <w:caps w:val="0"/>
          <w:color w:val="000000"/>
          <w:spacing w:val="0"/>
          <w:sz w:val="32"/>
          <w:szCs w:val="32"/>
          <w:lang w:eastAsia="zh-CN"/>
        </w:rPr>
        <w:t>总体</w:t>
      </w:r>
      <w:r>
        <w:rPr>
          <w:rFonts w:hint="default" w:ascii="Times New Roman" w:hAnsi="Times New Roman" w:eastAsia="黑体" w:cs="Times New Roman"/>
          <w:i w:val="0"/>
          <w:iCs w:val="0"/>
          <w:caps w:val="0"/>
          <w:color w:val="000000"/>
          <w:spacing w:val="0"/>
          <w:sz w:val="32"/>
          <w:szCs w:val="32"/>
        </w:rPr>
        <w:t>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实行政务公开，要以规范行政行为、提高行政效能为基本要求，必须遵循依法依规、全面真实、及时便民、注重实效的原则。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一</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规范信息公开工作流程。</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单位（科室）确定</w:t>
      </w:r>
      <w:r>
        <w:rPr>
          <w:rFonts w:hint="default" w:ascii="Times New Roman" w:hAnsi="Times New Roman" w:eastAsia="仿宋_GB2312" w:cs="Times New Roman"/>
          <w:sz w:val="32"/>
          <w:szCs w:val="32"/>
        </w:rPr>
        <w:t>属于主动公开范围的信息，</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按照政务公开工作要求，自该信息形成或者变更之日起</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个工作日内予以公开</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二</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落实正式文件公开属性。</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单位（科室）</w:t>
      </w:r>
      <w:r>
        <w:rPr>
          <w:rFonts w:hint="default" w:ascii="Times New Roman" w:hAnsi="Times New Roman" w:eastAsia="仿宋_GB2312" w:cs="Times New Roman"/>
          <w:sz w:val="32"/>
          <w:szCs w:val="32"/>
        </w:rPr>
        <w:t>拟制公文，要在</w:t>
      </w:r>
      <w:r>
        <w:rPr>
          <w:rFonts w:hint="eastAsia" w:ascii="Times New Roman" w:hAnsi="Times New Roman" w:eastAsia="仿宋_GB2312" w:cs="Times New Roman"/>
          <w:sz w:val="32"/>
          <w:szCs w:val="32"/>
          <w:lang w:eastAsia="zh-CN"/>
        </w:rPr>
        <w:t>拟文处理单</w:t>
      </w:r>
      <w:r>
        <w:rPr>
          <w:rFonts w:hint="default" w:ascii="Times New Roman" w:hAnsi="Times New Roman" w:eastAsia="仿宋_GB2312" w:cs="Times New Roman"/>
          <w:sz w:val="32"/>
          <w:szCs w:val="32"/>
        </w:rPr>
        <w:t>中明确文件的公开属性，区分主动公开、依申请公开和不予公开三种情形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在正式文件成文后由办公室汇总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拟不公开和依申请公开的，要有法律法规依据和理由</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三</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规范依申请信息及时办理。</w:t>
      </w:r>
      <w:r>
        <w:rPr>
          <w:rFonts w:hint="default" w:ascii="Times New Roman" w:hAnsi="Times New Roman" w:eastAsia="仿宋_GB2312" w:cs="Times New Roman"/>
          <w:sz w:val="32"/>
          <w:szCs w:val="32"/>
        </w:rPr>
        <w:t>依申请公开由申请信息相关业务科室按照规范流程办理，且在收到申请材料之日起20个工作日内</w:t>
      </w:r>
      <w:r>
        <w:rPr>
          <w:rFonts w:hint="eastAsia" w:ascii="Times New Roman" w:hAnsi="Times New Roman" w:eastAsia="仿宋_GB2312" w:cs="Times New Roman"/>
          <w:sz w:val="32"/>
          <w:szCs w:val="32"/>
          <w:lang w:eastAsia="zh-CN"/>
        </w:rPr>
        <w:t>予</w:t>
      </w:r>
      <w:r>
        <w:rPr>
          <w:rFonts w:hint="default" w:ascii="Times New Roman" w:hAnsi="Times New Roman" w:eastAsia="仿宋_GB2312" w:cs="Times New Roman"/>
          <w:sz w:val="32"/>
          <w:szCs w:val="32"/>
        </w:rPr>
        <w:t>以答复</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四</w:t>
      </w:r>
      <w:r>
        <w:rPr>
          <w:rFonts w:hint="eastAsia" w:ascii="Times New Roman" w:hAnsi="Times New Roman" w:eastAsia="楷体_GB2312" w:cs="Times New Roman"/>
          <w:i w:val="0"/>
          <w:iCs w:val="0"/>
          <w:caps w:val="0"/>
          <w:color w:val="000000"/>
          <w:spacing w:val="0"/>
          <w:kern w:val="0"/>
          <w:sz w:val="32"/>
          <w:szCs w:val="32"/>
          <w:lang w:val="en-US" w:eastAsia="zh-CN" w:bidi="ar"/>
        </w:rPr>
        <w:t>）</w:t>
      </w:r>
      <w:r>
        <w:rPr>
          <w:rFonts w:hint="default" w:ascii="Times New Roman" w:hAnsi="Times New Roman" w:eastAsia="楷体_GB2312" w:cs="Times New Roman"/>
          <w:i w:val="0"/>
          <w:iCs w:val="0"/>
          <w:caps w:val="0"/>
          <w:color w:val="000000"/>
          <w:spacing w:val="0"/>
          <w:kern w:val="0"/>
          <w:sz w:val="32"/>
          <w:szCs w:val="32"/>
          <w:lang w:val="en-US" w:eastAsia="zh-CN" w:bidi="ar"/>
        </w:rPr>
        <w:t>政务信息经严格审查后发布。</w:t>
      </w:r>
      <w:r>
        <w:rPr>
          <w:rFonts w:hint="default" w:ascii="Times New Roman" w:hAnsi="Times New Roman" w:eastAsia="仿宋_GB2312" w:cs="Times New Roman"/>
          <w:sz w:val="32"/>
          <w:szCs w:val="32"/>
        </w:rPr>
        <w:t>所有政务公开信息由</w:t>
      </w:r>
      <w:r>
        <w:rPr>
          <w:rFonts w:hint="eastAsia" w:ascii="Times New Roman" w:hAnsi="Times New Roman" w:eastAsia="仿宋_GB2312" w:cs="Times New Roman"/>
          <w:sz w:val="32"/>
          <w:szCs w:val="32"/>
          <w:lang w:eastAsia="zh-CN"/>
        </w:rPr>
        <w:t>单位（科室）</w:t>
      </w:r>
      <w:r>
        <w:rPr>
          <w:rFonts w:hint="default" w:ascii="Times New Roman" w:hAnsi="Times New Roman" w:eastAsia="仿宋_GB2312" w:cs="Times New Roman"/>
          <w:sz w:val="32"/>
          <w:szCs w:val="32"/>
        </w:rPr>
        <w:t>负责人对内容严格审查，经</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分管领导和</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主要领导同意后公开发布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政务公开信息内容要做到准确、及时、零错误</w:t>
      </w:r>
      <w:r>
        <w:rPr>
          <w:rFonts w:hint="eastAsia" w:ascii="Times New Roman" w:hAnsi="Times New Roman" w:eastAsia="仿宋_GB2312" w:cs="Times New Roman"/>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lang w:eastAsia="zh-CN"/>
        </w:rPr>
        <w:t>三、主要任务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一是推进决策公开。</w:t>
      </w:r>
      <w:r>
        <w:rPr>
          <w:rFonts w:hint="eastAsia" w:ascii="仿宋_GB2312" w:hAnsi="仿宋_GB2312" w:eastAsia="仿宋_GB2312" w:cs="仿宋_GB2312"/>
          <w:sz w:val="32"/>
          <w:szCs w:val="32"/>
        </w:rPr>
        <w:t>凡涉及公共利益和公众权益的重大事项，除涉密外，要主动向社会公布决策草案、决策依据等，通过听证座谈、列席会议、网络征集等形式，广泛征集公众意见，并在决策做出前将采纳情况向社会公开反馈。</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相关企业代表和行业协会的意见，</w:t>
      </w:r>
      <w:r>
        <w:rPr>
          <w:rFonts w:hint="eastAsia" w:ascii="仿宋_GB2312" w:hAnsi="仿宋_GB2312" w:eastAsia="仿宋_GB2312" w:cs="仿宋_GB2312"/>
          <w:sz w:val="32"/>
          <w:szCs w:val="32"/>
          <w:lang w:eastAsia="zh-CN"/>
        </w:rPr>
        <w:t>完善涉企政策，</w:t>
      </w:r>
      <w:r>
        <w:rPr>
          <w:rFonts w:hint="eastAsia" w:ascii="仿宋_GB2312" w:hAnsi="仿宋_GB2312" w:eastAsia="仿宋_GB2312" w:cs="仿宋_GB2312"/>
          <w:sz w:val="32"/>
          <w:szCs w:val="32"/>
        </w:rPr>
        <w:t>增强政策的科学性、适用性。</w:t>
      </w:r>
      <w:r>
        <w:rPr>
          <w:rFonts w:hint="eastAsia" w:ascii="仿宋_GB2312" w:hAnsi="仿宋_GB2312" w:eastAsia="仿宋_GB2312" w:cs="仿宋_GB2312"/>
          <w:sz w:val="32"/>
          <w:szCs w:val="32"/>
          <w:lang w:eastAsia="zh-CN"/>
        </w:rPr>
        <w:t>凡</w:t>
      </w:r>
      <w:r>
        <w:rPr>
          <w:rFonts w:hint="eastAsia" w:ascii="仿宋_GB2312" w:hAnsi="仿宋_GB2312" w:eastAsia="仿宋_GB2312" w:cs="仿宋_GB2312"/>
          <w:sz w:val="32"/>
          <w:szCs w:val="32"/>
        </w:rPr>
        <w:t>我局制定的政策文件，除法律法规或上级文件规定</w:t>
      </w:r>
      <w:r>
        <w:rPr>
          <w:rFonts w:hint="eastAsia" w:ascii="仿宋_GB2312" w:hAnsi="仿宋_GB2312" w:eastAsia="仿宋_GB2312" w:cs="仿宋_GB2312"/>
          <w:sz w:val="32"/>
          <w:szCs w:val="32"/>
          <w:lang w:eastAsia="zh-CN"/>
        </w:rPr>
        <w:t>确</w:t>
      </w:r>
      <w:r>
        <w:rPr>
          <w:rFonts w:hint="eastAsia" w:ascii="仿宋_GB2312" w:hAnsi="仿宋_GB2312" w:eastAsia="仿宋_GB2312" w:cs="仿宋_GB2312"/>
          <w:sz w:val="32"/>
          <w:szCs w:val="32"/>
        </w:rPr>
        <w:t>需保密以外，</w:t>
      </w:r>
      <w:r>
        <w:rPr>
          <w:rFonts w:hint="eastAsia" w:ascii="仿宋_GB2312" w:hAnsi="仿宋_GB2312" w:eastAsia="仿宋_GB2312" w:cs="仿宋_GB2312"/>
          <w:sz w:val="32"/>
          <w:szCs w:val="32"/>
          <w:lang w:eastAsia="zh-CN"/>
        </w:rPr>
        <w:t>其它</w:t>
      </w:r>
      <w:r>
        <w:rPr>
          <w:rFonts w:hint="eastAsia" w:ascii="仿宋_GB2312" w:hAnsi="仿宋_GB2312" w:eastAsia="仿宋_GB2312" w:cs="仿宋_GB2312"/>
          <w:sz w:val="32"/>
          <w:szCs w:val="32"/>
        </w:rPr>
        <w:t>均应及时通过</w:t>
      </w:r>
      <w:r>
        <w:rPr>
          <w:rFonts w:hint="eastAsia" w:ascii="仿宋_GB2312" w:hAnsi="仿宋_GB2312" w:eastAsia="仿宋_GB2312" w:cs="仿宋_GB2312"/>
          <w:sz w:val="32"/>
          <w:szCs w:val="32"/>
          <w:lang w:eastAsia="zh-CN"/>
        </w:rPr>
        <w:t>政务网站</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临淄人社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等渠道公开发布。（局办公室</w:t>
      </w:r>
      <w:r>
        <w:rPr>
          <w:rFonts w:hint="eastAsia" w:ascii="仿宋_GB2312" w:hAnsi="仿宋_GB2312" w:eastAsia="仿宋_GB2312" w:cs="仿宋_GB2312"/>
          <w:sz w:val="32"/>
          <w:szCs w:val="32"/>
          <w:lang w:eastAsia="zh-CN"/>
        </w:rPr>
        <w:t>、局宣传与信息化管理科</w:t>
      </w:r>
      <w:r>
        <w:rPr>
          <w:rFonts w:hint="eastAsia" w:ascii="仿宋_GB2312" w:hAnsi="仿宋_GB2312" w:eastAsia="仿宋_GB2312" w:cs="仿宋_GB2312"/>
          <w:sz w:val="32"/>
          <w:szCs w:val="32"/>
        </w:rPr>
        <w:t>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二是推进管理公开。</w:t>
      </w:r>
      <w:r>
        <w:rPr>
          <w:rFonts w:hint="eastAsia" w:ascii="仿宋_GB2312" w:hAnsi="仿宋_GB2312" w:eastAsia="仿宋_GB2312" w:cs="仿宋_GB2312"/>
          <w:sz w:val="32"/>
          <w:szCs w:val="32"/>
        </w:rPr>
        <w:t>在符合保密要求的前提下，主动公开本机关的机构设置、职能、权责清单变化等信息。落实行政执法公示制度，全面实施“双随机、一公开”监管、信用监管等监管机制，将检查处置结果在</w:t>
      </w:r>
      <w:r>
        <w:rPr>
          <w:rFonts w:hint="eastAsia" w:ascii="仿宋_GB2312" w:hAnsi="仿宋_GB2312" w:eastAsia="仿宋_GB2312" w:cs="仿宋_GB2312"/>
          <w:sz w:val="32"/>
          <w:szCs w:val="32"/>
          <w:lang w:eastAsia="zh-CN"/>
        </w:rPr>
        <w:t>临淄区</w:t>
      </w:r>
      <w:r>
        <w:rPr>
          <w:rFonts w:hint="eastAsia" w:ascii="仿宋_GB2312" w:hAnsi="仿宋_GB2312" w:eastAsia="仿宋_GB2312" w:cs="仿宋_GB2312"/>
          <w:sz w:val="32"/>
          <w:szCs w:val="32"/>
        </w:rPr>
        <w:t>政府门户网站平台即时公布。按照“谁执法、谁公示”，“谁监管、谁公示”，“谁检查、谁公示”的原则，集中向社会依法公开行政执法职责、执法依据、执法程序等信息，规范行政执法行为。（局办公室</w:t>
      </w:r>
      <w:r>
        <w:rPr>
          <w:rFonts w:hint="eastAsia" w:ascii="仿宋_GB2312" w:hAnsi="仿宋_GB2312" w:eastAsia="仿宋_GB2312" w:cs="仿宋_GB2312"/>
          <w:sz w:val="32"/>
          <w:szCs w:val="32"/>
          <w:lang w:eastAsia="zh-CN"/>
        </w:rPr>
        <w:t>、区劳动和社会保障监察大队</w:t>
      </w:r>
      <w:r>
        <w:rPr>
          <w:rFonts w:hint="eastAsia" w:ascii="仿宋_GB2312" w:hAnsi="仿宋_GB2312" w:eastAsia="仿宋_GB2312" w:cs="仿宋_GB2312"/>
          <w:sz w:val="32"/>
          <w:szCs w:val="32"/>
        </w:rPr>
        <w:t>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三是推进执行和结果公开。</w:t>
      </w:r>
      <w:r>
        <w:rPr>
          <w:rFonts w:hint="eastAsia" w:ascii="仿宋_GB2312" w:hAnsi="仿宋_GB2312" w:eastAsia="仿宋_GB2312" w:cs="仿宋_GB2312"/>
          <w:sz w:val="32"/>
          <w:szCs w:val="32"/>
        </w:rPr>
        <w:t>围绕稳增长、促改革、调结构、惠民生、防风险、保稳定等系列政策，加大对政府工作报告、年度重点任务、重要民生实事项目等重大决策部署执行落实情况的公开。对涉及公共利益、公众权益、社会关切以及需要社会广泛知晓的办理复文，要依法、及时、全面、准确、具体地向社会公开。（局办公室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四是推进服务公开。</w:t>
      </w:r>
      <w:r>
        <w:rPr>
          <w:rFonts w:hint="eastAsia" w:ascii="仿宋_GB2312" w:hAnsi="仿宋_GB2312" w:eastAsia="仿宋_GB2312" w:cs="仿宋_GB2312"/>
          <w:sz w:val="32"/>
          <w:szCs w:val="32"/>
        </w:rPr>
        <w:t>围绕“放管服”改革，做减税降费、“证照分离”改革、压减行政许可事项公开，助力打造公平透明的营商环境。继续加大各类证明事项清理减并力度，对确需保留的证明实行清单管理并集中在政府门户网站和人社服务大厅公开。梳理编制并公布人社服务大厅的审批服务事项、办事指南、办事流程等。整合优化人社服务大厅“一站式”功能，实现“一个窗口”、“一次办理”和“只进一扇门”、“最多跑一次”，让企业和群众办事更便捷。（</w:t>
      </w:r>
      <w:r>
        <w:rPr>
          <w:rFonts w:hint="eastAsia" w:ascii="仿宋_GB2312" w:hAnsi="仿宋_GB2312" w:eastAsia="仿宋_GB2312" w:cs="仿宋_GB2312"/>
          <w:sz w:val="32"/>
          <w:szCs w:val="32"/>
          <w:lang w:eastAsia="zh-CN"/>
        </w:rPr>
        <w:t>局宣传与信息化管理科、</w:t>
      </w:r>
      <w:r>
        <w:rPr>
          <w:rFonts w:hint="eastAsia" w:ascii="仿宋_GB2312" w:hAnsi="仿宋_GB2312" w:eastAsia="仿宋_GB2312" w:cs="仿宋_GB2312"/>
          <w:sz w:val="32"/>
          <w:szCs w:val="32"/>
        </w:rPr>
        <w:t>局办公室牵头，局属各相关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工作保障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i w:val="0"/>
          <w:iCs w:val="0"/>
          <w:caps w:val="0"/>
          <w:color w:val="000000"/>
          <w:spacing w:val="0"/>
          <w:sz w:val="32"/>
          <w:szCs w:val="32"/>
        </w:rPr>
        <w:t>加强组织领导</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适时调整</w:t>
      </w:r>
      <w:r>
        <w:rPr>
          <w:rFonts w:hint="eastAsia" w:ascii="仿宋_GB2312" w:hAnsi="仿宋_GB2312" w:eastAsia="仿宋_GB2312" w:cs="仿宋_GB2312"/>
          <w:sz w:val="32"/>
          <w:szCs w:val="32"/>
          <w:lang w:eastAsia="zh-CN"/>
        </w:rPr>
        <w:t>全局</w:t>
      </w:r>
      <w:r>
        <w:rPr>
          <w:rFonts w:hint="eastAsia" w:ascii="仿宋_GB2312" w:hAnsi="仿宋_GB2312" w:eastAsia="仿宋_GB2312" w:cs="仿宋_GB2312"/>
          <w:sz w:val="32"/>
          <w:szCs w:val="32"/>
        </w:rPr>
        <w:t>政务公开领导小组，主要负责同志为组长、分管负责同志为副组长，确保各项公开工作任务顺利完成。</w:t>
      </w:r>
      <w:r>
        <w:rPr>
          <w:rFonts w:hint="eastAsia" w:ascii="仿宋_GB2312" w:hAnsi="仿宋_GB2312" w:eastAsia="仿宋_GB2312" w:cs="仿宋_GB2312"/>
          <w:sz w:val="32"/>
          <w:szCs w:val="32"/>
          <w:lang w:eastAsia="zh-CN"/>
        </w:rPr>
        <w:t>局属各单位、局机关各科室</w:t>
      </w:r>
      <w:r>
        <w:rPr>
          <w:rFonts w:hint="eastAsia" w:ascii="仿宋_GB2312" w:hAnsi="仿宋_GB2312" w:eastAsia="仿宋_GB2312" w:cs="仿宋_GB2312"/>
          <w:sz w:val="32"/>
          <w:szCs w:val="32"/>
        </w:rPr>
        <w:t>负责人为</w:t>
      </w:r>
      <w:r>
        <w:rPr>
          <w:rFonts w:hint="eastAsia" w:ascii="仿宋_GB2312" w:hAnsi="仿宋_GB2312" w:eastAsia="仿宋_GB2312" w:cs="仿宋_GB2312"/>
          <w:sz w:val="32"/>
          <w:szCs w:val="32"/>
          <w:lang w:eastAsia="zh-CN"/>
        </w:rPr>
        <w:t>本单位（科室）政务</w:t>
      </w:r>
      <w:r>
        <w:rPr>
          <w:rFonts w:hint="eastAsia" w:ascii="仿宋_GB2312" w:hAnsi="仿宋_GB2312" w:eastAsia="仿宋_GB2312" w:cs="仿宋_GB2312"/>
          <w:sz w:val="32"/>
          <w:szCs w:val="32"/>
        </w:rPr>
        <w:t>信息公开工作第一责任人。领导小组办公室设在</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。政务公开领导小组发挥指导协调职能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负责牵头组织、协调、推进政务公开日常工作。同时要充分利用各种形式加强政务公开培训，结合专题培训、新进人员培训、以会代训等方式，</w:t>
      </w:r>
      <w:bookmarkStart w:id="0" w:name="_GoBack"/>
      <w:bookmarkEnd w:id="0"/>
      <w:r>
        <w:rPr>
          <w:rFonts w:hint="eastAsia" w:ascii="仿宋_GB2312" w:hAnsi="仿宋_GB2312" w:eastAsia="仿宋_GB2312" w:cs="仿宋_GB2312"/>
          <w:sz w:val="32"/>
          <w:szCs w:val="32"/>
        </w:rPr>
        <w:t>增强职工专业素养，提高指导、推动政务公开工作的能力水平。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（二）优化公开平台。</w:t>
      </w:r>
      <w:r>
        <w:rPr>
          <w:rFonts w:hint="eastAsia" w:ascii="仿宋_GB2312" w:hAnsi="仿宋_GB2312" w:eastAsia="仿宋_GB2312" w:cs="仿宋_GB2312"/>
          <w:sz w:val="32"/>
          <w:szCs w:val="32"/>
        </w:rPr>
        <w:t>按照“谁</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、谁管理”的原则,认真落实主体责任,严格内容审查把关,不得发布</w:t>
      </w:r>
      <w:r>
        <w:rPr>
          <w:rFonts w:hint="eastAsia" w:ascii="仿宋_GB2312" w:hAnsi="仿宋_GB2312" w:eastAsia="仿宋_GB2312" w:cs="仿宋_GB2312"/>
          <w:sz w:val="32"/>
          <w:szCs w:val="32"/>
          <w:lang w:eastAsia="zh-CN"/>
        </w:rPr>
        <w:t>无关信息</w:t>
      </w:r>
      <w:r>
        <w:rPr>
          <w:rFonts w:hint="eastAsia" w:ascii="仿宋_GB2312" w:hAnsi="仿宋_GB2312" w:eastAsia="仿宋_GB2312" w:cs="仿宋_GB2312"/>
          <w:sz w:val="32"/>
          <w:szCs w:val="32"/>
        </w:rPr>
        <w:t>,信息发布失当、造成不良影响的要及时整改。工作推进中要注意既要确保“</w:t>
      </w:r>
      <w:r>
        <w:rPr>
          <w:rFonts w:hint="default" w:ascii="Times New Roman" w:hAnsi="Times New Roman" w:eastAsia="仿宋_GB2312" w:cs="Times New Roman"/>
          <w:i w:val="0"/>
          <w:iCs w:val="0"/>
          <w:caps w:val="0"/>
          <w:color w:val="000000"/>
          <w:spacing w:val="0"/>
          <w:sz w:val="32"/>
          <w:szCs w:val="32"/>
          <w:shd w:val="clear" w:fill="FFFFFF"/>
        </w:rPr>
        <w:t>公开为常态、不公开为例外</w:t>
      </w:r>
      <w:r>
        <w:rPr>
          <w:rFonts w:hint="eastAsia" w:ascii="仿宋_GB2312" w:hAnsi="仿宋_GB2312" w:eastAsia="仿宋_GB2312" w:cs="仿宋_GB2312"/>
          <w:sz w:val="32"/>
          <w:szCs w:val="32"/>
        </w:rPr>
        <w:t>”，又要确保及时与公众进行互动回应，同时充分利用</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新媒体特性，强化互动功能建设，使新媒体真正用起来、动起来、活起来，成为公开、解读、回应的重要平台和渠道，不断提升</w:t>
      </w:r>
      <w:r>
        <w:rPr>
          <w:rFonts w:hint="eastAsia" w:ascii="仿宋_GB2312" w:hAnsi="仿宋_GB2312" w:eastAsia="仿宋_GB2312" w:cs="仿宋_GB2312"/>
          <w:sz w:val="32"/>
          <w:szCs w:val="32"/>
          <w:lang w:eastAsia="zh-CN"/>
        </w:rPr>
        <w:t>人社工作</w:t>
      </w:r>
      <w:r>
        <w:rPr>
          <w:rFonts w:hint="eastAsia" w:ascii="仿宋_GB2312" w:hAnsi="仿宋_GB2312" w:eastAsia="仿宋_GB2312" w:cs="仿宋_GB2312"/>
          <w:sz w:val="32"/>
          <w:szCs w:val="32"/>
        </w:rPr>
        <w:t>影响力。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20"/>
        <w:textAlignment w:val="auto"/>
        <w:rPr>
          <w:rFonts w:hint="default" w:ascii="Times New Roman" w:hAnsi="Times New Roman" w:cs="Times New Roman"/>
        </w:rPr>
      </w:pPr>
      <w:r>
        <w:rPr>
          <w:rFonts w:hint="eastAsia" w:ascii="楷体_GB2312" w:hAnsi="楷体_GB2312" w:eastAsia="楷体_GB2312" w:cs="楷体_GB2312"/>
          <w:sz w:val="32"/>
          <w:szCs w:val="32"/>
        </w:rPr>
        <w:t>（三）抓好</w:t>
      </w:r>
      <w:r>
        <w:rPr>
          <w:rFonts w:hint="eastAsia" w:ascii="楷体_GB2312" w:hAnsi="楷体_GB2312" w:eastAsia="楷体_GB2312" w:cs="楷体_GB2312"/>
          <w:sz w:val="32"/>
          <w:szCs w:val="32"/>
          <w:lang w:eastAsia="zh-CN"/>
        </w:rPr>
        <w:t>工作</w:t>
      </w:r>
      <w:r>
        <w:rPr>
          <w:rFonts w:hint="eastAsia" w:ascii="楷体_GB2312" w:hAnsi="楷体_GB2312" w:eastAsia="楷体_GB2312" w:cs="楷体_GB2312"/>
          <w:sz w:val="32"/>
          <w:szCs w:val="32"/>
        </w:rPr>
        <w:t>落实。</w:t>
      </w:r>
      <w:r>
        <w:rPr>
          <w:rFonts w:hint="eastAsia" w:ascii="仿宋_GB2312" w:hAnsi="仿宋_GB2312" w:eastAsia="仿宋_GB2312" w:cs="仿宋_GB2312"/>
          <w:sz w:val="32"/>
          <w:szCs w:val="32"/>
        </w:rPr>
        <w:t>政务公开不仅是</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的工作，更是</w:t>
      </w:r>
      <w:r>
        <w:rPr>
          <w:rFonts w:hint="eastAsia" w:ascii="仿宋_GB2312" w:hAnsi="仿宋_GB2312" w:eastAsia="仿宋_GB2312" w:cs="仿宋_GB2312"/>
          <w:sz w:val="32"/>
          <w:szCs w:val="32"/>
          <w:lang w:eastAsia="zh-CN"/>
        </w:rPr>
        <w:t>单位（科室）</w:t>
      </w:r>
      <w:r>
        <w:rPr>
          <w:rFonts w:hint="eastAsia" w:ascii="仿宋_GB2312" w:hAnsi="仿宋_GB2312" w:eastAsia="仿宋_GB2312" w:cs="仿宋_GB2312"/>
          <w:sz w:val="32"/>
          <w:szCs w:val="32"/>
        </w:rPr>
        <w:t>的共同责任</w:t>
      </w:r>
      <w:r>
        <w:rPr>
          <w:rFonts w:hint="eastAsia" w:ascii="仿宋_GB2312" w:hAnsi="仿宋_GB2312" w:eastAsia="仿宋_GB2312" w:cs="仿宋_GB2312"/>
          <w:sz w:val="32"/>
          <w:szCs w:val="32"/>
          <w:lang w:eastAsia="zh-CN"/>
        </w:rPr>
        <w:t>，各单位（科室）应严格执行政务公开有关制度，及时按月报送公开信息，确保信息公开工作落实到位。</w:t>
      </w:r>
      <w:r>
        <w:rPr>
          <w:rFonts w:hint="eastAsia" w:ascii="仿宋_GB2312" w:hAnsi="仿宋_GB2312" w:eastAsia="仿宋_GB2312" w:cs="仿宋_GB2312"/>
          <w:sz w:val="32"/>
          <w:szCs w:val="32"/>
        </w:rPr>
        <w:t>要建立健全政务信息发布机制，使政务公开工作有规可依，有矩可循。</w:t>
      </w:r>
      <w:r>
        <w:rPr>
          <w:rFonts w:hint="eastAsia" w:ascii="仿宋_GB2312" w:hAnsi="仿宋_GB2312" w:eastAsia="仿宋_GB2312" w:cs="仿宋_GB2312"/>
          <w:sz w:val="32"/>
          <w:szCs w:val="32"/>
          <w:lang w:eastAsia="zh-CN"/>
        </w:rPr>
        <w:t>同时注重</w:t>
      </w:r>
      <w:r>
        <w:rPr>
          <w:rFonts w:hint="eastAsia" w:ascii="仿宋_GB2312" w:hAnsi="仿宋_GB2312" w:eastAsia="仿宋_GB2312" w:cs="仿宋_GB2312"/>
          <w:sz w:val="32"/>
          <w:szCs w:val="32"/>
        </w:rPr>
        <w:t>完善信息公开保密审查制度，严格保密审查程序，明确保密审查责任，依法依规做好依申请公开工作。</w:t>
      </w:r>
    </w:p>
    <w:sectPr>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D157D"/>
    <w:rsid w:val="08B460E8"/>
    <w:rsid w:val="11FD29E3"/>
    <w:rsid w:val="166C7F75"/>
    <w:rsid w:val="21A32527"/>
    <w:rsid w:val="44987662"/>
    <w:rsid w:val="5A037D60"/>
    <w:rsid w:val="5B2F7740"/>
    <w:rsid w:val="690D157D"/>
    <w:rsid w:val="737F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2021-12-14T06:05:00Z</dcterms:created>
  <dc:creator>Administrator</dc:creator>
  <cp:lastModifiedBy>Administrator</cp:lastModifiedBy>
  <dcterms:modified xsi:type="dcterms:W3CDTF">2021-12-15T08:23:50Z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D833AB13BBFE424BBE8E5E59AD1B3D7B</vt:lpwstr>
  </property>
</Properties>
</file>