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69C4D">
      <w:pPr>
        <w:jc w:val="center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145CE04">
      <w:pPr>
        <w:jc w:val="center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4F6F277">
      <w:pPr>
        <w:jc w:val="center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159B553">
      <w:pPr>
        <w:jc w:val="center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BDBFE2E">
      <w:pPr>
        <w:jc w:val="center"/>
        <w:outlineLvl w:val="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临政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字〔20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 w14:paraId="58808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</w:p>
    <w:p w14:paraId="5FA88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临淄区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人民政府办公室</w:t>
      </w:r>
    </w:p>
    <w:p w14:paraId="72446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关于印发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年为全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区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妇女儿童办实事</w:t>
      </w:r>
    </w:p>
    <w:p w14:paraId="61A03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项目清单的通知</w:t>
      </w:r>
    </w:p>
    <w:p w14:paraId="1D56CFCA">
      <w:pPr>
        <w:spacing w:line="600" w:lineRule="exact"/>
        <w:jc w:val="both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53ADB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各镇人民政府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街道办事处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各开发区管委会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区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人民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政府各部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门，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有关企事业单位：</w:t>
      </w:r>
    </w:p>
    <w:p w14:paraId="7252F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  <w:t>《202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  <w:t>年为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全区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  <w:t>妇女儿童办实事项目清单》已经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区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人民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  <w:t>政府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研究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  <w:t>同意，现印发给你们，请认真组织实施。</w:t>
      </w:r>
    </w:p>
    <w:p w14:paraId="36407DD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lang w:val="en-US" w:eastAsia="en-US"/>
        </w:rPr>
      </w:pPr>
    </w:p>
    <w:p w14:paraId="693506E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</w:pPr>
    </w:p>
    <w:p w14:paraId="533B058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临淄区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  <w:t>人民政府办公室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                                                           202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  <w:t>年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  <w:t>月</w:t>
      </w:r>
      <w:r>
        <w:rPr>
          <w:rFonts w:hint="eastAsia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zh-CN" w:bidi="ar-SA"/>
        </w:rPr>
        <w:t>22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  <w:t>日</w:t>
      </w:r>
    </w:p>
    <w:p w14:paraId="58E3242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</w:pPr>
    </w:p>
    <w:p w14:paraId="0E8C85B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44"/>
        </w:rPr>
        <w:sectPr>
          <w:headerReference r:id="rId3" w:type="default"/>
          <w:footerReference r:id="rId4" w:type="default"/>
          <w:pgSz w:w="11906" w:h="16838"/>
          <w:pgMar w:top="1871" w:right="1531" w:bottom="1871" w:left="1531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lang w:val="en-US" w:eastAsia="en-US" w:bidi="ar-SA"/>
        </w:rPr>
        <w:t>(此件公开发布)</w:t>
      </w:r>
    </w:p>
    <w:p w14:paraId="46E1F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年为全区妇女儿童办实事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项目清单</w:t>
      </w:r>
    </w:p>
    <w:p w14:paraId="6180893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napToGrid w:val="0"/>
          <w:color w:val="auto"/>
          <w:kern w:val="0"/>
          <w:sz w:val="32"/>
          <w:szCs w:val="32"/>
          <w:shd w:val="clear" w:color="auto" w:fill="auto"/>
          <w:lang w:val="en-US" w:eastAsia="zh-CN" w:bidi="ar-SA"/>
        </w:rPr>
      </w:pPr>
    </w:p>
    <w:p w14:paraId="61B4097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en-US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一、促进女性高质量充分就业。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举办“春风行动”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巾帼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女性就业专场招聘活动不少于2场次，促进女性稳岗就业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灵活就业。开展补贴性职业技能培训，为有需求的妇女提供就业创业培训。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年内开设巾帼电商公益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课堂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等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16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场，帮助“妈妈”群体掌握实用技能，引导妇女创业就业。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en-US" w:bidi="ar-SA"/>
        </w:rPr>
        <w:t>（责任单位：</w:t>
      </w:r>
      <w:r>
        <w:rPr>
          <w:rFonts w:hint="eastAsia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区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en-US" w:bidi="ar-SA"/>
        </w:rPr>
        <w:t>人社局</w:t>
      </w:r>
      <w:r>
        <w:rPr>
          <w:rFonts w:hint="eastAsia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、区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en-US" w:bidi="ar-SA"/>
        </w:rPr>
        <w:t>妇联、</w:t>
      </w:r>
      <w:r>
        <w:rPr>
          <w:rFonts w:hint="eastAsia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区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en-US" w:bidi="ar-SA"/>
        </w:rPr>
        <w:t>商务局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en-US" w:bidi="ar-SA"/>
        </w:rPr>
        <w:t>）</w:t>
      </w:r>
    </w:p>
    <w:p w14:paraId="1F9CD5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en-US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二、保护和增进妇女健康。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lang w:val="en-US" w:eastAsia="zh-CN"/>
        </w:rPr>
        <w:t>在全区实施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35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—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64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lang w:val="en-US" w:eastAsia="zh-CN"/>
        </w:rPr>
        <w:t>岁适龄妇女“两癌”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（宫颈癌、乳腺癌）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lang w:val="en-US" w:eastAsia="zh-CN"/>
        </w:rPr>
        <w:t>免费检查城乡全覆盖，按照三年一周期，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年内对全区1.9万名35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—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64岁妇女开展“两癌”免费检查，降低宫颈癌、乳腺癌发病率，提高全区适龄妇女的健康水平。</w:t>
      </w:r>
      <w:r>
        <w:rPr>
          <w:rFonts w:hint="default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实施低收入适龄妇女</w:t>
      </w:r>
      <w:r>
        <w:rPr>
          <w:rFonts w:hint="default" w:ascii="Times New Roman" w:hAnsi="Times New Roman" w:eastAsia="仿宋_GB2312" w:cs="E-BX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“</w:t>
      </w:r>
      <w:r>
        <w:rPr>
          <w:rFonts w:hint="default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两癌</w:t>
      </w:r>
      <w:r>
        <w:rPr>
          <w:rFonts w:hint="default" w:ascii="Times New Roman" w:hAnsi="Times New Roman" w:eastAsia="仿宋_GB2312" w:cs="E-BX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”</w:t>
      </w:r>
      <w:r>
        <w:rPr>
          <w:rFonts w:hint="default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保险救助项目</w:t>
      </w:r>
      <w:r>
        <w:rPr>
          <w:rFonts w:hint="eastAsia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,</w:t>
      </w:r>
      <w:r>
        <w:rPr>
          <w:rFonts w:hint="default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为符合条件的</w:t>
      </w:r>
      <w:r>
        <w:rPr>
          <w:rFonts w:hint="default" w:ascii="Times New Roman" w:hAnsi="Times New Roman" w:eastAsia="仿宋_GB2312" w:cs="E-BZ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35</w:t>
      </w:r>
      <w:r>
        <w:rPr>
          <w:rFonts w:hint="eastAsia" w:ascii="Times New Roman" w:hAnsi="Times New Roman" w:eastAsia="仿宋_GB2312" w:cs="E-BZ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—</w:t>
      </w:r>
      <w:r>
        <w:rPr>
          <w:rFonts w:hint="default" w:ascii="Times New Roman" w:hAnsi="Times New Roman" w:eastAsia="仿宋_GB2312" w:cs="E-BZ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64</w:t>
      </w:r>
      <w:r>
        <w:rPr>
          <w:rFonts w:hint="default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岁低收入妇女</w:t>
      </w:r>
      <w:r>
        <w:rPr>
          <w:rFonts w:hint="default" w:ascii="Times New Roman" w:hAnsi="Times New Roman" w:eastAsia="仿宋_GB2312" w:cs="E-BX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每人购买保额不低于</w:t>
      </w:r>
      <w:r>
        <w:rPr>
          <w:rFonts w:hint="default" w:ascii="Times New Roman" w:hAnsi="Times New Roman" w:eastAsia="仿宋_GB2312" w:cs="E-BZ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default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万元的</w:t>
      </w:r>
      <w:r>
        <w:rPr>
          <w:rFonts w:hint="default" w:ascii="Times New Roman" w:hAnsi="Times New Roman" w:eastAsia="仿宋_GB2312" w:cs="E-BX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“</w:t>
      </w:r>
      <w:r>
        <w:rPr>
          <w:rFonts w:hint="default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两癌</w:t>
      </w:r>
      <w:r>
        <w:rPr>
          <w:rFonts w:hint="default" w:ascii="Times New Roman" w:hAnsi="Times New Roman" w:eastAsia="仿宋_GB2312" w:cs="E-BX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”</w:t>
      </w:r>
      <w:r>
        <w:rPr>
          <w:rFonts w:hint="default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保险</w:t>
      </w:r>
      <w:r>
        <w:rPr>
          <w:rFonts w:hint="default" w:ascii="Times New Roman" w:hAnsi="Times New Roman" w:eastAsia="仿宋_GB2312" w:cs="E-BX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default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开展低收入</w:t>
      </w:r>
      <w:r>
        <w:rPr>
          <w:rFonts w:hint="default" w:ascii="Times New Roman" w:hAnsi="Times New Roman" w:eastAsia="仿宋_GB2312" w:cs="E-BX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“</w:t>
      </w:r>
      <w:r>
        <w:rPr>
          <w:rFonts w:hint="default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两癌</w:t>
      </w:r>
      <w:r>
        <w:rPr>
          <w:rFonts w:hint="default" w:ascii="Times New Roman" w:hAnsi="Times New Roman" w:eastAsia="仿宋_GB2312" w:cs="E-BX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”</w:t>
      </w:r>
      <w:r>
        <w:rPr>
          <w:rFonts w:hint="default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患病妇女救助</w:t>
      </w:r>
      <w:r>
        <w:rPr>
          <w:rFonts w:hint="default" w:ascii="Times New Roman" w:hAnsi="Times New Roman" w:eastAsia="仿宋_GB2312" w:cs="E-BX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每名救助对象一次性救助</w:t>
      </w:r>
      <w:r>
        <w:rPr>
          <w:rFonts w:hint="default" w:ascii="Times New Roman" w:hAnsi="Times New Roman" w:eastAsia="仿宋_GB2312" w:cs="E-BZ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1</w:t>
      </w:r>
      <w:r>
        <w:rPr>
          <w:rFonts w:hint="default" w:ascii="Times New Roman" w:hAnsi="Times New Roman" w:eastAsia="仿宋_GB2312" w:cs="FZFSK--GBK1-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万元</w:t>
      </w:r>
      <w:r>
        <w:rPr>
          <w:rFonts w:hint="default" w:ascii="Times New Roman" w:hAnsi="Times New Roman" w:eastAsia="仿宋_GB2312" w:cs="E-BX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en-US" w:bidi="ar-SA"/>
        </w:rPr>
        <w:t>（责任单位：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区卫健局、区妇联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en-US" w:bidi="ar-SA"/>
        </w:rPr>
        <w:t>）</w:t>
      </w:r>
    </w:p>
    <w:p w14:paraId="342297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>三、推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>进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>教育设施优化提升。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>推进幼儿园托幼一体化建设，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新增280个2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3岁幼儿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托育学位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。实施中小学校园“微运动”场地提档改造，进一步拓展校园体育活动载体。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（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责任单位：</w:t>
      </w:r>
      <w:r>
        <w:rPr>
          <w:rFonts w:hint="eastAsia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区教体局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）</w:t>
      </w:r>
    </w:p>
    <w:p w14:paraId="40AFA3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四、深化家庭家教家风建设。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开展“五好家庭”宣传选树活动，弘扬社会主义家庭文明新风尚。家庭教育指导服务进校园，依托家长学校、家庭教育指导师团队，全年开展家庭教育大讲堂、订单式入校服务、新生家长培训等活动不少于120场；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落实每学年4次8课时家庭教育指导、全员大家访，构建校家社协同育人体系，覆盖全区中小学、幼儿园家长群体。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推进家庭教育指导服务体系建设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，年内在20个规范化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社区（村）家长学校以“讲师精讲+圆桌交流”模式开展家庭教育圆桌课堂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100场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，引导家长倾诉困惑、交流研讨、获取解答，进一步增强家校社协同育人合力。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（责任单位：</w:t>
      </w:r>
      <w:r>
        <w:rPr>
          <w:rFonts w:hint="eastAsia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区委宣传部、</w:t>
      </w:r>
      <w:r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区妇联、区教体局）</w:t>
      </w:r>
    </w:p>
    <w:p w14:paraId="6364149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yellow"/>
          <w:shd w:val="clear" w:color="auto" w:fill="auto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五、提高优生优育服务水平。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开展免费产前筛查、新生儿四种遗传代谢性疾病筛查，推动患儿早诊早治，减少出生缺陷，产前筛查率和新生儿遗传代谢病筛查率均达到90%以上。扩大托育资源供给，发展社区嵌入式托育服务，利用社区闲置房屋降低运营成本，打造老百姓“家门口的平价托育”。推动托育资源向基层延伸、向家门口覆盖，让0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—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3岁婴幼儿家庭既能就近托、又能便宜托，切实减轻育儿负担。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护航中小学生心理健康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落实两周一节心理健康课，心理咨询室每周开放不少于10小时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开展春秋两季全员心理筛查、心理健康教育月活动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建立班级心理委员—班主任—心理教师三级防护与干预机制，“一生一档”做好跟踪服务，全面守护儿童心理健康。</w:t>
      </w:r>
      <w:r>
        <w:rPr>
          <w:rFonts w:hint="default" w:ascii="Times New Roman" w:hAnsi="Times New Roman" w:eastAsia="楷体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（责任单位：</w:t>
      </w:r>
      <w:r>
        <w:rPr>
          <w:rFonts w:hint="eastAsia" w:ascii="Times New Roman" w:hAnsi="Times New Roman" w:eastAsia="楷体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区</w:t>
      </w:r>
      <w:r>
        <w:rPr>
          <w:rFonts w:hint="default" w:ascii="Times New Roman" w:hAnsi="Times New Roman" w:eastAsia="楷体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卫健</w:t>
      </w:r>
      <w:r>
        <w:rPr>
          <w:rFonts w:hint="eastAsia" w:ascii="Times New Roman" w:hAnsi="Times New Roman" w:eastAsia="楷体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局</w:t>
      </w:r>
      <w:r>
        <w:rPr>
          <w:rFonts w:hint="default" w:ascii="Times New Roman" w:hAnsi="Times New Roman" w:eastAsia="楷体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、</w:t>
      </w:r>
      <w:r>
        <w:rPr>
          <w:rFonts w:hint="eastAsia" w:ascii="Times New Roman" w:hAnsi="Times New Roman" w:eastAsia="楷体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区</w:t>
      </w:r>
      <w:r>
        <w:rPr>
          <w:rFonts w:hint="default" w:ascii="Times New Roman" w:hAnsi="Times New Roman" w:eastAsia="楷体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教</w:t>
      </w:r>
      <w:r>
        <w:rPr>
          <w:rFonts w:hint="eastAsia" w:ascii="Times New Roman" w:hAnsi="Times New Roman" w:eastAsia="楷体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体</w:t>
      </w:r>
      <w:r>
        <w:rPr>
          <w:rFonts w:hint="default" w:ascii="Times New Roman" w:hAnsi="Times New Roman" w:eastAsia="楷体_GB2312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局）</w:t>
      </w:r>
    </w:p>
    <w:p w14:paraId="746D65F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en-US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六</w:t>
      </w:r>
      <w:r>
        <w:rPr>
          <w:rFonts w:hint="default" w:ascii="Times New Roman" w:hAnsi="Times New Roman" w:eastAsia="黑体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en-US" w:bidi="ar-SA"/>
        </w:rPr>
        <w:t>、丰富文化体育服务供给</w:t>
      </w:r>
      <w:r>
        <w:rPr>
          <w:rFonts w:hint="default" w:ascii="Times New Roman" w:hAnsi="Times New Roman" w:eastAsia="黑体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。</w:t>
      </w:r>
      <w:r>
        <w:rPr>
          <w:rFonts w:hint="eastAsia" w:ascii="Times New Roman" w:hAnsi="Times New Roman" w:eastAsia="仿宋_GB2312" w:cs="仿宋_GB2312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持续优化临淄区市民艺术夜校服务模式，深度整合各类公共文化资源，不断丰富课程门类，创新教学形式，满足妇女儿童多元化艺术学习需求。</w:t>
      </w:r>
      <w:r>
        <w:rPr>
          <w:rFonts w:hint="eastAsia" w:ascii="Times New Roman" w:hAnsi="Times New Roman" w:eastAsia="仿宋_GB2312" w:cs="微软雅黑"/>
          <w:color w:val="auto"/>
          <w:spacing w:val="0"/>
          <w:position w:val="0"/>
          <w:sz w:val="32"/>
          <w:szCs w:val="32"/>
          <w:highlight w:val="none"/>
          <w:lang w:val="en-US" w:eastAsia="zh-CN"/>
        </w:rPr>
        <w:t>开展科普大篷车进基层活动8场，提升儿童科技素养。</w:t>
      </w:r>
      <w:r>
        <w:rPr>
          <w:rFonts w:hint="eastAsia" w:ascii="Times New Roman" w:hAnsi="Times New Roman" w:eastAsia="仿宋_GB2312" w:cs="微软雅黑"/>
          <w:color w:val="auto"/>
          <w:spacing w:val="0"/>
          <w:position w:val="0"/>
          <w:sz w:val="32"/>
          <w:szCs w:val="32"/>
          <w:lang w:val="en-US" w:eastAsia="zh-CN"/>
        </w:rPr>
        <w:t>常态化开展国民体质监测，计划为全区800余人提供监测，其中女性群体不低于400人。举办社会体育指导员培训班，女性社会体育指导员不低于100人。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</w:rPr>
        <w:t>（责任单位：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  <w:highlight w:val="none"/>
          <w:lang w:eastAsia="zh-CN"/>
        </w:rPr>
        <w:t>区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  <w:highlight w:val="none"/>
        </w:rPr>
        <w:t>文旅局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  <w:highlight w:val="none"/>
          <w:lang w:eastAsia="zh-CN"/>
        </w:rPr>
        <w:t>、区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  <w:highlight w:val="none"/>
        </w:rPr>
        <w:t>科协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  <w:lang w:eastAsia="zh-CN"/>
        </w:rPr>
        <w:t>区教体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</w:rPr>
        <w:t>局）</w:t>
      </w:r>
    </w:p>
    <w:p w14:paraId="4C6EF22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楷体_GB2312" w:cs="楷体_GB2312"/>
          <w:b w:val="0"/>
          <w:bCs w:val="0"/>
          <w:snapToGrid w:val="0"/>
          <w:color w:val="auto"/>
          <w:spacing w:val="0"/>
          <w:kern w:val="0"/>
          <w:position w:val="0"/>
          <w:sz w:val="32"/>
          <w:szCs w:val="32"/>
          <w:highlight w:val="yellow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七、</w:t>
      </w:r>
      <w:r>
        <w:rPr>
          <w:rFonts w:hint="eastAsia" w:ascii="Times New Roman" w:hAnsi="Times New Roman" w:eastAsia="黑体" w:cs="黑体"/>
          <w:b w:val="0"/>
          <w:bCs w:val="0"/>
          <w:color w:val="auto"/>
          <w:spacing w:val="0"/>
          <w:sz w:val="32"/>
          <w:szCs w:val="32"/>
        </w:rPr>
        <w:t>深化儿童友好城市建设</w:t>
      </w:r>
      <w:r>
        <w:rPr>
          <w:rFonts w:hint="eastAsia" w:ascii="Times New Roman" w:hAnsi="Times New Roman" w:eastAsia="黑体" w:cs="黑体"/>
          <w:b w:val="0"/>
          <w:bCs w:val="0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依托儿童友好社区平台，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提升儿童友好社区活动质量，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开展丰富多彩的亲子阅读、亲子实践等活动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不少于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eastAsia="zh-CN" w:bidi="ar-SA"/>
        </w:rPr>
        <w:t>0场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，营造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儿童友好的良好社会氛围，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为家庭和儿童创造良好的活动平台与实践机会。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针对重点学校，围绕《未成年人保护法》等法律法规，通过案例解析、互动问答、情景模拟等生动形式深入开展靶向宣传，不少于500人次。</w:t>
      </w:r>
      <w:r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  <w:highlight w:val="none"/>
        </w:rPr>
        <w:t>（责任单位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1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  <w:highlight w:val="none"/>
          <w:lang w:eastAsia="zh-CN"/>
        </w:rPr>
        <w:t>区</w:t>
      </w:r>
      <w:r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  <w:highlight w:val="none"/>
        </w:rPr>
        <w:t>妇联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1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1"/>
          <w:sz w:val="32"/>
          <w:szCs w:val="32"/>
          <w:highlight w:val="none"/>
          <w:lang w:eastAsia="zh-CN"/>
        </w:rPr>
        <w:t>区检察院</w:t>
      </w:r>
      <w:r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  <w:highlight w:val="none"/>
        </w:rPr>
        <w:t>）</w:t>
      </w:r>
    </w:p>
    <w:p w14:paraId="1C708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highlight w:val="none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eastAsia="zh-CN"/>
        </w:rPr>
        <w:t>八</w:t>
      </w:r>
      <w:r>
        <w:rPr>
          <w:rFonts w:hint="eastAsia" w:ascii="Times New Roman" w:hAnsi="Times New Roman" w:eastAsia="黑体" w:cs="黑体"/>
          <w:b w:val="0"/>
          <w:bCs w:val="0"/>
          <w:color w:val="auto"/>
          <w:spacing w:val="0"/>
          <w:kern w:val="0"/>
          <w:position w:val="0"/>
          <w:sz w:val="32"/>
          <w:szCs w:val="32"/>
          <w:highlight w:val="none"/>
          <w:shd w:val="clear" w:color="auto" w:fill="auto"/>
          <w:lang w:eastAsia="zh-CN"/>
        </w:rPr>
        <w:t>、</w:t>
      </w:r>
      <w:r>
        <w:rPr>
          <w:rFonts w:hint="eastAsia" w:ascii="Times New Roman" w:hAnsi="Times New Roman" w:eastAsia="黑体" w:cs="黑体"/>
          <w:color w:val="auto"/>
          <w:spacing w:val="0"/>
          <w:position w:val="0"/>
          <w:sz w:val="32"/>
          <w:highlight w:val="none"/>
        </w:rPr>
        <w:t>持续培育婚恋新风。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</w:rPr>
        <w:t>深化婚恋服务项目内涵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lang w:eastAsia="zh-CN"/>
        </w:rPr>
        <w:t>与服务形式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</w:rPr>
        <w:t>，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lang w:eastAsia="zh-CN"/>
        </w:rPr>
        <w:t>精准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</w:rPr>
        <w:t>开展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lang w:eastAsia="zh-CN"/>
        </w:rPr>
        <w:t>形式多样的线下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</w:rPr>
        <w:t>交友联谊活动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lang w:val="en-US" w:eastAsia="zh-CN"/>
        </w:rPr>
        <w:t>10场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</w:rPr>
        <w:t>，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lang w:eastAsia="zh-CN"/>
        </w:rPr>
        <w:t>用心用情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</w:rPr>
        <w:t>帮助适龄青年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lang w:eastAsia="zh-CN"/>
        </w:rPr>
        <w:t>拓宽交友渠道、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</w:rPr>
        <w:t>解决婚恋交友问题，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lang w:eastAsia="zh-CN"/>
        </w:rPr>
        <w:t>积极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</w:rPr>
        <w:t>引导树立正确的婚恋观、生育观、家庭观</w:t>
      </w:r>
      <w:r>
        <w:rPr>
          <w:rFonts w:hint="eastAsia" w:ascii="Times New Roman" w:hAnsi="Times New Roman" w:eastAsia="仿宋_GB2312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实施“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幸福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护航”婚姻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家庭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辅导项目，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做优婚姻家庭辅导服务、女性心理健康呵护等行动，筑牢婚姻家庭幸福根基，促进家庭和美、社会和谐。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highlight w:val="none"/>
        </w:rPr>
        <w:t>（责任单位：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highlight w:val="none"/>
          <w:lang w:eastAsia="zh-CN"/>
        </w:rPr>
        <w:t>区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highlight w:val="none"/>
        </w:rPr>
        <w:t>总工会、团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highlight w:val="none"/>
          <w:lang w:eastAsia="zh-CN"/>
        </w:rPr>
        <w:t>区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highlight w:val="none"/>
        </w:rPr>
        <w:t>委、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highlight w:val="none"/>
          <w:lang w:eastAsia="zh-CN"/>
        </w:rPr>
        <w:t>区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highlight w:val="none"/>
        </w:rPr>
        <w:t>妇联）</w:t>
      </w:r>
    </w:p>
    <w:p w14:paraId="495CB5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pacing w:val="0"/>
          <w:kern w:val="0"/>
          <w:sz w:val="32"/>
          <w:szCs w:val="32"/>
          <w:shd w:val="clear" w:color="auto" w:fill="auto"/>
          <w:lang w:eastAsia="zh-CN"/>
        </w:rPr>
        <w:t>九、强化妇女儿童权益保障</w:t>
      </w:r>
      <w:r>
        <w:rPr>
          <w:rFonts w:hint="eastAsia" w:ascii="Times New Roman" w:hAnsi="Times New Roman" w:eastAsia="黑体" w:cs="黑体"/>
          <w:snapToGrid w:val="0"/>
          <w:color w:val="auto"/>
          <w:spacing w:val="0"/>
          <w:kern w:val="0"/>
          <w:sz w:val="32"/>
          <w:szCs w:val="30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在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三八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维权周、反家暴日、宪法日等重大时间节点，开展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巾帼普法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进基层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”“齐心护航”心理健康讲座等妇女儿童权益相关的法律法规宣传活动不少于1</w:t>
      </w:r>
      <w:r>
        <w:rPr>
          <w:rFonts w:hint="eastAsia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0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场。</w:t>
      </w:r>
      <w:r>
        <w:rPr>
          <w:rFonts w:hint="eastAsia" w:ascii="Times New Roman" w:hAnsi="Times New Roman" w:eastAsia="仿宋_GB2312" w:cs="仿宋_GB2312"/>
          <w:snapToGrid w:val="0"/>
          <w:color w:val="auto"/>
          <w:spacing w:val="0"/>
          <w:kern w:val="0"/>
          <w:sz w:val="32"/>
          <w:szCs w:val="30"/>
          <w:lang w:val="en-US" w:eastAsia="zh-CN" w:bidi="ar"/>
        </w:rPr>
        <w:t>为保障儿童权益及中高考需求，</w:t>
      </w:r>
      <w:r>
        <w:rPr>
          <w:rFonts w:hint="eastAsia" w:ascii="Times New Roman" w:hAnsi="Times New Roman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 w:bidi="ar"/>
        </w:rPr>
        <w:t>通过采取开门办、上门办、预约办、错时办、延时办、集中办等多种方式，为全区学生办理居民身份证提供便利。秉承“工助未来”服务品牌理念，推动企事业单位寒暑假开办职工子女托管班，提供学业辅导、传统文化教育以及文体兴趣服务，全年不少于12个班次。依托“五老”志愿者为涉案未成年人开展心理辅导</w:t>
      </w:r>
      <w:r>
        <w:rPr>
          <w:rFonts w:hint="eastAsia" w:ascii="Times New Roman" w:hAnsi="Times New Roman" w:eastAsia="仿宋_GB2312" w:cs="微软雅黑"/>
          <w:color w:val="auto"/>
          <w:spacing w:val="0"/>
          <w:position w:val="0"/>
          <w:sz w:val="32"/>
          <w:szCs w:val="32"/>
          <w:highlight w:val="none"/>
          <w:lang w:val="en-US" w:eastAsia="zh-CN"/>
        </w:rPr>
        <w:t>等服务不少于5人次；为涉案未成年人家庭</w:t>
      </w:r>
      <w:r>
        <w:rPr>
          <w:rFonts w:hint="eastAsia" w:ascii="Times New Roman" w:hAnsi="Times New Roman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 w:bidi="ar"/>
        </w:rPr>
        <w:t>开展家庭教育指导，制发</w:t>
      </w:r>
      <w:r>
        <w:rPr>
          <w:rFonts w:hint="eastAsia" w:ascii="Times New Roman" w:hAnsi="Times New Roman" w:eastAsia="仿宋_GB2312" w:cs="微软雅黑"/>
          <w:color w:val="auto"/>
          <w:spacing w:val="0"/>
          <w:position w:val="0"/>
          <w:sz w:val="32"/>
          <w:szCs w:val="32"/>
          <w:highlight w:val="none"/>
          <w:lang w:val="en-US" w:eastAsia="zh-CN"/>
        </w:rPr>
        <w:t>督促监护令不少于10份</w:t>
      </w:r>
      <w:r>
        <w:rPr>
          <w:rFonts w:hint="eastAsia" w:ascii="Times New Roman" w:hAnsi="Times New Roman" w:eastAsia="仿宋_GB2312" w:cs="仿宋_GB2312"/>
          <w:snapToGrid w:val="0"/>
          <w:color w:val="auto"/>
          <w:spacing w:val="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Times New Roman" w:hAnsi="Times New Roman" w:eastAsia="仿宋_GB2312" w:cs="微软雅黑"/>
          <w:color w:val="auto"/>
          <w:spacing w:val="0"/>
          <w:position w:val="0"/>
          <w:sz w:val="32"/>
          <w:szCs w:val="32"/>
          <w:highlight w:val="none"/>
          <w:lang w:val="en-US" w:eastAsia="zh-CN"/>
        </w:rPr>
        <w:t>督促监护人依法履行监护职责，从源头预防未成年人违法犯罪和侵害未成年人案件发生。开展残疾儿童康复救助项目，为约190名符合条件且有康复需求的残疾儿童实施康复救助。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</w:rPr>
        <w:t>（责任单位：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  <w:lang w:eastAsia="zh-CN"/>
        </w:rPr>
        <w:t>区妇联、临淄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</w:rPr>
        <w:t>公安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  <w:lang w:eastAsia="zh-CN"/>
        </w:rPr>
        <w:t>分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</w:rPr>
        <w:t>局、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  <w:highlight w:val="none"/>
          <w:lang w:eastAsia="zh-CN"/>
        </w:rPr>
        <w:t>区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  <w:highlight w:val="none"/>
        </w:rPr>
        <w:t>总工会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</w:rPr>
        <w:t>、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  <w:lang w:eastAsia="zh-CN"/>
        </w:rPr>
        <w:t>区检察院、区</w:t>
      </w:r>
      <w:r>
        <w:rPr>
          <w:rFonts w:hint="eastAsia" w:ascii="Times New Roman" w:hAnsi="Times New Roman" w:eastAsia="楷体_GB2312" w:cs="楷体_GB2312"/>
          <w:color w:val="auto"/>
          <w:spacing w:val="0"/>
          <w:position w:val="0"/>
          <w:sz w:val="32"/>
          <w:szCs w:val="32"/>
        </w:rPr>
        <w:t>残联）</w:t>
      </w:r>
    </w:p>
    <w:p w14:paraId="461A55E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、深化困难儿童关爱帮扶。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实施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lang w:val="en-US" w:eastAsia="zh-CN"/>
        </w:rPr>
        <w:t>福彩圆梦·孤儿助学工程”项目，为符合条件的孤儿按每人每学年1万元标准发放助学金。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40"/>
          <w:lang w:val="en-US" w:eastAsia="zh-CN"/>
        </w:rPr>
        <w:t>将孤儿纳入医疗救助范围，参照特困人员落实医疗救助待遇。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eastAsia="zh-CN"/>
        </w:rPr>
        <w:t>开展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eastAsia="zh-CN"/>
        </w:rPr>
        <w:t>春蕾计划”公益助学，资助困境女童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68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eastAsia="zh-CN"/>
        </w:rPr>
        <w:t>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加大困境儿童关心关爱，持续开展爱心妈妈一对一结对关爱活动，对重点关注的32名困境儿童年内开展入户走访4次，开展集体关爱活动2次。</w:t>
      </w:r>
      <w:r>
        <w:rPr>
          <w:rFonts w:hint="eastAsia" w:ascii="Times New Roman" w:hAnsi="Times New Roman" w:eastAsia="楷体_GB2312" w:cs="楷体_GB2312"/>
          <w:b w:val="0"/>
          <w:bCs w:val="0"/>
          <w:color w:val="auto"/>
          <w:spacing w:val="0"/>
          <w:kern w:val="0"/>
          <w:sz w:val="32"/>
          <w:szCs w:val="32"/>
          <w:lang w:eastAsia="zh-CN"/>
        </w:rPr>
        <w:t>（责任单位：区民政局、临淄医保分局、区妇联）</w:t>
      </w:r>
    </w:p>
    <w:p w14:paraId="68288DB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各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有关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部门务必提高思想认识，聚焦妇女儿童需求，持续优化为妇女儿童办实事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机制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，推动政策、项目、服务资源优先向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妇女儿童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群体倾斜，切实提升妇女儿童的获得感、幸福感与安全感。各责任单位要压实主体责任，建立健全工作台账，积极履职担当，全力推动各项实事落地见效。区妇联按季度开展工作统筹调度。</w:t>
      </w:r>
    </w:p>
    <w:p w14:paraId="1DD9CE5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联系电话：72203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65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，电子邮箱：</w:t>
      </w:r>
      <w:r>
        <w:rPr>
          <w:rFonts w:hint="default" w:ascii="Times New Roman" w:hAnsi="Times New Roman" w:cs="Times New Roman"/>
          <w:color w:val="auto"/>
          <w:spacing w:val="0"/>
          <w:sz w:val="32"/>
          <w:u w:val="none"/>
        </w:rPr>
        <w:fldChar w:fldCharType="begin"/>
      </w:r>
      <w:r>
        <w:rPr>
          <w:rFonts w:hint="default" w:ascii="Times New Roman" w:hAnsi="Times New Roman" w:cs="Times New Roman"/>
          <w:color w:val="auto"/>
          <w:spacing w:val="0"/>
          <w:sz w:val="32"/>
          <w:u w:val="none"/>
        </w:rPr>
        <w:instrText xml:space="preserve"> HYPERLINK "mailto:lzqfl@zb.shandong.cn" </w:instrText>
      </w:r>
      <w:r>
        <w:rPr>
          <w:rFonts w:hint="default" w:ascii="Times New Roman" w:hAnsi="Times New Roman" w:cs="Times New Roman"/>
          <w:color w:val="auto"/>
          <w:spacing w:val="0"/>
          <w:sz w:val="32"/>
          <w:u w:val="none"/>
        </w:rPr>
        <w:fldChar w:fldCharType="separate"/>
      </w:r>
      <w:r>
        <w:rPr>
          <w:rStyle w:val="16"/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u w:val="none"/>
        </w:rPr>
        <w:t>lzqfl@zb.shandong.cn</w:t>
      </w:r>
      <w:r>
        <w:rPr>
          <w:rStyle w:val="16"/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u w:val="none"/>
        </w:rPr>
        <w:fldChar w:fldCharType="end"/>
      </w:r>
    </w:p>
    <w:p w14:paraId="6720BFD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</w:pPr>
    </w:p>
    <w:p w14:paraId="1F071C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附件:202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  <w:t>年为全区妇女儿童办实事工作进展情况表</w:t>
      </w:r>
    </w:p>
    <w:p w14:paraId="7E7D58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shd w:val="clear" w:color="auto" w:fill="auto"/>
          <w:lang w:val="en-US" w:eastAsia="zh-CN"/>
        </w:rPr>
      </w:pPr>
    </w:p>
    <w:p w14:paraId="4DC174AE">
      <w:pPr>
        <w:spacing w:line="550" w:lineRule="exact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</w:p>
    <w:p w14:paraId="0B64CC00">
      <w:pPr>
        <w:spacing w:line="550" w:lineRule="exact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</w:p>
    <w:p w14:paraId="5431A0FC">
      <w:pPr>
        <w:spacing w:line="550" w:lineRule="exact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附件</w:t>
      </w:r>
    </w:p>
    <w:p w14:paraId="6AC7F0FB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pacing w:val="-1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Cs/>
          <w:color w:val="auto"/>
          <w:spacing w:val="-1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color w:val="auto"/>
          <w:spacing w:val="-10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为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eastAsia="zh-CN"/>
        </w:rPr>
        <w:t>全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区妇女儿童办实事工作进展情况表</w:t>
      </w:r>
    </w:p>
    <w:p w14:paraId="1DB44814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36"/>
          <w:szCs w:val="36"/>
        </w:rPr>
      </w:pPr>
    </w:p>
    <w:tbl>
      <w:tblPr>
        <w:tblStyle w:val="13"/>
        <w:tblpPr w:leftFromText="180" w:rightFromText="180" w:vertAnchor="text" w:horzAnchor="page" w:tblpXSpec="center" w:tblpY="33"/>
        <w:tblOverlap w:val="never"/>
        <w:tblW w:w="9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3266"/>
        <w:gridCol w:w="2693"/>
        <w:gridCol w:w="1843"/>
        <w:gridCol w:w="1057"/>
      </w:tblGrid>
      <w:tr w14:paraId="15F99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670" w:type="dxa"/>
            <w:vAlign w:val="center"/>
          </w:tcPr>
          <w:p w14:paraId="286B84DA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</w:rPr>
              <w:t>序号</w:t>
            </w:r>
          </w:p>
        </w:tc>
        <w:tc>
          <w:tcPr>
            <w:tcW w:w="3266" w:type="dxa"/>
            <w:vAlign w:val="center"/>
          </w:tcPr>
          <w:p w14:paraId="54D2CF61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</w:rPr>
              <w:t>实事名称</w:t>
            </w:r>
          </w:p>
        </w:tc>
        <w:tc>
          <w:tcPr>
            <w:tcW w:w="2693" w:type="dxa"/>
            <w:vAlign w:val="center"/>
          </w:tcPr>
          <w:p w14:paraId="0239912F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</w:rPr>
              <w:t>责任单位</w:t>
            </w:r>
          </w:p>
        </w:tc>
        <w:tc>
          <w:tcPr>
            <w:tcW w:w="1843" w:type="dxa"/>
            <w:vAlign w:val="center"/>
          </w:tcPr>
          <w:p w14:paraId="27679E8F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</w:rPr>
              <w:t>本季度具体措施</w:t>
            </w:r>
          </w:p>
          <w:p w14:paraId="69C5E708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</w:rPr>
              <w:t>及任务进度情况</w:t>
            </w:r>
          </w:p>
        </w:tc>
        <w:tc>
          <w:tcPr>
            <w:tcW w:w="1057" w:type="dxa"/>
            <w:vAlign w:val="center"/>
          </w:tcPr>
          <w:p w14:paraId="35B577D7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Cs w:val="21"/>
              </w:rPr>
              <w:t>完成时限</w:t>
            </w:r>
          </w:p>
        </w:tc>
      </w:tr>
      <w:tr w14:paraId="70FDC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670" w:type="dxa"/>
            <w:vAlign w:val="center"/>
          </w:tcPr>
          <w:p w14:paraId="523F2C1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</w:t>
            </w:r>
          </w:p>
        </w:tc>
        <w:tc>
          <w:tcPr>
            <w:tcW w:w="3266" w:type="dxa"/>
            <w:vAlign w:val="center"/>
          </w:tcPr>
          <w:p w14:paraId="56EFC02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促进女性高质量充分就业</w:t>
            </w:r>
          </w:p>
        </w:tc>
        <w:tc>
          <w:tcPr>
            <w:tcW w:w="2693" w:type="dxa"/>
            <w:vAlign w:val="center"/>
          </w:tcPr>
          <w:p w14:paraId="7B01148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区人社局</w:t>
            </w:r>
          </w:p>
          <w:p w14:paraId="3EADF38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区妇联</w:t>
            </w:r>
          </w:p>
          <w:p w14:paraId="2AA6BE0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区商务局</w:t>
            </w:r>
          </w:p>
        </w:tc>
        <w:tc>
          <w:tcPr>
            <w:tcW w:w="1843" w:type="dxa"/>
            <w:vAlign w:val="center"/>
          </w:tcPr>
          <w:p w14:paraId="4C451FD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57" w:type="dxa"/>
            <w:vAlign w:val="center"/>
          </w:tcPr>
          <w:p w14:paraId="3FD6757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5980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670" w:type="dxa"/>
            <w:vAlign w:val="center"/>
          </w:tcPr>
          <w:p w14:paraId="4B7B5E6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</w:t>
            </w:r>
          </w:p>
        </w:tc>
        <w:tc>
          <w:tcPr>
            <w:tcW w:w="3266" w:type="dxa"/>
            <w:vAlign w:val="center"/>
          </w:tcPr>
          <w:p w14:paraId="61C4AA5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保护和增进妇女健康</w:t>
            </w:r>
          </w:p>
        </w:tc>
        <w:tc>
          <w:tcPr>
            <w:tcW w:w="2693" w:type="dxa"/>
            <w:vAlign w:val="center"/>
          </w:tcPr>
          <w:p w14:paraId="155F6BB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区卫健局</w:t>
            </w:r>
          </w:p>
          <w:p w14:paraId="0F60BA6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区妇联</w:t>
            </w:r>
          </w:p>
        </w:tc>
        <w:tc>
          <w:tcPr>
            <w:tcW w:w="1843" w:type="dxa"/>
            <w:vAlign w:val="center"/>
          </w:tcPr>
          <w:p w14:paraId="303F7EF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1CD07D8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57" w:type="dxa"/>
            <w:vAlign w:val="center"/>
          </w:tcPr>
          <w:p w14:paraId="6B7802E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2363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670" w:type="dxa"/>
            <w:vAlign w:val="center"/>
          </w:tcPr>
          <w:p w14:paraId="2F6F06E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</w:t>
            </w:r>
          </w:p>
        </w:tc>
        <w:tc>
          <w:tcPr>
            <w:tcW w:w="3266" w:type="dxa"/>
            <w:vAlign w:val="center"/>
          </w:tcPr>
          <w:p w14:paraId="493477F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推进教育设施优化提升</w:t>
            </w:r>
          </w:p>
        </w:tc>
        <w:tc>
          <w:tcPr>
            <w:tcW w:w="2693" w:type="dxa"/>
            <w:vAlign w:val="center"/>
          </w:tcPr>
          <w:p w14:paraId="5015D9C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区教体局</w:t>
            </w:r>
          </w:p>
        </w:tc>
        <w:tc>
          <w:tcPr>
            <w:tcW w:w="1843" w:type="dxa"/>
            <w:vAlign w:val="center"/>
          </w:tcPr>
          <w:p w14:paraId="37AA815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57" w:type="dxa"/>
            <w:vAlign w:val="center"/>
          </w:tcPr>
          <w:p w14:paraId="03F9334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5A55C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670" w:type="dxa"/>
            <w:vAlign w:val="center"/>
          </w:tcPr>
          <w:p w14:paraId="18456B9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4</w:t>
            </w:r>
          </w:p>
        </w:tc>
        <w:tc>
          <w:tcPr>
            <w:tcW w:w="3266" w:type="dxa"/>
            <w:vAlign w:val="center"/>
          </w:tcPr>
          <w:p w14:paraId="1967A51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深化家庭家教家风建设</w:t>
            </w:r>
          </w:p>
        </w:tc>
        <w:tc>
          <w:tcPr>
            <w:tcW w:w="2693" w:type="dxa"/>
            <w:vAlign w:val="center"/>
          </w:tcPr>
          <w:p w14:paraId="6BDE8FC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区委宣传部</w:t>
            </w:r>
          </w:p>
          <w:p w14:paraId="69C67F8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区妇联</w:t>
            </w:r>
          </w:p>
          <w:p w14:paraId="05E764A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区教体局</w:t>
            </w:r>
          </w:p>
        </w:tc>
        <w:tc>
          <w:tcPr>
            <w:tcW w:w="1843" w:type="dxa"/>
            <w:vAlign w:val="center"/>
          </w:tcPr>
          <w:p w14:paraId="29F33DE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57" w:type="dxa"/>
            <w:vAlign w:val="center"/>
          </w:tcPr>
          <w:p w14:paraId="45E0A27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DE19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70" w:type="dxa"/>
            <w:vAlign w:val="center"/>
          </w:tcPr>
          <w:p w14:paraId="3C3F6D4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5</w:t>
            </w:r>
          </w:p>
        </w:tc>
        <w:tc>
          <w:tcPr>
            <w:tcW w:w="3266" w:type="dxa"/>
            <w:vAlign w:val="center"/>
          </w:tcPr>
          <w:p w14:paraId="66B8F15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提高优生优育服务水平</w:t>
            </w:r>
          </w:p>
        </w:tc>
        <w:tc>
          <w:tcPr>
            <w:tcW w:w="2693" w:type="dxa"/>
            <w:vAlign w:val="center"/>
          </w:tcPr>
          <w:p w14:paraId="306794E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区卫健局</w:t>
            </w:r>
          </w:p>
          <w:p w14:paraId="6892EA5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区教体局</w:t>
            </w:r>
          </w:p>
        </w:tc>
        <w:tc>
          <w:tcPr>
            <w:tcW w:w="1843" w:type="dxa"/>
            <w:vAlign w:val="center"/>
          </w:tcPr>
          <w:p w14:paraId="0D1DE1A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57" w:type="dxa"/>
            <w:vAlign w:val="center"/>
          </w:tcPr>
          <w:p w14:paraId="23B13C5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BFA7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70" w:type="dxa"/>
            <w:vAlign w:val="center"/>
          </w:tcPr>
          <w:p w14:paraId="55384A0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6</w:t>
            </w:r>
          </w:p>
        </w:tc>
        <w:tc>
          <w:tcPr>
            <w:tcW w:w="3266" w:type="dxa"/>
            <w:vAlign w:val="center"/>
          </w:tcPr>
          <w:p w14:paraId="346F210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丰富文化体育服务供给</w:t>
            </w:r>
          </w:p>
        </w:tc>
        <w:tc>
          <w:tcPr>
            <w:tcW w:w="2693" w:type="dxa"/>
            <w:vAlign w:val="center"/>
          </w:tcPr>
          <w:p w14:paraId="283634C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文旅局</w:t>
            </w:r>
          </w:p>
          <w:p w14:paraId="34E7B64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科协</w:t>
            </w:r>
          </w:p>
          <w:p w14:paraId="14CC672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区教体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局</w:t>
            </w:r>
          </w:p>
        </w:tc>
        <w:tc>
          <w:tcPr>
            <w:tcW w:w="1843" w:type="dxa"/>
            <w:vAlign w:val="center"/>
          </w:tcPr>
          <w:p w14:paraId="72A4DA1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57" w:type="dxa"/>
            <w:vAlign w:val="center"/>
          </w:tcPr>
          <w:p w14:paraId="652F7DF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5D8FD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670" w:type="dxa"/>
            <w:vAlign w:val="center"/>
          </w:tcPr>
          <w:p w14:paraId="3ABB22A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7</w:t>
            </w:r>
          </w:p>
        </w:tc>
        <w:tc>
          <w:tcPr>
            <w:tcW w:w="3266" w:type="dxa"/>
            <w:vAlign w:val="center"/>
          </w:tcPr>
          <w:p w14:paraId="48F9BF8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深化儿童友好城市建设</w:t>
            </w:r>
          </w:p>
        </w:tc>
        <w:tc>
          <w:tcPr>
            <w:tcW w:w="2693" w:type="dxa"/>
            <w:vAlign w:val="center"/>
          </w:tcPr>
          <w:p w14:paraId="7E81F0E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区妇联</w:t>
            </w:r>
          </w:p>
          <w:p w14:paraId="2630872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eastAsia="zh-CN"/>
              </w:rPr>
              <w:t>检察院</w:t>
            </w:r>
          </w:p>
        </w:tc>
        <w:tc>
          <w:tcPr>
            <w:tcW w:w="1843" w:type="dxa"/>
            <w:vAlign w:val="center"/>
          </w:tcPr>
          <w:p w14:paraId="36FBE34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57" w:type="dxa"/>
            <w:vAlign w:val="center"/>
          </w:tcPr>
          <w:p w14:paraId="473E8EE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F571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670" w:type="dxa"/>
            <w:vAlign w:val="center"/>
          </w:tcPr>
          <w:p w14:paraId="6C5788E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8</w:t>
            </w:r>
          </w:p>
        </w:tc>
        <w:tc>
          <w:tcPr>
            <w:tcW w:w="3266" w:type="dxa"/>
            <w:vAlign w:val="center"/>
          </w:tcPr>
          <w:p w14:paraId="2517235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持续培育婚恋新风</w:t>
            </w:r>
          </w:p>
        </w:tc>
        <w:tc>
          <w:tcPr>
            <w:tcW w:w="2693" w:type="dxa"/>
            <w:vAlign w:val="center"/>
          </w:tcPr>
          <w:p w14:paraId="7226953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区总工会</w:t>
            </w:r>
          </w:p>
          <w:p w14:paraId="57127BA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团区委</w:t>
            </w:r>
          </w:p>
          <w:p w14:paraId="5E35D28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区妇联</w:t>
            </w:r>
          </w:p>
        </w:tc>
        <w:tc>
          <w:tcPr>
            <w:tcW w:w="1843" w:type="dxa"/>
            <w:vAlign w:val="center"/>
          </w:tcPr>
          <w:p w14:paraId="49C2012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57" w:type="dxa"/>
            <w:vAlign w:val="center"/>
          </w:tcPr>
          <w:p w14:paraId="58829E2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43D6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  <w:jc w:val="center"/>
        </w:trPr>
        <w:tc>
          <w:tcPr>
            <w:tcW w:w="670" w:type="dxa"/>
            <w:vAlign w:val="center"/>
          </w:tcPr>
          <w:p w14:paraId="3AFEC87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9</w:t>
            </w:r>
          </w:p>
        </w:tc>
        <w:tc>
          <w:tcPr>
            <w:tcW w:w="3266" w:type="dxa"/>
            <w:vAlign w:val="center"/>
          </w:tcPr>
          <w:p w14:paraId="396B280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强化妇女儿童权益保障</w:t>
            </w:r>
          </w:p>
        </w:tc>
        <w:tc>
          <w:tcPr>
            <w:tcW w:w="2693" w:type="dxa"/>
            <w:vAlign w:val="center"/>
          </w:tcPr>
          <w:p w14:paraId="75CD7123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eastAsia="zh-CN"/>
              </w:rPr>
              <w:t>区妇联</w:t>
            </w:r>
          </w:p>
          <w:p w14:paraId="0879ED9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临淄公安分局</w:t>
            </w:r>
          </w:p>
          <w:p w14:paraId="5B44056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区总工会</w:t>
            </w:r>
          </w:p>
          <w:p w14:paraId="2DCDA1BC">
            <w:pPr>
              <w:spacing w:line="240" w:lineRule="exact"/>
              <w:jc w:val="center"/>
              <w:rPr>
                <w:rFonts w:hint="default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eastAsia="zh-CN"/>
              </w:rPr>
              <w:t>区检察院</w:t>
            </w:r>
          </w:p>
          <w:p w14:paraId="14DB0E7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区残联</w:t>
            </w:r>
          </w:p>
        </w:tc>
        <w:tc>
          <w:tcPr>
            <w:tcW w:w="1843" w:type="dxa"/>
            <w:vAlign w:val="center"/>
          </w:tcPr>
          <w:p w14:paraId="7AD93AA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57" w:type="dxa"/>
            <w:vAlign w:val="center"/>
          </w:tcPr>
          <w:p w14:paraId="08AB84D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CBBA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670" w:type="dxa"/>
            <w:vAlign w:val="center"/>
          </w:tcPr>
          <w:p w14:paraId="46B9908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10</w:t>
            </w:r>
          </w:p>
        </w:tc>
        <w:tc>
          <w:tcPr>
            <w:tcW w:w="3266" w:type="dxa"/>
            <w:vAlign w:val="center"/>
          </w:tcPr>
          <w:p w14:paraId="4FFFBD8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深化困难儿童关爱帮扶</w:t>
            </w:r>
          </w:p>
        </w:tc>
        <w:tc>
          <w:tcPr>
            <w:tcW w:w="2693" w:type="dxa"/>
            <w:vAlign w:val="center"/>
          </w:tcPr>
          <w:p w14:paraId="00C5465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区民政局</w:t>
            </w:r>
          </w:p>
          <w:p w14:paraId="49CD35DC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eastAsia="zh-CN"/>
              </w:rPr>
              <w:t>临淄医保分局</w:t>
            </w:r>
          </w:p>
          <w:p w14:paraId="05C7E18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区妇联</w:t>
            </w:r>
          </w:p>
        </w:tc>
        <w:tc>
          <w:tcPr>
            <w:tcW w:w="1843" w:type="dxa"/>
            <w:vAlign w:val="center"/>
          </w:tcPr>
          <w:p w14:paraId="3C43730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57" w:type="dxa"/>
            <w:vAlign w:val="center"/>
          </w:tcPr>
          <w:p w14:paraId="57BA361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</w:tbl>
    <w:p w14:paraId="02748BD2">
      <w:pPr>
        <w:pStyle w:val="9"/>
        <w:ind w:left="0" w:leftChars="0" w:firstLine="0" w:firstLineChars="0"/>
        <w:rPr>
          <w:rFonts w:hint="default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984" w:right="1417" w:bottom="130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0EAC7B-7E89-4815-998D-766807CF87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85DDAA3-717F-4759-9C6E-BDF235707E8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40502D3-7219-4A51-858F-DDE7EFA09DF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1190655-A131-4377-8BA6-84BEC8DA47E0}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A2855F9F-012E-4FB0-B683-C19214F7C3F7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A3EF44D0-0C92-4FE5-9136-0BCDFF131314}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780AC346-9A90-4274-A9ED-0092DAAECD2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8" w:fontKey="{E80A577F-BB19-4750-A1B1-A856BFEDB03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6B4A5">
    <w:pPr>
      <w:pStyle w:val="7"/>
    </w:pPr>
    <w:r>
      <w:rPr>
        <w:sz w:val="18"/>
      </w:rPr>
      <w:pict>
        <v:shape id="_x0000_s1031" o:spid="_x0000_s1031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0F103B0">
                <w:pPr>
                  <w:pStyle w:val="7"/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7673F">
    <w:pPr>
      <w:pStyle w:val="7"/>
    </w:pPr>
    <w:r>
      <w:rPr>
        <w:sz w:val="18"/>
      </w:rPr>
      <w:pict>
        <v:shape id="_x0000_s1032" o:spid="_x0000_s1032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9AC4C48">
                <w:pPr>
                  <w:pStyle w:val="7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9733E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A83AE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zMwMWViYzk1MTI2MWNlOGU1MDU1ODRhZTIyMTU0OGEifQ=="/>
  </w:docVars>
  <w:rsids>
    <w:rsidRoot w:val="007D29DA"/>
    <w:rsid w:val="001D2CA7"/>
    <w:rsid w:val="00291F81"/>
    <w:rsid w:val="00364378"/>
    <w:rsid w:val="00512F53"/>
    <w:rsid w:val="006852BD"/>
    <w:rsid w:val="007D29DA"/>
    <w:rsid w:val="00942E33"/>
    <w:rsid w:val="00A6499A"/>
    <w:rsid w:val="00AD2A59"/>
    <w:rsid w:val="00C85396"/>
    <w:rsid w:val="00D006F9"/>
    <w:rsid w:val="00D37A53"/>
    <w:rsid w:val="00D91028"/>
    <w:rsid w:val="00E448B7"/>
    <w:rsid w:val="00E6209B"/>
    <w:rsid w:val="00EA2C02"/>
    <w:rsid w:val="01FB7EB3"/>
    <w:rsid w:val="03ED07FB"/>
    <w:rsid w:val="04AB0BBC"/>
    <w:rsid w:val="04D03244"/>
    <w:rsid w:val="04E242DC"/>
    <w:rsid w:val="05516EDB"/>
    <w:rsid w:val="06233BF8"/>
    <w:rsid w:val="0E4E0108"/>
    <w:rsid w:val="107176DE"/>
    <w:rsid w:val="10A60F23"/>
    <w:rsid w:val="11AD6919"/>
    <w:rsid w:val="15284D87"/>
    <w:rsid w:val="160D56FC"/>
    <w:rsid w:val="18FF4051"/>
    <w:rsid w:val="1CFC56F1"/>
    <w:rsid w:val="1E995E62"/>
    <w:rsid w:val="1EF67111"/>
    <w:rsid w:val="1F282554"/>
    <w:rsid w:val="1F403FC5"/>
    <w:rsid w:val="22737BDE"/>
    <w:rsid w:val="22D82BBE"/>
    <w:rsid w:val="231F3C6E"/>
    <w:rsid w:val="235C5B98"/>
    <w:rsid w:val="23EE0FC5"/>
    <w:rsid w:val="257A33DD"/>
    <w:rsid w:val="269C707E"/>
    <w:rsid w:val="270D38A0"/>
    <w:rsid w:val="28390C80"/>
    <w:rsid w:val="294B244F"/>
    <w:rsid w:val="2A3C72DE"/>
    <w:rsid w:val="2BBD6CF2"/>
    <w:rsid w:val="2CD15CB8"/>
    <w:rsid w:val="2CD22657"/>
    <w:rsid w:val="2F11591F"/>
    <w:rsid w:val="2F725125"/>
    <w:rsid w:val="312B3A60"/>
    <w:rsid w:val="34A0495A"/>
    <w:rsid w:val="3655122D"/>
    <w:rsid w:val="36592B9B"/>
    <w:rsid w:val="37B43503"/>
    <w:rsid w:val="3915046C"/>
    <w:rsid w:val="3AF9494C"/>
    <w:rsid w:val="3DCF49EF"/>
    <w:rsid w:val="46C04AE1"/>
    <w:rsid w:val="4732546E"/>
    <w:rsid w:val="496767C2"/>
    <w:rsid w:val="4BDB773A"/>
    <w:rsid w:val="4C783DA2"/>
    <w:rsid w:val="4CFD6AA3"/>
    <w:rsid w:val="4FB06940"/>
    <w:rsid w:val="52E32515"/>
    <w:rsid w:val="5593511F"/>
    <w:rsid w:val="57EF4CB5"/>
    <w:rsid w:val="586E5FDD"/>
    <w:rsid w:val="591A4940"/>
    <w:rsid w:val="59AD78ED"/>
    <w:rsid w:val="5A6D19E9"/>
    <w:rsid w:val="5AF10BFB"/>
    <w:rsid w:val="5CB6757D"/>
    <w:rsid w:val="5E272537"/>
    <w:rsid w:val="5EBB1C61"/>
    <w:rsid w:val="5ED510A9"/>
    <w:rsid w:val="5F5C5F51"/>
    <w:rsid w:val="5FEE5EFD"/>
    <w:rsid w:val="613E1B97"/>
    <w:rsid w:val="61B44A63"/>
    <w:rsid w:val="623C4F9B"/>
    <w:rsid w:val="62814F6A"/>
    <w:rsid w:val="65BE6761"/>
    <w:rsid w:val="67714970"/>
    <w:rsid w:val="681C1AF7"/>
    <w:rsid w:val="694806C9"/>
    <w:rsid w:val="6B1435E4"/>
    <w:rsid w:val="6C9931D6"/>
    <w:rsid w:val="6CBC7404"/>
    <w:rsid w:val="6D244363"/>
    <w:rsid w:val="6DA51792"/>
    <w:rsid w:val="6DC23230"/>
    <w:rsid w:val="70FD50B6"/>
    <w:rsid w:val="71240F94"/>
    <w:rsid w:val="7286030D"/>
    <w:rsid w:val="729E0A00"/>
    <w:rsid w:val="74DA0D6F"/>
    <w:rsid w:val="750317F1"/>
    <w:rsid w:val="760E6D55"/>
    <w:rsid w:val="788C5C35"/>
    <w:rsid w:val="78D366AD"/>
    <w:rsid w:val="79B7747C"/>
    <w:rsid w:val="7B6E5A8C"/>
    <w:rsid w:val="7B8B4997"/>
    <w:rsid w:val="7D8807A9"/>
    <w:rsid w:val="7DF84014"/>
    <w:rsid w:val="7EF4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9"/>
    <w:autoRedefine/>
    <w:qFormat/>
    <w:uiPriority w:val="0"/>
    <w:pPr>
      <w:spacing w:after="120"/>
    </w:p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index 9"/>
    <w:basedOn w:val="1"/>
    <w:next w:val="1"/>
    <w:qFormat/>
    <w:uiPriority w:val="0"/>
    <w:pPr>
      <w:ind w:left="3360"/>
      <w:jc w:val="left"/>
    </w:pPr>
    <w:rPr>
      <w:szCs w:val="20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1">
    <w:name w:val="Body Text First Indent"/>
    <w:basedOn w:val="4"/>
    <w:next w:val="1"/>
    <w:qFormat/>
    <w:uiPriority w:val="0"/>
    <w:pPr>
      <w:spacing w:line="500" w:lineRule="exact"/>
      <w:ind w:firstLine="420"/>
    </w:pPr>
    <w:rPr>
      <w:sz w:val="28"/>
      <w:szCs w:val="20"/>
    </w:rPr>
  </w:style>
  <w:style w:type="paragraph" w:styleId="12">
    <w:name w:val="Body Text First Indent 2"/>
    <w:basedOn w:val="5"/>
    <w:autoRedefine/>
    <w:qFormat/>
    <w:uiPriority w:val="0"/>
    <w:pPr>
      <w:ind w:firstLine="420" w:firstLineChars="200"/>
    </w:p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Hyperlink"/>
    <w:basedOn w:val="15"/>
    <w:autoRedefine/>
    <w:qFormat/>
    <w:uiPriority w:val="0"/>
    <w:rPr>
      <w:color w:val="0000FF"/>
      <w:u w:val="single"/>
    </w:rPr>
  </w:style>
  <w:style w:type="table" w:customStyle="1" w:styleId="1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9">
    <w:name w:val="正文文本 Char"/>
    <w:basedOn w:val="15"/>
    <w:link w:val="4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 textRotate="1"/>
    <customShpInfo spid="_x0000_s1032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2797</Words>
  <Characters>2887</Characters>
  <Lines>26</Lines>
  <Paragraphs>7</Paragraphs>
  <TotalTime>15</TotalTime>
  <ScaleCrop>false</ScaleCrop>
  <LinksUpToDate>false</LinksUpToDate>
  <CharactersWithSpaces>2947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2022-02-14T06:08:00Z</dcterms:created>
  <dc:creator>Administrator</dc:creator>
  <cp:lastModifiedBy>糖芯</cp:lastModifiedBy>
  <cp:lastPrinted>2026-06-10T03:50:00Z</cp:lastPrinted>
  <dcterms:modified xsi:type="dcterms:W3CDTF">2026-06-22T06:25:35Z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3ABC4790EA8B40798C8CB8EE3480CE51</vt:lpwstr>
  </property>
  <property fmtid="{D5CDD505-2E9C-101B-9397-08002B2CF9AE}" pid="4" name="KSOTemplateDocerSaveRecord">
    <vt:lpwstr>eyJoZGlkIjoiZjQ5YmNjNGRiYmMyM2VhZTljMjQ3YTY0Nzk4MjJmOTMiLCJ1c2VySWQiOiI1MTg0NDc3MzkifQ==</vt:lpwstr>
  </property>
</Properties>
</file>