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临淄区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2024年度法治政府建设情况报告</w:t>
      </w: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根据中共临淄区委全面依法治区委员会办公室《关于做好2024年度法治政府建设情况报告编制和发布工作的通知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现将2024年度法治政府建设情况报告如下：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" w:bidi="ar-SA"/>
        </w:rPr>
        <w:t>党政主要负责人履行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推进法治建设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" w:bidi="ar-SA"/>
        </w:rPr>
        <w:t>第一责任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人职责情况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一是深入学习贯彻习近平法治思想。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落实领导干部学法制度，开展习近平法治思想、习近平总书记关于法治建设重要指示精神、《法治政府建设实施纲要（2021－2025年）》等学习1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次，不断提高运用法治思维和法治方式深化改革、推动发展、化解矛盾、维护稳定、应对风险的能力。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二是强化组织领导，为推进法治建设提供保障。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一是发挥局党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在推进法治建设中的领导核心作用，成立由本人担任组长的法治政府建设领导小组，规范重大行政决策流程，召开“三重一大”会议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次；二是将法治政府建设工作纳入20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年工作要点，与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同部署、同推进、同落实；三是定期调度，对法治建设过程中的重大节点和事项能够做到靠前抓紧抓实，不断健全公务接待、公车管理、财务管理、“三重一大”决策、重大事项请示报告等内部管理制度。坚持民主集中制，所有重大事项均经班子会研究决定，做到事前有谋划、事中有商量、决定有记录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三是依法履行职责，推动法治政府建设。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一是落实“谁执法谁普法”责任制，组织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文旅系统110多名干部职工和行业经营人员350多人进行普法教育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；二是积极推进“放管服”改革，办理许可备案事项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件；三是推进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instrText xml:space="preserve"> HYPERLINK "https://baike.baidu.com/item/%E8%A1%8C%E6%94%BF%E6%89%A7%E6%B3%95%E8%B4%A3%E4%BB%BB%E5%88%B6/8887670?fromModule=lemma_inlink" \t "_blank" </w:instrTex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行政执法责任制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落实，按时完成20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年度“双随机、一公开”集中抽查工作，完成“双随机、一公开”抽查8次，检查对象42家次。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共执法检查企业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1246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家次，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处理各类案件33起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，未有行政应诉案件。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" w:eastAsia="zh-CN" w:bidi="ar-SA"/>
        </w:rPr>
        <w:t>二、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推进法治政府建设的主要举措和成效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依法全面履行部门职能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深化“放管服”改革，推进简政放权。完善各事项办事指南，优化服务事项办事流程，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  <w:lang w:eastAsia="zh-CN"/>
        </w:rPr>
        <w:t>按照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</w:rPr>
        <w:t>《山东省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  <w:lang w:eastAsia="zh-CN"/>
        </w:rPr>
        <w:t>人民政府办公厅关于印发山东省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</w:rPr>
        <w:t>全面推行证明事项告知承诺制实施方案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  <w:lang w:eastAsia="zh-CN"/>
        </w:rPr>
        <w:t>的通知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</w:rPr>
        <w:t>》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  <w:lang w:eastAsia="zh-CN"/>
        </w:rPr>
        <w:t>《山东省司法厅关于印发山东省实施告知承诺制的证明事项通用清单（第一批）的通知》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实行告知承诺制事项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全面推行“互联网+监管”机制。严格落实“互联网+监管”机制，及时认领监管事项清单，并编制本部门检查实施清单，积极开展行政检查和行政处罚，所有检查行为和处罚行为及时上报“互联网+监管”系统。今年以来，我局认领权责清单包含行政许可事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新认领双告知事项615项，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全年累计上报行政检查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次，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行政指导120次，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行政处罚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双随机检查1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抽查单位86家次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双随机监管平台风险分类应用率、标签化管理打标率、标签化管理应用率、监管事项覆盖率均达到100%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广泛开展普法宣传活动。严格落实 “谁执法谁普法”普法责任制，广泛开展普法宣传活动。充分利用、“4•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”世界图书和版权日、 “4•26”世界知识产权日、“5•19”中国旅游日、“6•13”中国文化遗产日、“12•4”宪法宣传周等重要时机，利用执法同步普法和编排普法舞台剧、制作普法视频等普法作品，积极向文旅企业和群众普法宣传。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完善依法行政制度建设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稳步推进规范性文件清理工作。按照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集中时间开展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区文旅局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规范性文件清理工作，成立清理工作领导小组，制定工作方案，积极征求意见，形成了规范性文件清理结果决定，确定了继续有效的规范性文件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件，研究制定了《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临淄区文旅局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关于完善行政规范性文件合法性审核机制的实施办法》，加强了行政规范性文件的规范化管理。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推进行政决策科学民主法治化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进一步完善重大行政决策程序。局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党组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认真贯彻落实“三重一大”事项集体决策制度，全年召开局党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次，研究部署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安全维稳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、重大项目经费使用调整、意识形态工作等重大决策事项；召开局长办公会6次，贯彻执行党委会重大决策，推进年度重点工作目标任务顺利完成，规范决策行为，并通过报刊、政府网站向社会公开。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积极发挥法律顾问作用。加强法律顾问制度建设，在重大行政决策活动中，充分听取法律顾问意见。定期邀请法律顾问参与重大行政执法决定等事项的研究，加强行政许可、重大行政处罚疑难案件研究，提出合法化建议，确保依法行政。对规范性文件、重大决策、合同签订、行政执法、政府信息公开等事项都必须进行合法性审查，为部门重大行政决策科学性、合理性提供坚实法治保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坚持严格规范公正文明执法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1、一是</w:t>
      </w: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深化行政执法体制改革。建立完善全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文化市场综合执法工作机制，厘清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文化市场各行业管理部门与文化市场综合执法工作的职责边界，提升行政管理效率和综合执法履职能力。推行行政执法“三项制度”，将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年已办结的行政处罚案件和“双随机、一公开”检查情况社会公示。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进一步完善“三项制度”。积极推进行政执法“三项制度”落实，完善制定了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《临淄区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综合行政执法公示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《临淄区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综合执法全过程记录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》，《临淄区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综合执法重大行政决定法制审核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《文化旅游行政执法全过程记录方式及规范》，坚持执法活动执法记录仪佩戴，在办理行政处罚案件时，坚持录音录像现场检查情况，行政处罚决定作出前，坚持经过法制审核，重大行政处罚决定坚持集体讨论。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年共办理行政处罚案件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件均已经过法制审核。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加强执法培训，提升执法水平。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全面提高执法队伍水平，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完善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</w:rPr>
        <w:t>落实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执法工作制度，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进一步完善了执法案件办理内部运行机制，规范工作流程，加强案卷规范化管理，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用制度规范执法办案全过程。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加强对执法人员业务技能特别是执法办案能力培训，采取专题培训、以案代训、案件评查等多种形式，加强对执法人员业务技能特别是执法办案能力培训8次。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广泛开展执法检查和监督。严厉打击各类违法违规行为，妥善化解文旅市场领域矛盾纠纷。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2024年，检查文化旅游经营场所710余家次，出动执法人员1540余人次，联合检查12次，专项整治8次，办理普通程序案件1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起，妥善化解文化和旅游市场领域矛盾纠纷，完成版权调解案件6起，受理并处理投诉举报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236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起，挽回经济损失10.4万元。开展网络文化巡查120家次，开展在线旅游巡查180家次，督促各文旅场所应用“守法自查系统”开展重点项目自查。深入推进“双随机、一公开”监管，开展“双随机”抽查检查12次，检查单位86家次，实施差异化监管，营造良好文旅市场环境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落实安全生产监管责任，扎实推进文旅行业安全工作，确保了文旅行业安全平稳规范有序运行。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完成56家出版物发行企业、96家印刷企业2024年度年审工作。完成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282家行业企业年报工作。完成了2024年依法行政工作，互联网+监管工作以及意识形态、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法治政府建设、文明城市创建、平安临淄建设、扫黑除恶、未成年人保护等相关工作。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依法有效化解社会矛盾纠纷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妥善化解文化和旅游领域矛盾。建立健全部门联动处理旅游投诉工作机制，加强与政府公共服务热线1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45、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12401、81890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维权热线联动，建立热线畅通旅游投诉渠道，妥善化解文化和旅游领域矛盾。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全年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受理并处理投诉举报341起，办结率100%，满意率95.4%。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三、推进法治政府建设存在的不足和原因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一是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执法队伍体制不符合国家有关要求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我区文化执法队伍属于公益一类事业单位，执法人员均为事业编制，</w:t>
      </w:r>
      <w:r>
        <w:rPr>
          <w:rFonts w:hint="eastAsia" w:ascii="仿宋" w:hAnsi="仿宋" w:eastAsia="仿宋"/>
          <w:sz w:val="32"/>
          <w:szCs w:val="32"/>
        </w:rPr>
        <w:t>不具备行政执法主体资格，不利于开展综合执法工作。现在执法人员的身份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也</w:t>
      </w:r>
      <w:r>
        <w:rPr>
          <w:rFonts w:hint="eastAsia" w:ascii="仿宋" w:hAnsi="仿宋" w:eastAsia="仿宋"/>
          <w:sz w:val="32"/>
          <w:szCs w:val="32"/>
        </w:rPr>
        <w:t>不能适应当前的执法工作。并且在行政复议、行政诉讼中会产生不利的后果，给政府的依法行政带来不利影响。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二是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执法人员少，大市场小队伍的状况严重。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区文化市场综合执法大队现实际执法人员8人，行使文化、旅游、文物、出版、</w:t>
      </w:r>
      <w:r>
        <w:rPr>
          <w:rFonts w:hint="eastAsia" w:ascii="仿宋" w:hAnsi="仿宋" w:eastAsia="仿宋"/>
          <w:sz w:val="32"/>
          <w:szCs w:val="32"/>
        </w:rPr>
        <w:t>广播电视、电影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大领域综合执法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及“扫黄打非”工作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现又加入剧本娱乐、互联网文化等新兴领域，</w:t>
      </w:r>
      <w:r>
        <w:rPr>
          <w:rFonts w:hint="eastAsia" w:ascii="仿宋" w:hAnsi="仿宋" w:eastAsia="仿宋"/>
          <w:sz w:val="32"/>
          <w:szCs w:val="32"/>
        </w:rPr>
        <w:t>并担负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意识形态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平安建设、扫黑除恶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市场安全等工作职能，监管任务逐年加重，现有人员数量严重不足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三是监管方式落后，执法水平不能适应新形势要求。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网络的兴起，高新技术的运用，使得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网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络传播、智能、新媒体管理和经营等为代表的新技术，新媒体海量涌现，文化市场的监管更多的开始转向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针对虚拟世界的监管执法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传统的监管方式、技术手段无法与之相适应，比如执法装备、监管手段落后，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信息管理和网络监控设备缺乏，</w:t>
      </w:r>
      <w:r>
        <w:rPr>
          <w:rFonts w:hint="eastAsia" w:ascii="仿宋" w:hAnsi="仿宋" w:eastAsia="仿宋" w:cs="仿宋"/>
          <w:sz w:val="32"/>
          <w:szCs w:val="32"/>
        </w:rPr>
        <w:t>现有的执法装备已无法保障网络执法需求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四、2025年推进法治政府建设的主要计划安排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一是持续加强学习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，树牢法治意识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在加强自身学习基础上，以身作则引领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系统干部职工深入系统学习党的二十大精神、习近平法治思想，认真学习与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文化旅游、广播影视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相关法律法规，注重结合实际、学以致用，切实做到学法懂法、守法用法。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二是规范执法程序、严格依法行政。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积极推进双随机一公开制度，执行行政执法公示制度、执法全过程记录制度、重大执法决定法制审核制度，规范文化市场技术监管与服务平台及上网服务场所管理系统应用，使用文化和旅游部要求使用的移动执法终端系统，确保执法行为规范、公开、公正、透明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三是加强培训，提升执法办案水平。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规范执法文书，强化执法档案管理。采取集中培训、优秀案卷评选、以案示训等多种形式，积极参加上级组织的各类执法培训，全面提高执法队伍水平。</w:t>
      </w: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YmVjMDY2OGIwYjBhMGQ1YmM1Y2FlYTU3ODA4NzEifQ=="/>
    <w:docVar w:name="KSO_WPS_MARK_KEY" w:val="4030a8a0-3e11-4bf8-8756-87493708b94d"/>
  </w:docVars>
  <w:rsids>
    <w:rsidRoot w:val="28741BCD"/>
    <w:rsid w:val="05034955"/>
    <w:rsid w:val="064E3F0D"/>
    <w:rsid w:val="08DB31D7"/>
    <w:rsid w:val="08EC63B7"/>
    <w:rsid w:val="0ABE0149"/>
    <w:rsid w:val="0CBD1DF9"/>
    <w:rsid w:val="10723C3D"/>
    <w:rsid w:val="110814D8"/>
    <w:rsid w:val="11A873C0"/>
    <w:rsid w:val="126B6753"/>
    <w:rsid w:val="12B00025"/>
    <w:rsid w:val="16AF137B"/>
    <w:rsid w:val="180772B9"/>
    <w:rsid w:val="1822389E"/>
    <w:rsid w:val="18412D6A"/>
    <w:rsid w:val="197E7812"/>
    <w:rsid w:val="1A2455CF"/>
    <w:rsid w:val="1A6B7C09"/>
    <w:rsid w:val="1C0A5983"/>
    <w:rsid w:val="1D587885"/>
    <w:rsid w:val="1FE717B1"/>
    <w:rsid w:val="206348CB"/>
    <w:rsid w:val="23BE03D8"/>
    <w:rsid w:val="25062A99"/>
    <w:rsid w:val="253D6E90"/>
    <w:rsid w:val="256B1406"/>
    <w:rsid w:val="27EFA3F0"/>
    <w:rsid w:val="28741BCD"/>
    <w:rsid w:val="29D85614"/>
    <w:rsid w:val="29DD47B2"/>
    <w:rsid w:val="2C3A7383"/>
    <w:rsid w:val="2CED1D18"/>
    <w:rsid w:val="2DFF249A"/>
    <w:rsid w:val="2DFF570B"/>
    <w:rsid w:val="2F4D3EA0"/>
    <w:rsid w:val="2F8EC586"/>
    <w:rsid w:val="359479BD"/>
    <w:rsid w:val="35B928B2"/>
    <w:rsid w:val="35DD1308"/>
    <w:rsid w:val="36763CE6"/>
    <w:rsid w:val="3894172E"/>
    <w:rsid w:val="3B7D2539"/>
    <w:rsid w:val="3BDF57C7"/>
    <w:rsid w:val="3F971E6A"/>
    <w:rsid w:val="3FD7B54C"/>
    <w:rsid w:val="44216192"/>
    <w:rsid w:val="45FA3731"/>
    <w:rsid w:val="463C3A9F"/>
    <w:rsid w:val="46E9454B"/>
    <w:rsid w:val="49090A83"/>
    <w:rsid w:val="49D20DC7"/>
    <w:rsid w:val="4A301242"/>
    <w:rsid w:val="4A7B0B42"/>
    <w:rsid w:val="4DFC08CC"/>
    <w:rsid w:val="519C6E16"/>
    <w:rsid w:val="521E1F15"/>
    <w:rsid w:val="53BD3AD2"/>
    <w:rsid w:val="5459081E"/>
    <w:rsid w:val="55FEAC7F"/>
    <w:rsid w:val="5675BADE"/>
    <w:rsid w:val="57FFF9DC"/>
    <w:rsid w:val="597F2B0D"/>
    <w:rsid w:val="59CB1561"/>
    <w:rsid w:val="5A212140"/>
    <w:rsid w:val="5B0D676F"/>
    <w:rsid w:val="5E412184"/>
    <w:rsid w:val="5FB7CA50"/>
    <w:rsid w:val="5FE70505"/>
    <w:rsid w:val="5FFC13D8"/>
    <w:rsid w:val="5FFDDC5A"/>
    <w:rsid w:val="635218A4"/>
    <w:rsid w:val="63FF55CD"/>
    <w:rsid w:val="65BF7F08"/>
    <w:rsid w:val="66967989"/>
    <w:rsid w:val="67417A47"/>
    <w:rsid w:val="6ABB5D5A"/>
    <w:rsid w:val="6BECDB82"/>
    <w:rsid w:val="6BEEE261"/>
    <w:rsid w:val="6D476294"/>
    <w:rsid w:val="6DADF237"/>
    <w:rsid w:val="6E3244D7"/>
    <w:rsid w:val="6E694B97"/>
    <w:rsid w:val="6F85F861"/>
    <w:rsid w:val="6FFEE0EF"/>
    <w:rsid w:val="72A40599"/>
    <w:rsid w:val="73AF6075"/>
    <w:rsid w:val="744646A3"/>
    <w:rsid w:val="75DF6E89"/>
    <w:rsid w:val="769CFEFC"/>
    <w:rsid w:val="76AE1744"/>
    <w:rsid w:val="76F62B52"/>
    <w:rsid w:val="7738711F"/>
    <w:rsid w:val="775D5923"/>
    <w:rsid w:val="778EF0AF"/>
    <w:rsid w:val="779D4EC6"/>
    <w:rsid w:val="78C3508F"/>
    <w:rsid w:val="7A6FCA8D"/>
    <w:rsid w:val="7B190CFE"/>
    <w:rsid w:val="7BBF5F5C"/>
    <w:rsid w:val="7DBD26FF"/>
    <w:rsid w:val="7DE9EFBD"/>
    <w:rsid w:val="7E0930D4"/>
    <w:rsid w:val="7EBF8459"/>
    <w:rsid w:val="7F5766E4"/>
    <w:rsid w:val="7FDFAE9E"/>
    <w:rsid w:val="7FE7A2E8"/>
    <w:rsid w:val="7FFF1370"/>
    <w:rsid w:val="7FFF24D2"/>
    <w:rsid w:val="7FFFF88F"/>
    <w:rsid w:val="8FDF1599"/>
    <w:rsid w:val="9FFF1D90"/>
    <w:rsid w:val="BA7B23C6"/>
    <w:rsid w:val="BF7FD6D0"/>
    <w:rsid w:val="C77F8785"/>
    <w:rsid w:val="CDA56FB7"/>
    <w:rsid w:val="D17E7EB5"/>
    <w:rsid w:val="D89F342C"/>
    <w:rsid w:val="DADF4465"/>
    <w:rsid w:val="DBE5392B"/>
    <w:rsid w:val="DCF354D8"/>
    <w:rsid w:val="DDFCF834"/>
    <w:rsid w:val="DEEAD79F"/>
    <w:rsid w:val="DF52A5DB"/>
    <w:rsid w:val="EBD69E9A"/>
    <w:rsid w:val="ECE7E499"/>
    <w:rsid w:val="ED1F7E4A"/>
    <w:rsid w:val="EEFF688F"/>
    <w:rsid w:val="EF75C09D"/>
    <w:rsid w:val="EF7F0D0E"/>
    <w:rsid w:val="EF7F1A61"/>
    <w:rsid w:val="F6B68A8F"/>
    <w:rsid w:val="F6D61C42"/>
    <w:rsid w:val="FA2FE945"/>
    <w:rsid w:val="FAFF0BC1"/>
    <w:rsid w:val="FD5F8EDA"/>
    <w:rsid w:val="FD6BD706"/>
    <w:rsid w:val="FDF33853"/>
    <w:rsid w:val="FE3F5BB4"/>
    <w:rsid w:val="FE734873"/>
    <w:rsid w:val="FEFF2855"/>
    <w:rsid w:val="FF9F4F23"/>
    <w:rsid w:val="FFB7233F"/>
    <w:rsid w:val="FFBFC78E"/>
    <w:rsid w:val="FFCF79BA"/>
    <w:rsid w:val="FFF5C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宋体" w:hAnsi="Times New Roman" w:eastAsia="宋体" w:cs="Times New Roman"/>
      <w:sz w:val="44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Arial" w:hAnsi="Arial" w:eastAsia="宋体" w:cs="Arial"/>
      <w:bCs/>
      <w:kern w:val="2"/>
      <w:sz w:val="32"/>
      <w:szCs w:val="32"/>
      <w:lang w:val="en-US" w:eastAsia="zh-CN" w:bidi="ar-SA"/>
    </w:rPr>
  </w:style>
  <w:style w:type="character" w:styleId="13">
    <w:name w:val="Strong"/>
    <w:basedOn w:val="12"/>
    <w:qFormat/>
    <w:uiPriority w:val="99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Hyperlink"/>
    <w:basedOn w:val="12"/>
    <w:qFormat/>
    <w:uiPriority w:val="0"/>
    <w:rPr>
      <w:color w:val="000000"/>
      <w:u w:val="none"/>
    </w:rPr>
  </w:style>
  <w:style w:type="character" w:customStyle="1" w:styleId="17">
    <w:name w:val="tz_input"/>
    <w:basedOn w:val="12"/>
    <w:qFormat/>
    <w:uiPriority w:val="0"/>
    <w:rPr>
      <w:color w:val="A01211"/>
      <w:sz w:val="19"/>
      <w:szCs w:val="19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318</Characters>
  <Lines>0</Lines>
  <Paragraphs>0</Paragraphs>
  <TotalTime>1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2020-02-19T15:20:00Z</dcterms:created>
  <dc:creator>山东省司法厅</dc:creator>
  <cp:lastModifiedBy>张长春</cp:lastModifiedBy>
  <cp:lastPrinted>2024-11-16T17:59:00Z</cp:lastPrinted>
  <dcterms:modified xsi:type="dcterms:W3CDTF">2025-01-23T02:08:32Z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157854E4A07F431E8AEE69FC9F0E78AE</vt:lpwstr>
  </property>
</Properties>
</file>