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临淄区信访局</w:t>
      </w:r>
      <w:r>
        <w:rPr>
          <w:rFonts w:hint="default" w:ascii="Times New Roman" w:hAnsi="Times New Roman" w:eastAsia="方正小标宋简体" w:cs="Times New Roman"/>
          <w:sz w:val="44"/>
          <w:szCs w:val="44"/>
          <w:lang w:val="en-US" w:eastAsia="zh-CN"/>
        </w:rPr>
        <w:t>2020年度</w:t>
      </w:r>
      <w:r>
        <w:rPr>
          <w:rFonts w:hint="default" w:ascii="Times New Roman" w:hAnsi="Times New Roman" w:eastAsia="方正小标宋简体" w:cs="Times New Roman"/>
          <w:sz w:val="44"/>
          <w:szCs w:val="44"/>
        </w:rPr>
        <w:t>政府信息公开工作年度报告</w:t>
      </w:r>
    </w:p>
    <w:p>
      <w:pPr>
        <w:spacing w:line="560" w:lineRule="exact"/>
        <w:rPr>
          <w:rFonts w:ascii="仿宋_GB2312" w:hAnsi="仿宋_GB2312" w:eastAsia="仿宋_GB2312" w:cs="仿宋_GB2312"/>
          <w:sz w:val="32"/>
          <w:szCs w:val="32"/>
        </w:rPr>
      </w:pPr>
    </w:p>
    <w:p>
      <w:pPr>
        <w:pStyle w:val="15"/>
        <w:widowControl/>
        <w:shd w:val="clear" w:color="auto" w:fill="FFFFFF"/>
        <w:autoSpaceDE/>
        <w:autoSpaceDN/>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本报告是按照《中华人民共和国政府信息公开条例》、《山东省政府信息公开办法》要求，根据</w:t>
      </w:r>
      <w:r>
        <w:rPr>
          <w:rFonts w:hint="eastAsia" w:ascii="仿宋" w:hAnsi="仿宋" w:eastAsia="仿宋" w:cs="仿宋"/>
          <w:color w:val="000000"/>
          <w:sz w:val="32"/>
          <w:szCs w:val="32"/>
          <w:shd w:val="clear" w:color="auto" w:fill="FFFFFF"/>
        </w:rPr>
        <w:t>临淄区信访</w:t>
      </w:r>
      <w:r>
        <w:rPr>
          <w:rFonts w:ascii="仿宋" w:hAnsi="仿宋" w:eastAsia="仿宋" w:cs="仿宋"/>
          <w:color w:val="000000"/>
          <w:sz w:val="32"/>
          <w:szCs w:val="32"/>
          <w:shd w:val="clear" w:color="auto" w:fill="FFFFFF"/>
        </w:rPr>
        <w:t>局</w:t>
      </w:r>
      <w:r>
        <w:rPr>
          <w:rFonts w:hint="eastAsia" w:ascii="仿宋" w:hAnsi="仿宋" w:eastAsia="仿宋" w:cs="仿宋"/>
          <w:color w:val="000000"/>
          <w:sz w:val="32"/>
          <w:szCs w:val="32"/>
          <w:shd w:val="clear" w:color="auto" w:fill="FFFFFF"/>
        </w:rPr>
        <w:t>2020</w:t>
      </w:r>
      <w:r>
        <w:rPr>
          <w:rFonts w:ascii="仿宋" w:hAnsi="仿宋" w:eastAsia="仿宋" w:cs="仿宋"/>
          <w:color w:val="000000"/>
          <w:sz w:val="32"/>
          <w:szCs w:val="32"/>
          <w:shd w:val="clear" w:color="auto" w:fill="FFFFFF"/>
        </w:rPr>
        <w:t>年度政府信息公开工作情况编制。</w:t>
      </w:r>
    </w:p>
    <w:p>
      <w:pPr>
        <w:spacing w:line="560" w:lineRule="exact"/>
        <w:ind w:firstLine="620" w:firstLineChars="200"/>
        <w:jc w:val="both"/>
        <w:rPr>
          <w:rFonts w:ascii="Times New Roman" w:hAnsi="Times New Roman" w:eastAsia="仿宋_GB2312" w:cs="Times New Roman"/>
          <w:sz w:val="32"/>
          <w:szCs w:val="32"/>
          <w:lang w:val="en-US"/>
        </w:rPr>
      </w:pPr>
      <w:r>
        <w:rPr>
          <w:rFonts w:ascii="Times New Roman" w:hAnsi="Times New Roman" w:eastAsia="仿宋" w:cs="Times New Roman"/>
          <w:sz w:val="31"/>
          <w:szCs w:val="31"/>
          <w:shd w:val="clear" w:color="auto" w:fill="FFFFFF"/>
        </w:rPr>
        <w:t>本报告所列数据的统计期限自</w:t>
      </w:r>
      <w:r>
        <w:rPr>
          <w:rFonts w:ascii="Times New Roman" w:hAnsi="Times New Roman" w:eastAsia="仿宋" w:cs="Times New Roman"/>
          <w:sz w:val="31"/>
          <w:szCs w:val="31"/>
          <w:shd w:val="clear" w:color="auto" w:fill="FFFFFF"/>
          <w:lang w:val="en-US"/>
        </w:rPr>
        <w:t>2020</w:t>
      </w:r>
      <w:r>
        <w:rPr>
          <w:rFonts w:ascii="Times New Roman" w:hAnsi="Times New Roman" w:eastAsia="仿宋" w:cs="Times New Roman"/>
          <w:sz w:val="31"/>
          <w:szCs w:val="31"/>
          <w:shd w:val="clear" w:color="auto" w:fill="FFFFFF"/>
        </w:rPr>
        <w:t>年1月1日起至</w:t>
      </w:r>
      <w:r>
        <w:rPr>
          <w:rFonts w:ascii="Times New Roman" w:hAnsi="Times New Roman" w:eastAsia="仿宋" w:cs="Times New Roman"/>
          <w:sz w:val="31"/>
          <w:szCs w:val="31"/>
          <w:shd w:val="clear" w:color="auto" w:fill="FFFFFF"/>
          <w:lang w:val="en-US"/>
        </w:rPr>
        <w:t>2020</w:t>
      </w:r>
      <w:r>
        <w:rPr>
          <w:rFonts w:ascii="Times New Roman" w:hAnsi="Times New Roman" w:eastAsia="仿宋" w:cs="Times New Roman"/>
          <w:sz w:val="31"/>
          <w:szCs w:val="31"/>
          <w:shd w:val="clear" w:color="auto" w:fill="FFFFFF"/>
        </w:rPr>
        <w:t>年12月31日止。关于政府信息公开工作详细情况，请联系区信访局政府信息公开领导小组办公室（地址：淄博市临淄区人民路728号，邮编：255400，电话：0533-7220362）。</w:t>
      </w:r>
    </w:p>
    <w:p>
      <w:pPr>
        <w:spacing w:line="560" w:lineRule="exact"/>
        <w:ind w:firstLine="640" w:firstLineChars="200"/>
        <w:jc w:val="both"/>
        <w:rPr>
          <w:rFonts w:ascii="Times New Roman" w:hAnsi="Times New Roman" w:eastAsia="黑体" w:cs="Times New Roman"/>
          <w:sz w:val="32"/>
          <w:szCs w:val="32"/>
          <w:lang w:val="en-US"/>
        </w:rPr>
      </w:pPr>
      <w:r>
        <w:rPr>
          <w:rFonts w:ascii="Times New Roman" w:hAnsi="Times New Roman" w:eastAsia="黑体" w:cs="Times New Roman"/>
          <w:sz w:val="32"/>
          <w:szCs w:val="32"/>
          <w:lang w:val="en-US"/>
        </w:rPr>
        <w:t>一、总体情况</w:t>
      </w:r>
    </w:p>
    <w:p>
      <w:pPr>
        <w:tabs>
          <w:tab w:val="left" w:pos="0"/>
        </w:tabs>
        <w:spacing w:line="560" w:lineRule="exact"/>
        <w:ind w:firstLine="620" w:firstLineChars="200"/>
        <w:jc w:val="both"/>
        <w:rPr>
          <w:rFonts w:ascii="Times New Roman" w:hAnsi="Times New Roman" w:eastAsia="仿宋" w:cs="Times New Roman"/>
          <w:sz w:val="31"/>
          <w:szCs w:val="31"/>
          <w:shd w:val="clear" w:color="auto" w:fill="FFFFFF"/>
          <w:lang w:val="en-US"/>
        </w:rPr>
      </w:pPr>
      <w:r>
        <w:rPr>
          <w:rFonts w:ascii="Times New Roman" w:hAnsi="Times New Roman" w:eastAsia="仿宋" w:cs="Times New Roman"/>
          <w:sz w:val="31"/>
          <w:szCs w:val="31"/>
          <w:shd w:val="clear" w:color="auto" w:fill="FFFFFF"/>
          <w:lang w:val="en-US"/>
        </w:rPr>
        <w:t>2020</w:t>
      </w:r>
      <w:r>
        <w:rPr>
          <w:rFonts w:ascii="Times New Roman" w:hAnsi="Times New Roman" w:eastAsia="仿宋" w:cs="Times New Roman"/>
          <w:sz w:val="31"/>
          <w:szCs w:val="31"/>
          <w:shd w:val="clear" w:color="auto" w:fill="FFFFFF"/>
        </w:rPr>
        <w:t>年，区信访局坚持以习近平新时代中国特色社会主义思想为指导，全面贯彻党的十九大和十九届二中、三中、四中、五中全会精神</w:t>
      </w:r>
      <w:r>
        <w:rPr>
          <w:rFonts w:hint="eastAsia" w:ascii="Times New Roman" w:hAnsi="Times New Roman" w:eastAsia="仿宋" w:cs="Times New Roman"/>
          <w:sz w:val="31"/>
          <w:szCs w:val="31"/>
          <w:shd w:val="clear" w:color="auto" w:fill="FFFFFF"/>
          <w:lang w:eastAsia="zh-CN"/>
        </w:rPr>
        <w:t>，</w:t>
      </w:r>
      <w:r>
        <w:rPr>
          <w:rFonts w:ascii="Times New Roman" w:hAnsi="Times New Roman" w:eastAsia="仿宋" w:cs="Times New Roman"/>
          <w:sz w:val="31"/>
          <w:szCs w:val="31"/>
          <w:shd w:val="clear" w:color="auto" w:fill="FFFFFF"/>
        </w:rPr>
        <w:t>《国务院办公厅政府信息与政务公开办公室关于政府信息公开工作年度报告有关事项的通知》(国办公开办函(2019)  60号)文件精神，深入贯彻落实《政府信息公开条例》围绕经济社会发展和民生保障重点工作，扎实推进政务公开工作，及时、准确、全面、主动公开了政府各类信息，政府信息公开咨询、申请以及答复工作均得到了顺利开展，做到了阳光政务、透明政务。</w:t>
      </w:r>
      <w:r>
        <w:rPr>
          <w:rFonts w:ascii="Times New Roman" w:hAnsi="Times New Roman" w:eastAsia="仿宋" w:cs="Times New Roman"/>
          <w:sz w:val="31"/>
          <w:szCs w:val="31"/>
          <w:shd w:val="clear" w:color="auto" w:fill="FFFFFF"/>
          <w:lang w:val="en-US"/>
        </w:rPr>
        <w:t>2020年共主动公开政府信息145条，其中：政府门户网站公开106条</w:t>
      </w:r>
      <w:r>
        <w:rPr>
          <w:rFonts w:hint="eastAsia" w:ascii="Times New Roman" w:hAnsi="Times New Roman" w:eastAsia="仿宋" w:cs="Times New Roman"/>
          <w:sz w:val="31"/>
          <w:szCs w:val="31"/>
          <w:shd w:val="clear" w:color="auto" w:fill="FFFFFF"/>
          <w:lang w:val="en-US"/>
        </w:rPr>
        <w:t>（业务工作55条，财政信息4条，其他类47条）</w:t>
      </w:r>
      <w:r>
        <w:rPr>
          <w:rFonts w:ascii="Times New Roman" w:hAnsi="Times New Roman" w:eastAsia="仿宋" w:cs="Times New Roman"/>
          <w:sz w:val="31"/>
          <w:szCs w:val="31"/>
          <w:shd w:val="clear" w:color="auto" w:fill="FFFFFF"/>
          <w:lang w:val="en-US"/>
        </w:rPr>
        <w:t>，广播电视报纸等媒体公开12条，微信公众号公开27条。</w:t>
      </w:r>
    </w:p>
    <w:p>
      <w:pPr>
        <w:pStyle w:val="15"/>
        <w:widowControl/>
        <w:autoSpaceDE/>
        <w:autoSpaceDN/>
        <w:spacing w:beforeAutospacing="0" w:afterAutospacing="0"/>
        <w:ind w:firstLine="620" w:firstLineChars="200"/>
        <w:jc w:val="center"/>
        <w:rPr>
          <w:rFonts w:hint="eastAsia" w:ascii="仿宋" w:hAnsi="仿宋" w:eastAsia="仿宋" w:cs="仿宋"/>
          <w:color w:val="000000"/>
          <w:sz w:val="31"/>
          <w:szCs w:val="31"/>
          <w:shd w:val="clear" w:color="auto" w:fill="FFFFFF"/>
        </w:rPr>
      </w:pPr>
      <w:r>
        <w:rPr>
          <w:rFonts w:hint="eastAsia" w:ascii="仿宋" w:hAnsi="仿宋" w:eastAsia="仿宋" w:cs="仿宋"/>
          <w:color w:val="000000"/>
          <w:sz w:val="31"/>
          <w:szCs w:val="31"/>
          <w:shd w:val="clear" w:color="auto" w:fill="FFFFFF"/>
        </w:rPr>
        <w:br w:type="textWrapping"/>
      </w:r>
      <w:r>
        <w:rPr>
          <w:rFonts w:hint="eastAsia" w:ascii="仿宋" w:hAnsi="仿宋" w:eastAsia="仿宋" w:cs="仿宋"/>
          <w:color w:val="000000"/>
          <w:sz w:val="31"/>
          <w:szCs w:val="31"/>
          <w:shd w:val="clear" w:color="auto" w:fill="FFFFFF"/>
        </w:rPr>
        <w:t>图1.部门文件信息截图</w:t>
      </w:r>
    </w:p>
    <w:p>
      <w:pPr>
        <w:pStyle w:val="15"/>
        <w:widowControl/>
        <w:autoSpaceDE/>
        <w:autoSpaceDN/>
        <w:spacing w:beforeAutospacing="0" w:afterAutospacing="0"/>
        <w:ind w:firstLine="620" w:firstLineChars="200"/>
        <w:jc w:val="center"/>
      </w:pPr>
      <w:r>
        <w:rPr>
          <w:rFonts w:hint="eastAsia" w:ascii="仿宋" w:hAnsi="仿宋" w:eastAsia="仿宋" w:cs="仿宋"/>
          <w:color w:val="000000"/>
          <w:sz w:val="31"/>
          <w:szCs w:val="31"/>
          <w:shd w:val="clear" w:color="auto" w:fill="FFFFFF"/>
          <w:lang w:eastAsia="zh-CN"/>
        </w:rPr>
        <w:drawing>
          <wp:inline distT="0" distB="0" distL="114300" distR="114300">
            <wp:extent cx="5270500" cy="2350770"/>
            <wp:effectExtent l="0" t="0" r="6350" b="11430"/>
            <wp:docPr id="1" name="图片 1" descr="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1111"/>
                    <pic:cNvPicPr>
                      <a:picLocks noChangeAspect="1"/>
                    </pic:cNvPicPr>
                  </pic:nvPicPr>
                  <pic:blipFill>
                    <a:blip r:embed="rId5"/>
                    <a:stretch>
                      <a:fillRect/>
                    </a:stretch>
                  </pic:blipFill>
                  <pic:spPr>
                    <a:xfrm>
                      <a:off x="0" y="0"/>
                      <a:ext cx="5270500" cy="2350770"/>
                    </a:xfrm>
                    <a:prstGeom prst="rect">
                      <a:avLst/>
                    </a:prstGeom>
                  </pic:spPr>
                </pic:pic>
              </a:graphicData>
            </a:graphic>
          </wp:inline>
        </w:drawing>
      </w:r>
    </w:p>
    <w:p>
      <w:pPr>
        <w:pStyle w:val="15"/>
        <w:widowControl/>
        <w:autoSpaceDE/>
        <w:autoSpaceDN/>
        <w:spacing w:beforeAutospacing="0" w:afterAutospacing="0" w:line="560" w:lineRule="exact"/>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（二）2020年依申请公开情况。</w:t>
      </w:r>
    </w:p>
    <w:p>
      <w:pPr>
        <w:pStyle w:val="15"/>
        <w:widowControl/>
        <w:autoSpaceDE/>
        <w:autoSpaceDN/>
        <w:spacing w:beforeAutospacing="0" w:afterAutospacing="0" w:line="560" w:lineRule="exact"/>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2020年我局未收到依申请公开。</w:t>
      </w:r>
    </w:p>
    <w:p>
      <w:pPr>
        <w:pStyle w:val="15"/>
        <w:widowControl/>
        <w:autoSpaceDE/>
        <w:autoSpaceDN/>
        <w:spacing w:beforeAutospacing="0" w:afterAutospacing="0" w:line="560" w:lineRule="exact"/>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（三）建议提案办理公开情况。</w:t>
      </w:r>
    </w:p>
    <w:p>
      <w:pPr>
        <w:pStyle w:val="15"/>
        <w:widowControl/>
        <w:autoSpaceDE/>
        <w:autoSpaceDN/>
        <w:spacing w:beforeAutospacing="0" w:afterAutospacing="0" w:line="560" w:lineRule="exact"/>
        <w:ind w:firstLine="640" w:firstLineChars="200"/>
        <w:jc w:val="both"/>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2020年我局</w:t>
      </w:r>
      <w:r>
        <w:rPr>
          <w:rFonts w:hint="eastAsia" w:ascii="仿宋" w:hAnsi="仿宋" w:eastAsia="仿宋" w:cs="仿宋"/>
          <w:color w:val="000000"/>
          <w:sz w:val="32"/>
          <w:szCs w:val="32"/>
          <w:shd w:val="clear" w:color="auto" w:fill="FFFFFF"/>
          <w:lang w:val="en-US" w:eastAsia="zh-CN"/>
        </w:rPr>
        <w:t>未收到</w:t>
      </w:r>
      <w:r>
        <w:rPr>
          <w:rFonts w:hint="eastAsia" w:ascii="仿宋" w:hAnsi="仿宋" w:eastAsia="仿宋" w:cs="仿宋"/>
          <w:color w:val="000000"/>
          <w:sz w:val="32"/>
          <w:szCs w:val="32"/>
          <w:shd w:val="clear" w:color="auto" w:fill="FFFFFF"/>
        </w:rPr>
        <w:t>建议提案办理公开</w:t>
      </w:r>
      <w:r>
        <w:rPr>
          <w:rFonts w:hint="eastAsia" w:ascii="仿宋" w:hAnsi="仿宋" w:eastAsia="仿宋" w:cs="仿宋"/>
          <w:color w:val="000000"/>
          <w:sz w:val="32"/>
          <w:szCs w:val="32"/>
          <w:shd w:val="clear" w:color="auto" w:fill="FFFFFF"/>
          <w:lang w:eastAsia="zh-CN"/>
        </w:rPr>
        <w:t>。</w:t>
      </w:r>
      <w:bookmarkStart w:id="0" w:name="_GoBack"/>
      <w:bookmarkEnd w:id="0"/>
    </w:p>
    <w:p>
      <w:pPr>
        <w:pStyle w:val="15"/>
        <w:widowControl/>
        <w:autoSpaceDE/>
        <w:autoSpaceDN/>
        <w:spacing w:beforeAutospacing="0" w:afterAutospacing="0" w:line="560" w:lineRule="exact"/>
        <w:ind w:firstLine="640" w:firstLineChars="200"/>
        <w:jc w:val="both"/>
        <w:rPr>
          <w:sz w:val="32"/>
          <w:szCs w:val="32"/>
        </w:rPr>
      </w:pPr>
      <w:r>
        <w:rPr>
          <w:rFonts w:hint="eastAsia" w:ascii="仿宋" w:hAnsi="仿宋" w:eastAsia="仿宋" w:cs="仿宋"/>
          <w:sz w:val="32"/>
          <w:szCs w:val="32"/>
          <w:shd w:val="clear" w:color="auto" w:fill="FFFFFF"/>
        </w:rPr>
        <w:t>（四）信息管理。2020年区局办公室负责全局政务公开工作，确定专人负责政务公开工作。办公室对照目录对需要公开的信息进行保密审核后发布到相应栏目。</w:t>
      </w:r>
    </w:p>
    <w:p>
      <w:pPr>
        <w:pStyle w:val="15"/>
        <w:widowControl/>
        <w:autoSpaceDE/>
        <w:autoSpaceDN/>
        <w:spacing w:beforeAutospacing="0" w:afterAutospacing="0" w:line="56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（五）平台建设。</w:t>
      </w:r>
      <w:r>
        <w:rPr>
          <w:rFonts w:ascii="仿宋" w:hAnsi="仿宋" w:eastAsia="仿宋" w:cs="仿宋"/>
          <w:color w:val="000000"/>
          <w:sz w:val="32"/>
          <w:szCs w:val="32"/>
          <w:shd w:val="clear" w:color="auto" w:fill="FFFFFF"/>
        </w:rPr>
        <w:t>在</w:t>
      </w:r>
      <w:r>
        <w:rPr>
          <w:rFonts w:hint="eastAsia" w:ascii="仿宋" w:hAnsi="仿宋" w:eastAsia="仿宋" w:cs="仿宋"/>
          <w:color w:val="000000"/>
          <w:sz w:val="32"/>
          <w:szCs w:val="32"/>
          <w:shd w:val="clear" w:color="auto" w:fill="FFFFFF"/>
        </w:rPr>
        <w:t>临淄区</w:t>
      </w:r>
      <w:r>
        <w:rPr>
          <w:rFonts w:ascii="仿宋" w:hAnsi="仿宋" w:eastAsia="仿宋" w:cs="仿宋"/>
          <w:color w:val="000000"/>
          <w:sz w:val="32"/>
          <w:szCs w:val="32"/>
          <w:shd w:val="clear" w:color="auto" w:fill="FFFFFF"/>
        </w:rPr>
        <w:t>门户网站设立</w:t>
      </w:r>
      <w:r>
        <w:rPr>
          <w:rFonts w:hint="eastAsia" w:ascii="仿宋" w:hAnsi="仿宋" w:eastAsia="仿宋" w:cs="仿宋"/>
          <w:color w:val="000000"/>
          <w:sz w:val="32"/>
          <w:szCs w:val="32"/>
          <w:shd w:val="clear" w:color="auto" w:fill="FFFFFF"/>
        </w:rPr>
        <w:t>临淄区信访局</w:t>
      </w:r>
      <w:r>
        <w:rPr>
          <w:rFonts w:ascii="仿宋" w:hAnsi="仿宋" w:eastAsia="仿宋" w:cs="仿宋"/>
          <w:color w:val="000000"/>
          <w:sz w:val="32"/>
          <w:szCs w:val="32"/>
          <w:shd w:val="clear" w:color="auto" w:fill="FFFFFF"/>
        </w:rPr>
        <w:t>政府信息公开专栏，主动公布信息公开目录和信息公开指南等内容，结合</w:t>
      </w:r>
      <w:r>
        <w:rPr>
          <w:rFonts w:hint="eastAsia" w:ascii="仿宋" w:hAnsi="仿宋" w:eastAsia="仿宋" w:cs="仿宋"/>
          <w:color w:val="000000"/>
          <w:sz w:val="32"/>
          <w:szCs w:val="32"/>
          <w:shd w:val="clear" w:color="auto" w:fill="FFFFFF"/>
        </w:rPr>
        <w:t>信访</w:t>
      </w:r>
      <w:r>
        <w:rPr>
          <w:rFonts w:ascii="仿宋" w:hAnsi="仿宋" w:eastAsia="仿宋" w:cs="仿宋"/>
          <w:color w:val="000000"/>
          <w:sz w:val="32"/>
          <w:szCs w:val="32"/>
          <w:shd w:val="clear" w:color="auto" w:fill="FFFFFF"/>
        </w:rPr>
        <w:t>工作实际，设置了“</w:t>
      </w:r>
      <w:r>
        <w:rPr>
          <w:rFonts w:hint="eastAsia" w:ascii="仿宋" w:hAnsi="仿宋" w:eastAsia="仿宋" w:cs="仿宋"/>
          <w:color w:val="000000"/>
          <w:sz w:val="32"/>
          <w:szCs w:val="32"/>
          <w:shd w:val="clear" w:color="auto" w:fill="FFFFFF"/>
        </w:rPr>
        <w:t>业务工作</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法规公文</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政策解读</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民生公益</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管理和服务公开</w:t>
      </w:r>
      <w:r>
        <w:rPr>
          <w:rFonts w:ascii="仿宋" w:hAnsi="仿宋" w:eastAsia="仿宋" w:cs="仿宋"/>
          <w:color w:val="000000"/>
          <w:sz w:val="32"/>
          <w:szCs w:val="32"/>
          <w:shd w:val="clear" w:color="auto" w:fill="FFFFFF"/>
        </w:rPr>
        <w:t>”等栏目，按要求对外公开政府信息，做到及时维护和更新。</w:t>
      </w:r>
    </w:p>
    <w:p>
      <w:pPr>
        <w:pStyle w:val="15"/>
        <w:widowControl/>
        <w:autoSpaceDE/>
        <w:autoSpaceDN/>
        <w:spacing w:beforeAutospacing="0" w:afterAutospacing="0" w:line="560" w:lineRule="exact"/>
        <w:ind w:firstLine="640" w:firstLineChars="200"/>
        <w:jc w:val="both"/>
        <w:rPr>
          <w:rFonts w:ascii="Times New Roman" w:hAnsi="Times New Roman" w:eastAsia="仿宋" w:cs="Times New Roman"/>
          <w:sz w:val="31"/>
          <w:szCs w:val="31"/>
          <w:shd w:val="clear" w:color="auto" w:fill="FFFFFF"/>
          <w:lang w:val="en-US"/>
        </w:rPr>
      </w:pPr>
      <w:r>
        <w:rPr>
          <w:rFonts w:hint="eastAsia" w:ascii="仿宋" w:hAnsi="仿宋" w:eastAsia="仿宋" w:cs="仿宋"/>
          <w:color w:val="000000"/>
          <w:sz w:val="32"/>
          <w:szCs w:val="32"/>
          <w:shd w:val="clear" w:color="auto" w:fill="FFFFFF"/>
        </w:rPr>
        <w:t>（六）监督保障。</w:t>
      </w:r>
      <w:r>
        <w:rPr>
          <w:rFonts w:ascii="仿宋" w:hAnsi="仿宋" w:eastAsia="仿宋" w:cs="仿宋"/>
          <w:color w:val="000000"/>
          <w:sz w:val="32"/>
          <w:szCs w:val="32"/>
          <w:shd w:val="clear" w:color="auto" w:fill="FFFFFF"/>
        </w:rPr>
        <w:t>成立</w:t>
      </w:r>
      <w:r>
        <w:rPr>
          <w:rFonts w:hint="eastAsia" w:ascii="仿宋" w:hAnsi="仿宋" w:eastAsia="仿宋" w:cs="仿宋"/>
          <w:color w:val="000000"/>
          <w:sz w:val="32"/>
          <w:szCs w:val="32"/>
          <w:shd w:val="clear" w:color="auto" w:fill="FFFFFF"/>
        </w:rPr>
        <w:t>临淄区信访</w:t>
      </w:r>
      <w:r>
        <w:rPr>
          <w:rFonts w:ascii="仿宋" w:hAnsi="仿宋" w:eastAsia="仿宋" w:cs="仿宋"/>
          <w:color w:val="000000"/>
          <w:sz w:val="32"/>
          <w:szCs w:val="32"/>
          <w:shd w:val="clear" w:color="auto" w:fill="FFFFFF"/>
        </w:rPr>
        <w:t>局政务公开工作领导小组，领导小组办公室设在</w:t>
      </w:r>
      <w:r>
        <w:rPr>
          <w:rFonts w:hint="eastAsia" w:ascii="仿宋" w:hAnsi="仿宋" w:eastAsia="仿宋" w:cs="仿宋"/>
          <w:color w:val="000000"/>
          <w:sz w:val="32"/>
          <w:szCs w:val="32"/>
          <w:shd w:val="clear" w:color="auto" w:fill="FFFFFF"/>
        </w:rPr>
        <w:t>区</w:t>
      </w:r>
      <w:r>
        <w:rPr>
          <w:rFonts w:ascii="仿宋" w:hAnsi="仿宋" w:eastAsia="仿宋" w:cs="仿宋"/>
          <w:color w:val="000000"/>
          <w:sz w:val="32"/>
          <w:szCs w:val="32"/>
          <w:shd w:val="clear" w:color="auto" w:fill="FFFFFF"/>
        </w:rPr>
        <w:t>局办公室，配备1名同志负责政务公开工作，围绕</w:t>
      </w:r>
      <w:r>
        <w:rPr>
          <w:rFonts w:hint="eastAsia" w:ascii="仿宋" w:hAnsi="仿宋" w:eastAsia="仿宋" w:cs="仿宋"/>
          <w:color w:val="000000"/>
          <w:sz w:val="32"/>
          <w:szCs w:val="32"/>
          <w:shd w:val="clear" w:color="auto" w:fill="FFFFFF"/>
        </w:rPr>
        <w:t>信访工作</w:t>
      </w:r>
      <w:r>
        <w:rPr>
          <w:rFonts w:ascii="仿宋" w:hAnsi="仿宋" w:eastAsia="仿宋" w:cs="仿宋"/>
          <w:color w:val="000000"/>
          <w:sz w:val="32"/>
          <w:szCs w:val="32"/>
          <w:shd w:val="clear" w:color="auto" w:fill="FFFFFF"/>
        </w:rPr>
        <w:t>，开展政务信息公开工作，有效地保障和维护群众的知情权，切实保障群众的合法权益。</w:t>
      </w:r>
    </w:p>
    <w:p>
      <w:pPr>
        <w:tabs>
          <w:tab w:val="left" w:pos="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tbl>
      <w:tblPr>
        <w:tblStyle w:val="16"/>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jc w:val="center"/>
              <w:rPr>
                <w:rFonts w:ascii="Times New Roman" w:hAnsi="Times New Roman" w:cs="Times New Roman"/>
                <w:sz w:val="21"/>
                <w:szCs w:val="21"/>
              </w:rPr>
            </w:pPr>
            <w:r>
              <w:rPr>
                <w:rFonts w:ascii="Times New Roman" w:hAnsi="Times New Roman" w:eastAsia="黑体" w:cs="Times New Roman"/>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1995" w:type="dxa"/>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3883" w:type="dxa"/>
            <w:gridSpan w:val="2"/>
            <w:tcBorders>
              <w:top w:val="single" w:color="000000" w:sz="2" w:space="0"/>
              <w:left w:val="single" w:color="000000" w:sz="2" w:space="0"/>
            </w:tcBorders>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bl>
    <w:p>
      <w:pPr>
        <w:tabs>
          <w:tab w:val="left" w:pos="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val="en-US"/>
        </w:rPr>
        <w:t>三、</w:t>
      </w:r>
      <w:r>
        <w:rPr>
          <w:rFonts w:ascii="Times New Roman" w:hAnsi="Times New Roman" w:eastAsia="黑体" w:cs="Times New Roman"/>
          <w:sz w:val="32"/>
          <w:szCs w:val="32"/>
        </w:rPr>
        <w:t>收到和处理政府信息公开申请情况</w:t>
      </w:r>
    </w:p>
    <w:tbl>
      <w:tblPr>
        <w:tblStyle w:val="17"/>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34"/>
        <w:gridCol w:w="1887"/>
        <w:gridCol w:w="565"/>
        <w:gridCol w:w="635"/>
        <w:gridCol w:w="635"/>
        <w:gridCol w:w="775"/>
        <w:gridCol w:w="77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（本列数据的勾稽关系为：第一项加第二项之和，等于第三项加第四项之和）</w:t>
            </w:r>
          </w:p>
        </w:tc>
        <w:tc>
          <w:tcPr>
            <w:tcW w:w="0" w:type="auto"/>
            <w:gridSpan w:val="7"/>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center"/>
              <w:rPr>
                <w:rFonts w:ascii="Times New Roman" w:hAnsi="Times New Roman" w:eastAsia="黑体" w:cs="Times New Roman"/>
                <w:sz w:val="21"/>
                <w:szCs w:val="21"/>
              </w:rPr>
            </w:pPr>
          </w:p>
        </w:tc>
        <w:tc>
          <w:tcPr>
            <w:tcW w:w="0" w:type="auto"/>
            <w:vMerge w:val="restart"/>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自然人</w:t>
            </w:r>
          </w:p>
        </w:tc>
        <w:tc>
          <w:tcPr>
            <w:tcW w:w="0" w:type="auto"/>
            <w:gridSpan w:val="5"/>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法人或其他组织</w:t>
            </w:r>
          </w:p>
        </w:tc>
        <w:tc>
          <w:tcPr>
            <w:tcW w:w="0" w:type="auto"/>
            <w:vMerge w:val="restart"/>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jc w:val="center"/>
              <w:rPr>
                <w:rFonts w:ascii="Times New Roman" w:hAnsi="Times New Roman" w:eastAsia="黑体" w:cs="Times New Roman"/>
                <w:sz w:val="21"/>
                <w:szCs w:val="21"/>
              </w:rPr>
            </w:pPr>
          </w:p>
        </w:tc>
        <w:tc>
          <w:tcPr>
            <w:tcW w:w="0" w:type="auto"/>
            <w:vMerge w:val="continue"/>
            <w:vAlign w:val="center"/>
          </w:tcPr>
          <w:p>
            <w:pPr>
              <w:jc w:val="center"/>
              <w:rPr>
                <w:rFonts w:ascii="Times New Roman" w:hAnsi="Times New Roman" w:eastAsia="黑体" w:cs="Times New Roman"/>
                <w:sz w:val="21"/>
                <w:szCs w:val="21"/>
              </w:rPr>
            </w:pPr>
          </w:p>
        </w:tc>
        <w:tc>
          <w:tcPr>
            <w:tcW w:w="0" w:type="auto"/>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商业企业</w:t>
            </w:r>
          </w:p>
        </w:tc>
        <w:tc>
          <w:tcPr>
            <w:tcW w:w="0" w:type="auto"/>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科研机构</w:t>
            </w:r>
          </w:p>
        </w:tc>
        <w:tc>
          <w:tcPr>
            <w:tcW w:w="0" w:type="auto"/>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社会公益组织</w:t>
            </w:r>
          </w:p>
        </w:tc>
        <w:tc>
          <w:tcPr>
            <w:tcW w:w="0" w:type="auto"/>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法律服务机构</w:t>
            </w:r>
          </w:p>
        </w:tc>
        <w:tc>
          <w:tcPr>
            <w:tcW w:w="0" w:type="auto"/>
            <w:vAlign w:val="center"/>
          </w:tcPr>
          <w:p>
            <w:pPr>
              <w:jc w:val="center"/>
              <w:rPr>
                <w:rFonts w:ascii="Times New Roman" w:hAnsi="Times New Roman" w:eastAsia="黑体" w:cs="Times New Roman"/>
                <w:sz w:val="21"/>
                <w:szCs w:val="21"/>
              </w:rPr>
            </w:pPr>
            <w:r>
              <w:rPr>
                <w:rFonts w:ascii="Times New Roman" w:hAnsi="Times New Roman" w:eastAsia="黑体" w:cs="Times New Roman"/>
                <w:sz w:val="21"/>
                <w:szCs w:val="21"/>
              </w:rPr>
              <w:t>其他</w:t>
            </w:r>
          </w:p>
        </w:tc>
        <w:tc>
          <w:tcPr>
            <w:tcW w:w="0" w:type="auto"/>
            <w:vMerge w:val="continue"/>
            <w:vAlign w:val="center"/>
          </w:tcPr>
          <w:p>
            <w:pPr>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一、本年新收政府信息公开申请数量</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二、上年结转政府信息公开申请数量</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三、本年度办理结果</w:t>
            </w:r>
          </w:p>
        </w:tc>
        <w:tc>
          <w:tcPr>
            <w:tcW w:w="0" w:type="auto"/>
            <w:gridSpan w:val="2"/>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（一）予以公开</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imes New Roman" w:hAnsi="Times New Roman" w:cs="Times New Roman" w:eastAsiaTheme="minorEastAsia"/>
                <w:sz w:val="21"/>
                <w:szCs w:val="21"/>
              </w:rPr>
            </w:pPr>
          </w:p>
        </w:tc>
        <w:tc>
          <w:tcPr>
            <w:tcW w:w="0" w:type="auto"/>
            <w:gridSpan w:val="2"/>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（二）部分公开（区分处理的，只计这一情形，不计其他情形）</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restart"/>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（三）不予公开</w:t>
            </w: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1．属于国家秘密</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2．其他法律行政法规禁止公开</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3．危及“三安全一稳定”</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4．保护第三方合法权益</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5．属于三类内部事务信息</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6．属于四类过程性信息</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7．属于行政执法案卷</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8．属于行政查询事项</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restart"/>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（四）无法提供</w:t>
            </w: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1．本单位不掌握相关政府信息</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2．没有现成信息需要另行制作</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0" w:type="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vAlign w:val="center"/>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3．补正后申请内容仍不明确</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restart"/>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（五）不予处理</w:t>
            </w: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1．信访举报投诉类申请</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2．重复申请</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3．要求提供公开出版物</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tcPr>
          <w:p>
            <w:pPr>
              <w:rPr>
                <w:rFonts w:ascii="Times New Roman" w:hAnsi="Times New Roman" w:cs="Times New Roman" w:eastAsiaTheme="minorEastAsia"/>
                <w:sz w:val="21"/>
                <w:szCs w:val="21"/>
              </w:rPr>
            </w:pPr>
          </w:p>
        </w:tc>
        <w:tc>
          <w:tcPr>
            <w:tcW w:w="0" w:type="auto"/>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4．无正当理由大量反复申请</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imes New Roman" w:hAnsi="Times New Roman" w:cs="Times New Roman" w:eastAsiaTheme="minorEastAsia"/>
                <w:sz w:val="21"/>
                <w:szCs w:val="21"/>
              </w:rPr>
            </w:pPr>
          </w:p>
        </w:tc>
        <w:tc>
          <w:tcPr>
            <w:tcW w:w="0" w:type="auto"/>
            <w:vMerge w:val="continue"/>
          </w:tcPr>
          <w:p>
            <w:pPr>
              <w:rPr>
                <w:rFonts w:ascii="Times New Roman" w:hAnsi="Times New Roman" w:cs="Times New Roman" w:eastAsiaTheme="minorEastAsia"/>
                <w:sz w:val="21"/>
                <w:szCs w:val="21"/>
              </w:rPr>
            </w:pPr>
          </w:p>
        </w:tc>
        <w:tc>
          <w:tcPr>
            <w:tcW w:w="0" w:type="auto"/>
          </w:tcPr>
          <w:p>
            <w:pPr>
              <w:ind w:left="210" w:hanging="210" w:hangingChars="100"/>
              <w:rPr>
                <w:rFonts w:ascii="Times New Roman" w:hAnsi="Times New Roman" w:cs="Times New Roman" w:eastAsiaTheme="minorEastAsia"/>
                <w:sz w:val="21"/>
                <w:szCs w:val="21"/>
              </w:rPr>
            </w:pPr>
            <w:r>
              <w:rPr>
                <w:rFonts w:ascii="Times New Roman" w:hAnsi="Times New Roman" w:cs="Times New Roman" w:eastAsiaTheme="minorEastAsia"/>
                <w:sz w:val="21"/>
                <w:szCs w:val="21"/>
              </w:rPr>
              <w:t>5．要求行政机关确认或重新出具已获取信息</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rPr>
                <w:rFonts w:ascii="Times New Roman" w:hAnsi="Times New Roman" w:cs="Times New Roman" w:eastAsiaTheme="minorEastAsia"/>
                <w:sz w:val="21"/>
                <w:szCs w:val="21"/>
              </w:rPr>
            </w:pPr>
          </w:p>
        </w:tc>
        <w:tc>
          <w:tcPr>
            <w:tcW w:w="0" w:type="auto"/>
            <w:gridSpan w:val="2"/>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（六）其他处理</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imes New Roman" w:hAnsi="Times New Roman" w:cs="Times New Roman" w:eastAsiaTheme="minorEastAsia"/>
                <w:sz w:val="21"/>
                <w:szCs w:val="21"/>
              </w:rPr>
            </w:pPr>
          </w:p>
        </w:tc>
        <w:tc>
          <w:tcPr>
            <w:tcW w:w="0" w:type="auto"/>
            <w:gridSpan w:val="2"/>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（七）总计</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lang w:val="en-US"/>
              </w:rPr>
            </w:pPr>
            <w:r>
              <w:rPr>
                <w:rFonts w:ascii="Times New Roman" w:hAnsi="Times New Roman" w:cs="Times New Roman"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四、结转下年度继续办理</w:t>
            </w:r>
          </w:p>
        </w:tc>
        <w:tc>
          <w:tcPr>
            <w:tcW w:w="56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63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775"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c>
          <w:tcPr>
            <w:tcW w:w="496"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lang w:val="en-US"/>
              </w:rPr>
              <w:t>0</w:t>
            </w:r>
          </w:p>
        </w:tc>
      </w:tr>
    </w:tbl>
    <w:p>
      <w:pPr>
        <w:tabs>
          <w:tab w:val="left" w:pos="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val="en-US"/>
        </w:rPr>
        <w:t>四、</w:t>
      </w:r>
      <w:r>
        <w:rPr>
          <w:rFonts w:ascii="Times New Roman" w:hAnsi="Times New Roman" w:eastAsia="黑体" w:cs="Times New Roman"/>
          <w:sz w:val="32"/>
          <w:szCs w:val="32"/>
        </w:rPr>
        <w:t>政府信息公开行政复议、行政诉讼情况</w:t>
      </w:r>
    </w:p>
    <w:tbl>
      <w:tblPr>
        <w:tblStyle w:val="17"/>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both"/>
              <w:rPr>
                <w:rFonts w:ascii="Times New Roman" w:hAnsi="Times New Roman" w:eastAsia="黑体" w:cs="Times New Roman"/>
                <w:b/>
                <w:bCs/>
                <w:sz w:val="18"/>
                <w:szCs w:val="18"/>
              </w:rPr>
            </w:pPr>
            <w:r>
              <w:rPr>
                <w:rFonts w:ascii="Times New Roman" w:hAnsi="Times New Roman" w:eastAsia="黑体" w:cs="Times New Roman"/>
                <w:b/>
                <w:bCs/>
                <w:sz w:val="18"/>
                <w:szCs w:val="18"/>
              </w:rPr>
              <w:t>行政复议</w:t>
            </w:r>
          </w:p>
        </w:tc>
        <w:tc>
          <w:tcPr>
            <w:tcW w:w="0" w:type="auto"/>
            <w:gridSpan w:val="10"/>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结果维持</w:t>
            </w:r>
          </w:p>
        </w:tc>
        <w:tc>
          <w:tcPr>
            <w:tcW w:w="0" w:type="auto"/>
            <w:vMerge w:val="restart"/>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结果纠正</w:t>
            </w:r>
          </w:p>
        </w:tc>
        <w:tc>
          <w:tcPr>
            <w:tcW w:w="0" w:type="auto"/>
            <w:vMerge w:val="restart"/>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其他结果</w:t>
            </w:r>
          </w:p>
        </w:tc>
        <w:tc>
          <w:tcPr>
            <w:tcW w:w="0" w:type="auto"/>
            <w:vMerge w:val="restart"/>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尚未审结</w:t>
            </w:r>
          </w:p>
        </w:tc>
        <w:tc>
          <w:tcPr>
            <w:tcW w:w="0" w:type="auto"/>
            <w:vMerge w:val="restart"/>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总计</w:t>
            </w:r>
          </w:p>
        </w:tc>
        <w:tc>
          <w:tcPr>
            <w:tcW w:w="0" w:type="auto"/>
            <w:gridSpan w:val="5"/>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未经复议直接起诉</w:t>
            </w:r>
          </w:p>
        </w:tc>
        <w:tc>
          <w:tcPr>
            <w:tcW w:w="0" w:type="auto"/>
            <w:gridSpan w:val="5"/>
            <w:vAlign w:val="center"/>
          </w:tcPr>
          <w:p>
            <w:pPr>
              <w:autoSpaceDE/>
              <w:autoSpaceDN/>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Times New Roman" w:hAnsi="Times New Roman" w:eastAsia="黑体" w:cs="Times New Roman"/>
                <w:b/>
                <w:bCs/>
                <w:sz w:val="18"/>
                <w:szCs w:val="18"/>
              </w:rPr>
            </w:pPr>
          </w:p>
        </w:tc>
        <w:tc>
          <w:tcPr>
            <w:tcW w:w="0" w:type="auto"/>
            <w:vMerge w:val="continue"/>
            <w:vAlign w:val="center"/>
          </w:tcPr>
          <w:p>
            <w:pPr>
              <w:jc w:val="center"/>
              <w:rPr>
                <w:rFonts w:ascii="Times New Roman" w:hAnsi="Times New Roman" w:eastAsia="黑体" w:cs="Times New Roman"/>
                <w:b/>
                <w:bCs/>
                <w:sz w:val="18"/>
                <w:szCs w:val="18"/>
              </w:rPr>
            </w:pPr>
          </w:p>
        </w:tc>
        <w:tc>
          <w:tcPr>
            <w:tcW w:w="0" w:type="auto"/>
            <w:vMerge w:val="continue"/>
            <w:vAlign w:val="center"/>
          </w:tcPr>
          <w:p>
            <w:pPr>
              <w:jc w:val="center"/>
              <w:rPr>
                <w:rFonts w:ascii="Times New Roman" w:hAnsi="Times New Roman" w:eastAsia="黑体" w:cs="Times New Roman"/>
                <w:b/>
                <w:bCs/>
                <w:sz w:val="18"/>
                <w:szCs w:val="18"/>
              </w:rPr>
            </w:pPr>
          </w:p>
        </w:tc>
        <w:tc>
          <w:tcPr>
            <w:tcW w:w="0" w:type="auto"/>
            <w:vMerge w:val="continue"/>
            <w:vAlign w:val="center"/>
          </w:tcPr>
          <w:p>
            <w:pPr>
              <w:jc w:val="center"/>
              <w:rPr>
                <w:rFonts w:ascii="Times New Roman" w:hAnsi="Times New Roman" w:eastAsia="黑体" w:cs="Times New Roman"/>
                <w:b/>
                <w:bCs/>
                <w:sz w:val="18"/>
                <w:szCs w:val="18"/>
              </w:rPr>
            </w:pPr>
          </w:p>
        </w:tc>
        <w:tc>
          <w:tcPr>
            <w:tcW w:w="0" w:type="auto"/>
            <w:vMerge w:val="continue"/>
            <w:vAlign w:val="center"/>
          </w:tcPr>
          <w:p>
            <w:pPr>
              <w:jc w:val="center"/>
              <w:rPr>
                <w:rFonts w:ascii="Times New Roman" w:hAnsi="Times New Roman" w:eastAsia="黑体" w:cs="Times New Roman"/>
                <w:b/>
                <w:bCs/>
                <w:sz w:val="18"/>
                <w:szCs w:val="18"/>
              </w:rPr>
            </w:pP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结果维持</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结果纠正</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其他结果</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尚未审结</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总计</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结果维持</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结果纠正</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其他结果</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尚未审结</w:t>
            </w:r>
          </w:p>
        </w:tc>
        <w:tc>
          <w:tcPr>
            <w:tcW w:w="0" w:type="auto"/>
            <w:vAlign w:val="center"/>
          </w:tcPr>
          <w:p>
            <w:pPr>
              <w:jc w:val="center"/>
              <w:rPr>
                <w:rFonts w:ascii="Times New Roman" w:hAnsi="Times New Roman" w:eastAsia="黑体" w:cs="Times New Roman"/>
                <w:b/>
                <w:bCs/>
                <w:sz w:val="18"/>
                <w:szCs w:val="18"/>
              </w:rPr>
            </w:pPr>
            <w:r>
              <w:rPr>
                <w:rFonts w:ascii="Times New Roman" w:hAnsi="Times New Roman" w:eastAsia="黑体" w:cs="Times New Roman"/>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c>
          <w:tcPr>
            <w:tcW w:w="0" w:type="auto"/>
            <w:vAlign w:val="center"/>
          </w:tcPr>
          <w:p>
            <w:pPr>
              <w:jc w:val="center"/>
              <w:rPr>
                <w:rFonts w:ascii="Times New Roman" w:hAnsi="Times New Roman" w:eastAsia="仿宋_GB2312" w:cs="Times New Roman"/>
                <w:sz w:val="18"/>
                <w:szCs w:val="18"/>
                <w:lang w:val="en-US"/>
              </w:rPr>
            </w:pPr>
            <w:r>
              <w:rPr>
                <w:rFonts w:ascii="Times New Roman" w:hAnsi="Times New Roman" w:eastAsia="仿宋_GB2312" w:cs="Times New Roman"/>
                <w:sz w:val="18"/>
                <w:szCs w:val="18"/>
                <w:lang w:val="en-US"/>
              </w:rPr>
              <w:t>0</w:t>
            </w:r>
          </w:p>
        </w:tc>
      </w:tr>
    </w:tbl>
    <w:p>
      <w:pPr>
        <w:tabs>
          <w:tab w:val="left" w:pos="0"/>
        </w:tabs>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val="en-US"/>
        </w:rPr>
        <w:t>五．</w:t>
      </w:r>
      <w:r>
        <w:rPr>
          <w:rFonts w:ascii="Times New Roman" w:hAnsi="Times New Roman" w:eastAsia="黑体" w:cs="Times New Roman"/>
          <w:sz w:val="32"/>
          <w:szCs w:val="32"/>
        </w:rPr>
        <w:t>存在的主要问题及改进情况</w:t>
      </w:r>
    </w:p>
    <w:p>
      <w:pPr>
        <w:pStyle w:val="15"/>
        <w:widowControl/>
        <w:shd w:val="clear" w:color="auto" w:fill="FFFFFF"/>
        <w:spacing w:beforeAutospacing="0" w:afterAutospacing="0" w:line="585" w:lineRule="atLeast"/>
        <w:ind w:right="135" w:firstLine="660"/>
        <w:jc w:val="both"/>
        <w:rPr>
          <w:rFonts w:ascii="Times New Roman" w:hAnsi="Times New Roman" w:eastAsia="微软雅黑"/>
          <w:szCs w:val="24"/>
        </w:rPr>
      </w:pPr>
      <w:r>
        <w:rPr>
          <w:rFonts w:ascii="Times New Roman" w:hAnsi="Times New Roman" w:eastAsia="仿宋"/>
          <w:sz w:val="31"/>
          <w:szCs w:val="31"/>
          <w:shd w:val="clear" w:color="auto" w:fill="FFFFFF"/>
        </w:rPr>
        <w:t>2020年，我局在政务信息公开方面取得了一定的成绩，仍存在公开信息还不能完全满足社会公众的需求，特别</w:t>
      </w:r>
      <w:r>
        <w:rPr>
          <w:rFonts w:ascii="Times New Roman" w:hAnsi="Times New Roman" w:eastAsia="仿宋_GB2312"/>
          <w:sz w:val="32"/>
          <w:szCs w:val="32"/>
          <w:shd w:val="clear" w:color="auto" w:fill="FFFFFF"/>
        </w:rPr>
        <w:t>是政务公开宣传形式较少，一些动态信息公布得还不够及时。</w:t>
      </w:r>
    </w:p>
    <w:p>
      <w:pPr>
        <w:pStyle w:val="15"/>
        <w:widowControl/>
        <w:shd w:val="clear" w:color="auto" w:fill="FFFFFF"/>
        <w:spacing w:beforeAutospacing="0" w:afterAutospacing="0" w:line="585" w:lineRule="atLeast"/>
        <w:ind w:right="135" w:firstLine="660"/>
        <w:jc w:val="both"/>
        <w:rPr>
          <w:rFonts w:ascii="Times New Roman" w:hAnsi="Times New Roman" w:eastAsia="仿宋"/>
          <w:sz w:val="31"/>
          <w:szCs w:val="31"/>
          <w:shd w:val="clear" w:color="auto" w:fill="FFFFFF"/>
        </w:rPr>
      </w:pPr>
      <w:r>
        <w:rPr>
          <w:rFonts w:ascii="Times New Roman" w:hAnsi="Times New Roman" w:eastAsia="仿宋"/>
          <w:sz w:val="31"/>
          <w:szCs w:val="31"/>
          <w:shd w:val="clear" w:color="auto" w:fill="FFFFFF"/>
        </w:rPr>
        <w:t>下一步我们将</w:t>
      </w:r>
      <w:r>
        <w:rPr>
          <w:rFonts w:ascii="Times New Roman" w:hAnsi="Times New Roman" w:eastAsia="仿宋_GB2312"/>
          <w:sz w:val="32"/>
          <w:szCs w:val="32"/>
          <w:shd w:val="clear" w:color="auto" w:fill="FFFFFF"/>
        </w:rPr>
        <w:t>我局将针对薄弱环节，采取切实有效措施认真加以解决，不断提高政务公开工作水平，探索建立更多生动有效的形式进行公开宣传，并认真组织学习贯彻落实中、省、市、区关于政务公开的相关文件，学以致用，进一步推动政府信息公开工作。积极组织人员向先进单位学习经验，不断健全我局政府信息公开方式，及时公布和更新工作动态，将</w:t>
      </w:r>
      <w:r>
        <w:rPr>
          <w:rFonts w:ascii="Times New Roman" w:hAnsi="Times New Roman" w:eastAsia="仿宋"/>
          <w:sz w:val="31"/>
          <w:szCs w:val="31"/>
          <w:shd w:val="clear" w:color="auto" w:fill="FFFFFF"/>
        </w:rPr>
        <w:t>信访动态传递给公众，</w:t>
      </w:r>
      <w:r>
        <w:rPr>
          <w:rFonts w:ascii="Times New Roman" w:hAnsi="Times New Roman" w:eastAsia="仿宋_GB2312"/>
          <w:sz w:val="32"/>
          <w:szCs w:val="32"/>
          <w:shd w:val="clear" w:color="auto" w:fill="FFFFFF"/>
        </w:rPr>
        <w:t>切实保障公民的知情权、参与权和监督权，</w:t>
      </w:r>
      <w:r>
        <w:rPr>
          <w:rFonts w:ascii="Times New Roman" w:hAnsi="Times New Roman" w:eastAsia="仿宋"/>
          <w:sz w:val="31"/>
          <w:szCs w:val="31"/>
          <w:shd w:val="clear" w:color="auto" w:fill="FFFFFF"/>
        </w:rPr>
        <w:t>不断提升群众满意度。</w:t>
      </w:r>
    </w:p>
    <w:p>
      <w:pPr>
        <w:pStyle w:val="15"/>
        <w:widowControl/>
        <w:shd w:val="clear" w:color="auto" w:fill="FFFFFF"/>
        <w:spacing w:beforeAutospacing="0" w:afterAutospacing="0" w:line="585" w:lineRule="atLeast"/>
        <w:ind w:right="135" w:firstLine="660"/>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其他需要报告的事项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B01979-EA7A-4AB4-AABE-739D840EE0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021E32BD-C5DA-4347-8619-F4726742BDD0}"/>
  </w:font>
  <w:font w:name="仿宋_GB2312">
    <w:panose1 w:val="02010609030101010101"/>
    <w:charset w:val="86"/>
    <w:family w:val="modern"/>
    <w:pitch w:val="default"/>
    <w:sig w:usb0="00000001" w:usb1="080E0000" w:usb2="00000000" w:usb3="00000000" w:csb0="00040000" w:csb1="00000000"/>
    <w:embedRegular r:id="rId3" w:fontKey="{7C5EC3A6-69C9-4C7C-A1AE-12671499CD94}"/>
  </w:font>
  <w:font w:name="仿宋">
    <w:panose1 w:val="02010609060101010101"/>
    <w:charset w:val="86"/>
    <w:family w:val="modern"/>
    <w:pitch w:val="default"/>
    <w:sig w:usb0="800002BF" w:usb1="38CF7CFA" w:usb2="00000016" w:usb3="00000000" w:csb0="00040001" w:csb1="00000000"/>
    <w:embedRegular r:id="rId4" w:fontKey="{AEE0B551-08AD-4268-BD40-19F29B184D79}"/>
  </w:font>
  <w:font w:name="微软雅黑">
    <w:panose1 w:val="020B0503020204020204"/>
    <w:charset w:val="86"/>
    <w:family w:val="swiss"/>
    <w:pitch w:val="default"/>
    <w:sig w:usb0="80000287" w:usb1="2ACF3C50" w:usb2="00000016" w:usb3="00000000" w:csb0="0004001F" w:csb1="00000000"/>
    <w:embedRegular r:id="rId5" w:fontKey="{D407C31A-AB17-413C-BC19-105062C1B3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bidi="ar-SA"/>
      </w:rPr>
      <w:pict>
        <v:shape id="文本框 8"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4298A"/>
    <w:multiLevelType w:val="multilevel"/>
    <w:tmpl w:val="85B4298A"/>
    <w:lvl w:ilvl="0" w:tentative="0">
      <w:start w:val="1"/>
      <w:numFmt w:val="decimal"/>
      <w:pStyle w:val="2"/>
      <w:suff w:val="space"/>
      <w:lvlText w:val="%1."/>
      <w:lvlJc w:val="left"/>
      <w:pPr>
        <w:tabs>
          <w:tab w:val="left" w:pos="420"/>
        </w:tabs>
        <w:ind w:left="0" w:firstLine="40"/>
      </w:pPr>
      <w:rPr>
        <w:rFonts w:hint="default" w:ascii="宋体" w:hAnsi="宋体" w:eastAsia="宋体" w:cs="宋体"/>
      </w:rPr>
    </w:lvl>
    <w:lvl w:ilvl="1" w:tentative="0">
      <w:start w:val="1"/>
      <w:numFmt w:val="decimal"/>
      <w:pStyle w:val="3"/>
      <w:suff w:val="space"/>
      <w:lvlText w:val="%1.%2"/>
      <w:lvlJc w:val="left"/>
      <w:pPr>
        <w:tabs>
          <w:tab w:val="left" w:pos="420"/>
        </w:tabs>
        <w:ind w:left="0" w:firstLine="40"/>
      </w:pPr>
      <w:rPr>
        <w:rFonts w:hint="default" w:ascii="宋体" w:hAnsi="宋体" w:eastAsia="宋体" w:cs="宋体"/>
      </w:rPr>
    </w:lvl>
    <w:lvl w:ilvl="2" w:tentative="0">
      <w:start w:val="1"/>
      <w:numFmt w:val="decimal"/>
      <w:pStyle w:val="4"/>
      <w:suff w:val="space"/>
      <w:lvlText w:val="%1.%2.%3"/>
      <w:lvlJc w:val="left"/>
      <w:pPr>
        <w:tabs>
          <w:tab w:val="left" w:pos="420"/>
        </w:tabs>
        <w:ind w:left="0" w:firstLine="40"/>
      </w:pPr>
      <w:rPr>
        <w:rFonts w:hint="default" w:ascii="宋体" w:hAnsi="宋体" w:eastAsia="宋体" w:cs="宋体"/>
      </w:rPr>
    </w:lvl>
    <w:lvl w:ilvl="3" w:tentative="0">
      <w:start w:val="1"/>
      <w:numFmt w:val="decimal"/>
      <w:pStyle w:val="5"/>
      <w:suff w:val="space"/>
      <w:lvlText w:val="%1.%2.%3.%4"/>
      <w:lvlJc w:val="left"/>
      <w:pPr>
        <w:tabs>
          <w:tab w:val="left" w:pos="420"/>
        </w:tabs>
        <w:ind w:left="0" w:firstLine="40"/>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DE5119"/>
    <w:rsid w:val="00027A2C"/>
    <w:rsid w:val="000A1628"/>
    <w:rsid w:val="000D6C4A"/>
    <w:rsid w:val="000E61D8"/>
    <w:rsid w:val="00124155"/>
    <w:rsid w:val="00154C8D"/>
    <w:rsid w:val="00162875"/>
    <w:rsid w:val="00174DC8"/>
    <w:rsid w:val="001D1F86"/>
    <w:rsid w:val="001D35AF"/>
    <w:rsid w:val="001E2F2E"/>
    <w:rsid w:val="00296EB1"/>
    <w:rsid w:val="00303887"/>
    <w:rsid w:val="003A0F49"/>
    <w:rsid w:val="00481E75"/>
    <w:rsid w:val="004D2CF1"/>
    <w:rsid w:val="0055797E"/>
    <w:rsid w:val="005643B3"/>
    <w:rsid w:val="00627313"/>
    <w:rsid w:val="0065227C"/>
    <w:rsid w:val="006C3007"/>
    <w:rsid w:val="006E3FF2"/>
    <w:rsid w:val="007215A6"/>
    <w:rsid w:val="0072406D"/>
    <w:rsid w:val="007D2F7C"/>
    <w:rsid w:val="007F7B08"/>
    <w:rsid w:val="00820A12"/>
    <w:rsid w:val="00857D17"/>
    <w:rsid w:val="008602C0"/>
    <w:rsid w:val="00893ABA"/>
    <w:rsid w:val="008D65EC"/>
    <w:rsid w:val="00925D58"/>
    <w:rsid w:val="0098752B"/>
    <w:rsid w:val="0099295E"/>
    <w:rsid w:val="009B1249"/>
    <w:rsid w:val="009D1612"/>
    <w:rsid w:val="00A23474"/>
    <w:rsid w:val="00A32FC4"/>
    <w:rsid w:val="00A80CB1"/>
    <w:rsid w:val="00A931EA"/>
    <w:rsid w:val="00AC0570"/>
    <w:rsid w:val="00AE7CF0"/>
    <w:rsid w:val="00B7019E"/>
    <w:rsid w:val="00BA0B20"/>
    <w:rsid w:val="00C17899"/>
    <w:rsid w:val="00C17BB9"/>
    <w:rsid w:val="00C66A78"/>
    <w:rsid w:val="00C767F8"/>
    <w:rsid w:val="00C8446B"/>
    <w:rsid w:val="00CA634B"/>
    <w:rsid w:val="00CB4FD8"/>
    <w:rsid w:val="00CC2387"/>
    <w:rsid w:val="00CE03BD"/>
    <w:rsid w:val="00CE4A87"/>
    <w:rsid w:val="00D607F5"/>
    <w:rsid w:val="00DD359C"/>
    <w:rsid w:val="00DF74A4"/>
    <w:rsid w:val="00E2645A"/>
    <w:rsid w:val="00E374A3"/>
    <w:rsid w:val="00E57F6F"/>
    <w:rsid w:val="00E82D1F"/>
    <w:rsid w:val="00EA7209"/>
    <w:rsid w:val="00EE24A3"/>
    <w:rsid w:val="00F41DB7"/>
    <w:rsid w:val="00F66BF8"/>
    <w:rsid w:val="00F718E2"/>
    <w:rsid w:val="01123DCB"/>
    <w:rsid w:val="04605F9B"/>
    <w:rsid w:val="08DD2FD7"/>
    <w:rsid w:val="09366BBE"/>
    <w:rsid w:val="09E473D4"/>
    <w:rsid w:val="0A967B92"/>
    <w:rsid w:val="0CDA472C"/>
    <w:rsid w:val="0D7559A3"/>
    <w:rsid w:val="103C6FF6"/>
    <w:rsid w:val="117E78A5"/>
    <w:rsid w:val="128B6423"/>
    <w:rsid w:val="13730A5F"/>
    <w:rsid w:val="16946B4B"/>
    <w:rsid w:val="19135F47"/>
    <w:rsid w:val="1D4B58FC"/>
    <w:rsid w:val="1DCE45B7"/>
    <w:rsid w:val="20544CB8"/>
    <w:rsid w:val="205A38ED"/>
    <w:rsid w:val="20711667"/>
    <w:rsid w:val="23FE1DA2"/>
    <w:rsid w:val="278704A5"/>
    <w:rsid w:val="287A0DAF"/>
    <w:rsid w:val="2C9F4E9B"/>
    <w:rsid w:val="2CF10EB7"/>
    <w:rsid w:val="2D3D0830"/>
    <w:rsid w:val="2D4F3172"/>
    <w:rsid w:val="2E412DD6"/>
    <w:rsid w:val="2EAA5E8B"/>
    <w:rsid w:val="2EEC05A0"/>
    <w:rsid w:val="36726698"/>
    <w:rsid w:val="36761A31"/>
    <w:rsid w:val="37FE167F"/>
    <w:rsid w:val="3CF60E3E"/>
    <w:rsid w:val="3D6C6367"/>
    <w:rsid w:val="411F700C"/>
    <w:rsid w:val="42CB2A5B"/>
    <w:rsid w:val="47057BB5"/>
    <w:rsid w:val="47DA37B8"/>
    <w:rsid w:val="4B1F4F3D"/>
    <w:rsid w:val="4BB320C6"/>
    <w:rsid w:val="4BDE13BD"/>
    <w:rsid w:val="4C713C57"/>
    <w:rsid w:val="4E0B024D"/>
    <w:rsid w:val="50F96A91"/>
    <w:rsid w:val="528B03F8"/>
    <w:rsid w:val="568E38AB"/>
    <w:rsid w:val="58F20754"/>
    <w:rsid w:val="592A2859"/>
    <w:rsid w:val="59934979"/>
    <w:rsid w:val="5BE53D5D"/>
    <w:rsid w:val="5D686C0C"/>
    <w:rsid w:val="5D707473"/>
    <w:rsid w:val="62775988"/>
    <w:rsid w:val="6764553C"/>
    <w:rsid w:val="67E27BED"/>
    <w:rsid w:val="67F91B2C"/>
    <w:rsid w:val="68AE2D6E"/>
    <w:rsid w:val="6A61711B"/>
    <w:rsid w:val="6CE374DC"/>
    <w:rsid w:val="6F5B62C3"/>
    <w:rsid w:val="794837D3"/>
    <w:rsid w:val="798D2570"/>
    <w:rsid w:val="7CDE5119"/>
    <w:rsid w:val="7DBA3EA7"/>
    <w:rsid w:val="7E6C1B26"/>
    <w:rsid w:val="7EF506A2"/>
    <w:rsid w:val="7F967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151"/>
    </w:pPr>
    <w:rPr>
      <w:sz w:val="32"/>
      <w:szCs w:val="32"/>
    </w:rPr>
  </w:style>
  <w:style w:type="paragraph" w:styleId="12">
    <w:name w:val="Balloon Text"/>
    <w:basedOn w:val="1"/>
    <w:link w:val="21"/>
    <w:semiHidden/>
    <w:unhideWhenUsed/>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Normal (Web)"/>
    <w:basedOn w:val="1"/>
    <w:unhideWhenUsed/>
    <w:qFormat/>
    <w:uiPriority w:val="0"/>
    <w:pPr>
      <w:spacing w:beforeAutospacing="1" w:afterAutospacing="1"/>
    </w:pPr>
    <w:rPr>
      <w:rFonts w:cs="Times New Roman"/>
      <w:sz w:val="24"/>
      <w:lang w:val="en-US" w:bidi="ar-SA"/>
    </w:rPr>
  </w:style>
  <w:style w:type="table" w:styleId="1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List Paragraph"/>
    <w:basedOn w:val="1"/>
    <w:qFormat/>
    <w:uiPriority w:val="1"/>
    <w:pPr>
      <w:ind w:left="151" w:firstLine="628"/>
    </w:pPr>
  </w:style>
  <w:style w:type="paragraph" w:customStyle="1" w:styleId="20">
    <w:name w:val="Table Paragraph"/>
    <w:basedOn w:val="1"/>
    <w:qFormat/>
    <w:uiPriority w:val="1"/>
    <w:rPr>
      <w:rFonts w:ascii="宋体" w:hAnsi="宋体" w:eastAsia="宋体" w:cs="宋体"/>
    </w:rPr>
  </w:style>
  <w:style w:type="character" w:customStyle="1" w:styleId="21">
    <w:name w:val="批注框文本 Char"/>
    <w:basedOn w:val="18"/>
    <w:link w:val="12"/>
    <w:semiHidden/>
    <w:uiPriority w:val="0"/>
    <w:rPr>
      <w:rFonts w:ascii="方正仿宋_GBK" w:hAnsi="方正仿宋_GBK" w:eastAsia="方正仿宋_GBK" w:cs="方正仿宋_GBK"/>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372</Words>
  <Characters>2125</Characters>
  <Lines>17</Lines>
  <Paragraphs>4</Paragraphs>
  <TotalTime>54</TotalTime>
  <ScaleCrop>false</ScaleCrop>
  <LinksUpToDate>false</LinksUpToDate>
  <CharactersWithSpaces>2493</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2021-02-01T05:31:00Z</dcterms:created>
  <dc:creator>Administrator</dc:creator>
  <cp:lastModifiedBy>杨咩咩。绵绵绵</cp:lastModifiedBy>
  <cp:lastPrinted>2021-01-28T01:55:00Z</cp:lastPrinted>
  <dcterms:modified xsi:type="dcterms:W3CDTF">2021-02-01T07:52:05Z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y fmtid="{D5CDD505-2E9C-101B-9397-08002B2CF9AE}" pid="3" name="KSOSaveFontToCloudKey">
    <vt:lpwstr>482964796_cloud</vt:lpwstr>
  </property>
</Properties>
</file>