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4C25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 w14:paraId="2FA090B4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临淄区信访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局2024年政府信息公开工作</w:t>
      </w:r>
    </w:p>
    <w:p w14:paraId="2BE15148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年度报告</w:t>
      </w:r>
    </w:p>
    <w:p w14:paraId="63C7B668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14:paraId="054F7392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14:paraId="5FEF2634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本年度报告中所列数据的统计期限自2024年1月1日起，至2024年12月31日止。如对报告内容有疑问，请与临淄区</w:t>
      </w:r>
      <w:r>
        <w:rPr>
          <w:rFonts w:ascii="微软雅黑" w:hAnsi="微软雅黑" w:eastAsia="微软雅黑" w:cs="仿宋_GB2312"/>
          <w:sz w:val="32"/>
          <w:szCs w:val="32"/>
        </w:rPr>
        <w:t>信访</w:t>
      </w:r>
      <w:r>
        <w:rPr>
          <w:rFonts w:hint="eastAsia" w:ascii="微软雅黑" w:hAnsi="微软雅黑" w:eastAsia="微软雅黑" w:cs="仿宋_GB2312"/>
          <w:sz w:val="32"/>
          <w:szCs w:val="32"/>
        </w:rPr>
        <w:t>局办公室联系（地址：临淄区人民路</w:t>
      </w:r>
      <w:r>
        <w:rPr>
          <w:rFonts w:ascii="微软雅黑" w:hAnsi="微软雅黑" w:eastAsia="微软雅黑" w:cs="仿宋_GB2312"/>
          <w:sz w:val="32"/>
          <w:szCs w:val="32"/>
        </w:rPr>
        <w:t>728</w:t>
      </w:r>
      <w:r>
        <w:rPr>
          <w:rFonts w:hint="eastAsia" w:ascii="微软雅黑" w:hAnsi="微软雅黑" w:eastAsia="微软雅黑" w:cs="仿宋_GB2312"/>
          <w:sz w:val="32"/>
          <w:szCs w:val="32"/>
        </w:rPr>
        <w:t>号；邮编：</w:t>
      </w:r>
      <w:r>
        <w:rPr>
          <w:rFonts w:ascii="微软雅黑" w:hAnsi="微软雅黑" w:eastAsia="微软雅黑" w:cs="仿宋_GB2312"/>
          <w:sz w:val="32"/>
          <w:szCs w:val="32"/>
        </w:rPr>
        <w:t>255400</w:t>
      </w:r>
      <w:r>
        <w:rPr>
          <w:rFonts w:hint="eastAsia" w:ascii="微软雅黑" w:hAnsi="微软雅黑" w:eastAsia="微软雅黑" w:cs="仿宋_GB2312"/>
          <w:sz w:val="32"/>
          <w:szCs w:val="32"/>
        </w:rPr>
        <w:t>；电话：</w:t>
      </w:r>
      <w:r>
        <w:rPr>
          <w:rFonts w:ascii="微软雅黑" w:hAnsi="微软雅黑" w:eastAsia="微软雅黑" w:cs="仿宋_GB2312"/>
          <w:sz w:val="32"/>
          <w:szCs w:val="32"/>
        </w:rPr>
        <w:t>0533-7220362</w:t>
      </w:r>
      <w:r>
        <w:rPr>
          <w:rFonts w:hint="eastAsia" w:ascii="微软雅黑" w:hAnsi="微软雅黑" w:eastAsia="微软雅黑" w:cs="仿宋_GB2312"/>
          <w:sz w:val="32"/>
          <w:szCs w:val="32"/>
        </w:rPr>
        <w:t>；电子邮箱：</w:t>
      </w:r>
      <w:r>
        <w:rPr>
          <w:rFonts w:ascii="微软雅黑" w:hAnsi="微软雅黑" w:eastAsia="微软雅黑" w:cs="仿宋_GB2312"/>
          <w:sz w:val="32"/>
          <w:szCs w:val="32"/>
        </w:rPr>
        <w:t>lzqxfjbgs@zb.shandong.cn</w:t>
      </w:r>
      <w:r>
        <w:rPr>
          <w:rFonts w:hint="eastAsia" w:ascii="微软雅黑" w:hAnsi="微软雅黑" w:eastAsia="微软雅黑" w:cs="仿宋_GB2312"/>
          <w:sz w:val="32"/>
          <w:szCs w:val="32"/>
        </w:rPr>
        <w:t>）。</w:t>
      </w:r>
    </w:p>
    <w:p w14:paraId="4FB269F9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微软雅黑" w:hAnsi="微软雅黑" w:eastAsia="微软雅黑" w:cs="黑体"/>
          <w:color w:val="333333"/>
          <w:sz w:val="32"/>
          <w:szCs w:val="32"/>
        </w:rPr>
      </w:pPr>
      <w:r>
        <w:rPr>
          <w:rFonts w:hint="eastAsia" w:ascii="微软雅黑" w:hAnsi="微软雅黑" w:eastAsia="微软雅黑" w:cs="黑体"/>
          <w:b/>
          <w:color w:val="333333"/>
          <w:sz w:val="32"/>
          <w:szCs w:val="32"/>
          <w:shd w:val="clear" w:color="auto" w:fill="FFFFFF"/>
        </w:rPr>
        <w:t>一、总体情况</w:t>
      </w:r>
    </w:p>
    <w:p w14:paraId="05B9D6EB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ascii="微软雅黑" w:hAnsi="微软雅黑" w:eastAsia="微软雅黑" w:cs="仿宋_GB2312"/>
          <w:sz w:val="32"/>
          <w:szCs w:val="32"/>
        </w:rPr>
        <w:t>2024年，在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委、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政府的正确领导下，坚持以习近平新时代中国特色社会主义思想为指导，全面贯彻党的二十大和二十届二中、三中全会精神，深入学习贯彻习近平总书记对</w:t>
      </w:r>
      <w:r>
        <w:rPr>
          <w:rFonts w:hint="eastAsia" w:ascii="微软雅黑" w:hAnsi="微软雅黑" w:eastAsia="微软雅黑" w:cs="仿宋_GB2312"/>
          <w:sz w:val="32"/>
          <w:szCs w:val="32"/>
        </w:rPr>
        <w:t>山东</w:t>
      </w:r>
      <w:r>
        <w:rPr>
          <w:rFonts w:ascii="微软雅黑" w:hAnsi="微软雅黑" w:eastAsia="微软雅黑" w:cs="仿宋_GB2312"/>
          <w:sz w:val="32"/>
          <w:szCs w:val="32"/>
        </w:rPr>
        <w:t>系列重要讲话和重要指示精神，认真落实省、市</w:t>
      </w:r>
      <w:r>
        <w:rPr>
          <w:rFonts w:hint="eastAsia" w:ascii="微软雅黑" w:hAnsi="微软雅黑" w:eastAsia="微软雅黑" w:cs="仿宋_GB2312"/>
          <w:sz w:val="32"/>
          <w:szCs w:val="32"/>
        </w:rPr>
        <w:t>、</w:t>
      </w:r>
      <w:r>
        <w:rPr>
          <w:rFonts w:ascii="微软雅黑" w:hAnsi="微软雅黑" w:eastAsia="微软雅黑" w:cs="仿宋_GB2312"/>
          <w:sz w:val="32"/>
          <w:szCs w:val="32"/>
        </w:rPr>
        <w:t>区关于政务公开工作部署，紧紧围绕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工作和社会公众关切，积极提高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工作透明度，不断优化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政务公开工作质量，提升人民群众对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工作的满意度，推动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工作取得新成效。</w:t>
      </w:r>
    </w:p>
    <w:p w14:paraId="2F18EFC5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(一)主动公开方面。</w:t>
      </w:r>
      <w:r>
        <w:rPr>
          <w:rFonts w:ascii="微软雅黑" w:hAnsi="微软雅黑" w:eastAsia="微软雅黑" w:cs="仿宋_GB2312"/>
          <w:sz w:val="32"/>
          <w:szCs w:val="32"/>
        </w:rPr>
        <w:t>2024年，我局通过政府门户网站政府信息公开平台主动公开政府信息36条，其中，</w:t>
      </w:r>
      <w:r>
        <w:rPr>
          <w:rFonts w:hint="eastAsia" w:ascii="微软雅黑" w:hAnsi="微软雅黑" w:eastAsia="微软雅黑" w:cs="仿宋_GB2312"/>
          <w:sz w:val="32"/>
          <w:szCs w:val="32"/>
        </w:rPr>
        <w:t>业务工作11条，</w:t>
      </w:r>
      <w:r>
        <w:rPr>
          <w:rFonts w:ascii="微软雅黑" w:hAnsi="微软雅黑" w:eastAsia="微软雅黑" w:cs="仿宋_GB2312"/>
          <w:sz w:val="32"/>
          <w:szCs w:val="32"/>
        </w:rPr>
        <w:t>机构职能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财政</w:t>
      </w:r>
      <w:r>
        <w:rPr>
          <w:rFonts w:ascii="微软雅黑" w:hAnsi="微软雅黑" w:eastAsia="微软雅黑" w:cs="仿宋_GB2312"/>
          <w:sz w:val="32"/>
          <w:szCs w:val="32"/>
        </w:rPr>
        <w:t>信息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政府信息</w:t>
      </w:r>
      <w:r>
        <w:rPr>
          <w:rFonts w:ascii="微软雅黑" w:hAnsi="微软雅黑" w:eastAsia="微软雅黑" w:cs="仿宋_GB2312"/>
          <w:sz w:val="32"/>
          <w:szCs w:val="32"/>
        </w:rPr>
        <w:t>公开工作</w:t>
      </w:r>
      <w:r>
        <w:rPr>
          <w:rFonts w:hint="eastAsia" w:ascii="微软雅黑" w:hAnsi="微软雅黑" w:eastAsia="微软雅黑" w:cs="仿宋_GB2312"/>
          <w:sz w:val="32"/>
          <w:szCs w:val="32"/>
        </w:rPr>
        <w:t>年度</w:t>
      </w:r>
      <w:r>
        <w:rPr>
          <w:rFonts w:ascii="微软雅黑" w:hAnsi="微软雅黑" w:eastAsia="微软雅黑" w:cs="仿宋_GB2312"/>
          <w:sz w:val="32"/>
          <w:szCs w:val="32"/>
        </w:rPr>
        <w:t>报告1</w:t>
      </w:r>
      <w:r>
        <w:rPr>
          <w:rFonts w:hint="eastAsia" w:ascii="微软雅黑" w:hAnsi="微软雅黑" w:eastAsia="微软雅黑" w:cs="仿宋_GB2312"/>
          <w:sz w:val="32"/>
          <w:szCs w:val="32"/>
        </w:rPr>
        <w:t>条，</w:t>
      </w:r>
      <w:r>
        <w:rPr>
          <w:rFonts w:ascii="微软雅黑" w:hAnsi="微软雅黑" w:eastAsia="微软雅黑" w:cs="仿宋_GB2312"/>
          <w:sz w:val="32"/>
          <w:szCs w:val="32"/>
        </w:rPr>
        <w:t>其他信息</w:t>
      </w:r>
      <w:r>
        <w:rPr>
          <w:rFonts w:hint="eastAsia" w:ascii="微软雅黑" w:hAnsi="微软雅黑" w:eastAsia="微软雅黑" w:cs="仿宋_GB2312"/>
          <w:sz w:val="32"/>
          <w:szCs w:val="32"/>
        </w:rPr>
        <w:t>16条</w:t>
      </w:r>
      <w:r>
        <w:rPr>
          <w:rFonts w:ascii="微软雅黑" w:hAnsi="微软雅黑" w:eastAsia="微软雅黑" w:cs="仿宋_GB2312"/>
          <w:sz w:val="32"/>
          <w:szCs w:val="32"/>
        </w:rPr>
        <w:t>。</w:t>
      </w:r>
    </w:p>
    <w:p w14:paraId="7DBE60CA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202</w:t>
      </w:r>
      <w:r>
        <w:rPr>
          <w:rFonts w:ascii="微软雅黑" w:hAnsi="微软雅黑" w:eastAsia="微软雅黑"/>
          <w:sz w:val="32"/>
          <w:szCs w:val="32"/>
          <w:shd w:val="clear" w:color="auto" w:fill="FFFFFF"/>
        </w:rPr>
        <w:t>4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年我局收到公民政府信息公开申请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  <w:lang w:val="en-US" w:eastAsia="zh-CN"/>
        </w:rPr>
        <w:t>2件，已办结2件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。</w:t>
      </w:r>
    </w:p>
    <w:p w14:paraId="53271682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(三)政府信息管理方面。</w:t>
      </w:r>
      <w:r>
        <w:rPr>
          <w:rFonts w:ascii="微软雅黑" w:hAnsi="微软雅黑" w:eastAsia="微软雅黑" w:cs="仿宋_GB2312"/>
          <w:sz w:val="32"/>
          <w:szCs w:val="32"/>
        </w:rPr>
        <w:t>定期收集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系统的公开信息，严格落实信息发布审核机制，规范信息公开的发布流程，对公开信息严格把关，落实内容保障机制。扎实推进政府信息公开工作，进一步提高主动公开的标准化、规范化水平。</w:t>
      </w:r>
    </w:p>
    <w:p w14:paraId="14882040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四)平台建设方面。安排专人负责信息公开平台的栏目内容更新及日常维护管理，确保信息更新及时、内容准确。加强重点领域信息公开，落实重点领域板块信访管理的信息公开，坚持把群众最关心的热点、难点问题作为信息公开的重点。</w:t>
      </w:r>
    </w:p>
    <w:p w14:paraId="7D212879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(五)监督保障方面。加强临淄区信访局政府信息公开平台规范化建设和管理，做好信息公开平台内容安全监测和问题整改工作。</w:t>
      </w:r>
      <w:r>
        <w:rPr>
          <w:rFonts w:ascii="微软雅黑" w:hAnsi="微软雅黑" w:eastAsia="微软雅黑" w:cs="仿宋_GB2312"/>
          <w:sz w:val="32"/>
          <w:szCs w:val="32"/>
        </w:rPr>
        <w:t>2024年，未发生因信息公开失当引发负面社会评议和责任追究情况。</w:t>
      </w:r>
    </w:p>
    <w:p w14:paraId="2AB60118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二、主动公开政府信息情况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6A3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4B2F8EC0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（一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42DA2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54E6BB19">
            <w:pPr>
              <w:spacing w:before="135"/>
              <w:ind w:right="2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670E9FC5">
            <w:pPr>
              <w:spacing w:before="135"/>
              <w:ind w:left="216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5603E984">
            <w:pPr>
              <w:spacing w:before="135"/>
              <w:ind w:left="275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5D5E8439">
            <w:pPr>
              <w:spacing w:before="130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现行有效件数</w:t>
            </w:r>
          </w:p>
        </w:tc>
      </w:tr>
      <w:tr w14:paraId="362D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0D2B7231">
            <w:pPr>
              <w:spacing w:before="147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3BD653F1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1196F45D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36FEAFCE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765A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3A6A750A">
            <w:pPr>
              <w:spacing w:before="138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08E01B83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0B671AF7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57EB06A9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60080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0D946A86"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（五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7386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26C707FF">
            <w:pPr>
              <w:spacing w:before="138"/>
              <w:ind w:right="1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42D6FC0B">
            <w:pPr>
              <w:spacing w:before="142"/>
              <w:ind w:right="1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 w14:paraId="5D8CA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14E59C0B">
            <w:pPr>
              <w:spacing w:before="140"/>
              <w:ind w:left="9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1AC9C055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27BB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31B5B33E"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（六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5809E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63286842">
            <w:pPr>
              <w:spacing w:before="142"/>
              <w:ind w:right="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4C4D7D7E">
            <w:pPr>
              <w:spacing w:before="142"/>
              <w:ind w:right="1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 w14:paraId="667E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3E291B93">
            <w:pPr>
              <w:spacing w:before="139"/>
              <w:ind w:left="102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0F0D4156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59F0A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3AB1D955"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33AF4878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2D622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6729FDD0"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（八） 项</w:t>
            </w:r>
          </w:p>
        </w:tc>
      </w:tr>
      <w:tr w14:paraId="5F8BE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79A1F800">
            <w:pPr>
              <w:spacing w:before="135"/>
              <w:ind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A82D">
            <w:pPr>
              <w:spacing w:before="145"/>
              <w:ind w:left="144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本年收费金额  （单位 ：万元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</w:p>
        </w:tc>
      </w:tr>
      <w:tr w14:paraId="03C26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4DB05B63"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587B270C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</w:tbl>
    <w:p w14:paraId="67099072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46C1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41BA337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1900595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申请人情况</w:t>
            </w:r>
          </w:p>
        </w:tc>
      </w:tr>
      <w:tr w14:paraId="7544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22E5E2E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9EE94C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78EC91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3C770C5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 w14:paraId="43B9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3CD29D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</w:tcPr>
          <w:p w14:paraId="0AF0980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B72E1D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6586E3A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0D3999D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422C9B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2C88727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1B2F6EE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755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4D54BDF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4" w:type="dxa"/>
          </w:tcPr>
          <w:p w14:paraId="21841356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73B92DC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28CF7AE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550F799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</w:tcPr>
          <w:p w14:paraId="63CE90C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4D9A00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DFAECDC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</w:tr>
      <w:tr w14:paraId="772D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5071182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4" w:type="dxa"/>
          </w:tcPr>
          <w:p w14:paraId="6283C7D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A9AA45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C2A228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0D138E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7AA29B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D319B3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21B71E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2F2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09E1119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477828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2F4335D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8CAE23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D7D3E3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C205AB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1C82ED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F08582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A74BB5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AC1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5FD5ED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</w:tcPr>
          <w:p w14:paraId="31DA65B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7FDE32B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AC403F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8C135C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650191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54E332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B03832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11BE00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3E8D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03F5216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7C790DE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3DE3A6A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659CD5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82EBEB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0A7B428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9FF5E6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56A37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591D0E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58AEDAB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683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0D3616A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D7156D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3B3D288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4A22AAE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10A4A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3EB79DB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5F2DA4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85F329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E455CE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5A88A20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7F3B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76D968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A54F9E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384DF0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14:paraId="6CE343C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276A3D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F1DF3E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BE36C4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5E7783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1A3B33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5B3F7F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DEC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6177C68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9BAC3F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907B6E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1693F39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3CECBE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1FFD98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C584A8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AFA9E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C326B9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734E1F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51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5A5DF0E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4FCCECB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3022C7D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02255A7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A8650E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4C4A87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96A53E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6F80B6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884A4D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975D9C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C02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790BB92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9B0E88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A08D0D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46DA162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093521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4323C4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08E81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D1931B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06AECA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6D033B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A92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9E8A6F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90EE07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948544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279489E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B04E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0B4965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D3E520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9F27B0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1872A4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116119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62C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1FDB5BB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E2549A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4D36BC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682F95C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D7D18C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67485BD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60AF66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F9456B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61DD52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816318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A01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698D6C3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74B086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7AFAB31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75E7ED7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CBC9B0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245454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BC847D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7BCE33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3D0E34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E362CB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734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208E581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053753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C6EF22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131C3BA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47E4F6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1B33F2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CCD340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5B28B1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C519AE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FA4000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DC4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2C14DB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E00EBD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9363B4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75EA94B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8FAEC0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0AC8BB3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C61DCD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9D6B52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E5013F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3C5664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3DE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3052F91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31C905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14:paraId="41098B5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28FB39B2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</w:tcPr>
          <w:p w14:paraId="78FC295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7BB0D77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6D868C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9FE06A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25198D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DBA512B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0D1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5A5717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44C8298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5E5188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01D5BB3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F3EEB1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452510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8300D1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580625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8D7F89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3C10E61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197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66D5B9F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248FBE2B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0DDB9D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4CC431F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9FA20D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77F93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63A9B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B12272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16DEED6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2DB34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704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11F1108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1AE02B0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D4346A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0A98CF1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6D71F1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641455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031DC6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0AD25C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7FA56C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73A1DF5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926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4308C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708BDB3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C121809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1D2B6A2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3D8A4D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2A90C1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098A68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734189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054F90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5C01AD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4AC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AD7678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C501EF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75679900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14:paraId="2071F3D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DCB359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3BFF08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53FAF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1866F1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18CB2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39ED3AC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88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B7CFDC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2373042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FA24B2A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14:paraId="2904B1E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6D2591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735292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0C570C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10C053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6BF439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07DA69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666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2205EC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5FBB3BC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B40486F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6E38D7C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8BF367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AD977B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12F99E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F27E4C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198D798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8403E4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B20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487368E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49BBC3B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2B7AB94E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</w:tcPr>
          <w:p w14:paraId="78E80E9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50A0EA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D6C5A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DA45D9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4A1FEF2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0AB6270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F77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093B416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4" w:type="dxa"/>
          </w:tcPr>
          <w:p w14:paraId="3CB9E125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</w:tcPr>
          <w:p w14:paraId="654EC8C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6E3AFBF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A0D9A6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251CC3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85CEFC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24D7587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6E1713D">
      <w:pPr>
        <w:rPr>
          <w:rFonts w:ascii="Times New Roman" w:hAnsi="Times New Roman"/>
        </w:rPr>
      </w:pPr>
    </w:p>
    <w:p w14:paraId="77003C14">
      <w:pPr>
        <w:ind w:firstLine="640" w:firstLineChars="20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1DD2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312DBFC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161EB93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行政诉讼</w:t>
            </w:r>
          </w:p>
        </w:tc>
      </w:tr>
      <w:tr w14:paraId="69CD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0E71BEA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7EBE2A2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4DD64B4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1041699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53D803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7E5B3E6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3AEEE4B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复议后起诉</w:t>
            </w:r>
          </w:p>
        </w:tc>
      </w:tr>
      <w:tr w14:paraId="0A25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724CD83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2747C3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18C52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24646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282DCEE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F4BE3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6737356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2B5FCC2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1C85DF7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305D7CA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011A23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7166D8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778FB5C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1779101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B0EB0F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 w14:paraId="2437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4B05CA6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67736F6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B853DD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6044B2E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58BC51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5771E1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578F008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51BEF6A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6503929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2C944C8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B372E1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13ACDD6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D537C3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669D289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744A80B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</w:tr>
    </w:tbl>
    <w:p w14:paraId="5D4CE10A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14:paraId="1A0998DB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（一）存在</w:t>
      </w:r>
      <w:r>
        <w:rPr>
          <w:rFonts w:ascii="微软雅黑" w:hAnsi="微软雅黑" w:eastAsia="微软雅黑" w:cs="仿宋_GB2312"/>
          <w:sz w:val="32"/>
          <w:szCs w:val="32"/>
        </w:rPr>
        <w:t>问题：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一是政府信息公开平台的管理有待优化，</w:t>
      </w:r>
      <w:r>
        <w:rPr>
          <w:rFonts w:hint="eastAsia" w:ascii="微软雅黑" w:hAnsi="微软雅黑" w:eastAsia="微软雅黑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信息公开的互动性有待提升</w:t>
      </w:r>
      <w:r>
        <w:rPr>
          <w:rFonts w:hint="eastAsia" w:ascii="微软雅黑" w:hAnsi="微软雅黑" w:eastAsia="微软雅黑" w:cs="仿宋_GB2312"/>
          <w:sz w:val="32"/>
          <w:szCs w:val="32"/>
        </w:rPr>
        <w:t>；二是政府信息公开的内容还不够全面、深入，重点领域信息公开力度有待加强；三是政策解读方式方法有待改进，政策解读质量有待加强。</w:t>
      </w:r>
    </w:p>
    <w:p w14:paraId="56AF1A5C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（二）改进</w:t>
      </w:r>
      <w:r>
        <w:rPr>
          <w:rFonts w:ascii="微软雅黑" w:hAnsi="微软雅黑" w:eastAsia="微软雅黑" w:cs="仿宋_GB2312"/>
          <w:sz w:val="32"/>
          <w:szCs w:val="32"/>
        </w:rPr>
        <w:t>措施：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进一步优化政府信息公开平台的管理维护，丰富公开内容，拓宽公开渠道，创新公开方式，增强与公众的互动交流，及时回应公众关切。二是进一步拓展政务公开的广度和深度，加强重点领域信息公开力度，确保信息公开的全面性、准确性和及时性。三是进一步提高信息公开服务水平，扩大信息公开的影响力和覆盖面，提升政务公开的质量和实效。</w:t>
      </w:r>
    </w:p>
    <w:p w14:paraId="610F3CED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14:paraId="2604652A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（一）依申请公开信息处理费收费情况。</w:t>
      </w:r>
    </w:p>
    <w:p w14:paraId="7289DF73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无收取信息处理费情况。</w:t>
      </w:r>
    </w:p>
    <w:p w14:paraId="64CA6E5A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（二）本年度建议提案办理情况。</w:t>
      </w:r>
    </w:p>
    <w:p w14:paraId="03CFF042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2024年，通过网站公开人大代表建议办理情况0件，公开政协委员提案办理情况0件。</w:t>
      </w:r>
    </w:p>
    <w:p w14:paraId="6C3BC86F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（三）年度政务公开工作创新情况。</w:t>
      </w:r>
    </w:p>
    <w:p w14:paraId="257517A9">
      <w:pPr>
        <w:widowControl/>
        <w:ind w:firstLine="640" w:firstLineChars="200"/>
        <w:jc w:val="left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2024年，每月初在网站</w:t>
      </w:r>
      <w:r>
        <w:rPr>
          <w:rFonts w:ascii="微软雅黑" w:hAnsi="微软雅黑" w:eastAsia="微软雅黑" w:cs="仿宋_GB2312"/>
          <w:sz w:val="32"/>
          <w:szCs w:val="32"/>
        </w:rPr>
        <w:t>公开《</w:t>
      </w:r>
      <w:r>
        <w:rPr>
          <w:rFonts w:hint="eastAsia" w:ascii="微软雅黑" w:hAnsi="微软雅黑" w:eastAsia="微软雅黑" w:cs="仿宋_GB2312"/>
          <w:sz w:val="32"/>
          <w:szCs w:val="32"/>
        </w:rPr>
        <w:t>区级</w:t>
      </w:r>
      <w:r>
        <w:rPr>
          <w:rFonts w:ascii="微软雅黑" w:hAnsi="微软雅黑" w:eastAsia="微软雅黑" w:cs="仿宋_GB2312"/>
          <w:sz w:val="32"/>
          <w:szCs w:val="32"/>
        </w:rPr>
        <w:t>领导公开接访时间安排表》</w:t>
      </w:r>
      <w:r>
        <w:rPr>
          <w:rFonts w:hint="eastAsia" w:ascii="微软雅黑" w:hAnsi="微软雅黑" w:eastAsia="微软雅黑" w:cs="仿宋_GB2312"/>
          <w:sz w:val="32"/>
          <w:szCs w:val="32"/>
        </w:rPr>
        <w:t>，</w:t>
      </w:r>
      <w:r>
        <w:rPr>
          <w:rFonts w:ascii="微软雅黑" w:hAnsi="微软雅黑" w:eastAsia="微软雅黑" w:cs="仿宋_GB2312"/>
          <w:sz w:val="32"/>
          <w:szCs w:val="32"/>
        </w:rPr>
        <w:t>进一步畅通群众信访渠道，依法及时就地解决群众合理合法诉求</w:t>
      </w:r>
      <w:r>
        <w:rPr>
          <w:rFonts w:hint="eastAsia" w:ascii="微软雅黑" w:hAnsi="微软雅黑" w:eastAsia="微软雅黑" w:cs="仿宋_GB2312"/>
          <w:sz w:val="32"/>
          <w:szCs w:val="32"/>
        </w:rPr>
        <w:t>。</w:t>
      </w:r>
    </w:p>
    <w:p w14:paraId="0A016D13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（四）年度工作要点落实情况。</w:t>
      </w:r>
    </w:p>
    <w:p w14:paraId="46AD4357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 w:cs="仿宋_GB2312"/>
          <w:kern w:val="2"/>
          <w:sz w:val="32"/>
          <w:szCs w:val="32"/>
        </w:rPr>
        <w:t>认真贯彻落实《中华人民共和国政府信息公开条例》，主动公开政府信息数量，不断提高信息公开意识和服务水平，做到主动公开、及时公开、全面公开。</w:t>
      </w:r>
    </w:p>
    <w:p w14:paraId="7C1D9A08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1C"/>
    <w:rsid w:val="00307899"/>
    <w:rsid w:val="003A5A3D"/>
    <w:rsid w:val="0043038E"/>
    <w:rsid w:val="00434E1A"/>
    <w:rsid w:val="007F1E60"/>
    <w:rsid w:val="00A3211C"/>
    <w:rsid w:val="00AF341C"/>
    <w:rsid w:val="00BC2EED"/>
    <w:rsid w:val="00BE722A"/>
    <w:rsid w:val="00F01C50"/>
    <w:rsid w:val="00F41ABA"/>
    <w:rsid w:val="05AC3972"/>
    <w:rsid w:val="1F534D38"/>
    <w:rsid w:val="1F790DCE"/>
    <w:rsid w:val="FFD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7"/>
    <w:semiHidden/>
    <w:qFormat/>
    <w:uiPriority w:val="99"/>
  </w:style>
  <w:style w:type="character" w:customStyle="1" w:styleId="11">
    <w:name w:val="批注文字 字符1"/>
    <w:basedOn w:val="7"/>
    <w:link w:val="2"/>
    <w:semiHidden/>
    <w:qFormat/>
    <w:locked/>
    <w:uiPriority w:val="0"/>
    <w:rPr>
      <w:rFonts w:ascii="Calibri" w:hAnsi="Calibri" w:eastAsia="宋体" w:cs="Times New Roma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1296</Words>
  <Characters>1363</Characters>
  <Lines>18</Lines>
  <Paragraphs>5</Paragraphs>
  <TotalTime>95</TotalTime>
  <ScaleCrop>false</ScaleCrop>
  <LinksUpToDate>false</LinksUpToDate>
  <CharactersWithSpaces>1378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2025-01-20T16:34:00Z</dcterms:created>
  <dc:creator>Administrator</dc:creator>
  <cp:lastModifiedBy>小孙</cp:lastModifiedBy>
  <dcterms:modified xsi:type="dcterms:W3CDTF">2026-02-28T03:04:39Z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eyJoZGlkIjoiN2NiMzA3ZTFhNWJjZjQ4NzA5ZGFlMGE1YTc5ODQ0NDYiLCJ1c2VySWQiOiIzMTI3NzI1ODgifQ==</vt:lpwstr>
  </property>
  <property fmtid="{D5CDD505-2E9C-101B-9397-08002B2CF9AE}" pid="4" name="ICV">
    <vt:lpwstr>47B5667AFC85436C95F6380FAAAEDCA8_12</vt:lpwstr>
  </property>
</Properties>
</file>