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77" w:rsidRDefault="00922377">
      <w:pPr>
        <w:rPr>
          <w:rFonts w:ascii="Times New Roman" w:hAnsi="Times New Roman"/>
        </w:rPr>
      </w:pPr>
    </w:p>
    <w:p w:rsidR="00922377" w:rsidRDefault="00487655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临淄区信访局</w:t>
      </w:r>
    </w:p>
    <w:p w:rsidR="00922377" w:rsidRDefault="00487655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</w:t>
      </w:r>
      <w:r>
        <w:rPr>
          <w:rFonts w:ascii="Times New Roman" w:eastAsia="方正小标宋简体" w:hAnsi="Times New Roman"/>
          <w:sz w:val="44"/>
          <w:szCs w:val="44"/>
        </w:rPr>
        <w:t>2</w:t>
      </w:r>
      <w:r w:rsidR="00C735FE">
        <w:rPr>
          <w:rFonts w:ascii="Times New Roman" w:eastAsia="方正小标宋简体" w:hAnsi="Times New Roman"/>
          <w:sz w:val="44"/>
          <w:szCs w:val="44"/>
        </w:rPr>
        <w:t>2</w:t>
      </w:r>
      <w:r>
        <w:rPr>
          <w:rFonts w:ascii="Times New Roman" w:eastAsia="方正小标宋简体" w:hAnsi="Times New Roman" w:hint="eastAsia"/>
          <w:sz w:val="44"/>
          <w:szCs w:val="44"/>
        </w:rPr>
        <w:t>年政府信息公开工作年度报告</w:t>
      </w:r>
    </w:p>
    <w:p w:rsidR="00922377" w:rsidRDefault="00922377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22377" w:rsidRDefault="00487655">
      <w:pPr>
        <w:ind w:firstLineChars="200" w:firstLine="640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本报告按照《国务院办公厅政府信息与政务公开办公室关于印发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&lt;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中华人民共和国政府信息公开工作年度报告格式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&gt;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的通知》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(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国办公开办函〔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20</w:t>
      </w:r>
      <w:r>
        <w:rPr>
          <w:rFonts w:ascii="Times New Roman" w:eastAsia="仿宋" w:hAnsi="Times New Roman"/>
          <w:color w:val="000000"/>
          <w:sz w:val="32"/>
          <w:szCs w:val="32"/>
        </w:rPr>
        <w:t>21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〕</w:t>
      </w:r>
      <w:r>
        <w:rPr>
          <w:rFonts w:ascii="Times New Roman" w:eastAsia="仿宋" w:hAnsi="Times New Roman"/>
          <w:color w:val="000000"/>
          <w:sz w:val="32"/>
          <w:szCs w:val="32"/>
        </w:rPr>
        <w:t>3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0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号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)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20</w:t>
      </w:r>
      <w:r w:rsidR="00C735FE">
        <w:rPr>
          <w:rFonts w:ascii="Times New Roman" w:eastAsia="仿宋" w:hAnsi="Times New Roman"/>
          <w:color w:val="000000"/>
          <w:sz w:val="32"/>
          <w:szCs w:val="32"/>
        </w:rPr>
        <w:t>22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日到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12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31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日止。</w:t>
      </w:r>
      <w:r w:rsidR="005E2FE5"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如对报告内容有疑问，</w:t>
      </w:r>
      <w:r w:rsidR="005E2FE5" w:rsidRPr="00134EF1">
        <w:rPr>
          <w:rFonts w:ascii="Times New Roman" w:eastAsia="仿宋" w:hAnsi="Times New Roman" w:hint="eastAsia"/>
          <w:color w:val="000000"/>
          <w:sz w:val="32"/>
          <w:szCs w:val="32"/>
        </w:rPr>
        <w:t>请与</w:t>
      </w:r>
      <w:r w:rsidR="005E2FE5" w:rsidRPr="00134EF1">
        <w:rPr>
          <w:rFonts w:ascii="Times New Roman" w:eastAsia="仿宋" w:hAnsi="Times New Roman" w:hint="eastAsia"/>
          <w:color w:val="000000"/>
          <w:sz w:val="32"/>
          <w:szCs w:val="32"/>
        </w:rPr>
        <w:t>临淄区信访局</w:t>
      </w:r>
      <w:r w:rsidR="005E2FE5" w:rsidRPr="00134EF1">
        <w:rPr>
          <w:rFonts w:ascii="Times New Roman" w:eastAsia="仿宋" w:hAnsi="Times New Roman" w:hint="eastAsia"/>
          <w:color w:val="000000"/>
          <w:sz w:val="32"/>
          <w:szCs w:val="32"/>
        </w:rPr>
        <w:t>办公室联系（地址：临淄区</w:t>
      </w:r>
      <w:r w:rsidR="005E2FE5" w:rsidRPr="00134EF1">
        <w:rPr>
          <w:rFonts w:ascii="Times New Roman" w:eastAsia="仿宋" w:hAnsi="Times New Roman" w:hint="eastAsia"/>
          <w:color w:val="000000"/>
          <w:sz w:val="32"/>
          <w:szCs w:val="32"/>
        </w:rPr>
        <w:t>人民</w:t>
      </w:r>
      <w:r w:rsidR="005E2FE5" w:rsidRPr="00134EF1">
        <w:rPr>
          <w:rFonts w:ascii="Times New Roman" w:eastAsia="仿宋" w:hAnsi="Times New Roman" w:hint="eastAsia"/>
          <w:color w:val="000000"/>
          <w:sz w:val="32"/>
          <w:szCs w:val="32"/>
        </w:rPr>
        <w:t>路</w:t>
      </w:r>
      <w:r w:rsidR="005E2FE5" w:rsidRPr="00134EF1">
        <w:rPr>
          <w:rFonts w:ascii="Times New Roman" w:eastAsia="仿宋" w:hAnsi="Times New Roman"/>
          <w:color w:val="000000"/>
          <w:sz w:val="32"/>
          <w:szCs w:val="32"/>
        </w:rPr>
        <w:t>728</w:t>
      </w:r>
      <w:r w:rsidR="005E2FE5" w:rsidRPr="00134EF1">
        <w:rPr>
          <w:rFonts w:ascii="Times New Roman" w:eastAsia="仿宋" w:hAnsi="Times New Roman" w:hint="eastAsia"/>
          <w:color w:val="000000"/>
          <w:sz w:val="32"/>
          <w:szCs w:val="32"/>
        </w:rPr>
        <w:t>号；邮编：</w:t>
      </w:r>
      <w:r w:rsidR="005E2FE5" w:rsidRPr="00134EF1">
        <w:rPr>
          <w:rFonts w:ascii="Times New Roman" w:eastAsia="仿宋" w:hAnsi="Times New Roman"/>
          <w:color w:val="000000"/>
          <w:sz w:val="32"/>
          <w:szCs w:val="32"/>
        </w:rPr>
        <w:t>255400</w:t>
      </w:r>
      <w:r w:rsidR="005E2FE5" w:rsidRPr="00134EF1">
        <w:rPr>
          <w:rFonts w:ascii="Times New Roman" w:eastAsia="仿宋" w:hAnsi="Times New Roman" w:hint="eastAsia"/>
          <w:color w:val="000000"/>
          <w:sz w:val="32"/>
          <w:szCs w:val="32"/>
        </w:rPr>
        <w:t>；电话：</w:t>
      </w:r>
      <w:r w:rsidR="005E2FE5" w:rsidRPr="00134EF1">
        <w:rPr>
          <w:rFonts w:ascii="Times New Roman" w:eastAsia="仿宋" w:hAnsi="Times New Roman"/>
          <w:color w:val="000000"/>
          <w:sz w:val="32"/>
          <w:szCs w:val="32"/>
        </w:rPr>
        <w:t>0533-</w:t>
      </w:r>
      <w:r w:rsidR="005E2FE5" w:rsidRPr="00134EF1">
        <w:rPr>
          <w:rFonts w:ascii="Times New Roman" w:eastAsia="仿宋" w:hAnsi="Times New Roman"/>
          <w:color w:val="000000"/>
          <w:sz w:val="32"/>
          <w:szCs w:val="32"/>
        </w:rPr>
        <w:t>7220362</w:t>
      </w:r>
      <w:r w:rsidR="005E2FE5" w:rsidRPr="00134EF1">
        <w:rPr>
          <w:rFonts w:ascii="Times New Roman" w:eastAsia="仿宋" w:hAnsi="Times New Roman" w:hint="eastAsia"/>
          <w:color w:val="000000"/>
          <w:sz w:val="32"/>
          <w:szCs w:val="32"/>
        </w:rPr>
        <w:t>；</w:t>
      </w:r>
      <w:r w:rsidR="005E2FE5" w:rsidRPr="00134EF1">
        <w:rPr>
          <w:rFonts w:ascii="Times New Roman" w:eastAsia="仿宋" w:hAnsi="Times New Roman"/>
          <w:color w:val="000000"/>
          <w:sz w:val="32"/>
          <w:szCs w:val="32"/>
        </w:rPr>
        <w:t>邮箱：</w:t>
      </w:r>
      <w:r w:rsidR="005E2FE5" w:rsidRPr="00134EF1">
        <w:rPr>
          <w:rFonts w:ascii="Times New Roman" w:eastAsia="仿宋" w:hAnsi="Times New Roman"/>
          <w:color w:val="000000"/>
          <w:sz w:val="32"/>
          <w:szCs w:val="32"/>
        </w:rPr>
        <w:t>lzqxfjbgs@zb.shandong.cn</w:t>
      </w:r>
      <w:r w:rsidR="005E2FE5" w:rsidRPr="00134EF1">
        <w:rPr>
          <w:rFonts w:ascii="Times New Roman" w:eastAsia="仿宋" w:hAnsi="Times New Roman" w:hint="eastAsia"/>
          <w:color w:val="000000"/>
          <w:sz w:val="32"/>
          <w:szCs w:val="32"/>
        </w:rPr>
        <w:t>）</w:t>
      </w:r>
      <w:r w:rsidR="005E2FE5" w:rsidRPr="00134EF1">
        <w:rPr>
          <w:rFonts w:ascii="Times New Roman" w:eastAsia="仿宋" w:hAnsi="Times New Roman" w:hint="eastAsia"/>
          <w:color w:val="000000"/>
          <w:sz w:val="32"/>
          <w:szCs w:val="32"/>
        </w:rPr>
        <w:t>。</w:t>
      </w:r>
    </w:p>
    <w:p w:rsidR="00922377" w:rsidRDefault="00487655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    </w:t>
      </w:r>
      <w:r>
        <w:rPr>
          <w:rFonts w:ascii="Times New Roman" w:eastAsia="黑体" w:hAnsi="Times New Roman" w:hint="eastAsia"/>
          <w:sz w:val="32"/>
          <w:szCs w:val="32"/>
        </w:rPr>
        <w:t>一、总体情况</w:t>
      </w:r>
    </w:p>
    <w:p w:rsidR="00922377" w:rsidRDefault="00487655">
      <w:pPr>
        <w:ind w:firstLine="648"/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202</w:t>
      </w:r>
      <w:r w:rsidR="00C735FE"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2</w:t>
      </w:r>
      <w:r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年，临淄区信访局在区政务公开办</w:t>
      </w:r>
      <w:r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的</w:t>
      </w:r>
      <w:r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指导</w:t>
      </w:r>
      <w:r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下</w:t>
      </w:r>
      <w:r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，</w:t>
      </w:r>
      <w:r w:rsidR="00C735FE" w:rsidRPr="00C735FE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认真贯彻落实《中华人民共和国政府信息公开条例》</w:t>
      </w:r>
      <w:r w:rsidR="00C735FE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，</w:t>
      </w:r>
      <w:r w:rsidR="00C735FE" w:rsidRPr="00C735FE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紧紧围绕</w:t>
      </w:r>
      <w:r w:rsidR="00402F0B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省</w:t>
      </w:r>
      <w:r w:rsidR="00402F0B"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政府办公厅印发</w:t>
      </w:r>
      <w:r w:rsidR="00C735FE" w:rsidRPr="00C735FE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《</w:t>
      </w:r>
      <w:r w:rsidR="00402F0B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政府信息</w:t>
      </w:r>
      <w:r w:rsidR="00402F0B"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公开工作年度</w:t>
      </w:r>
      <w:r w:rsidR="00402F0B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报告</w:t>
      </w:r>
      <w:r w:rsidR="00402F0B"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编发指南</w:t>
      </w:r>
      <w:r w:rsidR="00C735FE" w:rsidRPr="00C735FE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》相关要求</w:t>
      </w:r>
      <w:r w:rsidR="00402F0B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，</w:t>
      </w:r>
      <w:r w:rsidR="00185EBD" w:rsidRPr="00185EBD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结合信访</w:t>
      </w:r>
      <w:r w:rsidR="00185EBD" w:rsidRPr="00185EBD"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管理</w:t>
      </w:r>
      <w:r w:rsidR="00185EBD" w:rsidRPr="00185EBD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工作实际，丰富公开形式，健全公开制度，加大公开力度，不断提高政策解读质量，提升信访工作领域公开水平，以公开促透明、以透明促发展，不断提升</w:t>
      </w:r>
      <w:r w:rsidR="00185EBD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政府</w:t>
      </w:r>
      <w:r w:rsidR="00185EBD" w:rsidRPr="00185EBD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t>公信力和透</w:t>
      </w:r>
      <w:r w:rsidR="00185EBD" w:rsidRPr="00185EBD">
        <w:rPr>
          <w:rFonts w:ascii="Times New Roman" w:eastAsia="仿宋" w:hAnsi="Times New Roman" w:hint="eastAsia"/>
          <w:color w:val="000000"/>
          <w:sz w:val="31"/>
          <w:szCs w:val="31"/>
          <w:shd w:val="clear" w:color="auto" w:fill="FFFFFF"/>
        </w:rPr>
        <w:lastRenderedPageBreak/>
        <w:t>明度。</w:t>
      </w:r>
      <w:r>
        <w:rPr>
          <w:rFonts w:ascii="Times New Roman" w:eastAsia="仿宋" w:hAnsi="Times New Roman"/>
          <w:color w:val="000000"/>
          <w:sz w:val="31"/>
          <w:szCs w:val="31"/>
          <w:shd w:val="clear" w:color="auto" w:fill="FFFFFF"/>
        </w:rPr>
        <w:t>通过</w:t>
      </w:r>
      <w:r>
        <w:rPr>
          <w:rFonts w:ascii="仿宋_GB2312" w:eastAsia="仿宋_GB2312" w:hAnsi="Arial" w:cs="Arial" w:hint="eastAsia"/>
          <w:color w:val="333333"/>
          <w:spacing w:val="10"/>
          <w:sz w:val="32"/>
          <w:szCs w:val="32"/>
          <w:shd w:val="clear" w:color="auto" w:fill="FFFFFF"/>
        </w:rPr>
        <w:t>公众号、网络媒体等形式进行信息公开与宣传，持续提高工作成效，以</w:t>
      </w:r>
      <w:r>
        <w:rPr>
          <w:rFonts w:ascii="仿宋_GB2312" w:eastAsia="仿宋_GB2312" w:hAnsi="Arial" w:cs="Arial"/>
          <w:color w:val="333333"/>
          <w:spacing w:val="10"/>
          <w:sz w:val="32"/>
          <w:szCs w:val="32"/>
          <w:shd w:val="clear" w:color="auto" w:fill="FFFFFF"/>
        </w:rPr>
        <w:t>利民、便民为中心，着力创新政府信息公开形式</w:t>
      </w:r>
      <w:r>
        <w:rPr>
          <w:rFonts w:ascii="仿宋_GB2312" w:eastAsia="仿宋_GB2312" w:hAnsi="Arial" w:cs="Arial" w:hint="eastAsia"/>
          <w:color w:val="333333"/>
          <w:spacing w:val="10"/>
          <w:sz w:val="32"/>
          <w:szCs w:val="32"/>
          <w:shd w:val="clear" w:color="auto" w:fill="FFFFFF"/>
        </w:rPr>
        <w:t>。</w:t>
      </w:r>
    </w:p>
    <w:p w:rsidR="00922377" w:rsidRDefault="00487655">
      <w:pPr>
        <w:pStyle w:val="a9"/>
        <w:numPr>
          <w:ilvl w:val="0"/>
          <w:numId w:val="1"/>
        </w:numPr>
        <w:ind w:firstLineChars="0"/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主动公开信息情况</w:t>
      </w:r>
    </w:p>
    <w:p w:rsidR="008A0A84" w:rsidRPr="00134EF1" w:rsidRDefault="00487655" w:rsidP="00134EF1">
      <w:pPr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临淄区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信访局认真学习贯彻《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中华人民共和国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政府信息公开条例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》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和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《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临淄</w:t>
      </w:r>
      <w:r>
        <w:rPr>
          <w:rFonts w:ascii="仿宋_GB2312" w:eastAsia="仿宋_GB2312" w:hint="eastAsia"/>
          <w:color w:val="0C0C0C"/>
          <w:sz w:val="32"/>
          <w:szCs w:val="32"/>
          <w:shd w:val="clear" w:color="auto" w:fill="FFFFFF"/>
        </w:rPr>
        <w:t>人民政府办公室关于印发</w:t>
      </w:r>
      <w:r>
        <w:rPr>
          <w:rFonts w:ascii="Times New Roman" w:hAnsi="Times New Roman" w:cs="Times New Roman"/>
          <w:color w:val="0C0C0C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int="eastAsia"/>
          <w:color w:val="0C0C0C"/>
          <w:sz w:val="32"/>
          <w:szCs w:val="32"/>
          <w:shd w:val="clear" w:color="auto" w:fill="FFFFFF"/>
        </w:rPr>
        <w:t>年临淄区政务公开工作要点的通知》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要求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围绕</w:t>
      </w:r>
      <w:r>
        <w:rPr>
          <w:rFonts w:ascii="仿宋_GB2312" w:eastAsia="仿宋_GB2312" w:hint="eastAsia"/>
          <w:color w:val="0C0C0C"/>
          <w:sz w:val="32"/>
          <w:szCs w:val="32"/>
          <w:shd w:val="clear" w:color="auto" w:fill="FFFFFF"/>
        </w:rPr>
        <w:t>全局中心工作及民生</w:t>
      </w:r>
      <w:r>
        <w:rPr>
          <w:rFonts w:ascii="仿宋_GB2312" w:eastAsia="仿宋_GB2312"/>
          <w:color w:val="0C0C0C"/>
          <w:sz w:val="32"/>
          <w:szCs w:val="32"/>
          <w:shd w:val="clear" w:color="auto" w:fill="FFFFFF"/>
        </w:rPr>
        <w:t>保障重点工作，</w:t>
      </w:r>
      <w:r w:rsidR="00203A37">
        <w:rPr>
          <w:rFonts w:ascii="仿宋_GB2312" w:eastAsia="仿宋_GB2312" w:hint="eastAsia"/>
          <w:color w:val="0C0C0C"/>
          <w:sz w:val="32"/>
          <w:szCs w:val="32"/>
          <w:shd w:val="clear" w:color="auto" w:fill="FFFFFF"/>
        </w:rPr>
        <w:t>2022年度</w:t>
      </w:r>
      <w:r>
        <w:rPr>
          <w:rFonts w:ascii="仿宋_GB2312" w:eastAsia="仿宋_GB2312" w:hint="eastAsia"/>
          <w:color w:val="0C0C0C"/>
          <w:sz w:val="32"/>
          <w:szCs w:val="32"/>
          <w:shd w:val="clear" w:color="auto" w:fill="FFFFFF"/>
        </w:rPr>
        <w:t>通过</w:t>
      </w:r>
      <w:r>
        <w:rPr>
          <w:rFonts w:ascii="仿宋_GB2312" w:eastAsia="仿宋_GB2312"/>
          <w:color w:val="0C0C0C"/>
          <w:sz w:val="32"/>
          <w:szCs w:val="32"/>
          <w:shd w:val="clear" w:color="auto" w:fill="FFFFFF"/>
        </w:rPr>
        <w:t>临淄区人民政府网站信息</w:t>
      </w:r>
      <w:r>
        <w:rPr>
          <w:rFonts w:ascii="仿宋_GB2312" w:eastAsia="仿宋_GB2312" w:hint="eastAsia"/>
          <w:color w:val="0C0C0C"/>
          <w:sz w:val="32"/>
          <w:szCs w:val="32"/>
          <w:shd w:val="clear" w:color="auto" w:fill="FFFFFF"/>
        </w:rPr>
        <w:t>公开</w:t>
      </w:r>
      <w:r>
        <w:rPr>
          <w:rFonts w:ascii="仿宋_GB2312" w:eastAsia="仿宋_GB2312"/>
          <w:color w:val="0C0C0C"/>
          <w:sz w:val="32"/>
          <w:szCs w:val="32"/>
          <w:shd w:val="clear" w:color="auto" w:fill="FFFFFF"/>
        </w:rPr>
        <w:t>平台公开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各类信息</w:t>
      </w:r>
      <w:r w:rsidR="00203A37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121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条，其中业务工作</w:t>
      </w:r>
      <w:r w:rsidR="00203A37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</w:t>
      </w:r>
      <w:r w:rsidR="00226CD2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条、法规公文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条、政府会议</w:t>
      </w:r>
      <w:r w:rsidR="00226CD2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条、民生公益</w:t>
      </w:r>
      <w:r w:rsidR="00226CD2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条、财政信息</w:t>
      </w:r>
      <w:r w:rsidR="00226CD2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条、</w:t>
      </w:r>
      <w:r w:rsidR="00226CD2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部门</w:t>
      </w:r>
      <w:r w:rsidR="00226CD2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单位</w:t>
      </w:r>
      <w:r w:rsidR="00226CD2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</w:t>
      </w:r>
      <w:r w:rsidR="00226CD2"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条</w:t>
      </w:r>
      <w:r w:rsidR="00226CD2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其他</w:t>
      </w:r>
      <w:r w:rsidR="00226CD2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97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条。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通过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临淄信访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微信公众平台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推送文章</w:t>
      </w:r>
      <w:r w:rsidR="00226CD2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83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条。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撰写政务公开相关信息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15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篇。</w:t>
      </w:r>
    </w:p>
    <w:p w:rsidR="00922377" w:rsidRDefault="00487655">
      <w:pPr>
        <w:widowControl/>
        <w:spacing w:line="560" w:lineRule="atLeast"/>
        <w:ind w:firstLine="640"/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（二）依申请公开情况</w:t>
      </w:r>
    </w:p>
    <w:p w:rsidR="003116A7" w:rsidRDefault="003116A7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hAnsi="Times New Roman" w:cs="Times New Roman"/>
          <w:color w:val="0C0C0C"/>
          <w:sz w:val="32"/>
          <w:szCs w:val="32"/>
          <w:shd w:val="clear" w:color="auto" w:fill="FFFFFF"/>
        </w:rPr>
      </w:pPr>
      <w:r w:rsidRPr="003116A7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2022</w:t>
      </w:r>
      <w:r w:rsidRPr="003116A7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年我局未收到公民、法人和其他组织的政府信息公开申请，没有发生行政复议和行政诉讼情况。</w:t>
      </w:r>
    </w:p>
    <w:p w:rsidR="003116A7" w:rsidRPr="005E2FE5" w:rsidRDefault="005E2FE5" w:rsidP="005E2FE5">
      <w:pPr>
        <w:widowControl/>
        <w:shd w:val="clear" w:color="auto" w:fill="FFFFFF"/>
        <w:spacing w:line="600" w:lineRule="exact"/>
        <w:ind w:left="640"/>
        <w:jc w:val="left"/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（三）</w:t>
      </w:r>
      <w:r w:rsidR="008A0A84" w:rsidRPr="005E2FE5"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政府信息管理情况</w:t>
      </w:r>
    </w:p>
    <w:p w:rsidR="003116A7" w:rsidRPr="003116A7" w:rsidRDefault="003116A7">
      <w:pPr>
        <w:widowControl/>
        <w:spacing w:line="560" w:lineRule="atLeast"/>
        <w:ind w:firstLine="64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 w:rsidRPr="003116A7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 </w:t>
      </w:r>
      <w:r w:rsidRPr="003116A7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严格执行“分级审核、先审后发”的信息发布程序，落实三审制，明确审核流程，严把政治关、政策关、保密关、文字关，确保信息发布准确、安全、高效。</w:t>
      </w:r>
    </w:p>
    <w:p w:rsidR="003116A7" w:rsidRPr="005E2FE5" w:rsidRDefault="005E2FE5" w:rsidP="005E2FE5">
      <w:pPr>
        <w:widowControl/>
        <w:spacing w:line="560" w:lineRule="atLeast"/>
        <w:ind w:left="640"/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（四）</w:t>
      </w:r>
      <w:r w:rsidR="00487655" w:rsidRPr="005E2FE5"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政府</w:t>
      </w:r>
      <w:r w:rsidR="00487655" w:rsidRPr="005E2FE5"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  <w:t>信息公开</w:t>
      </w:r>
      <w:r w:rsidR="008A0A84" w:rsidRPr="005E2FE5"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平台建设情况</w:t>
      </w:r>
    </w:p>
    <w:p w:rsidR="00134EF1" w:rsidRDefault="00134EF1" w:rsidP="00134EF1">
      <w:pPr>
        <w:widowControl/>
        <w:spacing w:line="560" w:lineRule="atLeast"/>
        <w:ind w:firstLineChars="200" w:firstLine="64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 w:rsidRPr="00134EF1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规范化建设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临淄区信访局</w:t>
      </w:r>
      <w:r w:rsidRPr="00134EF1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信息公开专栏，紧紧围绕我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局</w:t>
      </w:r>
      <w:r w:rsidRPr="00134EF1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中心工作，及时准确公开群众普遍关注的重点领域内容，对</w:t>
      </w:r>
      <w:r w:rsidRPr="00134EF1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lastRenderedPageBreak/>
        <w:t>涉及的法规政策、部门文件等及时予以公开。加强与政务媒体联动，通过微信公众号等新媒体全面加强疫情防控、法律法规、政策宣传解读和工作信息发布，积极营造良好的舆论环境。</w:t>
      </w:r>
    </w:p>
    <w:p w:rsidR="003116A7" w:rsidRPr="005E2FE5" w:rsidRDefault="005E2FE5" w:rsidP="00134EF1">
      <w:pPr>
        <w:widowControl/>
        <w:spacing w:line="560" w:lineRule="atLeas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（五）</w:t>
      </w:r>
      <w:r w:rsidR="008A0A84" w:rsidRPr="005E2FE5"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监督保障情况</w:t>
      </w:r>
    </w:p>
    <w:p w:rsidR="003116A7" w:rsidRDefault="003116A7">
      <w:pPr>
        <w:ind w:firstLine="648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 w:rsidRPr="003116A7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按要求经常开展政务公开自查，找准问题，及时完成任务，并接受上级检查考核，根据测评反馈问题，及时对照问题明细整改落实，上报整改报告，不断提升信息公开质量。组织召开政务公开工作培训会，集中学习《政府信息公开工作年度报告编发指南》。定期公开我局政府信息公开工作考核、社会评议和责任追究制度等信息。</w:t>
      </w:r>
      <w:r w:rsidRPr="003116A7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2022</w:t>
      </w:r>
      <w:r w:rsidRPr="003116A7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年我局未出现因信息公开不到位需要进行责任追究的情况。</w:t>
      </w:r>
    </w:p>
    <w:p w:rsidR="00922377" w:rsidRDefault="00487655">
      <w:pPr>
        <w:ind w:firstLine="648"/>
        <w:rPr>
          <w:rFonts w:ascii="Times New Roman" w:eastAsia="黑体" w:hAnsi="Times New Roman"/>
          <w:sz w:val="32"/>
          <w:szCs w:val="32"/>
        </w:rPr>
      </w:pPr>
      <w:r w:rsidRPr="003116A7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二</w:t>
      </w:r>
      <w:r>
        <w:rPr>
          <w:rFonts w:ascii="Times New Roman" w:eastAsia="黑体" w:hAnsi="Times New Roman" w:hint="eastAsia"/>
          <w:sz w:val="32"/>
          <w:szCs w:val="32"/>
        </w:rPr>
        <w:t>、主动公开政府信息情况</w:t>
      </w:r>
    </w:p>
    <w:p w:rsidR="00922377" w:rsidRDefault="00922377">
      <w:pPr>
        <w:spacing w:before="9"/>
        <w:jc w:val="left"/>
        <w:rPr>
          <w:rFonts w:ascii="Times New Roman" w:eastAsia="宋体" w:hAnsi="Times New Roman" w:cs="宋体"/>
          <w:kern w:val="0"/>
          <w:szCs w:val="21"/>
        </w:rPr>
      </w:pPr>
    </w:p>
    <w:tbl>
      <w:tblPr>
        <w:tblStyle w:val="TableNormal"/>
        <w:tblW w:w="8124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3284"/>
        <w:gridCol w:w="1686"/>
        <w:gridCol w:w="1803"/>
        <w:gridCol w:w="1351"/>
      </w:tblGrid>
      <w:tr w:rsidR="00922377">
        <w:trPr>
          <w:trHeight w:hRule="exact" w:val="621"/>
        </w:trPr>
        <w:tc>
          <w:tcPr>
            <w:tcW w:w="8124" w:type="dxa"/>
            <w:gridSpan w:val="4"/>
            <w:tcBorders>
              <w:top w:val="single" w:sz="8" w:space="0" w:color="2B283F"/>
              <w:left w:val="single" w:sz="6" w:space="0" w:color="3B3B44"/>
              <w:bottom w:val="single" w:sz="4" w:space="0" w:color="64647C"/>
              <w:right w:val="single" w:sz="8" w:space="0" w:color="3B3B44"/>
            </w:tcBorders>
          </w:tcPr>
          <w:p w:rsidR="00922377" w:rsidRDefault="00487655"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第二十条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第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（一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项</w:t>
            </w:r>
          </w:p>
        </w:tc>
      </w:tr>
      <w:tr w:rsidR="00922377">
        <w:trPr>
          <w:trHeight w:hRule="exact" w:val="616"/>
        </w:trPr>
        <w:tc>
          <w:tcPr>
            <w:tcW w:w="3284" w:type="dxa"/>
            <w:tcBorders>
              <w:top w:val="single" w:sz="4" w:space="0" w:color="64647C"/>
              <w:left w:val="single" w:sz="6" w:space="0" w:color="3B3B44"/>
              <w:bottom w:val="single" w:sz="4" w:space="0" w:color="707790"/>
              <w:right w:val="single" w:sz="4" w:space="0" w:color="7C7C83"/>
            </w:tcBorders>
          </w:tcPr>
          <w:p w:rsidR="00922377" w:rsidRDefault="00487655">
            <w:pPr>
              <w:spacing w:before="135"/>
              <w:ind w:right="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信息内容</w:t>
            </w:r>
          </w:p>
        </w:tc>
        <w:tc>
          <w:tcPr>
            <w:tcW w:w="1686" w:type="dxa"/>
            <w:tcBorders>
              <w:top w:val="single" w:sz="4" w:space="0" w:color="64647C"/>
              <w:left w:val="single" w:sz="4" w:space="0" w:color="7C7C83"/>
              <w:bottom w:val="single" w:sz="4" w:space="0" w:color="707790"/>
              <w:right w:val="single" w:sz="4" w:space="0" w:color="777780"/>
            </w:tcBorders>
          </w:tcPr>
          <w:p w:rsidR="00922377" w:rsidRDefault="00487655">
            <w:pPr>
              <w:spacing w:before="135"/>
              <w:ind w:left="21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本年制发件数</w:t>
            </w:r>
          </w:p>
        </w:tc>
        <w:tc>
          <w:tcPr>
            <w:tcW w:w="1803" w:type="dxa"/>
            <w:tcBorders>
              <w:top w:val="single" w:sz="4" w:space="0" w:color="64647C"/>
              <w:left w:val="single" w:sz="4" w:space="0" w:color="777780"/>
              <w:bottom w:val="single" w:sz="4" w:space="0" w:color="835B67"/>
              <w:right w:val="single" w:sz="2" w:space="0" w:color="606064"/>
            </w:tcBorders>
          </w:tcPr>
          <w:p w:rsidR="00922377" w:rsidRDefault="00487655">
            <w:pPr>
              <w:spacing w:before="135"/>
              <w:ind w:left="27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本年废止件数</w:t>
            </w:r>
          </w:p>
        </w:tc>
        <w:tc>
          <w:tcPr>
            <w:tcW w:w="1351" w:type="dxa"/>
            <w:tcBorders>
              <w:top w:val="single" w:sz="4" w:space="0" w:color="64647C"/>
              <w:left w:val="single" w:sz="2" w:space="0" w:color="606064"/>
              <w:bottom w:val="single" w:sz="4" w:space="0" w:color="835B67"/>
              <w:right w:val="single" w:sz="8" w:space="0" w:color="3B3B44"/>
            </w:tcBorders>
          </w:tcPr>
          <w:p w:rsidR="00922377" w:rsidRDefault="00487655">
            <w:pPr>
              <w:spacing w:before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现行有效件数</w:t>
            </w:r>
          </w:p>
        </w:tc>
      </w:tr>
      <w:tr w:rsidR="00922377">
        <w:trPr>
          <w:trHeight w:hRule="exact" w:val="628"/>
        </w:trPr>
        <w:tc>
          <w:tcPr>
            <w:tcW w:w="3284" w:type="dxa"/>
            <w:tcBorders>
              <w:top w:val="single" w:sz="4" w:space="0" w:color="707790"/>
              <w:left w:val="single" w:sz="6" w:space="0" w:color="3B3B44"/>
              <w:bottom w:val="single" w:sz="4" w:space="0" w:color="747487"/>
              <w:right w:val="single" w:sz="4" w:space="0" w:color="97979C"/>
            </w:tcBorders>
          </w:tcPr>
          <w:p w:rsidR="00922377" w:rsidRDefault="00487655">
            <w:pPr>
              <w:spacing w:before="147"/>
              <w:ind w:left="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规章</w:t>
            </w:r>
          </w:p>
        </w:tc>
        <w:tc>
          <w:tcPr>
            <w:tcW w:w="1686" w:type="dxa"/>
            <w:tcBorders>
              <w:top w:val="single" w:sz="4" w:space="0" w:color="707790"/>
              <w:left w:val="single" w:sz="4" w:space="0" w:color="97979C"/>
              <w:bottom w:val="single" w:sz="4" w:space="0" w:color="747487"/>
              <w:right w:val="single" w:sz="4" w:space="0" w:color="939397"/>
            </w:tcBorders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803" w:type="dxa"/>
            <w:tcBorders>
              <w:top w:val="single" w:sz="4" w:space="0" w:color="835B67"/>
              <w:left w:val="single" w:sz="4" w:space="0" w:color="939397"/>
              <w:bottom w:val="single" w:sz="2" w:space="0" w:color="546080"/>
              <w:right w:val="single" w:sz="4" w:space="0" w:color="97939C"/>
            </w:tcBorders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351" w:type="dxa"/>
            <w:tcBorders>
              <w:top w:val="single" w:sz="4" w:space="0" w:color="835B67"/>
              <w:left w:val="single" w:sz="4" w:space="0" w:color="97939C"/>
              <w:bottom w:val="single" w:sz="4" w:space="0" w:color="74778C"/>
              <w:right w:val="single" w:sz="8" w:space="0" w:color="3B3B3F"/>
            </w:tcBorders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22377">
        <w:trPr>
          <w:trHeight w:hRule="exact" w:val="621"/>
        </w:trPr>
        <w:tc>
          <w:tcPr>
            <w:tcW w:w="3284" w:type="dxa"/>
            <w:tcBorders>
              <w:top w:val="single" w:sz="4" w:space="0" w:color="747487"/>
              <w:left w:val="single" w:sz="6" w:space="0" w:color="3B3B44"/>
              <w:bottom w:val="single" w:sz="4" w:space="0" w:color="5B6080"/>
              <w:right w:val="single" w:sz="4" w:space="0" w:color="97979C"/>
            </w:tcBorders>
          </w:tcPr>
          <w:p w:rsidR="00922377" w:rsidRDefault="00487655">
            <w:pPr>
              <w:spacing w:before="138"/>
              <w:ind w:left="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行政规范性文件</w:t>
            </w:r>
          </w:p>
        </w:tc>
        <w:tc>
          <w:tcPr>
            <w:tcW w:w="1686" w:type="dxa"/>
            <w:tcBorders>
              <w:top w:val="single" w:sz="4" w:space="0" w:color="747487"/>
              <w:left w:val="single" w:sz="4" w:space="0" w:color="97979C"/>
              <w:bottom w:val="single" w:sz="4" w:space="0" w:color="5B6080"/>
              <w:right w:val="single" w:sz="4" w:space="0" w:color="939397"/>
            </w:tcBorders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803" w:type="dxa"/>
            <w:tcBorders>
              <w:top w:val="single" w:sz="2" w:space="0" w:color="546080"/>
              <w:left w:val="single" w:sz="4" w:space="0" w:color="939397"/>
              <w:bottom w:val="single" w:sz="4" w:space="0" w:color="5B6080"/>
              <w:right w:val="single" w:sz="4" w:space="0" w:color="97939C"/>
            </w:tcBorders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351" w:type="dxa"/>
            <w:tcBorders>
              <w:top w:val="single" w:sz="4" w:space="0" w:color="74778C"/>
              <w:left w:val="single" w:sz="4" w:space="0" w:color="97939C"/>
              <w:bottom w:val="single" w:sz="4" w:space="0" w:color="5B6080"/>
              <w:right w:val="single" w:sz="8" w:space="0" w:color="3B3B3F"/>
            </w:tcBorders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22377">
        <w:trPr>
          <w:trHeight w:hRule="exact" w:val="621"/>
        </w:trPr>
        <w:tc>
          <w:tcPr>
            <w:tcW w:w="8124" w:type="dxa"/>
            <w:gridSpan w:val="4"/>
            <w:tcBorders>
              <w:top w:val="single" w:sz="4" w:space="0" w:color="5B6080"/>
              <w:left w:val="single" w:sz="6" w:space="0" w:color="3B3B44"/>
              <w:bottom w:val="single" w:sz="4" w:space="0" w:color="646B80"/>
              <w:right w:val="single" w:sz="8" w:space="0" w:color="3B3B3F"/>
            </w:tcBorders>
          </w:tcPr>
          <w:p w:rsidR="00922377" w:rsidRDefault="00487655">
            <w:pPr>
              <w:tabs>
                <w:tab w:val="left" w:pos="1049"/>
              </w:tabs>
              <w:spacing w:before="140"/>
              <w:ind w:lef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第二十条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第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（五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项</w:t>
            </w:r>
          </w:p>
        </w:tc>
      </w:tr>
      <w:tr w:rsidR="00922377">
        <w:trPr>
          <w:trHeight w:hRule="exact" w:val="621"/>
        </w:trPr>
        <w:tc>
          <w:tcPr>
            <w:tcW w:w="3284" w:type="dxa"/>
            <w:tcBorders>
              <w:top w:val="single" w:sz="4" w:space="0" w:color="646B80"/>
              <w:left w:val="single" w:sz="6" w:space="0" w:color="3B3B44"/>
              <w:bottom w:val="single" w:sz="4" w:space="0" w:color="80676B"/>
              <w:right w:val="single" w:sz="4" w:space="0" w:color="878787"/>
            </w:tcBorders>
          </w:tcPr>
          <w:p w:rsidR="00922377" w:rsidRDefault="00487655">
            <w:pPr>
              <w:spacing w:before="138"/>
              <w:ind w:right="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646B80"/>
              <w:left w:val="single" w:sz="4" w:space="0" w:color="878787"/>
              <w:bottom w:val="single" w:sz="4" w:space="0" w:color="7C7474"/>
              <w:right w:val="single" w:sz="8" w:space="0" w:color="3B3B3F"/>
            </w:tcBorders>
          </w:tcPr>
          <w:p w:rsidR="00922377" w:rsidRDefault="00487655">
            <w:pPr>
              <w:spacing w:before="142"/>
              <w:ind w:right="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本年处理决定数量</w:t>
            </w:r>
          </w:p>
        </w:tc>
      </w:tr>
      <w:tr w:rsidR="00922377">
        <w:trPr>
          <w:trHeight w:hRule="exact" w:val="621"/>
        </w:trPr>
        <w:tc>
          <w:tcPr>
            <w:tcW w:w="3284" w:type="dxa"/>
            <w:tcBorders>
              <w:top w:val="single" w:sz="4" w:space="0" w:color="80676B"/>
              <w:left w:val="single" w:sz="6" w:space="0" w:color="3B3B44"/>
              <w:bottom w:val="single" w:sz="4" w:space="0" w:color="646487"/>
              <w:right w:val="single" w:sz="4" w:space="0" w:color="878787"/>
            </w:tcBorders>
          </w:tcPr>
          <w:p w:rsidR="00922377" w:rsidRDefault="00487655">
            <w:pPr>
              <w:spacing w:before="140"/>
              <w:ind w:left="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sz="4" w:space="0" w:color="7C7474"/>
              <w:left w:val="single" w:sz="4" w:space="0" w:color="878787"/>
              <w:bottom w:val="single" w:sz="4" w:space="0" w:color="646487"/>
              <w:right w:val="single" w:sz="8" w:space="0" w:color="3B3B3F"/>
            </w:tcBorders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22377">
        <w:trPr>
          <w:trHeight w:hRule="exact" w:val="623"/>
        </w:trPr>
        <w:tc>
          <w:tcPr>
            <w:tcW w:w="8124" w:type="dxa"/>
            <w:gridSpan w:val="4"/>
            <w:tcBorders>
              <w:top w:val="single" w:sz="4" w:space="0" w:color="646487"/>
              <w:left w:val="single" w:sz="6" w:space="0" w:color="3B3B44"/>
              <w:bottom w:val="single" w:sz="4" w:space="0" w:color="607087"/>
              <w:right w:val="single" w:sz="8" w:space="0" w:color="3B3B3F"/>
            </w:tcBorders>
          </w:tcPr>
          <w:p w:rsidR="00922377" w:rsidRDefault="00487655">
            <w:pPr>
              <w:tabs>
                <w:tab w:val="left" w:pos="1059"/>
              </w:tabs>
              <w:spacing w:before="142"/>
              <w:ind w:left="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第二十条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第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（六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项</w:t>
            </w:r>
          </w:p>
        </w:tc>
      </w:tr>
      <w:tr w:rsidR="00922377">
        <w:trPr>
          <w:trHeight w:hRule="exact" w:val="627"/>
        </w:trPr>
        <w:tc>
          <w:tcPr>
            <w:tcW w:w="3284" w:type="dxa"/>
            <w:tcBorders>
              <w:top w:val="single" w:sz="4" w:space="0" w:color="607087"/>
              <w:left w:val="single" w:sz="6" w:space="0" w:color="3B3B44"/>
              <w:bottom w:val="single" w:sz="4" w:space="0" w:color="8C7774"/>
              <w:right w:val="single" w:sz="4" w:space="0" w:color="909093"/>
            </w:tcBorders>
          </w:tcPr>
          <w:p w:rsidR="00922377" w:rsidRDefault="00487655">
            <w:pPr>
              <w:spacing w:before="142"/>
              <w:ind w:right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607087"/>
              <w:left w:val="single" w:sz="4" w:space="0" w:color="909093"/>
              <w:bottom w:val="single" w:sz="4" w:space="0" w:color="747074"/>
              <w:right w:val="single" w:sz="8" w:space="0" w:color="3B3B3F"/>
            </w:tcBorders>
          </w:tcPr>
          <w:p w:rsidR="00922377" w:rsidRDefault="00487655">
            <w:pPr>
              <w:spacing w:before="142"/>
              <w:ind w:right="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本年处理决定数量</w:t>
            </w:r>
          </w:p>
        </w:tc>
      </w:tr>
      <w:tr w:rsidR="00922377">
        <w:trPr>
          <w:trHeight w:hRule="exact" w:val="624"/>
        </w:trPr>
        <w:tc>
          <w:tcPr>
            <w:tcW w:w="3284" w:type="dxa"/>
            <w:tcBorders>
              <w:top w:val="single" w:sz="4" w:space="0" w:color="8C7774"/>
              <w:left w:val="single" w:sz="6" w:space="0" w:color="3B3B44"/>
              <w:bottom w:val="single" w:sz="4" w:space="0" w:color="7C6B74"/>
              <w:right w:val="single" w:sz="4" w:space="0" w:color="909093"/>
            </w:tcBorders>
          </w:tcPr>
          <w:p w:rsidR="00922377" w:rsidRDefault="00487655">
            <w:pPr>
              <w:spacing w:before="139"/>
              <w:ind w:left="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sz="4" w:space="0" w:color="747074"/>
              <w:left w:val="single" w:sz="4" w:space="0" w:color="909093"/>
              <w:bottom w:val="single" w:sz="4" w:space="0" w:color="7C6B74"/>
              <w:right w:val="single" w:sz="8" w:space="0" w:color="3B3B3F"/>
            </w:tcBorders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22377">
        <w:trPr>
          <w:trHeight w:hRule="exact" w:val="618"/>
        </w:trPr>
        <w:tc>
          <w:tcPr>
            <w:tcW w:w="3284" w:type="dxa"/>
            <w:tcBorders>
              <w:top w:val="single" w:sz="4" w:space="0" w:color="7C6B74"/>
              <w:left w:val="single" w:sz="6" w:space="0" w:color="3B3B44"/>
              <w:bottom w:val="single" w:sz="4" w:space="0" w:color="646080"/>
              <w:right w:val="single" w:sz="4" w:space="0" w:color="909093"/>
            </w:tcBorders>
          </w:tcPr>
          <w:p w:rsidR="00922377" w:rsidRDefault="00487655">
            <w:pPr>
              <w:spacing w:before="138"/>
              <w:ind w:left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sz="4" w:space="0" w:color="7C6B74"/>
              <w:left w:val="single" w:sz="4" w:space="0" w:color="909093"/>
              <w:bottom w:val="single" w:sz="4" w:space="0" w:color="646080"/>
              <w:right w:val="single" w:sz="8" w:space="0" w:color="3B3B3F"/>
            </w:tcBorders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22377">
        <w:trPr>
          <w:trHeight w:hRule="exact" w:val="626"/>
        </w:trPr>
        <w:tc>
          <w:tcPr>
            <w:tcW w:w="8124" w:type="dxa"/>
            <w:gridSpan w:val="4"/>
            <w:tcBorders>
              <w:top w:val="single" w:sz="4" w:space="0" w:color="646080"/>
              <w:left w:val="single" w:sz="6" w:space="0" w:color="3B3B44"/>
              <w:bottom w:val="nil"/>
              <w:right w:val="single" w:sz="8" w:space="0" w:color="3B3B3F"/>
            </w:tcBorders>
          </w:tcPr>
          <w:p w:rsidR="00922377" w:rsidRDefault="00487655">
            <w:pPr>
              <w:tabs>
                <w:tab w:val="left" w:pos="1068"/>
              </w:tabs>
              <w:spacing w:before="142"/>
              <w:ind w:left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第二十条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第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（八）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项</w:t>
            </w:r>
          </w:p>
        </w:tc>
      </w:tr>
      <w:tr w:rsidR="00922377">
        <w:trPr>
          <w:trHeight w:hRule="exact" w:val="621"/>
        </w:trPr>
        <w:tc>
          <w:tcPr>
            <w:tcW w:w="3284" w:type="dxa"/>
            <w:tcBorders>
              <w:top w:val="single" w:sz="4" w:space="0" w:color="6B747C"/>
              <w:left w:val="single" w:sz="6" w:space="0" w:color="5B5B60"/>
              <w:bottom w:val="single" w:sz="4" w:space="0" w:color="77778C"/>
              <w:right w:val="single" w:sz="4" w:space="0" w:color="auto"/>
            </w:tcBorders>
          </w:tcPr>
          <w:p w:rsidR="00922377" w:rsidRDefault="00487655">
            <w:pPr>
              <w:spacing w:before="135"/>
              <w:ind w:righ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77" w:rsidRDefault="00487655">
            <w:pPr>
              <w:spacing w:before="145"/>
              <w:ind w:left="14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本年收费金额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（单位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：万元</w:t>
            </w:r>
            <w:r>
              <w:rPr>
                <w:rFonts w:ascii="Times New Roman" w:hAnsi="Times New Roman" w:hint="eastAsia"/>
              </w:rPr>
              <w:t>）</w:t>
            </w:r>
          </w:p>
        </w:tc>
      </w:tr>
      <w:tr w:rsidR="00922377">
        <w:trPr>
          <w:trHeight w:hRule="exact" w:val="626"/>
        </w:trPr>
        <w:tc>
          <w:tcPr>
            <w:tcW w:w="3284" w:type="dxa"/>
            <w:tcBorders>
              <w:top w:val="single" w:sz="4" w:space="0" w:color="77778C"/>
              <w:left w:val="single" w:sz="6" w:space="0" w:color="5B5B60"/>
              <w:bottom w:val="single" w:sz="8" w:space="0" w:color="3B383F"/>
              <w:right w:val="single" w:sz="2" w:space="0" w:color="8C8C93"/>
            </w:tcBorders>
          </w:tcPr>
          <w:p w:rsidR="00922377" w:rsidRDefault="00487655">
            <w:pPr>
              <w:spacing w:before="138"/>
              <w:ind w:left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sz="4" w:space="0" w:color="77778C"/>
              <w:left w:val="single" w:sz="2" w:space="0" w:color="8C8C93"/>
              <w:bottom w:val="single" w:sz="8" w:space="0" w:color="3B383F"/>
              <w:right w:val="single" w:sz="8" w:space="0" w:color="3B3B44"/>
            </w:tcBorders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</w:tbl>
    <w:p w:rsidR="00922377" w:rsidRDefault="00922377">
      <w:pPr>
        <w:rPr>
          <w:rFonts w:ascii="Times New Roman" w:eastAsia="黑体" w:hAnsi="Times New Roman" w:hint="eastAsia"/>
          <w:sz w:val="32"/>
          <w:szCs w:val="32"/>
        </w:rPr>
      </w:pPr>
    </w:p>
    <w:p w:rsidR="00922377" w:rsidRDefault="00487655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三、收到和处理政府信息公开申请情况</w:t>
      </w:r>
    </w:p>
    <w:tbl>
      <w:tblPr>
        <w:tblStyle w:val="a8"/>
        <w:tblW w:w="9398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:rsidR="00922377">
        <w:trPr>
          <w:trHeight w:val="447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:rsidR="00922377" w:rsidRDefault="004876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申请人情况</w:t>
            </w:r>
          </w:p>
        </w:tc>
      </w:tr>
      <w:tr w:rsidR="00922377">
        <w:trPr>
          <w:trHeight w:val="530"/>
          <w:jc w:val="center"/>
        </w:trPr>
        <w:tc>
          <w:tcPr>
            <w:tcW w:w="4713" w:type="dxa"/>
            <w:gridSpan w:val="3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:rsidR="00922377" w:rsidRDefault="004876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总计</w:t>
            </w:r>
          </w:p>
        </w:tc>
      </w:tr>
      <w:tr w:rsidR="00922377">
        <w:trPr>
          <w:trHeight w:val="1125"/>
          <w:jc w:val="center"/>
        </w:trPr>
        <w:tc>
          <w:tcPr>
            <w:tcW w:w="4713" w:type="dxa"/>
            <w:gridSpan w:val="3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922377" w:rsidRDefault="004876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:rsidR="00922377" w:rsidRDefault="004876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:rsidR="00922377" w:rsidRDefault="004876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:rsidR="00922377" w:rsidRDefault="004876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:rsidR="00922377" w:rsidRDefault="0048765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其他</w:t>
            </w:r>
          </w:p>
        </w:tc>
        <w:tc>
          <w:tcPr>
            <w:tcW w:w="665" w:type="dxa"/>
            <w:vMerge/>
            <w:vAlign w:val="center"/>
          </w:tcPr>
          <w:p w:rsidR="00922377" w:rsidRDefault="00922377">
            <w:pPr>
              <w:rPr>
                <w:rFonts w:ascii="Times New Roman" w:hAnsi="Times New Roman"/>
                <w:szCs w:val="21"/>
              </w:rPr>
            </w:pPr>
          </w:p>
        </w:tc>
      </w:tr>
      <w:tr w:rsidR="00922377">
        <w:trPr>
          <w:trHeight w:val="448"/>
          <w:jc w:val="center"/>
        </w:trPr>
        <w:tc>
          <w:tcPr>
            <w:tcW w:w="4713" w:type="dxa"/>
            <w:gridSpan w:val="3"/>
          </w:tcPr>
          <w:p w:rsidR="00922377" w:rsidRDefault="004876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398"/>
          <w:jc w:val="center"/>
        </w:trPr>
        <w:tc>
          <w:tcPr>
            <w:tcW w:w="4713" w:type="dxa"/>
            <w:gridSpan w:val="3"/>
          </w:tcPr>
          <w:p w:rsidR="00922377" w:rsidRDefault="004876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417"/>
          <w:jc w:val="center"/>
        </w:trPr>
        <w:tc>
          <w:tcPr>
            <w:tcW w:w="554" w:type="dxa"/>
            <w:vMerge w:val="restart"/>
            <w:vAlign w:val="center"/>
          </w:tcPr>
          <w:p w:rsidR="00922377" w:rsidRDefault="004876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22377">
        <w:trPr>
          <w:trHeight w:val="144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4159" w:type="dxa"/>
            <w:gridSpan w:val="2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489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425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922377" w:rsidRDefault="009223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．其他法律行政法规禁止公开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418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922377" w:rsidRDefault="009223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．危及“三安全一稳定”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396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922377" w:rsidRDefault="009223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．保护第三方合法权益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22377">
        <w:trPr>
          <w:trHeight w:val="415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922377" w:rsidRDefault="009223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．属于三类内部事务信息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922377">
        <w:trPr>
          <w:trHeight w:val="408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922377" w:rsidRDefault="009223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．属于四类过程性信息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414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922377" w:rsidRDefault="009223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．属于行政执法案卷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420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922377" w:rsidRDefault="009223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．属于行政查询事项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411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．本机关不掌握相关政府信息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417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922377" w:rsidRDefault="009223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．没有现成信息需要另行制作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144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  <w:vAlign w:val="center"/>
          </w:tcPr>
          <w:p w:rsidR="00922377" w:rsidRDefault="009223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．补正后申请内容仍不明确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372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．信访举报投诉类申请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144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．重复申请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382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415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．无正当理由大量反复申请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144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 w:rsidR="00922377" w:rsidRDefault="00487655">
            <w:pPr>
              <w:ind w:left="180" w:hangingChars="100" w:hanging="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144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922377" w:rsidRDefault="004876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:rsidR="00922377" w:rsidRDefault="00487655">
            <w:pPr>
              <w:ind w:left="180" w:hangingChars="100" w:hanging="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144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 w:rsidR="00922377" w:rsidRDefault="00487655">
            <w:pPr>
              <w:ind w:left="180" w:hangingChars="100" w:hanging="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申请人逾期未按收费通知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要求缴纳费用、行政机关不再处理其政府信息公开申请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144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2634" w:type="dxa"/>
          </w:tcPr>
          <w:p w:rsidR="00922377" w:rsidRDefault="00487655">
            <w:pPr>
              <w:ind w:left="180" w:hangingChars="100" w:hanging="18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414"/>
          <w:jc w:val="center"/>
        </w:trPr>
        <w:tc>
          <w:tcPr>
            <w:tcW w:w="554" w:type="dxa"/>
            <w:vMerge/>
          </w:tcPr>
          <w:p w:rsidR="00922377" w:rsidRDefault="00922377">
            <w:pPr>
              <w:rPr>
                <w:rFonts w:ascii="Times New Roman" w:hAnsi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 w:rsidR="00922377" w:rsidRDefault="004876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22377">
        <w:trPr>
          <w:trHeight w:val="312"/>
          <w:jc w:val="center"/>
        </w:trPr>
        <w:tc>
          <w:tcPr>
            <w:tcW w:w="4713" w:type="dxa"/>
            <w:gridSpan w:val="3"/>
            <w:vAlign w:val="center"/>
          </w:tcPr>
          <w:p w:rsidR="00922377" w:rsidRDefault="004876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四、结转下年度继续办理</w:t>
            </w:r>
          </w:p>
        </w:tc>
        <w:tc>
          <w:tcPr>
            <w:tcW w:w="554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92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3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5" w:type="dxa"/>
          </w:tcPr>
          <w:p w:rsidR="00922377" w:rsidRDefault="0048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922377" w:rsidRDefault="00922377">
      <w:pPr>
        <w:rPr>
          <w:rFonts w:ascii="Times New Roman" w:hAnsi="Times New Roman"/>
        </w:rPr>
      </w:pPr>
    </w:p>
    <w:p w:rsidR="00922377" w:rsidRDefault="00487655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四、政府信息公开行政复议、行政诉讼情况</w:t>
      </w:r>
    </w:p>
    <w:tbl>
      <w:tblPr>
        <w:tblStyle w:val="a8"/>
        <w:tblW w:w="9712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:rsidR="00922377">
        <w:trPr>
          <w:trHeight w:val="424"/>
          <w:jc w:val="center"/>
        </w:trPr>
        <w:tc>
          <w:tcPr>
            <w:tcW w:w="3207" w:type="dxa"/>
            <w:gridSpan w:val="5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行政诉讼</w:t>
            </w:r>
          </w:p>
        </w:tc>
      </w:tr>
      <w:tr w:rsidR="00922377">
        <w:trPr>
          <w:trHeight w:val="505"/>
          <w:jc w:val="center"/>
        </w:trPr>
        <w:tc>
          <w:tcPr>
            <w:tcW w:w="655" w:type="dxa"/>
            <w:vMerge w:val="restart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复议后起诉</w:t>
            </w:r>
          </w:p>
        </w:tc>
      </w:tr>
      <w:tr w:rsidR="00922377">
        <w:trPr>
          <w:trHeight w:val="129"/>
          <w:jc w:val="center"/>
        </w:trPr>
        <w:tc>
          <w:tcPr>
            <w:tcW w:w="655" w:type="dxa"/>
            <w:vMerge/>
            <w:vAlign w:val="center"/>
          </w:tcPr>
          <w:p w:rsidR="00922377" w:rsidRDefault="009223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22377" w:rsidRDefault="009223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22377" w:rsidRDefault="009223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922377" w:rsidRDefault="0092237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922377" w:rsidRDefault="0092237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总计</w:t>
            </w:r>
          </w:p>
        </w:tc>
      </w:tr>
      <w:tr w:rsidR="00922377">
        <w:trPr>
          <w:trHeight w:val="516"/>
          <w:jc w:val="center"/>
        </w:trPr>
        <w:tc>
          <w:tcPr>
            <w:tcW w:w="655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922377" w:rsidRDefault="0048765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</w:tr>
    </w:tbl>
    <w:p w:rsidR="00922377" w:rsidRDefault="00922377" w:rsidP="00134EF1">
      <w:pPr>
        <w:rPr>
          <w:rFonts w:ascii="Times New Roman" w:eastAsia="黑体" w:hAnsi="Times New Roman" w:hint="eastAsia"/>
          <w:sz w:val="32"/>
          <w:szCs w:val="32"/>
        </w:rPr>
      </w:pPr>
    </w:p>
    <w:p w:rsidR="00922377" w:rsidRDefault="00487655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五、存在的主要问题及改进情况</w:t>
      </w:r>
    </w:p>
    <w:p w:rsidR="00922377" w:rsidRPr="008A0A84" w:rsidRDefault="00487655" w:rsidP="008A0A84">
      <w:pPr>
        <w:widowControl/>
        <w:shd w:val="clear" w:color="auto" w:fill="FFFFFF"/>
        <w:spacing w:line="585" w:lineRule="atLeast"/>
        <w:ind w:right="135" w:firstLine="660"/>
        <w:rPr>
          <w:rFonts w:ascii="Times New Roman" w:eastAsia="仿宋" w:hAnsi="Times New Roman" w:cs="Times New Roman"/>
          <w:color w:val="000000"/>
          <w:kern w:val="0"/>
          <w:sz w:val="31"/>
          <w:szCs w:val="31"/>
          <w:shd w:val="clear" w:color="auto" w:fill="FFFFFF"/>
        </w:rPr>
      </w:pPr>
      <w:r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  <w:t>1.</w:t>
      </w:r>
      <w:r w:rsidR="003116A7"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存在问题：</w:t>
      </w:r>
      <w:r w:rsidR="008A0A84" w:rsidRPr="008A0A84"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shd w:val="clear" w:color="auto" w:fill="FFFFFF"/>
        </w:rPr>
        <w:t>一是专业力量建设还有差距。由于工作人员岗位调整等原因，导致专门工作力量动态变化，工作人员在培养周期内业务不熟、政策把握不准、考核体系指标理解不细等问题仍然存在。二是工作规范性上还需提升。政务公开工作与业务工作结合不够紧密，公开工作谋划不够前瞻细致，导致部分信息发布不及时、公布形式不规范等情况。</w:t>
      </w:r>
    </w:p>
    <w:p w:rsidR="003116A7" w:rsidRDefault="00487655" w:rsidP="003116A7">
      <w:pPr>
        <w:widowControl/>
        <w:shd w:val="clear" w:color="auto" w:fill="FFFFFF"/>
        <w:spacing w:line="585" w:lineRule="atLeast"/>
        <w:ind w:right="135" w:firstLine="660"/>
        <w:rPr>
          <w:rFonts w:ascii="Times New Roman" w:eastAsia="仿宋" w:hAnsi="Times New Roman" w:cs="Times New Roman"/>
          <w:color w:val="000000"/>
          <w:kern w:val="0"/>
          <w:sz w:val="31"/>
          <w:szCs w:val="31"/>
          <w:shd w:val="clear" w:color="auto" w:fill="FFFFFF"/>
        </w:rPr>
      </w:pPr>
      <w:r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lastRenderedPageBreak/>
        <w:t>2</w:t>
      </w:r>
      <w:r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  <w:t>.</w:t>
      </w:r>
      <w:r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改进情况</w:t>
      </w:r>
      <w:r w:rsidR="003116A7">
        <w:rPr>
          <w:rFonts w:ascii="Times New Roman" w:eastAsia="楷体_GB2312" w:hAnsi="Times New Roman" w:hint="eastAsia"/>
          <w:color w:val="000000"/>
          <w:sz w:val="32"/>
          <w:szCs w:val="32"/>
          <w:shd w:val="clear" w:color="auto" w:fill="FFFFFF"/>
        </w:rPr>
        <w:t>：</w:t>
      </w:r>
      <w:r w:rsidR="003116A7" w:rsidRPr="003116A7">
        <w:rPr>
          <w:rFonts w:ascii="Times New Roman" w:eastAsia="仿宋" w:hAnsi="Times New Roman" w:cs="Times New Roman" w:hint="eastAsia"/>
          <w:color w:val="000000"/>
          <w:kern w:val="0"/>
          <w:sz w:val="31"/>
          <w:szCs w:val="31"/>
          <w:shd w:val="clear" w:color="auto" w:fill="FFFFFF"/>
        </w:rPr>
        <w:t>一是进一步加强对信息发布内容的审核力度，严格落实信息发布三审制，积极开展政府信息公开业务培训，增强公开意识，确保信息内容准确、高效。二是对主动公开内容进行分类细化，进一步明确相关科室职责及工作要求，规范信息发布、审核，对信息公开范围、公开内容、公开规范及公开要求等开展针对性学习，增强全局工作人员对政府信息公开工作重要性的认识，不断提高业务水平。</w:t>
      </w:r>
    </w:p>
    <w:p w:rsidR="00922377" w:rsidRDefault="00487655" w:rsidP="003116A7">
      <w:pPr>
        <w:widowControl/>
        <w:shd w:val="clear" w:color="auto" w:fill="FFFFFF"/>
        <w:spacing w:line="585" w:lineRule="atLeast"/>
        <w:ind w:right="135" w:firstLine="66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六、其他需要报告的事项</w:t>
      </w:r>
    </w:p>
    <w:p w:rsidR="00922377" w:rsidRDefault="00487655">
      <w:pPr>
        <w:spacing w:line="560" w:lineRule="exact"/>
        <w:ind w:firstLineChars="100" w:firstLine="320"/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（一）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202</w:t>
      </w:r>
      <w:r w:rsidR="003116A7">
        <w:rPr>
          <w:rFonts w:ascii="Times New Roman" w:eastAsia="仿宋" w:hAnsi="Times New Roman"/>
          <w:color w:val="000000"/>
          <w:sz w:val="32"/>
          <w:szCs w:val="32"/>
        </w:rPr>
        <w:t>2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年</w:t>
      </w:r>
      <w:r w:rsidR="005E2FE5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区信访局无收取信息处理费情况</w:t>
      </w:r>
    </w:p>
    <w:p w:rsidR="005E2FE5" w:rsidRDefault="005E2FE5" w:rsidP="005E2FE5">
      <w:pPr>
        <w:spacing w:line="56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无收取信息处理费情况。</w:t>
      </w:r>
    </w:p>
    <w:p w:rsidR="005E2FE5" w:rsidRDefault="00487655">
      <w:pPr>
        <w:spacing w:line="560" w:lineRule="exact"/>
        <w:ind w:firstLineChars="100" w:firstLine="32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202</w:t>
      </w:r>
      <w:r w:rsidR="003116A7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年区信访局无人大代表建议和政协提案办理事项</w:t>
      </w:r>
    </w:p>
    <w:p w:rsidR="005E2FE5" w:rsidRDefault="005E2FE5" w:rsidP="005E2FE5">
      <w:pPr>
        <w:spacing w:line="560" w:lineRule="exact"/>
        <w:ind w:firstLineChars="200" w:firstLine="64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年，通过网站公开人大代表建议办理情况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件，公开政协委员提案办理情况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  <w:shd w:val="clear" w:color="auto" w:fill="FFFFFF"/>
        </w:rPr>
        <w:t>件。</w:t>
      </w:r>
    </w:p>
    <w:p w:rsidR="00922377" w:rsidRDefault="00487655">
      <w:pPr>
        <w:spacing w:line="560" w:lineRule="exact"/>
        <w:ind w:firstLineChars="100" w:firstLine="32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（三）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202</w:t>
      </w:r>
      <w:r w:rsidR="003116A7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年度政务公开工作创新情况：</w:t>
      </w:r>
    </w:p>
    <w:p w:rsidR="00922377" w:rsidRDefault="00487655">
      <w:pPr>
        <w:pStyle w:val="a7"/>
        <w:spacing w:beforeAutospacing="0" w:afterAutospacing="0" w:line="600" w:lineRule="atLeast"/>
        <w:ind w:firstLine="645"/>
        <w:jc w:val="both"/>
        <w:rPr>
          <w:rFonts w:ascii="Times New Roman" w:eastAsia="仿宋_GB2312" w:hAnsi="Times New Roman" w:hint="default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  <w:t>一是强化</w:t>
      </w:r>
      <w:r w:rsidR="008A0A84" w:rsidRPr="008A0A84"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  <w:t>政策规定的学习宣讲</w:t>
      </w:r>
      <w:r>
        <w:rPr>
          <w:rFonts w:ascii="Times New Roman" w:eastAsia="楷体_GB2312" w:hAnsi="Times New Roman" w:hint="default"/>
          <w:color w:val="000000"/>
          <w:sz w:val="32"/>
          <w:szCs w:val="32"/>
          <w:shd w:val="clear" w:color="auto" w:fill="FFFFFF"/>
        </w:rPr>
        <w:t>。</w:t>
      </w:r>
      <w:r w:rsidR="008A0A84" w:rsidRPr="008A0A84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提高局工作人员对政务公开工作重要性的认识，协力营造良好的工作环境，加大政务公开工作与业务工作的结合度。</w:t>
      </w:r>
    </w:p>
    <w:p w:rsidR="008A0A84" w:rsidRDefault="008A0A84">
      <w:pPr>
        <w:pStyle w:val="a7"/>
        <w:spacing w:beforeAutospacing="0" w:afterAutospacing="0" w:line="600" w:lineRule="atLeast"/>
        <w:ind w:firstLine="645"/>
        <w:jc w:val="both"/>
        <w:rPr>
          <w:rFonts w:ascii="Times New Roman" w:eastAsia="仿宋_GB2312" w:hAnsi="Times New Roman" w:hint="default"/>
          <w:color w:val="000000"/>
          <w:sz w:val="32"/>
          <w:szCs w:val="32"/>
          <w:shd w:val="clear" w:color="auto" w:fill="FFFFFF"/>
        </w:rPr>
      </w:pPr>
      <w:r w:rsidRPr="008A0A84"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  <w:t>二是加强对政务公开工作的领导和监督</w:t>
      </w:r>
      <w:r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  <w:t>。</w:t>
      </w:r>
      <w:r w:rsidRPr="008A0A84"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持续抓好管理机制的长效运行，严格执行各项制度，层层压实责任，确保局政务公开工作规范有序运行。</w:t>
      </w:r>
    </w:p>
    <w:p w:rsidR="00922377" w:rsidRDefault="008A0A84">
      <w:pPr>
        <w:pStyle w:val="a7"/>
        <w:spacing w:beforeAutospacing="0" w:afterAutospacing="0" w:line="600" w:lineRule="atLeast"/>
        <w:ind w:firstLine="645"/>
        <w:jc w:val="both"/>
        <w:rPr>
          <w:rFonts w:ascii="Times New Roman" w:eastAsia="仿宋_GB2312" w:hAnsi="Times New Roman" w:cs="Arial" w:hint="default"/>
          <w:color w:val="333333"/>
          <w:spacing w:val="10"/>
          <w:sz w:val="32"/>
          <w:szCs w:val="32"/>
          <w:shd w:val="clear" w:color="auto" w:fill="FFFFFF"/>
        </w:rPr>
      </w:pPr>
      <w:r w:rsidRPr="008A0A84"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  <w:lastRenderedPageBreak/>
        <w:t>三是加强规范性建设。</w:t>
      </w:r>
      <w:r w:rsidRPr="008A0A84">
        <w:rPr>
          <w:rFonts w:ascii="Times New Roman" w:eastAsia="仿宋_GB2312" w:hAnsi="Times New Roman" w:cs="Arial"/>
          <w:color w:val="333333"/>
          <w:spacing w:val="10"/>
          <w:sz w:val="32"/>
          <w:szCs w:val="32"/>
          <w:shd w:val="clear" w:color="auto" w:fill="FFFFFF"/>
        </w:rPr>
        <w:t>结合完善主动公开基本目录工作，着力做好政务公开的内容、形式的规范，根据工作任务实际，适时调整相关设置，及时回应公众关心关注，同步做好信息安全、保密等工作，进一步提升政务公开工作质量。</w:t>
      </w:r>
    </w:p>
    <w:p w:rsidR="005E2FE5" w:rsidRPr="005E2FE5" w:rsidRDefault="005E2FE5" w:rsidP="005E2FE5">
      <w:pPr>
        <w:widowControl/>
        <w:spacing w:line="560" w:lineRule="atLeast"/>
        <w:ind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5E2FE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（四）落实上级年度政务公开工作要点情况</w:t>
      </w:r>
    </w:p>
    <w:p w:rsidR="00922377" w:rsidRPr="00315952" w:rsidRDefault="005E2FE5" w:rsidP="00315952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E2FE5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年度，临淄区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信访局</w:t>
      </w:r>
      <w:r w:rsidRPr="005E2FE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严格落实《</w:t>
      </w:r>
      <w:r w:rsidRPr="005E2FE5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2022</w:t>
      </w:r>
      <w:r w:rsidRPr="005E2FE5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年淄博市政务公开工作方案》工作要求，围绕政府工作报告重点任务及民生关注热点加大主动公开力度，关注社会关切加强舆情回应，着力提升政务服务工作实效。</w:t>
      </w:r>
      <w:bookmarkStart w:id="0" w:name="_GoBack"/>
      <w:bookmarkEnd w:id="0"/>
    </w:p>
    <w:sectPr w:rsidR="00922377" w:rsidRPr="003159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E06" w:rsidRDefault="00815E06">
      <w:r>
        <w:separator/>
      </w:r>
    </w:p>
  </w:endnote>
  <w:endnote w:type="continuationSeparator" w:id="0">
    <w:p w:rsidR="00815E06" w:rsidRDefault="0081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659"/>
      <w:docPartObj>
        <w:docPartGallery w:val="AutoText"/>
      </w:docPartObj>
    </w:sdtPr>
    <w:sdtEndPr/>
    <w:sdtContent>
      <w:p w:rsidR="00922377" w:rsidRDefault="0048765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952" w:rsidRPr="00315952">
          <w:rPr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:rsidR="00922377" w:rsidRDefault="009223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E06" w:rsidRDefault="00815E06">
      <w:r>
        <w:separator/>
      </w:r>
    </w:p>
  </w:footnote>
  <w:footnote w:type="continuationSeparator" w:id="0">
    <w:p w:rsidR="00815E06" w:rsidRDefault="0081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5266"/>
    <w:multiLevelType w:val="multilevel"/>
    <w:tmpl w:val="41825266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01C9E"/>
    <w:rsid w:val="0000594A"/>
    <w:rsid w:val="00013109"/>
    <w:rsid w:val="00023AAC"/>
    <w:rsid w:val="00024810"/>
    <w:rsid w:val="00030DFB"/>
    <w:rsid w:val="00034E89"/>
    <w:rsid w:val="000414C6"/>
    <w:rsid w:val="00042CA0"/>
    <w:rsid w:val="00043D31"/>
    <w:rsid w:val="00046423"/>
    <w:rsid w:val="00052AD6"/>
    <w:rsid w:val="00055473"/>
    <w:rsid w:val="00055E11"/>
    <w:rsid w:val="0005603C"/>
    <w:rsid w:val="00056B8B"/>
    <w:rsid w:val="00063220"/>
    <w:rsid w:val="0006628C"/>
    <w:rsid w:val="000706E1"/>
    <w:rsid w:val="00080C9C"/>
    <w:rsid w:val="00085190"/>
    <w:rsid w:val="0008637D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4EF1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5EBD"/>
    <w:rsid w:val="00187315"/>
    <w:rsid w:val="001900C0"/>
    <w:rsid w:val="001922F2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3A37"/>
    <w:rsid w:val="00204AA5"/>
    <w:rsid w:val="00205590"/>
    <w:rsid w:val="002157C1"/>
    <w:rsid w:val="00216261"/>
    <w:rsid w:val="00216DF6"/>
    <w:rsid w:val="0021763D"/>
    <w:rsid w:val="00224377"/>
    <w:rsid w:val="002264B1"/>
    <w:rsid w:val="00226CD2"/>
    <w:rsid w:val="0023206E"/>
    <w:rsid w:val="00234868"/>
    <w:rsid w:val="0023602C"/>
    <w:rsid w:val="00240EAF"/>
    <w:rsid w:val="00242863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D7C68"/>
    <w:rsid w:val="002E3BB6"/>
    <w:rsid w:val="002E594D"/>
    <w:rsid w:val="002E6EDF"/>
    <w:rsid w:val="003116A7"/>
    <w:rsid w:val="0031332E"/>
    <w:rsid w:val="003135A4"/>
    <w:rsid w:val="00315952"/>
    <w:rsid w:val="003164F6"/>
    <w:rsid w:val="00316CE4"/>
    <w:rsid w:val="003257C1"/>
    <w:rsid w:val="003318E7"/>
    <w:rsid w:val="00332905"/>
    <w:rsid w:val="00334C65"/>
    <w:rsid w:val="0035319E"/>
    <w:rsid w:val="0035741E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3676"/>
    <w:rsid w:val="003C44C8"/>
    <w:rsid w:val="003C5789"/>
    <w:rsid w:val="003C70E3"/>
    <w:rsid w:val="003D6959"/>
    <w:rsid w:val="003D7EB2"/>
    <w:rsid w:val="003E1F92"/>
    <w:rsid w:val="003E6B2B"/>
    <w:rsid w:val="003F2DA8"/>
    <w:rsid w:val="003F38D1"/>
    <w:rsid w:val="003F538D"/>
    <w:rsid w:val="00402F0B"/>
    <w:rsid w:val="00405DB6"/>
    <w:rsid w:val="00414EEE"/>
    <w:rsid w:val="00420F86"/>
    <w:rsid w:val="00423431"/>
    <w:rsid w:val="00434746"/>
    <w:rsid w:val="00435756"/>
    <w:rsid w:val="00446210"/>
    <w:rsid w:val="00460593"/>
    <w:rsid w:val="0046437F"/>
    <w:rsid w:val="0047015F"/>
    <w:rsid w:val="004713FB"/>
    <w:rsid w:val="00473626"/>
    <w:rsid w:val="00481ED7"/>
    <w:rsid w:val="00481FD3"/>
    <w:rsid w:val="004847BC"/>
    <w:rsid w:val="0048518B"/>
    <w:rsid w:val="00487655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17FE0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87374"/>
    <w:rsid w:val="00593F9E"/>
    <w:rsid w:val="0059666D"/>
    <w:rsid w:val="005A3BFA"/>
    <w:rsid w:val="005C071E"/>
    <w:rsid w:val="005D4DA2"/>
    <w:rsid w:val="005D7981"/>
    <w:rsid w:val="005E2D72"/>
    <w:rsid w:val="005E2FE5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65BA4"/>
    <w:rsid w:val="007720F2"/>
    <w:rsid w:val="00772EA0"/>
    <w:rsid w:val="007745BE"/>
    <w:rsid w:val="00781A3D"/>
    <w:rsid w:val="00783BE0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15E06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0A84"/>
    <w:rsid w:val="008A171F"/>
    <w:rsid w:val="008A3BC0"/>
    <w:rsid w:val="008A66F8"/>
    <w:rsid w:val="008B2FD1"/>
    <w:rsid w:val="008B5D19"/>
    <w:rsid w:val="008B6607"/>
    <w:rsid w:val="008B7BD8"/>
    <w:rsid w:val="008C2625"/>
    <w:rsid w:val="008C37A3"/>
    <w:rsid w:val="008D2DBD"/>
    <w:rsid w:val="008D6B7B"/>
    <w:rsid w:val="008F142B"/>
    <w:rsid w:val="008F188C"/>
    <w:rsid w:val="008F51FF"/>
    <w:rsid w:val="00901048"/>
    <w:rsid w:val="00904289"/>
    <w:rsid w:val="00906B9B"/>
    <w:rsid w:val="00912FB0"/>
    <w:rsid w:val="00913531"/>
    <w:rsid w:val="0092086C"/>
    <w:rsid w:val="00920A8C"/>
    <w:rsid w:val="0092182B"/>
    <w:rsid w:val="00922377"/>
    <w:rsid w:val="00930D46"/>
    <w:rsid w:val="00935E77"/>
    <w:rsid w:val="00940C11"/>
    <w:rsid w:val="009515FD"/>
    <w:rsid w:val="0096093C"/>
    <w:rsid w:val="00962CD0"/>
    <w:rsid w:val="00966C94"/>
    <w:rsid w:val="00966D81"/>
    <w:rsid w:val="0097065C"/>
    <w:rsid w:val="00975A80"/>
    <w:rsid w:val="0098598B"/>
    <w:rsid w:val="00993C26"/>
    <w:rsid w:val="009B0107"/>
    <w:rsid w:val="009B735C"/>
    <w:rsid w:val="009B7848"/>
    <w:rsid w:val="009C460B"/>
    <w:rsid w:val="009D452F"/>
    <w:rsid w:val="009E68DF"/>
    <w:rsid w:val="009F4FD2"/>
    <w:rsid w:val="009F6AA8"/>
    <w:rsid w:val="00A03AC4"/>
    <w:rsid w:val="00A03E53"/>
    <w:rsid w:val="00A06E87"/>
    <w:rsid w:val="00A1342F"/>
    <w:rsid w:val="00A143E6"/>
    <w:rsid w:val="00A22178"/>
    <w:rsid w:val="00A25860"/>
    <w:rsid w:val="00A26D25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952B0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1CE"/>
    <w:rsid w:val="00AD49B5"/>
    <w:rsid w:val="00AD76B6"/>
    <w:rsid w:val="00AE6C57"/>
    <w:rsid w:val="00AF2313"/>
    <w:rsid w:val="00AF50F4"/>
    <w:rsid w:val="00B0337D"/>
    <w:rsid w:val="00B05351"/>
    <w:rsid w:val="00B1769A"/>
    <w:rsid w:val="00B23183"/>
    <w:rsid w:val="00B245B9"/>
    <w:rsid w:val="00B33075"/>
    <w:rsid w:val="00B33870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943"/>
    <w:rsid w:val="00BE4FAC"/>
    <w:rsid w:val="00BE59C5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120"/>
    <w:rsid w:val="00C234EF"/>
    <w:rsid w:val="00C277FA"/>
    <w:rsid w:val="00C307E5"/>
    <w:rsid w:val="00C61A42"/>
    <w:rsid w:val="00C63784"/>
    <w:rsid w:val="00C665B4"/>
    <w:rsid w:val="00C71268"/>
    <w:rsid w:val="00C735FE"/>
    <w:rsid w:val="00C75B28"/>
    <w:rsid w:val="00C762CA"/>
    <w:rsid w:val="00C81103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5627B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6BE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87E47"/>
    <w:rsid w:val="00F94621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1A9837EE"/>
    <w:rsid w:val="4DE93206"/>
    <w:rsid w:val="75BB1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63C2A"/>
  <w15:docId w15:val="{634D66D2-3EBC-404C-B96A-1DB1ABE9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 w:hint="eastAsia"/>
      <w:kern w:val="0"/>
      <w:sz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styleId="aa">
    <w:name w:val="Strong"/>
    <w:basedOn w:val="a0"/>
    <w:uiPriority w:val="22"/>
    <w:qFormat/>
    <w:rsid w:val="005E2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506</Words>
  <Characters>2890</Characters>
  <Application>Microsoft Office Word</Application>
  <DocSecurity>0</DocSecurity>
  <Lines>24</Lines>
  <Paragraphs>6</Paragraphs>
  <ScaleCrop>false</ScaleCrop>
  <Company>P R C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Administrator</cp:lastModifiedBy>
  <cp:revision>3</cp:revision>
  <dcterms:created xsi:type="dcterms:W3CDTF">2023-01-31T02:31:00Z</dcterms:created>
  <dcterms:modified xsi:type="dcterms:W3CDTF">2023-02-07T02:39:00Z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34A3AB052A8A4A6BB16E28A2C671AC5D</vt:lpwstr>
  </property>
</Properties>
</file>