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r>
        <w:rPr>
          <w:rFonts w:hint="eastAsia" w:ascii="方正小标宋简体" w:eastAsia="方正小标宋简体"/>
          <w:sz w:val="44"/>
          <w:szCs w:val="44"/>
        </w:rPr>
        <w:t>2021年度区级预算绩效管理结果报告</w:t>
      </w: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p>
    <w:p>
      <w:pPr>
        <w:spacing w:line="220" w:lineRule="atLeast"/>
        <w:jc w:val="center"/>
        <w:rPr>
          <w:rFonts w:hint="eastAsia" w:ascii="方正小标宋简体" w:eastAsia="方正小标宋简体"/>
          <w:sz w:val="44"/>
          <w:szCs w:val="44"/>
        </w:rPr>
      </w:pPr>
      <w:r>
        <w:rPr>
          <w:rFonts w:hint="eastAsia" w:ascii="方正小标宋简体" w:eastAsia="方正小标宋简体"/>
          <w:sz w:val="44"/>
          <w:szCs w:val="44"/>
        </w:rPr>
        <w:t>临淄区财政局二</w:t>
      </w:r>
      <w:r>
        <w:rPr>
          <w:rFonts w:hint="eastAsia" w:ascii="方正小标宋简体"/>
          <w:sz w:val="44"/>
          <w:szCs w:val="44"/>
        </w:rPr>
        <w:t>〇</w:t>
      </w:r>
      <w:r>
        <w:rPr>
          <w:rFonts w:hint="eastAsia" w:ascii="方正小标宋简体" w:eastAsia="方正小标宋简体"/>
          <w:sz w:val="44"/>
          <w:szCs w:val="44"/>
        </w:rPr>
        <w:t>二二年</w:t>
      </w:r>
      <w:r>
        <w:rPr>
          <w:rFonts w:hint="eastAsia" w:ascii="方正小标宋简体" w:eastAsia="方正小标宋简体"/>
          <w:sz w:val="44"/>
          <w:szCs w:val="44"/>
          <w:lang w:val="en-US" w:eastAsia="zh-CN"/>
        </w:rPr>
        <w:t>十</w:t>
      </w:r>
      <w:r>
        <w:rPr>
          <w:rFonts w:hint="eastAsia" w:ascii="方正小标宋简体" w:eastAsia="方正小标宋简体"/>
          <w:sz w:val="44"/>
          <w:szCs w:val="44"/>
        </w:rPr>
        <w:t>月</w:t>
      </w:r>
    </w:p>
    <w:p>
      <w:pPr>
        <w:spacing w:line="220" w:lineRule="atLeast"/>
        <w:rPr>
          <w:rFonts w:hint="eastAsia" w:ascii="仿宋_GB2312" w:eastAsia="仿宋_GB2312"/>
          <w:sz w:val="32"/>
          <w:szCs w:val="32"/>
        </w:rPr>
      </w:pPr>
    </w:p>
    <w:p>
      <w:pPr>
        <w:spacing w:line="220" w:lineRule="atLeast"/>
        <w:rPr>
          <w:rFonts w:hint="eastAsia" w:ascii="仿宋_GB2312" w:eastAsia="仿宋_GB2312"/>
          <w:sz w:val="32"/>
          <w:szCs w:val="32"/>
        </w:rPr>
      </w:pPr>
    </w:p>
    <w:p>
      <w:pPr>
        <w:spacing w:line="220" w:lineRule="atLeas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编写说明</w:t>
      </w:r>
    </w:p>
    <w:p>
      <w:pPr>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2021年，区财政部门和预算部门单位按照全面实施预算绩效管理的部署要求，围绕重点领域和重要环节，聚焦创新提升，全面推进“全方位、全过程、全覆盖”预算绩效管理体系建立。</w:t>
      </w:r>
    </w:p>
    <w:p>
      <w:pPr>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按照《预算法》《中共中央国务院关于全面实施预算绩效管理的意见》等法律法规和相关规定，根据财政部、省财政厅统一部署，结合我区实际，区财政局选择了5个区级预算项目绩效自评表、</w:t>
      </w:r>
      <w:r>
        <w:rPr>
          <w:rFonts w:hint="eastAsia" w:ascii="仿宋_GB2312" w:eastAsia="仿宋_GB2312"/>
          <w:sz w:val="32"/>
          <w:szCs w:val="32"/>
          <w:lang w:val="en-US" w:eastAsia="zh-CN"/>
        </w:rPr>
        <w:t>5</w:t>
      </w:r>
      <w:r>
        <w:rPr>
          <w:rFonts w:hint="eastAsia" w:ascii="仿宋_GB2312" w:eastAsia="仿宋_GB2312"/>
          <w:sz w:val="32"/>
          <w:szCs w:val="32"/>
        </w:rPr>
        <w:t>个区级预算重点项目绩效评价报告、2个部门单位的部门整体绩效评价报告，提交区人大参阅。</w:t>
      </w:r>
    </w:p>
    <w:p>
      <w:pPr>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本次提报的5个区级预算项目绩效自评表、</w:t>
      </w:r>
      <w:r>
        <w:rPr>
          <w:rFonts w:hint="eastAsia" w:ascii="仿宋_GB2312" w:eastAsia="仿宋_GB2312"/>
          <w:sz w:val="32"/>
          <w:szCs w:val="32"/>
          <w:lang w:val="en-US" w:eastAsia="zh-CN"/>
        </w:rPr>
        <w:t>5</w:t>
      </w:r>
      <w:r>
        <w:rPr>
          <w:rFonts w:hint="eastAsia" w:ascii="仿宋_GB2312" w:eastAsia="仿宋_GB2312"/>
          <w:sz w:val="32"/>
          <w:szCs w:val="32"/>
        </w:rPr>
        <w:t>个区级预算重点项目绩效评价报告，涵盖了教育、农业、社保、安全生产等公共服务性强、社会关注度高的多个重点领域。从评价结果来看，被评价项目绩效目标较为明确，决策依据充分，资金分配合理，项目管理较为规范，项目绩效情况总体良好，基本达到了预期效果。但部分项目一定程度上存在预算绩效管理不规范、预算编制精细程度不够、项目（政策）管理机制不健全等问题。</w:t>
      </w:r>
    </w:p>
    <w:p>
      <w:pPr>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本次提交的部门整体绩效评价报告涉及部门为：临淄区应急管理局、临淄区妇联。部门整体绩效评价报告内容反映整体职责目标完成情况及预算执行情况。从评价结果来看，部门整体绩效评价指标权重设置合理，评价效果良好。</w:t>
      </w:r>
    </w:p>
    <w:p>
      <w:pPr>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下一步，我们将围绕全面实施预算绩效管理的目标要求，加强预算绩效管理结果导向，强化事前绩效评估，将事前绩效评估结果作为区级预算安排的必备条件；加强绩效运行监控，提高财政资金绩效运行质量和效率；强化预算精细管理结果应用，切实发挥预算精细管理的激励约束作用。同时，根据我区预算绩效管理实际，不断提升部门、单位整体预算绩效水平和核心业务实施成效。</w:t>
      </w: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ind w:firstLine="640" w:firstLineChars="200"/>
        <w:jc w:val="both"/>
        <w:rPr>
          <w:rFonts w:hint="eastAsia" w:ascii="仿宋_GB2312" w:eastAsia="仿宋_GB2312"/>
          <w:sz w:val="32"/>
          <w:szCs w:val="32"/>
        </w:rPr>
      </w:pPr>
    </w:p>
    <w:p>
      <w:pPr>
        <w:snapToGrid/>
        <w:spacing w:after="0" w:line="560" w:lineRule="exact"/>
        <w:jc w:val="center"/>
        <w:rPr>
          <w:rFonts w:hint="eastAsia" w:ascii="黑体" w:hAnsi="黑体" w:eastAsia="黑体"/>
          <w:color w:val="auto"/>
          <w:sz w:val="44"/>
          <w:szCs w:val="44"/>
        </w:rPr>
      </w:pPr>
      <w:r>
        <w:rPr>
          <w:rFonts w:hint="eastAsia" w:ascii="黑体" w:hAnsi="黑体" w:eastAsia="黑体"/>
          <w:color w:val="auto"/>
          <w:sz w:val="44"/>
          <w:szCs w:val="44"/>
        </w:rPr>
        <w:t>目录</w:t>
      </w:r>
    </w:p>
    <w:p>
      <w:pPr>
        <w:snapToGrid/>
        <w:spacing w:after="0" w:line="560" w:lineRule="exact"/>
        <w:jc w:val="center"/>
        <w:rPr>
          <w:rFonts w:hint="eastAsia" w:ascii="黑体" w:hAnsi="黑体" w:eastAsia="黑体"/>
          <w:color w:val="auto"/>
          <w:sz w:val="44"/>
          <w:szCs w:val="44"/>
        </w:rPr>
      </w:pPr>
    </w:p>
    <w:p>
      <w:pPr>
        <w:snapToGrid/>
        <w:spacing w:after="0" w:line="56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rPr>
        <w:t>第一部分  区级预算部分项目绩效自评表</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1、临淄区2021年度预防性查体项目自评表</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2、临淄区2021年度农村公厕等项目自评表</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3、临淄区2021年度查调查监督工作项目自评表</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4、临淄区2021年度融媒体资讯合作宣传项目自评表</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5、临淄区2021年度运动训练保障项目项目自评表</w:t>
      </w:r>
    </w:p>
    <w:p>
      <w:pPr>
        <w:snapToGrid/>
        <w:spacing w:after="0" w:line="560" w:lineRule="exact"/>
        <w:jc w:val="both"/>
        <w:rPr>
          <w:rFonts w:ascii="仿宋_GB2312" w:eastAsia="仿宋_GB2312"/>
          <w:color w:val="auto"/>
          <w:sz w:val="32"/>
          <w:szCs w:val="32"/>
        </w:rPr>
      </w:pPr>
    </w:p>
    <w:p>
      <w:pPr>
        <w:snapToGrid/>
        <w:spacing w:after="0" w:line="56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rPr>
        <w:t xml:space="preserve">第二部分 </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区级预算重点项目绩效评价报告</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1、临淄区安全生产及应急救援项目绩效评价报告</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2、新冠肺炎等重大传染病疫情防控项目绩效评价报告</w:t>
      </w:r>
    </w:p>
    <w:p>
      <w:pPr>
        <w:snapToGrid/>
        <w:spacing w:after="0" w:line="560" w:lineRule="exact"/>
        <w:ind w:left="1278" w:leftChars="290" w:hanging="640" w:hanging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3、临淄区消防救援大队智慧用电和消防水监控安全监管体系经费项目绩效评价报告</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4、临淄区农村房地一体不动产确权登记项目绩效评价报告</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5、2021年临淄区课后服务经费项目绩效评价报告</w:t>
      </w:r>
    </w:p>
    <w:p>
      <w:pPr>
        <w:snapToGrid/>
        <w:spacing w:after="0" w:line="560" w:lineRule="exact"/>
        <w:ind w:firstLine="640" w:firstLineChars="200"/>
        <w:jc w:val="both"/>
        <w:rPr>
          <w:rFonts w:hint="eastAsia" w:ascii="仿宋_GB2312" w:eastAsia="仿宋_GB2312"/>
          <w:color w:val="auto"/>
          <w:sz w:val="32"/>
          <w:szCs w:val="32"/>
        </w:rPr>
      </w:pPr>
    </w:p>
    <w:p>
      <w:pPr>
        <w:snapToGrid/>
        <w:spacing w:after="0" w:line="56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rPr>
        <w:t xml:space="preserve">第三部分 </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部分部门整体绩效管理资料</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1、2021年度临淄区应急管理局整体绩效评价报告</w:t>
      </w:r>
    </w:p>
    <w:p>
      <w:pPr>
        <w:snapToGrid/>
        <w:spacing w:after="0" w:line="56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2、2021年度临淄区应急管理局整体绩效评价报告</w:t>
      </w:r>
    </w:p>
    <w:p>
      <w:pPr>
        <w:snapToGrid/>
        <w:spacing w:after="0" w:line="560" w:lineRule="exact"/>
        <w:ind w:firstLine="640" w:firstLineChars="200"/>
        <w:jc w:val="both"/>
        <w:rPr>
          <w:rFonts w:hint="eastAsia" w:ascii="仿宋_GB2312" w:eastAsia="仿宋_GB2312"/>
          <w:color w:val="auto"/>
          <w:sz w:val="32"/>
          <w:szCs w:val="32"/>
        </w:rPr>
      </w:pPr>
    </w:p>
    <w:p>
      <w:pPr>
        <w:snapToGrid/>
        <w:spacing w:after="0" w:line="560" w:lineRule="exact"/>
        <w:ind w:firstLine="640" w:firstLineChars="200"/>
        <w:jc w:val="both"/>
        <w:rPr>
          <w:rFonts w:hint="eastAsia" w:ascii="仿宋_GB2312" w:eastAsia="仿宋_GB2312"/>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FF0000"/>
          <w:sz w:val="32"/>
          <w:szCs w:val="32"/>
        </w:rPr>
      </w:pPr>
    </w:p>
    <w:p>
      <w:pPr>
        <w:snapToGrid/>
        <w:spacing w:after="0" w:line="560" w:lineRule="exact"/>
        <w:jc w:val="center"/>
        <w:rPr>
          <w:rFonts w:hint="eastAsia" w:ascii="黑体" w:hAnsi="黑体" w:eastAsia="黑体"/>
          <w:color w:val="auto"/>
          <w:sz w:val="32"/>
          <w:szCs w:val="32"/>
        </w:rPr>
      </w:pPr>
    </w:p>
    <w:p>
      <w:pPr>
        <w:snapToGrid/>
        <w:spacing w:after="0" w:line="560" w:lineRule="exact"/>
        <w:jc w:val="center"/>
        <w:rPr>
          <w:rFonts w:hint="eastAsia" w:ascii="黑体" w:hAnsi="黑体" w:eastAsia="黑体"/>
          <w:color w:val="auto"/>
          <w:sz w:val="32"/>
          <w:szCs w:val="32"/>
        </w:rPr>
      </w:pPr>
    </w:p>
    <w:p>
      <w:pPr>
        <w:snapToGrid/>
        <w:spacing w:after="0" w:line="56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第一部分 区级预算部分项目绩效自评表</w:t>
      </w: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jc w:val="both"/>
        <w:rPr>
          <w:rFonts w:hint="eastAsia"/>
          <w:sz w:val="36"/>
          <w:szCs w:val="36"/>
        </w:rPr>
      </w:pPr>
    </w:p>
    <w:p>
      <w:pPr>
        <w:jc w:val="center"/>
        <w:rPr>
          <w:rFonts w:hint="eastAsia"/>
          <w:sz w:val="36"/>
          <w:szCs w:val="36"/>
        </w:rPr>
      </w:pPr>
      <w:r>
        <w:rPr>
          <w:rFonts w:hint="eastAsia"/>
          <w:sz w:val="36"/>
          <w:szCs w:val="36"/>
        </w:rPr>
        <w:t>项目支出绩效自评表</w:t>
      </w:r>
    </w:p>
    <w:p>
      <w:pPr>
        <w:jc w:val="center"/>
      </w:pPr>
      <w:r>
        <w:rPr>
          <w:rFonts w:hint="eastAsia"/>
        </w:rPr>
        <w:t>（2021年度）</w:t>
      </w:r>
    </w:p>
    <w:p>
      <w:pPr>
        <w:jc w:val="center"/>
      </w:pPr>
    </w:p>
    <w:tbl>
      <w:tblPr>
        <w:tblStyle w:val="6"/>
        <w:tblW w:w="9654" w:type="dxa"/>
        <w:tblInd w:w="91" w:type="dxa"/>
        <w:tblLayout w:type="fixed"/>
        <w:tblCellMar>
          <w:top w:w="15" w:type="dxa"/>
          <w:left w:w="108" w:type="dxa"/>
          <w:bottom w:w="15" w:type="dxa"/>
          <w:right w:w="108" w:type="dxa"/>
        </w:tblCellMar>
      </w:tblPr>
      <w:tblGrid>
        <w:gridCol w:w="421"/>
        <w:gridCol w:w="963"/>
        <w:gridCol w:w="137"/>
        <w:gridCol w:w="1025"/>
        <w:gridCol w:w="625"/>
        <w:gridCol w:w="1163"/>
        <w:gridCol w:w="350"/>
        <w:gridCol w:w="887"/>
        <w:gridCol w:w="888"/>
        <w:gridCol w:w="275"/>
        <w:gridCol w:w="412"/>
        <w:gridCol w:w="413"/>
        <w:gridCol w:w="350"/>
        <w:gridCol w:w="937"/>
        <w:gridCol w:w="808"/>
      </w:tblGrid>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813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r>
              <w:rPr>
                <w:rFonts w:hint="eastAsia" w:ascii="宋体" w:hAnsi="宋体" w:eastAsia="宋体" w:cs="宋体"/>
                <w:sz w:val="18"/>
                <w:szCs w:val="18"/>
              </w:rPr>
              <w:t>预防性查体</w:t>
            </w:r>
          </w:p>
        </w:tc>
      </w:tr>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主管部门及代码</w:t>
            </w:r>
          </w:p>
        </w:tc>
        <w:tc>
          <w:tcPr>
            <w:tcW w:w="405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kern w:val="0"/>
                <w:sz w:val="18"/>
                <w:szCs w:val="18"/>
              </w:rPr>
            </w:pPr>
            <w:r>
              <w:rPr>
                <w:rFonts w:hint="eastAsia" w:ascii="宋体" w:hAnsi="宋体" w:eastAsia="宋体" w:cs="宋体"/>
                <w:sz w:val="18"/>
                <w:szCs w:val="18"/>
              </w:rPr>
              <w:t>[407]淄博市临淄区卫生健康局</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实施单位</w:t>
            </w:r>
          </w:p>
        </w:tc>
        <w:tc>
          <w:tcPr>
            <w:tcW w:w="292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kern w:val="0"/>
                <w:sz w:val="18"/>
                <w:szCs w:val="18"/>
              </w:rPr>
            </w:pPr>
            <w:r>
              <w:rPr>
                <w:rFonts w:hint="eastAsia" w:ascii="宋体" w:hAnsi="宋体" w:eastAsia="宋体" w:cs="宋体"/>
                <w:sz w:val="18"/>
                <w:szCs w:val="18"/>
              </w:rPr>
              <w:t>[407001]淄博市临淄区卫生健康局</w:t>
            </w:r>
          </w:p>
        </w:tc>
      </w:tr>
      <w:tr>
        <w:tblPrEx>
          <w:tblCellMar>
            <w:top w:w="15" w:type="dxa"/>
            <w:left w:w="108" w:type="dxa"/>
            <w:bottom w:w="15" w:type="dxa"/>
            <w:right w:w="108" w:type="dxa"/>
          </w:tblCellMar>
        </w:tblPrEx>
        <w:trPr>
          <w:trHeight w:val="425" w:hRule="atLeast"/>
        </w:trPr>
        <w:tc>
          <w:tcPr>
            <w:tcW w:w="1521" w:type="dxa"/>
            <w:gridSpan w:val="3"/>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项目资金</w:t>
            </w:r>
          </w:p>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年初预算数</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全年预算数</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全年执行数</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分值</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执行率</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得分</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年度资金总额</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102</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101.86</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101.86</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100.00%</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其中：财政拨款</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102</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101.86</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101.86</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100.00%</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上年结转资金</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其他资金</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tblPrEx>
          <w:tblCellMar>
            <w:top w:w="15" w:type="dxa"/>
            <w:left w:w="108" w:type="dxa"/>
            <w:bottom w:w="15" w:type="dxa"/>
            <w:right w:w="108" w:type="dxa"/>
          </w:tblCellMar>
        </w:tblPrEx>
        <w:trPr>
          <w:trHeight w:val="425" w:hRule="atLeast"/>
        </w:trPr>
        <w:tc>
          <w:tcPr>
            <w:tcW w:w="965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项目绩效年度目标</w:t>
            </w:r>
          </w:p>
        </w:tc>
      </w:tr>
      <w:tr>
        <w:tblPrEx>
          <w:tblCellMar>
            <w:top w:w="15" w:type="dxa"/>
            <w:left w:w="108" w:type="dxa"/>
            <w:bottom w:w="15" w:type="dxa"/>
            <w:right w:w="108" w:type="dxa"/>
          </w:tblCellMar>
        </w:tblPrEx>
        <w:trPr>
          <w:trHeight w:val="425" w:hRule="atLeast"/>
        </w:trPr>
        <w:tc>
          <w:tcPr>
            <w:tcW w:w="42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年度总体目标</w:t>
            </w:r>
          </w:p>
        </w:tc>
        <w:tc>
          <w:tcPr>
            <w:tcW w:w="515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预期目标</w:t>
            </w:r>
          </w:p>
        </w:tc>
        <w:tc>
          <w:tcPr>
            <w:tcW w:w="4083"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实际完成情况</w:t>
            </w:r>
          </w:p>
        </w:tc>
      </w:tr>
      <w:tr>
        <w:tblPrEx>
          <w:tblCellMar>
            <w:top w:w="15" w:type="dxa"/>
            <w:left w:w="108" w:type="dxa"/>
            <w:bottom w:w="15" w:type="dxa"/>
            <w:right w:w="108" w:type="dxa"/>
          </w:tblCellMar>
        </w:tblPrEx>
        <w:trPr>
          <w:trHeight w:val="1105" w:hRule="atLeast"/>
        </w:trPr>
        <w:tc>
          <w:tcPr>
            <w:tcW w:w="421" w:type="dxa"/>
            <w:vMerge w:val="continue"/>
            <w:tcBorders>
              <w:left w:val="single" w:color="000000"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color w:val="000000"/>
                <w:kern w:val="0"/>
                <w:sz w:val="18"/>
                <w:szCs w:val="18"/>
              </w:rPr>
            </w:pPr>
          </w:p>
        </w:tc>
        <w:tc>
          <w:tcPr>
            <w:tcW w:w="5150"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保证饮食及公共场所卫生，提高人民生活质量，为相关人员等按国家有关卫生法律、法规规定所进行的从业前、从业期间的健康检查。</w:t>
            </w:r>
          </w:p>
        </w:tc>
        <w:tc>
          <w:tcPr>
            <w:tcW w:w="408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为了保证饮食及公共场所卫生，提高人民生活质量，已完成该年度我区从业人员预防性健康查体工作。</w:t>
            </w:r>
          </w:p>
        </w:tc>
      </w:tr>
      <w:tr>
        <w:tblPrEx>
          <w:tblCellMar>
            <w:top w:w="15" w:type="dxa"/>
            <w:left w:w="108" w:type="dxa"/>
            <w:bottom w:w="15" w:type="dxa"/>
            <w:right w:w="108" w:type="dxa"/>
          </w:tblCellMar>
        </w:tblPrEx>
        <w:trPr>
          <w:trHeight w:val="425" w:hRule="atLeast"/>
        </w:trPr>
        <w:tc>
          <w:tcPr>
            <w:tcW w:w="42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年度绩效</w:t>
            </w:r>
          </w:p>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指标（90分）</w:t>
            </w:r>
          </w:p>
        </w:tc>
        <w:tc>
          <w:tcPr>
            <w:tcW w:w="963"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一级指标</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二级指标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三级指标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before="128" w:beforeAutospacing="0" w:line="213" w:lineRule="exact"/>
              <w:ind w:right="53"/>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年度指标值</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实际完成值</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分值</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得分</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偏差原因分析及改进措施</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项目产出（50分）</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预防性查体检查项目</w:t>
            </w:r>
            <w:r>
              <w:rPr>
                <w:rFonts w:hint="eastAsia" w:ascii="宋体" w:hAnsi="宋体" w:cs="宋体"/>
                <w:color w:val="050100"/>
                <w:sz w:val="18"/>
                <w:szCs w:val="18"/>
                <w:lang w:val="en-US" w:eastAsia="zh-CN"/>
              </w:rPr>
              <w:t>数量</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50100"/>
                <w:sz w:val="18"/>
                <w:szCs w:val="18"/>
                <w:lang w:val="en-US" w:eastAsia="zh-CN"/>
              </w:rPr>
              <w:t>=</w:t>
            </w:r>
            <w:r>
              <w:rPr>
                <w:rFonts w:hint="eastAsia" w:ascii="宋体" w:hAnsi="宋体" w:eastAsia="宋体" w:cs="宋体"/>
                <w:color w:val="050100"/>
                <w:sz w:val="18"/>
                <w:szCs w:val="18"/>
              </w:rPr>
              <w:t>4项</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4项</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预防性查体筛查人数</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default" w:ascii="Arial" w:hAnsi="Arial" w:cs="Arial"/>
                <w:color w:val="050100"/>
                <w:sz w:val="18"/>
                <w:szCs w:val="18"/>
                <w:lang w:val="en-US" w:eastAsia="zh-CN"/>
              </w:rPr>
              <w:t>≥</w:t>
            </w:r>
            <w:r>
              <w:rPr>
                <w:rFonts w:hint="eastAsia" w:ascii="宋体" w:hAnsi="宋体" w:eastAsia="宋体" w:cs="宋体"/>
                <w:color w:val="050100"/>
                <w:sz w:val="18"/>
                <w:szCs w:val="18"/>
              </w:rPr>
              <w:t>20000人</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27915人</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更好的保证从业人员的健康水平。</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查体机构</w:t>
            </w:r>
            <w:r>
              <w:rPr>
                <w:rFonts w:hint="eastAsia" w:ascii="宋体" w:hAnsi="宋体" w:cs="宋体"/>
                <w:color w:val="050100"/>
                <w:sz w:val="18"/>
                <w:szCs w:val="18"/>
                <w:lang w:val="en-US" w:eastAsia="zh-CN"/>
              </w:rPr>
              <w:t>个数</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50100"/>
                <w:sz w:val="18"/>
                <w:szCs w:val="18"/>
                <w:lang w:val="en-US" w:eastAsia="zh-CN"/>
              </w:rPr>
              <w:t>=</w:t>
            </w:r>
            <w:r>
              <w:rPr>
                <w:rFonts w:hint="eastAsia" w:ascii="宋体" w:hAnsi="宋体" w:eastAsia="宋体" w:cs="宋体"/>
                <w:color w:val="050100"/>
                <w:sz w:val="18"/>
                <w:szCs w:val="18"/>
              </w:rPr>
              <w:t>4个</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4个</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时效指标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查体结果反馈时限</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050100"/>
                <w:sz w:val="18"/>
                <w:szCs w:val="18"/>
              </w:rPr>
              <w:t>5天</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5天</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时效指标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预防性查体项目完成及时率</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default" w:ascii="Arial" w:hAnsi="Arial" w:cs="Arial"/>
                <w:color w:val="050100"/>
                <w:sz w:val="18"/>
                <w:szCs w:val="18"/>
                <w:lang w:val="en-US" w:eastAsia="zh-CN"/>
              </w:rPr>
              <w:t>≥</w:t>
            </w:r>
            <w:r>
              <w:rPr>
                <w:rFonts w:hint="eastAsia" w:ascii="宋体" w:hAnsi="宋体" w:eastAsia="宋体" w:cs="宋体"/>
                <w:color w:val="050100"/>
                <w:sz w:val="18"/>
                <w:szCs w:val="18"/>
              </w:rPr>
              <w:t>95%</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100%</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无</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健康查体档案规范化</w:t>
            </w:r>
            <w:r>
              <w:rPr>
                <w:rFonts w:hint="eastAsia" w:ascii="宋体" w:hAnsi="宋体" w:cs="宋体"/>
                <w:color w:val="050100"/>
                <w:sz w:val="18"/>
                <w:szCs w:val="18"/>
                <w:lang w:val="en-US" w:eastAsia="zh-CN"/>
              </w:rPr>
              <w:t>程度</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default" w:ascii="Arial" w:hAnsi="Arial" w:cs="Arial"/>
                <w:color w:val="050100"/>
                <w:sz w:val="18"/>
                <w:szCs w:val="18"/>
                <w:lang w:val="en-US" w:eastAsia="zh-CN"/>
              </w:rPr>
              <w:t>≥</w:t>
            </w:r>
            <w:r>
              <w:rPr>
                <w:rFonts w:hint="eastAsia" w:ascii="宋体" w:hAnsi="宋体" w:eastAsia="宋体" w:cs="宋体"/>
                <w:color w:val="050100"/>
                <w:sz w:val="18"/>
                <w:szCs w:val="18"/>
              </w:rPr>
              <w:t>95%</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95%</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查体机构预防性查体服务能力</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服务质量好</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服务质量好</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目标人群预防性查体覆盖率</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50100"/>
                <w:sz w:val="18"/>
                <w:szCs w:val="18"/>
                <w:lang w:val="en-US" w:eastAsia="zh-CN"/>
              </w:rPr>
              <w:t>=</w:t>
            </w:r>
            <w:r>
              <w:rPr>
                <w:rFonts w:hint="eastAsia" w:ascii="宋体" w:hAnsi="宋体" w:eastAsia="宋体" w:cs="宋体"/>
                <w:color w:val="050100"/>
                <w:sz w:val="18"/>
                <w:szCs w:val="18"/>
              </w:rPr>
              <w:t>100%</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100%</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成本指标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查体项目筛查标准</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50100"/>
                <w:sz w:val="18"/>
                <w:szCs w:val="18"/>
                <w:lang w:val="en-US" w:eastAsia="zh-CN"/>
              </w:rPr>
              <w:t>=</w:t>
            </w:r>
            <w:r>
              <w:rPr>
                <w:rFonts w:hint="eastAsia" w:ascii="宋体" w:hAnsi="宋体" w:eastAsia="宋体" w:cs="宋体"/>
                <w:color w:val="050100"/>
                <w:sz w:val="18"/>
                <w:szCs w:val="18"/>
              </w:rPr>
              <w:t>60元/人</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60元/人</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成本指标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预防性查体项目经费</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050100"/>
                <w:sz w:val="18"/>
                <w:szCs w:val="18"/>
              </w:rPr>
              <w:t>102万元</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101.86万元</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无</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项目效益（30分）</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社会效益</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保障食品及公共场所服务行业的健康安全</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社会效益</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健康知识知晓率</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default" w:ascii="Arial" w:hAnsi="Arial" w:cs="Arial"/>
                <w:color w:val="050100"/>
                <w:sz w:val="18"/>
                <w:szCs w:val="18"/>
                <w:lang w:val="en-US" w:eastAsia="zh-CN"/>
              </w:rPr>
              <w:t>≥</w:t>
            </w:r>
            <w:r>
              <w:rPr>
                <w:rFonts w:hint="eastAsia" w:ascii="宋体" w:hAnsi="宋体" w:eastAsia="宋体" w:cs="宋体"/>
                <w:color w:val="050100"/>
                <w:sz w:val="18"/>
                <w:szCs w:val="18"/>
              </w:rPr>
              <w:t>85%</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90%</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无</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可持续影响</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居民健康水平提高</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提高</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提高</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可持续影响</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食品公共安全事件发生率</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0%</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0%</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满意度指标（10分）</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社会公众或服务对象满意度</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服务对象满意度</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default" w:ascii="Arial" w:hAnsi="Arial" w:cs="Arial"/>
                <w:color w:val="050100"/>
                <w:sz w:val="18"/>
                <w:szCs w:val="18"/>
                <w:lang w:val="en-US" w:eastAsia="zh-CN"/>
              </w:rPr>
              <w:t>≥</w:t>
            </w:r>
            <w:r>
              <w:rPr>
                <w:rFonts w:hint="eastAsia" w:ascii="宋体" w:hAnsi="宋体" w:eastAsia="宋体" w:cs="宋体"/>
                <w:color w:val="050100"/>
                <w:sz w:val="18"/>
                <w:szCs w:val="18"/>
              </w:rPr>
              <w:t>90%</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95%</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无</w:t>
            </w:r>
          </w:p>
        </w:tc>
      </w:tr>
      <w:tr>
        <w:tblPrEx>
          <w:tblCellMar>
            <w:top w:w="15" w:type="dxa"/>
            <w:left w:w="108" w:type="dxa"/>
            <w:bottom w:w="15" w:type="dxa"/>
            <w:right w:w="108" w:type="dxa"/>
          </w:tblCellMar>
        </w:tblPrEx>
        <w:trPr>
          <w:trHeight w:val="425" w:hRule="atLeast"/>
        </w:trPr>
        <w:tc>
          <w:tcPr>
            <w:tcW w:w="6459" w:type="dxa"/>
            <w:gridSpan w:val="9"/>
            <w:tcBorders>
              <w:top w:val="single" w:color="auto"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总分</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bl>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jc w:val="center"/>
        <w:rPr>
          <w:rFonts w:hint="eastAsia"/>
          <w:sz w:val="36"/>
          <w:szCs w:val="36"/>
        </w:rPr>
      </w:pPr>
      <w:r>
        <w:rPr>
          <w:rFonts w:hint="eastAsia"/>
          <w:sz w:val="36"/>
          <w:szCs w:val="36"/>
        </w:rPr>
        <w:t>项目支出绩效自评表</w:t>
      </w:r>
    </w:p>
    <w:p>
      <w:pPr>
        <w:jc w:val="center"/>
      </w:pPr>
      <w:r>
        <w:rPr>
          <w:rFonts w:hint="eastAsia"/>
        </w:rPr>
        <w:t>（2021年度）</w:t>
      </w:r>
    </w:p>
    <w:p>
      <w:pPr>
        <w:jc w:val="center"/>
      </w:pPr>
    </w:p>
    <w:tbl>
      <w:tblPr>
        <w:tblStyle w:val="6"/>
        <w:tblW w:w="9654" w:type="dxa"/>
        <w:tblInd w:w="91" w:type="dxa"/>
        <w:tblLayout w:type="fixed"/>
        <w:tblCellMar>
          <w:top w:w="15" w:type="dxa"/>
          <w:left w:w="108" w:type="dxa"/>
          <w:bottom w:w="15" w:type="dxa"/>
          <w:right w:w="108" w:type="dxa"/>
        </w:tblCellMar>
      </w:tblPr>
      <w:tblGrid>
        <w:gridCol w:w="421"/>
        <w:gridCol w:w="963"/>
        <w:gridCol w:w="137"/>
        <w:gridCol w:w="1097"/>
        <w:gridCol w:w="553"/>
        <w:gridCol w:w="1452"/>
        <w:gridCol w:w="1118"/>
        <w:gridCol w:w="941"/>
        <w:gridCol w:w="52"/>
        <w:gridCol w:w="630"/>
        <w:gridCol w:w="195"/>
        <w:gridCol w:w="473"/>
        <w:gridCol w:w="814"/>
        <w:gridCol w:w="808"/>
      </w:tblGrid>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8133"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rPr>
                <w:rFonts w:hint="eastAsia" w:ascii="宋体" w:hAnsi="宋体" w:cs="宋体"/>
                <w:kern w:val="0"/>
                <w:sz w:val="18"/>
                <w:szCs w:val="18"/>
                <w:lang w:val="en-US" w:eastAsia="zh-CN"/>
              </w:rPr>
            </w:pPr>
            <w:r>
              <w:rPr>
                <w:rFonts w:hint="eastAsia" w:asciiTheme="minorEastAsia" w:hAnsiTheme="minorEastAsia" w:eastAsiaTheme="minorEastAsia" w:cstheme="minorEastAsia"/>
                <w:kern w:val="0"/>
                <w:sz w:val="18"/>
                <w:szCs w:val="18"/>
                <w:lang w:val="en-US" w:eastAsia="zh-CN"/>
              </w:rPr>
              <w:t>农村公厕、农村户厕管护、低收入人群住房保障、省级美丽村居试点</w:t>
            </w:r>
          </w:p>
        </w:tc>
      </w:tr>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主管部门及代码</w:t>
            </w:r>
          </w:p>
        </w:tc>
        <w:tc>
          <w:tcPr>
            <w:tcW w:w="422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rPr>
                <w:rFonts w:hint="eastAsia" w:ascii="宋体" w:hAnsi="宋体" w:cs="宋体"/>
                <w:kern w:val="0"/>
                <w:sz w:val="18"/>
                <w:szCs w:val="18"/>
                <w:lang w:val="en-US" w:eastAsia="zh-CN"/>
              </w:rPr>
            </w:pPr>
            <w:r>
              <w:rPr>
                <w:rFonts w:hint="eastAsia" w:ascii="宋体" w:hAnsi="宋体" w:eastAsia="宋体" w:cs="宋体"/>
                <w:sz w:val="18"/>
                <w:szCs w:val="18"/>
              </w:rPr>
              <w:t>[</w:t>
            </w:r>
            <w:r>
              <w:rPr>
                <w:rFonts w:hint="eastAsia" w:asciiTheme="minorEastAsia" w:hAnsiTheme="minorEastAsia" w:eastAsiaTheme="minorEastAsia" w:cstheme="minorEastAsia"/>
                <w:kern w:val="0"/>
                <w:sz w:val="18"/>
                <w:szCs w:val="18"/>
                <w:lang w:val="en-US" w:eastAsia="zh-CN"/>
              </w:rPr>
              <w:t>502001</w:t>
            </w:r>
            <w:r>
              <w:rPr>
                <w:rFonts w:hint="eastAsia" w:ascii="宋体" w:hAnsi="宋体" w:eastAsia="宋体" w:cs="宋体"/>
                <w:sz w:val="18"/>
                <w:szCs w:val="18"/>
              </w:rPr>
              <w:t>]</w:t>
            </w:r>
            <w:r>
              <w:rPr>
                <w:rFonts w:hint="eastAsia" w:asciiTheme="minorEastAsia" w:hAnsiTheme="minorEastAsia" w:eastAsiaTheme="minorEastAsia" w:cstheme="minorEastAsia"/>
                <w:kern w:val="0"/>
                <w:sz w:val="18"/>
                <w:szCs w:val="18"/>
                <w:lang w:val="en-US" w:eastAsia="zh-CN"/>
              </w:rPr>
              <w:t>淄博市临淄区住房和城乡建设局</w:t>
            </w:r>
          </w:p>
        </w:tc>
        <w:tc>
          <w:tcPr>
            <w:tcW w:w="99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实施单位</w:t>
            </w:r>
          </w:p>
        </w:tc>
        <w:tc>
          <w:tcPr>
            <w:tcW w:w="292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Theme="minorEastAsia" w:hAnsiTheme="minorEastAsia" w:eastAsiaTheme="minorEastAsia" w:cstheme="minorEastAsia"/>
                <w:kern w:val="0"/>
                <w:sz w:val="18"/>
                <w:szCs w:val="18"/>
                <w:lang w:val="en-US" w:eastAsia="zh-CN"/>
              </w:rPr>
              <w:t>淄博市临淄区住房和城乡建设局</w:t>
            </w:r>
          </w:p>
        </w:tc>
      </w:tr>
      <w:tr>
        <w:tblPrEx>
          <w:tblCellMar>
            <w:top w:w="15" w:type="dxa"/>
            <w:left w:w="108" w:type="dxa"/>
            <w:bottom w:w="15" w:type="dxa"/>
            <w:right w:w="108" w:type="dxa"/>
          </w:tblCellMar>
        </w:tblPrEx>
        <w:trPr>
          <w:trHeight w:val="425" w:hRule="atLeast"/>
        </w:trPr>
        <w:tc>
          <w:tcPr>
            <w:tcW w:w="1521" w:type="dxa"/>
            <w:gridSpan w:val="3"/>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项目资金</w:t>
            </w:r>
          </w:p>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452"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年初预算数</w:t>
            </w:r>
          </w:p>
        </w:tc>
        <w:tc>
          <w:tcPr>
            <w:tcW w:w="111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全年预算数</w:t>
            </w:r>
          </w:p>
        </w:tc>
        <w:tc>
          <w:tcPr>
            <w:tcW w:w="99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全年执行数</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分值</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执行率</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得分</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年度资金总额</w:t>
            </w:r>
          </w:p>
        </w:tc>
        <w:tc>
          <w:tcPr>
            <w:tcW w:w="1452"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450</w:t>
            </w:r>
          </w:p>
        </w:tc>
        <w:tc>
          <w:tcPr>
            <w:tcW w:w="111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450</w:t>
            </w:r>
          </w:p>
        </w:tc>
        <w:tc>
          <w:tcPr>
            <w:tcW w:w="99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421.5</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93.67%</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9.38</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其中：财政拨款</w:t>
            </w:r>
          </w:p>
        </w:tc>
        <w:tc>
          <w:tcPr>
            <w:tcW w:w="1452"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450</w:t>
            </w:r>
          </w:p>
        </w:tc>
        <w:tc>
          <w:tcPr>
            <w:tcW w:w="111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450</w:t>
            </w:r>
          </w:p>
        </w:tc>
        <w:tc>
          <w:tcPr>
            <w:tcW w:w="99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421.5</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kern w:val="0"/>
                <w:sz w:val="18"/>
                <w:szCs w:val="18"/>
                <w:lang w:val="en-US" w:eastAsia="zh-CN"/>
              </w:rPr>
              <w:t>10</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kern w:val="0"/>
                <w:sz w:val="18"/>
                <w:szCs w:val="18"/>
                <w:lang w:val="en-US" w:eastAsia="zh-CN"/>
              </w:rPr>
              <w:t>93.67%</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kern w:val="0"/>
                <w:sz w:val="18"/>
                <w:szCs w:val="18"/>
                <w:lang w:val="en-US" w:eastAsia="zh-CN"/>
              </w:rPr>
              <w:t>9.38</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上年结转资金</w:t>
            </w:r>
          </w:p>
        </w:tc>
        <w:tc>
          <w:tcPr>
            <w:tcW w:w="1452"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111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99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其他资金</w:t>
            </w:r>
          </w:p>
        </w:tc>
        <w:tc>
          <w:tcPr>
            <w:tcW w:w="1452"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111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99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9654"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项目绩效年度目标</w:t>
            </w:r>
          </w:p>
        </w:tc>
      </w:tr>
      <w:tr>
        <w:tblPrEx>
          <w:tblCellMar>
            <w:top w:w="15" w:type="dxa"/>
            <w:left w:w="108" w:type="dxa"/>
            <w:bottom w:w="15" w:type="dxa"/>
            <w:right w:w="108" w:type="dxa"/>
          </w:tblCellMar>
        </w:tblPrEx>
        <w:trPr>
          <w:trHeight w:val="425" w:hRule="atLeast"/>
        </w:trPr>
        <w:tc>
          <w:tcPr>
            <w:tcW w:w="42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年度总体目标</w:t>
            </w:r>
          </w:p>
        </w:tc>
        <w:tc>
          <w:tcPr>
            <w:tcW w:w="532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预期目标</w:t>
            </w:r>
          </w:p>
        </w:tc>
        <w:tc>
          <w:tcPr>
            <w:tcW w:w="3913"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实际完成情况</w:t>
            </w:r>
          </w:p>
        </w:tc>
      </w:tr>
      <w:tr>
        <w:tblPrEx>
          <w:tblCellMar>
            <w:top w:w="15" w:type="dxa"/>
            <w:left w:w="108" w:type="dxa"/>
            <w:bottom w:w="15" w:type="dxa"/>
            <w:right w:w="108" w:type="dxa"/>
          </w:tblCellMar>
        </w:tblPrEx>
        <w:trPr>
          <w:trHeight w:val="1358" w:hRule="atLeast"/>
        </w:trPr>
        <w:tc>
          <w:tcPr>
            <w:tcW w:w="421" w:type="dxa"/>
            <w:vMerge w:val="continue"/>
            <w:tcBorders>
              <w:left w:val="single" w:color="000000"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color w:val="000000"/>
                <w:kern w:val="0"/>
                <w:sz w:val="18"/>
                <w:szCs w:val="18"/>
              </w:rPr>
            </w:pPr>
          </w:p>
        </w:tc>
        <w:tc>
          <w:tcPr>
            <w:tcW w:w="5320" w:type="dxa"/>
            <w:gridSpan w:val="6"/>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对全区农村户厕进行后期管护，实现农村改厕后续管护长效机制。加强对全区105座公厕日常管理。完成第二批省级美丽村居凤凰镇温家村的建设工作。</w:t>
            </w:r>
          </w:p>
        </w:tc>
        <w:tc>
          <w:tcPr>
            <w:tcW w:w="391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对全区农村户厕进行后期管护，实现农村改厕后续管护长效机制。加强对全区105座公厕日常管理，对18户低收入群体住房进行改造提升，完成了第二批省级美丽村居凤凰镇温家村的建设工作。</w:t>
            </w:r>
          </w:p>
        </w:tc>
      </w:tr>
      <w:tr>
        <w:tblPrEx>
          <w:tblCellMar>
            <w:top w:w="15" w:type="dxa"/>
            <w:left w:w="108" w:type="dxa"/>
            <w:bottom w:w="15" w:type="dxa"/>
            <w:right w:w="108" w:type="dxa"/>
          </w:tblCellMar>
        </w:tblPrEx>
        <w:trPr>
          <w:trHeight w:val="425" w:hRule="atLeast"/>
        </w:trPr>
        <w:tc>
          <w:tcPr>
            <w:tcW w:w="42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年度绩效</w:t>
            </w:r>
          </w:p>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指标（90分）</w:t>
            </w:r>
          </w:p>
        </w:tc>
        <w:tc>
          <w:tcPr>
            <w:tcW w:w="963"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一级指标</w:t>
            </w: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二级指标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三级指标</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before="128" w:beforeAutospacing="0" w:line="213" w:lineRule="exact"/>
              <w:ind w:right="53"/>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年度指标值</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实际完成值</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分值</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得分</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偏差原因分析及改进措施</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项目产出（50分）</w:t>
            </w: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数量指标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全区农村公厕座数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≥108</w:t>
            </w:r>
            <w:r>
              <w:rPr>
                <w:rFonts w:hint="eastAsia" w:ascii="宋体" w:hAnsi="宋体" w:eastAsia="宋体" w:cs="宋体"/>
                <w:color w:val="050100"/>
                <w:sz w:val="18"/>
                <w:szCs w:val="18"/>
                <w:lang w:val="en-US" w:eastAsia="zh-CN"/>
              </w:rPr>
              <w:t>座</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105</w:t>
            </w:r>
            <w:r>
              <w:rPr>
                <w:rFonts w:hint="eastAsia" w:ascii="宋体" w:hAnsi="宋体" w:eastAsia="宋体" w:cs="宋体"/>
                <w:color w:val="050100"/>
                <w:sz w:val="18"/>
                <w:szCs w:val="18"/>
                <w:lang w:val="en-US" w:eastAsia="zh-CN"/>
              </w:rPr>
              <w:t>座</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Theme="minorEastAsia" w:hAnsiTheme="minorEastAsia" w:eastAsiaTheme="minorEastAsia" w:cstheme="minorEastAsia"/>
                <w:color w:val="050100"/>
                <w:sz w:val="18"/>
                <w:szCs w:val="18"/>
                <w:lang w:val="en-US" w:eastAsia="zh-CN"/>
              </w:rPr>
            </w:pPr>
            <w:r>
              <w:rPr>
                <w:rFonts w:hint="eastAsia" w:asciiTheme="minorEastAsia" w:hAnsiTheme="minorEastAsia" w:eastAsiaTheme="minorEastAsia" w:cstheme="minorEastAsia"/>
                <w:color w:val="050100"/>
                <w:sz w:val="18"/>
                <w:szCs w:val="18"/>
                <w:lang w:val="en-US" w:eastAsia="zh-CN"/>
              </w:rPr>
              <w:t>9.72</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有三座农村公厕划归其他区县</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数量指标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省级美丽村居试点个数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≥2</w:t>
            </w:r>
            <w:r>
              <w:rPr>
                <w:rFonts w:hint="eastAsia" w:ascii="宋体" w:hAnsi="宋体" w:eastAsia="宋体" w:cs="宋体"/>
                <w:color w:val="050100"/>
                <w:sz w:val="18"/>
                <w:szCs w:val="18"/>
                <w:lang w:val="en-US" w:eastAsia="zh-CN"/>
              </w:rPr>
              <w:t>个</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1</w:t>
            </w:r>
            <w:r>
              <w:rPr>
                <w:rFonts w:hint="eastAsia" w:ascii="宋体" w:hAnsi="宋体" w:eastAsia="宋体" w:cs="宋体"/>
                <w:color w:val="050100"/>
                <w:sz w:val="18"/>
                <w:szCs w:val="18"/>
                <w:lang w:val="en-US" w:eastAsia="zh-CN"/>
              </w:rPr>
              <w:t>个</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5.00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Theme="minorEastAsia" w:hAnsiTheme="minorEastAsia" w:eastAsiaTheme="minorEastAsia" w:cstheme="minorEastAsia"/>
                <w:color w:val="050100"/>
                <w:sz w:val="18"/>
                <w:szCs w:val="18"/>
                <w:lang w:val="en-US" w:eastAsia="zh-CN"/>
              </w:rPr>
            </w:pPr>
            <w:r>
              <w:rPr>
                <w:rFonts w:hint="eastAsia" w:asciiTheme="minorEastAsia" w:hAnsiTheme="minorEastAsia" w:eastAsiaTheme="minorEastAsia" w:cstheme="minorEastAsia"/>
                <w:color w:val="050100"/>
                <w:sz w:val="18"/>
                <w:szCs w:val="18"/>
                <w:lang w:val="en-US" w:eastAsia="zh-CN"/>
              </w:rPr>
              <w:t>2.5</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 xml:space="preserve">年初指标设置过大 </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时效指标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无害化厕所管护是否按时</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按时</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按时</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default"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质量指标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管护站覆盖率</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=100</w:t>
            </w:r>
            <w:r>
              <w:rPr>
                <w:rFonts w:hint="eastAsia" w:ascii="宋体" w:hAnsi="宋体" w:eastAsia="宋体" w:cs="宋体"/>
                <w:color w:val="050100"/>
                <w:sz w:val="18"/>
                <w:szCs w:val="18"/>
                <w:lang w:val="en-US" w:eastAsia="zh-CN"/>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100</w:t>
            </w:r>
            <w:r>
              <w:rPr>
                <w:rFonts w:hint="eastAsia" w:ascii="宋体" w:hAnsi="宋体" w:eastAsia="宋体" w:cs="宋体"/>
                <w:color w:val="050100"/>
                <w:sz w:val="18"/>
                <w:szCs w:val="18"/>
                <w:lang w:val="en-US" w:eastAsia="zh-CN"/>
              </w:rPr>
              <w:t>%</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5.00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5</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质量指标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危房改造质量</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优</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rPr>
            </w:pPr>
            <w:r>
              <w:rPr>
                <w:rFonts w:hint="eastAsia" w:ascii="宋体" w:hAnsi="宋体" w:eastAsia="宋体" w:cs="宋体"/>
                <w:color w:val="050100"/>
                <w:sz w:val="18"/>
                <w:szCs w:val="18"/>
              </w:rPr>
              <w:t>优</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成本指标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农村公厕、农村户厕管护、低收入人群住房保障、省级美丽村居试点项目经费</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≤450</w:t>
            </w:r>
            <w:r>
              <w:rPr>
                <w:rFonts w:hint="eastAsia" w:ascii="宋体" w:hAnsi="宋体" w:eastAsia="宋体" w:cs="宋体"/>
                <w:color w:val="050100"/>
                <w:sz w:val="18"/>
                <w:szCs w:val="18"/>
                <w:lang w:val="en-US" w:eastAsia="zh-CN"/>
              </w:rPr>
              <w:t>万元</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421.495</w:t>
            </w:r>
            <w:r>
              <w:rPr>
                <w:rFonts w:hint="eastAsia" w:ascii="宋体" w:hAnsi="宋体" w:eastAsia="宋体" w:cs="宋体"/>
                <w:color w:val="050100"/>
                <w:sz w:val="18"/>
                <w:szCs w:val="18"/>
                <w:lang w:val="en-US" w:eastAsia="zh-CN"/>
              </w:rPr>
              <w:t>万元</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5.00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5</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default" w:ascii="宋体" w:hAnsi="宋体" w:eastAsia="宋体" w:cs="宋体"/>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财政资金紧张，部分资金未支付</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成本指标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农村户厕管护抽测费用</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≤40</w:t>
            </w:r>
            <w:r>
              <w:rPr>
                <w:rFonts w:hint="eastAsia" w:ascii="宋体" w:hAnsi="宋体" w:eastAsia="宋体" w:cs="宋体"/>
                <w:color w:val="050100"/>
                <w:sz w:val="18"/>
                <w:szCs w:val="18"/>
                <w:lang w:val="en-US" w:eastAsia="zh-CN"/>
              </w:rPr>
              <w:t>元/户</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40</w:t>
            </w:r>
            <w:r>
              <w:rPr>
                <w:rFonts w:hint="eastAsia" w:ascii="宋体" w:hAnsi="宋体" w:eastAsia="宋体" w:cs="宋体"/>
                <w:color w:val="050100"/>
                <w:sz w:val="18"/>
                <w:szCs w:val="18"/>
                <w:lang w:val="en-US" w:eastAsia="zh-CN"/>
              </w:rPr>
              <w:t>元/户</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5.00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5</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default"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项目效益（30分）</w:t>
            </w: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社会效益</w:t>
            </w:r>
            <w:r>
              <w:rPr>
                <w:rFonts w:hint="eastAsia" w:ascii="宋体" w:hAnsi="宋体" w:cs="宋体"/>
                <w:color w:val="050100"/>
                <w:sz w:val="18"/>
                <w:szCs w:val="18"/>
                <w:lang w:val="en-US" w:eastAsia="zh-CN"/>
              </w:rPr>
              <w:t>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提高群众生活质量</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提高</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提高</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生态效益</w:t>
            </w:r>
            <w:r>
              <w:rPr>
                <w:rFonts w:hint="eastAsia" w:ascii="宋体" w:hAnsi="宋体" w:cs="宋体"/>
                <w:color w:val="050100"/>
                <w:sz w:val="18"/>
                <w:szCs w:val="18"/>
                <w:lang w:val="en-US" w:eastAsia="zh-CN"/>
              </w:rPr>
              <w:t>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生态环境是否改善</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明显改善</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明显改善</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可持续影响</w:t>
            </w:r>
            <w:r>
              <w:rPr>
                <w:rFonts w:hint="eastAsia" w:ascii="宋体" w:hAnsi="宋体" w:cs="宋体"/>
                <w:color w:val="050100"/>
                <w:sz w:val="18"/>
                <w:szCs w:val="18"/>
                <w:lang w:val="en-US" w:eastAsia="zh-CN"/>
              </w:rPr>
              <w:t>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农村房屋后续使用状况</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优</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优</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满意度指标（10分）</w:t>
            </w:r>
          </w:p>
        </w:tc>
        <w:tc>
          <w:tcPr>
            <w:tcW w:w="1234"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社会公众或服务对象满意度</w:t>
            </w:r>
            <w:r>
              <w:rPr>
                <w:rFonts w:hint="eastAsia" w:ascii="宋体" w:hAnsi="宋体" w:cs="宋体"/>
                <w:color w:val="050100"/>
                <w:sz w:val="18"/>
                <w:szCs w:val="18"/>
                <w:lang w:val="en-US" w:eastAsia="zh-CN"/>
              </w:rPr>
              <w:t>指标</w:t>
            </w:r>
          </w:p>
        </w:tc>
        <w:tc>
          <w:tcPr>
            <w:tcW w:w="20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农民满意度</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≥95</w:t>
            </w:r>
            <w:r>
              <w:rPr>
                <w:rFonts w:hint="eastAsia" w:ascii="宋体" w:hAnsi="宋体" w:eastAsia="宋体" w:cs="宋体"/>
                <w:color w:val="050100"/>
                <w:sz w:val="18"/>
                <w:szCs w:val="18"/>
                <w:lang w:val="en-US" w:eastAsia="zh-CN"/>
              </w:rPr>
              <w:t>%</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rPr>
              <w:t>95</w:t>
            </w:r>
            <w:r>
              <w:rPr>
                <w:rFonts w:hint="eastAsia" w:ascii="宋体" w:hAnsi="宋体" w:eastAsia="宋体" w:cs="宋体"/>
                <w:color w:val="050100"/>
                <w:sz w:val="18"/>
                <w:szCs w:val="18"/>
                <w:lang w:val="en-US" w:eastAsia="zh-CN"/>
              </w:rPr>
              <w:t>%</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50100"/>
                <w:sz w:val="18"/>
                <w:szCs w:val="18"/>
                <w:lang w:val="en-US" w:eastAsia="zh-CN"/>
              </w:rPr>
            </w:pPr>
            <w:r>
              <w:rPr>
                <w:rFonts w:hint="eastAsia" w:ascii="宋体" w:hAnsi="宋体" w:eastAsia="宋体" w:cs="宋体"/>
                <w:color w:val="050100"/>
                <w:sz w:val="18"/>
                <w:szCs w:val="18"/>
                <w:lang w:val="en-US" w:eastAsia="zh-CN"/>
              </w:rPr>
              <w:t>10</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6682" w:type="dxa"/>
            <w:gridSpan w:val="8"/>
            <w:tcBorders>
              <w:top w:val="single" w:color="auto"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总分</w:t>
            </w:r>
          </w:p>
        </w:tc>
        <w:tc>
          <w:tcPr>
            <w:tcW w:w="68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6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50100"/>
                <w:sz w:val="18"/>
                <w:szCs w:val="18"/>
                <w:lang w:val="en-US" w:eastAsia="zh-CN"/>
              </w:rPr>
              <w:t>96.6</w:t>
            </w:r>
          </w:p>
        </w:tc>
        <w:tc>
          <w:tcPr>
            <w:tcW w:w="162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bl>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jc w:val="center"/>
        <w:rPr>
          <w:sz w:val="36"/>
          <w:szCs w:val="36"/>
        </w:rPr>
      </w:pPr>
      <w:r>
        <w:rPr>
          <w:rFonts w:hint="eastAsia"/>
          <w:sz w:val="36"/>
          <w:szCs w:val="36"/>
        </w:rPr>
        <w:t>项目支出绩效自评表</w:t>
      </w:r>
    </w:p>
    <w:p>
      <w:pPr>
        <w:jc w:val="center"/>
        <w:rPr>
          <w:rFonts w:hint="eastAsia"/>
        </w:rPr>
      </w:pPr>
      <w:r>
        <w:rPr>
          <w:rFonts w:hint="eastAsia"/>
        </w:rPr>
        <w:t>（2021年度）</w:t>
      </w:r>
    </w:p>
    <w:p>
      <w:pPr>
        <w:jc w:val="center"/>
      </w:pPr>
    </w:p>
    <w:tbl>
      <w:tblPr>
        <w:tblStyle w:val="6"/>
        <w:tblW w:w="9654" w:type="dxa"/>
        <w:tblInd w:w="91" w:type="dxa"/>
        <w:tblLayout w:type="fixed"/>
        <w:tblCellMar>
          <w:top w:w="15" w:type="dxa"/>
          <w:left w:w="108" w:type="dxa"/>
          <w:bottom w:w="15" w:type="dxa"/>
          <w:right w:w="108" w:type="dxa"/>
        </w:tblCellMar>
      </w:tblPr>
      <w:tblGrid>
        <w:gridCol w:w="421"/>
        <w:gridCol w:w="963"/>
        <w:gridCol w:w="137"/>
        <w:gridCol w:w="1025"/>
        <w:gridCol w:w="625"/>
        <w:gridCol w:w="1163"/>
        <w:gridCol w:w="350"/>
        <w:gridCol w:w="887"/>
        <w:gridCol w:w="888"/>
        <w:gridCol w:w="275"/>
        <w:gridCol w:w="412"/>
        <w:gridCol w:w="413"/>
        <w:gridCol w:w="350"/>
        <w:gridCol w:w="937"/>
        <w:gridCol w:w="808"/>
      </w:tblGrid>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项目名称</w:t>
            </w:r>
          </w:p>
        </w:tc>
        <w:tc>
          <w:tcPr>
            <w:tcW w:w="8133" w:type="dxa"/>
            <w:gridSpan w:val="1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审查调查监督工作经费</w:t>
            </w:r>
          </w:p>
        </w:tc>
      </w:tr>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主管部门及代码</w:t>
            </w:r>
          </w:p>
        </w:tc>
        <w:tc>
          <w:tcPr>
            <w:tcW w:w="40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[105]中国共产党淄博市临淄区纪律检查委员会</w:t>
            </w:r>
          </w:p>
        </w:tc>
        <w:tc>
          <w:tcPr>
            <w:tcW w:w="11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实施单位</w:t>
            </w:r>
          </w:p>
        </w:tc>
        <w:tc>
          <w:tcPr>
            <w:tcW w:w="292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[105001]中国共产党淄博市临淄区纪律检查委员会</w:t>
            </w:r>
          </w:p>
        </w:tc>
      </w:tr>
      <w:tr>
        <w:tblPrEx>
          <w:tblCellMar>
            <w:top w:w="15" w:type="dxa"/>
            <w:left w:w="108" w:type="dxa"/>
            <w:bottom w:w="15" w:type="dxa"/>
            <w:right w:w="108" w:type="dxa"/>
          </w:tblCellMar>
        </w:tblPrEx>
        <w:trPr>
          <w:trHeight w:val="425" w:hRule="atLeast"/>
        </w:trPr>
        <w:tc>
          <w:tcPr>
            <w:tcW w:w="1521" w:type="dxa"/>
            <w:gridSpan w:val="3"/>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项目资金</w:t>
            </w:r>
          </w:p>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（万元）</w:t>
            </w: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年初预算数</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全年预算数</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全年执行数</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分值</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执行率</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得分</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年度资金总额</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185</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124.22</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124.22</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100.00%</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其中：财政拨款</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185</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124.22</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124.22</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100.00%</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上年结转资金</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其他资金</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r>
      <w:tr>
        <w:tblPrEx>
          <w:tblCellMar>
            <w:top w:w="15" w:type="dxa"/>
            <w:left w:w="108" w:type="dxa"/>
            <w:bottom w:w="15" w:type="dxa"/>
            <w:right w:w="108" w:type="dxa"/>
          </w:tblCellMar>
        </w:tblPrEx>
        <w:trPr>
          <w:trHeight w:val="425" w:hRule="atLeast"/>
        </w:trPr>
        <w:tc>
          <w:tcPr>
            <w:tcW w:w="9654" w:type="dxa"/>
            <w:gridSpan w:val="15"/>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项目绩效年度目标</w:t>
            </w:r>
          </w:p>
        </w:tc>
      </w:tr>
      <w:tr>
        <w:tblPrEx>
          <w:tblCellMar>
            <w:top w:w="15" w:type="dxa"/>
            <w:left w:w="108" w:type="dxa"/>
            <w:bottom w:w="15" w:type="dxa"/>
            <w:right w:w="108" w:type="dxa"/>
          </w:tblCellMar>
        </w:tblPrEx>
        <w:trPr>
          <w:trHeight w:val="425" w:hRule="atLeast"/>
        </w:trPr>
        <w:tc>
          <w:tcPr>
            <w:tcW w:w="42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年度总体目标</w:t>
            </w:r>
          </w:p>
        </w:tc>
        <w:tc>
          <w:tcPr>
            <w:tcW w:w="515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预期目标</w:t>
            </w:r>
          </w:p>
        </w:tc>
        <w:tc>
          <w:tcPr>
            <w:tcW w:w="408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实际完成情况</w:t>
            </w:r>
          </w:p>
        </w:tc>
      </w:tr>
      <w:tr>
        <w:tblPrEx>
          <w:tblCellMar>
            <w:top w:w="15" w:type="dxa"/>
            <w:left w:w="108" w:type="dxa"/>
            <w:bottom w:w="15" w:type="dxa"/>
            <w:right w:w="108" w:type="dxa"/>
          </w:tblCellMar>
        </w:tblPrEx>
        <w:trPr>
          <w:trHeight w:val="1105" w:hRule="atLeast"/>
        </w:trPr>
        <w:tc>
          <w:tcPr>
            <w:tcW w:w="421" w:type="dxa"/>
            <w:vMerge w:val="continue"/>
            <w:tcBorders>
              <w:left w:val="single" w:color="000000"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color w:val="000000"/>
                <w:kern w:val="0"/>
                <w:sz w:val="18"/>
                <w:szCs w:val="18"/>
              </w:rPr>
            </w:pPr>
          </w:p>
        </w:tc>
        <w:tc>
          <w:tcPr>
            <w:tcW w:w="5150" w:type="dxa"/>
            <w:gridSpan w:val="7"/>
            <w:tcBorders>
              <w:top w:val="single" w:color="000000" w:sz="4" w:space="0"/>
              <w:left w:val="single" w:color="000000" w:sz="4" w:space="0"/>
              <w:bottom w:val="single" w:color="000000" w:sz="4" w:space="0"/>
              <w:right w:val="single" w:color="000000" w:sz="4" w:space="0"/>
            </w:tcBorders>
          </w:tcPr>
          <w:p>
            <w:pPr>
              <w:widowControl/>
              <w:spacing w:line="30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贯彻落实《监察法》和《中国共产党纪律处分条例》，加强承办线索的管理，合理做好分工，受理信访举报，处置工作督查、巡察、纪律审查中发现的问责线索，做好调查工作，对党员干部失职失责问题严格问责。</w:t>
            </w:r>
          </w:p>
        </w:tc>
        <w:tc>
          <w:tcPr>
            <w:tcW w:w="4083" w:type="dxa"/>
            <w:gridSpan w:val="7"/>
            <w:tcBorders>
              <w:top w:val="single" w:color="000000" w:sz="4" w:space="0"/>
              <w:left w:val="single" w:color="000000" w:sz="4" w:space="0"/>
              <w:bottom w:val="single" w:color="000000" w:sz="4" w:space="0"/>
              <w:right w:val="single" w:color="000000" w:sz="4" w:space="0"/>
            </w:tcBorders>
          </w:tcPr>
          <w:p>
            <w:pPr>
              <w:widowControl/>
              <w:spacing w:line="30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年共受理信访举报242件，立案393起，给予党纪政务处分401人。深挖彻查群众身边腐败和作风问题，成功办理8起留置案件，移送司法机关6人。（2）产出质量方面：突出标本兼治，始终保持惩治腐败高压态势。（3）产出时效方面：无论是自办案件还是上级交办案件都在规定时间内高质量办好。</w:t>
            </w:r>
          </w:p>
        </w:tc>
      </w:tr>
      <w:tr>
        <w:tblPrEx>
          <w:tblCellMar>
            <w:top w:w="15" w:type="dxa"/>
            <w:left w:w="108" w:type="dxa"/>
            <w:bottom w:w="15" w:type="dxa"/>
            <w:right w:w="108" w:type="dxa"/>
          </w:tblCellMar>
        </w:tblPrEx>
        <w:trPr>
          <w:trHeight w:val="425" w:hRule="atLeast"/>
        </w:trPr>
        <w:tc>
          <w:tcPr>
            <w:tcW w:w="4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年度绩效</w:t>
            </w:r>
          </w:p>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指标（90分）</w:t>
            </w:r>
          </w:p>
        </w:tc>
        <w:tc>
          <w:tcPr>
            <w:tcW w:w="963" w:type="dxa"/>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一级指标</w:t>
            </w:r>
          </w:p>
        </w:tc>
        <w:tc>
          <w:tcPr>
            <w:tcW w:w="116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二级指标</w:t>
            </w:r>
          </w:p>
        </w:tc>
        <w:tc>
          <w:tcPr>
            <w:tcW w:w="21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三级指标</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8"/>
              <w:widowControl/>
              <w:spacing w:before="128" w:line="213" w:lineRule="exact"/>
              <w:ind w:right="53"/>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50100"/>
                <w:sz w:val="18"/>
                <w:szCs w:val="18"/>
              </w:rPr>
              <w:t>年度指标值</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实际完成值</w:t>
            </w:r>
          </w:p>
        </w:tc>
        <w:tc>
          <w:tcPr>
            <w:tcW w:w="6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分值</w:t>
            </w:r>
          </w:p>
        </w:tc>
        <w:tc>
          <w:tcPr>
            <w:tcW w:w="7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得分</w:t>
            </w:r>
          </w:p>
        </w:tc>
        <w:tc>
          <w:tcPr>
            <w:tcW w:w="174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偏差原因分析及改进措施</w:t>
            </w:r>
          </w:p>
        </w:tc>
      </w:tr>
      <w:tr>
        <w:tblPrEx>
          <w:tblCellMar>
            <w:top w:w="15" w:type="dxa"/>
            <w:left w:w="108" w:type="dxa"/>
            <w:bottom w:w="15" w:type="dxa"/>
            <w:right w:w="108" w:type="dxa"/>
          </w:tblCellMar>
        </w:tblPrEx>
        <w:trPr>
          <w:trHeight w:val="1120"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项目产出（50分）</w:t>
            </w: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办理留置案件数量</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≥6件</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8件</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留置案件无法预估</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时效指标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案件办理时间</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按时</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按时</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案件办结率</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=100%</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100%</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案件保密质量</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优%</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优%</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成本指标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办公费、差旅费、交通费</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≤185万元</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124.22万元</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由于财政资金紧张,有些费用已发生未支付.</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项目效益（30分）</w:t>
            </w: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社会效益</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提高社会公信力</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提高</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提高</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可持续影响</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推进反腐败工作开展</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完全推进</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完全推进</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满意度指标（10分）</w:t>
            </w: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社会公众或服务对象满意度</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上级主管部门满意度</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=100%</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98%</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9.8</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或多或少有不满意的地方</w:t>
            </w:r>
          </w:p>
        </w:tc>
      </w:tr>
      <w:tr>
        <w:tblPrEx>
          <w:tblCellMar>
            <w:top w:w="15" w:type="dxa"/>
            <w:left w:w="108" w:type="dxa"/>
            <w:bottom w:w="15" w:type="dxa"/>
            <w:right w:w="108" w:type="dxa"/>
          </w:tblCellMar>
        </w:tblPrEx>
        <w:trPr>
          <w:trHeight w:val="425" w:hRule="atLeast"/>
        </w:trPr>
        <w:tc>
          <w:tcPr>
            <w:tcW w:w="6459" w:type="dxa"/>
            <w:gridSpan w:val="9"/>
            <w:tcBorders>
              <w:top w:val="single" w:color="auto"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总分</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99.8</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bl>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jc w:val="center"/>
        <w:rPr>
          <w:rFonts w:hint="eastAsia"/>
          <w:sz w:val="36"/>
          <w:szCs w:val="36"/>
        </w:rPr>
      </w:pPr>
      <w:r>
        <w:rPr>
          <w:rFonts w:hint="eastAsia"/>
          <w:sz w:val="36"/>
          <w:szCs w:val="36"/>
        </w:rPr>
        <w:t>项目支出绩效自评表</w:t>
      </w:r>
    </w:p>
    <w:p>
      <w:pPr>
        <w:jc w:val="center"/>
      </w:pPr>
      <w:r>
        <w:rPr>
          <w:rFonts w:hint="eastAsia"/>
        </w:rPr>
        <w:t>（2021年度）</w:t>
      </w:r>
    </w:p>
    <w:p>
      <w:pPr>
        <w:jc w:val="center"/>
      </w:pPr>
    </w:p>
    <w:tbl>
      <w:tblPr>
        <w:tblStyle w:val="6"/>
        <w:tblW w:w="9654" w:type="dxa"/>
        <w:tblInd w:w="91" w:type="dxa"/>
        <w:tblLayout w:type="fixed"/>
        <w:tblCellMar>
          <w:top w:w="15" w:type="dxa"/>
          <w:left w:w="108" w:type="dxa"/>
          <w:bottom w:w="15" w:type="dxa"/>
          <w:right w:w="108" w:type="dxa"/>
        </w:tblCellMar>
      </w:tblPr>
      <w:tblGrid>
        <w:gridCol w:w="421"/>
        <w:gridCol w:w="963"/>
        <w:gridCol w:w="137"/>
        <w:gridCol w:w="1025"/>
        <w:gridCol w:w="625"/>
        <w:gridCol w:w="1163"/>
        <w:gridCol w:w="350"/>
        <w:gridCol w:w="887"/>
        <w:gridCol w:w="888"/>
        <w:gridCol w:w="275"/>
        <w:gridCol w:w="412"/>
        <w:gridCol w:w="413"/>
        <w:gridCol w:w="350"/>
        <w:gridCol w:w="937"/>
        <w:gridCol w:w="808"/>
      </w:tblGrid>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813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r>
              <w:rPr>
                <w:rFonts w:hint="eastAsia" w:ascii="宋体" w:hAnsi="宋体" w:eastAsia="宋体" w:cs="宋体"/>
                <w:sz w:val="18"/>
                <w:szCs w:val="18"/>
              </w:rPr>
              <w:t>融媒体资讯合作宣传经费</w:t>
            </w:r>
          </w:p>
        </w:tc>
      </w:tr>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主管部门及代码</w:t>
            </w:r>
          </w:p>
        </w:tc>
        <w:tc>
          <w:tcPr>
            <w:tcW w:w="405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kern w:val="0"/>
                <w:sz w:val="18"/>
                <w:szCs w:val="18"/>
              </w:rPr>
            </w:pPr>
            <w:r>
              <w:rPr>
                <w:rFonts w:hint="eastAsia" w:ascii="宋体" w:hAnsi="宋体" w:eastAsia="宋体" w:cs="宋体"/>
                <w:sz w:val="18"/>
                <w:szCs w:val="18"/>
              </w:rPr>
              <w:t>[150]淄博市临淄区融媒体中心</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实施单位</w:t>
            </w:r>
          </w:p>
        </w:tc>
        <w:tc>
          <w:tcPr>
            <w:tcW w:w="292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kern w:val="0"/>
                <w:sz w:val="18"/>
                <w:szCs w:val="18"/>
              </w:rPr>
            </w:pPr>
            <w:r>
              <w:rPr>
                <w:rFonts w:hint="eastAsia" w:ascii="宋体" w:hAnsi="宋体" w:eastAsia="宋体" w:cs="宋体"/>
                <w:sz w:val="18"/>
                <w:szCs w:val="18"/>
              </w:rPr>
              <w:t>[150001]淄博市临淄区融媒体中心</w:t>
            </w:r>
          </w:p>
        </w:tc>
      </w:tr>
      <w:tr>
        <w:tblPrEx>
          <w:tblCellMar>
            <w:top w:w="15" w:type="dxa"/>
            <w:left w:w="108" w:type="dxa"/>
            <w:bottom w:w="15" w:type="dxa"/>
            <w:right w:w="108" w:type="dxa"/>
          </w:tblCellMar>
        </w:tblPrEx>
        <w:trPr>
          <w:trHeight w:val="425" w:hRule="atLeast"/>
        </w:trPr>
        <w:tc>
          <w:tcPr>
            <w:tcW w:w="1521" w:type="dxa"/>
            <w:gridSpan w:val="3"/>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项目资金</w:t>
            </w:r>
          </w:p>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年初预算数</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全年预算数</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全年执行数</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分值</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执行率</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得分</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年度资金总额</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100.00%</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其中：财政拨款</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180</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180</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180</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100.00%</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上年结转资金</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kern w:val="0"/>
                <w:sz w:val="18"/>
                <w:szCs w:val="18"/>
              </w:rPr>
            </w:pPr>
          </w:p>
        </w:tc>
        <w:tc>
          <w:tcPr>
            <w:tcW w:w="165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其他资金</w:t>
            </w:r>
          </w:p>
        </w:tc>
        <w:tc>
          <w:tcPr>
            <w:tcW w:w="116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23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1163"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825"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1287"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08"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r>
      <w:tr>
        <w:tblPrEx>
          <w:tblCellMar>
            <w:top w:w="15" w:type="dxa"/>
            <w:left w:w="108" w:type="dxa"/>
            <w:bottom w:w="15" w:type="dxa"/>
            <w:right w:w="108" w:type="dxa"/>
          </w:tblCellMar>
        </w:tblPrEx>
        <w:trPr>
          <w:trHeight w:val="425" w:hRule="atLeast"/>
        </w:trPr>
        <w:tc>
          <w:tcPr>
            <w:tcW w:w="965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项目绩效年度目标</w:t>
            </w:r>
          </w:p>
        </w:tc>
      </w:tr>
      <w:tr>
        <w:tblPrEx>
          <w:tblCellMar>
            <w:top w:w="15" w:type="dxa"/>
            <w:left w:w="108" w:type="dxa"/>
            <w:bottom w:w="15" w:type="dxa"/>
            <w:right w:w="108" w:type="dxa"/>
          </w:tblCellMar>
        </w:tblPrEx>
        <w:trPr>
          <w:trHeight w:val="425" w:hRule="atLeast"/>
        </w:trPr>
        <w:tc>
          <w:tcPr>
            <w:tcW w:w="42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年度总体目标</w:t>
            </w:r>
          </w:p>
        </w:tc>
        <w:tc>
          <w:tcPr>
            <w:tcW w:w="515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预期目标</w:t>
            </w:r>
          </w:p>
        </w:tc>
        <w:tc>
          <w:tcPr>
            <w:tcW w:w="4083"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实际完成情况</w:t>
            </w:r>
          </w:p>
        </w:tc>
      </w:tr>
      <w:tr>
        <w:tblPrEx>
          <w:tblCellMar>
            <w:top w:w="15" w:type="dxa"/>
            <w:left w:w="108" w:type="dxa"/>
            <w:bottom w:w="15" w:type="dxa"/>
            <w:right w:w="108" w:type="dxa"/>
          </w:tblCellMar>
        </w:tblPrEx>
        <w:trPr>
          <w:trHeight w:val="1105" w:hRule="atLeast"/>
        </w:trPr>
        <w:tc>
          <w:tcPr>
            <w:tcW w:w="421" w:type="dxa"/>
            <w:vMerge w:val="continue"/>
            <w:tcBorders>
              <w:left w:val="single" w:color="000000" w:sz="4" w:space="0"/>
              <w:bottom w:val="single" w:color="auto" w:sz="4" w:space="0"/>
              <w:right w:val="single" w:color="000000" w:sz="4" w:space="0"/>
            </w:tcBorders>
            <w:noWrap w:val="0"/>
            <w:vAlign w:val="top"/>
          </w:tcPr>
          <w:p>
            <w:pPr>
              <w:widowControl/>
              <w:spacing w:line="300" w:lineRule="exact"/>
              <w:rPr>
                <w:rFonts w:hint="eastAsia" w:ascii="宋体" w:hAnsi="宋体" w:eastAsia="宋体" w:cs="宋体"/>
                <w:color w:val="000000"/>
                <w:kern w:val="0"/>
                <w:sz w:val="18"/>
                <w:szCs w:val="18"/>
              </w:rPr>
            </w:pPr>
          </w:p>
        </w:tc>
        <w:tc>
          <w:tcPr>
            <w:tcW w:w="5150"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为我区提供融媒体传播服务、民生传播服务、网端传播服 务、城市形象片投放、舆情护航服务、媒体拓展、国际传 播服务等，更好的展现和提升我区发展新形象、新面貌。</w:t>
            </w:r>
          </w:p>
        </w:tc>
        <w:tc>
          <w:tcPr>
            <w:tcW w:w="408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与淄博市广播电视台建立深度合作，市广播电视台是我市重要的主流媒体之一，合作方式涵盖新闻、专题、社教、文化服务、广告策划与宣传等多项主流媒体宣传业务，负责全市时政、重点典型经验等新闻节目的生产，内容包含主题报道、资讯、问政、评论，是淄博市时政主流舆论的权威发布平台。宣传就是生产力，在信息传播渠道多元化的当今，作为党和政府“喉舌”的地方广电媒体，发展方向和重点就是融媒体，顺应新时期新闻传播新业态，大胆改革创新，与省市台、中央电视台的交流合作，对提升临淄区宣传成效，抢占新闻宣传的制高点和话语权，巩固好作为当地主流媒体的地位和影响力，巩固主流媒体宣传阵地，具有重要意义。</w:t>
            </w:r>
          </w:p>
        </w:tc>
      </w:tr>
      <w:tr>
        <w:tblPrEx>
          <w:tblCellMar>
            <w:top w:w="15" w:type="dxa"/>
            <w:left w:w="108" w:type="dxa"/>
            <w:bottom w:w="15" w:type="dxa"/>
            <w:right w:w="108" w:type="dxa"/>
          </w:tblCellMar>
        </w:tblPrEx>
        <w:trPr>
          <w:trHeight w:val="425" w:hRule="atLeast"/>
        </w:trPr>
        <w:tc>
          <w:tcPr>
            <w:tcW w:w="42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年度绩效</w:t>
            </w:r>
          </w:p>
          <w:p>
            <w:pPr>
              <w:widowControl/>
              <w:spacing w:line="300" w:lineRule="exact"/>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指标（90分）</w:t>
            </w:r>
          </w:p>
        </w:tc>
        <w:tc>
          <w:tcPr>
            <w:tcW w:w="963"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一级指标</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二级指标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三级指标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pStyle w:val="8"/>
              <w:widowControl/>
              <w:spacing w:before="128" w:beforeAutospacing="0" w:line="213" w:lineRule="exact"/>
              <w:ind w:right="53"/>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年度指标值</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实际完成值</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分值</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得分</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偏差原因分析及改进措施</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项目产出（50分）</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省台闪电直播</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≥1次/年</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1次/年</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省台闪电舆情培训、分析</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≥8期</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8期</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省台高端访谈</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≥1场</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1场</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市台专项采访</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≥1次</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1次</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市台重点宣传策划、舆情监测</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≥20次</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20次</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时效指标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及时传播我区新面貌</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按时</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按时</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时效指标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及时、高质量地宣传推介临淄各行各业涌现出的先进经验、典型</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及时</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及时</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制作高标准宣传片</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7.50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保质保量完成服务项目</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是</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7.50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成本指标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省台合同项目协议</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≤60万元</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60万元</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成本指标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市台合同项目协议</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≤60万元</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60万元</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成本指标</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2020年淄博市电视台合作经费</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≤60万元</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60万元</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项目效益（30分）</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经济效益</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宣传临淄经验，推动经济发展</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社会效益</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建立深度战略合作、提供主流宣传</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生态效益</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充分发挥媒体在生态环境保护中的重要作用</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可持续影响</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宣传推动经济持续发展</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优</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sz w:val="18"/>
                <w:szCs w:val="18"/>
              </w:rPr>
            </w:pPr>
          </w:p>
        </w:tc>
        <w:tc>
          <w:tcPr>
            <w:tcW w:w="963" w:type="dxa"/>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满意度指标（10分）</w:t>
            </w:r>
          </w:p>
        </w:tc>
        <w:tc>
          <w:tcPr>
            <w:tcW w:w="1162" w:type="dxa"/>
            <w:gridSpan w:val="2"/>
            <w:tcBorders>
              <w:top w:val="single" w:color="000000" w:sz="4" w:space="0"/>
              <w:left w:val="single" w:color="auto"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社会公众或服务对象满意度</w:t>
            </w:r>
          </w:p>
        </w:tc>
        <w:tc>
          <w:tcPr>
            <w:tcW w:w="2138"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群众满意度</w:t>
            </w:r>
          </w:p>
        </w:tc>
        <w:tc>
          <w:tcPr>
            <w:tcW w:w="887"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≥96%</w:t>
            </w:r>
          </w:p>
        </w:tc>
        <w:tc>
          <w:tcPr>
            <w:tcW w:w="888" w:type="dxa"/>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96%</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r>
        <w:tblPrEx>
          <w:tblCellMar>
            <w:top w:w="15" w:type="dxa"/>
            <w:left w:w="108" w:type="dxa"/>
            <w:bottom w:w="15" w:type="dxa"/>
            <w:right w:w="108" w:type="dxa"/>
          </w:tblCellMar>
        </w:tblPrEx>
        <w:trPr>
          <w:trHeight w:val="425" w:hRule="atLeast"/>
        </w:trPr>
        <w:tc>
          <w:tcPr>
            <w:tcW w:w="6459" w:type="dxa"/>
            <w:gridSpan w:val="9"/>
            <w:tcBorders>
              <w:top w:val="single" w:color="auto"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50100"/>
                <w:sz w:val="18"/>
                <w:szCs w:val="18"/>
              </w:rPr>
              <w:t>总分</w:t>
            </w:r>
          </w:p>
        </w:tc>
        <w:tc>
          <w:tcPr>
            <w:tcW w:w="687"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76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74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00" w:lineRule="exact"/>
              <w:jc w:val="left"/>
              <w:rPr>
                <w:rFonts w:hint="eastAsia" w:ascii="宋体" w:hAnsi="宋体" w:eastAsia="宋体" w:cs="宋体"/>
                <w:color w:val="000000"/>
                <w:kern w:val="0"/>
                <w:sz w:val="18"/>
                <w:szCs w:val="18"/>
                <w:lang w:val="en-US" w:eastAsia="zh-CN"/>
              </w:rPr>
            </w:pPr>
          </w:p>
        </w:tc>
      </w:tr>
    </w:tbl>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jc w:val="center"/>
        <w:rPr>
          <w:sz w:val="36"/>
          <w:szCs w:val="36"/>
        </w:rPr>
      </w:pPr>
      <w:r>
        <w:rPr>
          <w:rFonts w:hint="eastAsia"/>
          <w:sz w:val="36"/>
          <w:szCs w:val="36"/>
        </w:rPr>
        <w:t>项目支出绩效自评表</w:t>
      </w:r>
    </w:p>
    <w:p>
      <w:pPr>
        <w:jc w:val="center"/>
      </w:pPr>
      <w:r>
        <w:rPr>
          <w:rFonts w:hint="eastAsia"/>
        </w:rPr>
        <w:t>（2021年度）</w:t>
      </w:r>
    </w:p>
    <w:p>
      <w:pPr>
        <w:jc w:val="center"/>
      </w:pPr>
    </w:p>
    <w:tbl>
      <w:tblPr>
        <w:tblStyle w:val="6"/>
        <w:tblW w:w="9654" w:type="dxa"/>
        <w:tblInd w:w="91" w:type="dxa"/>
        <w:tblLayout w:type="fixed"/>
        <w:tblCellMar>
          <w:top w:w="15" w:type="dxa"/>
          <w:left w:w="108" w:type="dxa"/>
          <w:bottom w:w="15" w:type="dxa"/>
          <w:right w:w="108" w:type="dxa"/>
        </w:tblCellMar>
      </w:tblPr>
      <w:tblGrid>
        <w:gridCol w:w="421"/>
        <w:gridCol w:w="963"/>
        <w:gridCol w:w="137"/>
        <w:gridCol w:w="1025"/>
        <w:gridCol w:w="625"/>
        <w:gridCol w:w="1163"/>
        <w:gridCol w:w="350"/>
        <w:gridCol w:w="887"/>
        <w:gridCol w:w="888"/>
        <w:gridCol w:w="275"/>
        <w:gridCol w:w="412"/>
        <w:gridCol w:w="413"/>
        <w:gridCol w:w="350"/>
        <w:gridCol w:w="937"/>
        <w:gridCol w:w="808"/>
      </w:tblGrid>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项目名称</w:t>
            </w:r>
          </w:p>
        </w:tc>
        <w:tc>
          <w:tcPr>
            <w:tcW w:w="8133" w:type="dxa"/>
            <w:gridSpan w:val="1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运动训练保障经费</w:t>
            </w:r>
          </w:p>
        </w:tc>
      </w:tr>
      <w:tr>
        <w:tblPrEx>
          <w:tblCellMar>
            <w:top w:w="15" w:type="dxa"/>
            <w:left w:w="108" w:type="dxa"/>
            <w:bottom w:w="15" w:type="dxa"/>
            <w:right w:w="108" w:type="dxa"/>
          </w:tblCellMar>
        </w:tblPrEx>
        <w:trPr>
          <w:trHeight w:val="425" w:hRule="atLeast"/>
        </w:trPr>
        <w:tc>
          <w:tcPr>
            <w:tcW w:w="152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主管部门及代码</w:t>
            </w:r>
          </w:p>
        </w:tc>
        <w:tc>
          <w:tcPr>
            <w:tcW w:w="40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[118001]淄博市临淄区教育和体育局</w:t>
            </w:r>
          </w:p>
        </w:tc>
        <w:tc>
          <w:tcPr>
            <w:tcW w:w="11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实施单位</w:t>
            </w:r>
          </w:p>
        </w:tc>
        <w:tc>
          <w:tcPr>
            <w:tcW w:w="292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临淄区体育事业发展中心</w:t>
            </w:r>
          </w:p>
        </w:tc>
      </w:tr>
      <w:tr>
        <w:tblPrEx>
          <w:tblCellMar>
            <w:top w:w="15" w:type="dxa"/>
            <w:left w:w="108" w:type="dxa"/>
            <w:bottom w:w="15" w:type="dxa"/>
            <w:right w:w="108" w:type="dxa"/>
          </w:tblCellMar>
        </w:tblPrEx>
        <w:trPr>
          <w:trHeight w:val="425" w:hRule="atLeast"/>
        </w:trPr>
        <w:tc>
          <w:tcPr>
            <w:tcW w:w="1521" w:type="dxa"/>
            <w:gridSpan w:val="3"/>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项目资金</w:t>
            </w:r>
          </w:p>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（万元）</w:t>
            </w: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年初预算数</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全年预算数</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全年执行数</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分值</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执行率</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得分</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年度资金总额</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99</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99</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82.86</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83.7%</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8.7</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其中：财政拨款</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99</w:t>
            </w: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99</w:t>
            </w: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82.86</w:t>
            </w: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83.7%</w:t>
            </w: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8.7</w:t>
            </w: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上年结转资金</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1521" w:type="dxa"/>
            <w:gridSpan w:val="3"/>
            <w:vMerge w:val="continue"/>
            <w:tcBorders>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650" w:type="dxa"/>
            <w:gridSpan w:val="2"/>
            <w:tcBorders>
              <w:top w:val="single" w:color="000000" w:sz="4" w:space="0"/>
              <w:left w:val="single" w:color="000000" w:sz="4" w:space="0"/>
              <w:right w:val="single" w:color="000000" w:sz="4" w:space="0"/>
            </w:tcBorders>
            <w:vAlign w:val="center"/>
          </w:tcPr>
          <w:p>
            <w:pPr>
              <w:widowControl/>
              <w:spacing w:line="300" w:lineRule="exact"/>
              <w:jc w:val="both"/>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其他资金</w:t>
            </w:r>
          </w:p>
        </w:tc>
        <w:tc>
          <w:tcPr>
            <w:tcW w:w="1163"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123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1163"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825"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1287" w:type="dxa"/>
            <w:gridSpan w:val="2"/>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c>
          <w:tcPr>
            <w:tcW w:w="808" w:type="dxa"/>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9654" w:type="dxa"/>
            <w:gridSpan w:val="15"/>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项目绩效年度目标</w:t>
            </w:r>
          </w:p>
        </w:tc>
      </w:tr>
      <w:tr>
        <w:tblPrEx>
          <w:tblCellMar>
            <w:top w:w="15" w:type="dxa"/>
            <w:left w:w="108" w:type="dxa"/>
            <w:bottom w:w="15" w:type="dxa"/>
            <w:right w:w="108" w:type="dxa"/>
          </w:tblCellMar>
        </w:tblPrEx>
        <w:trPr>
          <w:trHeight w:val="425" w:hRule="atLeast"/>
        </w:trPr>
        <w:tc>
          <w:tcPr>
            <w:tcW w:w="421" w:type="dxa"/>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年度总体目标</w:t>
            </w:r>
          </w:p>
        </w:tc>
        <w:tc>
          <w:tcPr>
            <w:tcW w:w="515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预期目标</w:t>
            </w:r>
          </w:p>
        </w:tc>
        <w:tc>
          <w:tcPr>
            <w:tcW w:w="408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实际完成情况</w:t>
            </w:r>
          </w:p>
        </w:tc>
      </w:tr>
      <w:tr>
        <w:tblPrEx>
          <w:tblCellMar>
            <w:top w:w="15" w:type="dxa"/>
            <w:left w:w="108" w:type="dxa"/>
            <w:bottom w:w="15" w:type="dxa"/>
            <w:right w:w="108" w:type="dxa"/>
          </w:tblCellMar>
        </w:tblPrEx>
        <w:trPr>
          <w:trHeight w:val="1105" w:hRule="atLeast"/>
        </w:trPr>
        <w:tc>
          <w:tcPr>
            <w:tcW w:w="421" w:type="dxa"/>
            <w:vMerge w:val="continue"/>
            <w:tcBorders>
              <w:left w:val="single" w:color="000000" w:sz="4" w:space="0"/>
              <w:bottom w:val="single" w:color="auto" w:sz="4" w:space="0"/>
              <w:right w:val="single" w:color="000000" w:sz="4" w:space="0"/>
            </w:tcBorders>
          </w:tcPr>
          <w:p>
            <w:pPr>
              <w:widowControl/>
              <w:spacing w:line="300" w:lineRule="exact"/>
              <w:rPr>
                <w:rFonts w:hint="eastAsia" w:asciiTheme="minorEastAsia" w:hAnsiTheme="minorEastAsia" w:eastAsiaTheme="minorEastAsia" w:cstheme="minorEastAsia"/>
                <w:color w:val="000000"/>
                <w:kern w:val="0"/>
                <w:sz w:val="18"/>
                <w:szCs w:val="18"/>
              </w:rPr>
            </w:pPr>
          </w:p>
        </w:tc>
        <w:tc>
          <w:tcPr>
            <w:tcW w:w="5150" w:type="dxa"/>
            <w:gridSpan w:val="7"/>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全年认真落实考核制度，使体校全年训练工作正常运行。充分保障体校训练按质按量进行。使学生在体育方面与文化素质方面达到教学目标要求。</w:t>
            </w:r>
          </w:p>
        </w:tc>
        <w:tc>
          <w:tcPr>
            <w:tcW w:w="4083" w:type="dxa"/>
            <w:gridSpan w:val="7"/>
            <w:tcBorders>
              <w:top w:val="single" w:color="000000" w:sz="4" w:space="0"/>
              <w:left w:val="single" w:color="000000" w:sz="4" w:space="0"/>
              <w:bottom w:val="single" w:color="000000" w:sz="4" w:space="0"/>
              <w:right w:val="single" w:color="000000" w:sz="4" w:space="0"/>
            </w:tcBorders>
          </w:tcPr>
          <w:p>
            <w:pPr>
              <w:spacing w:line="3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1.预计训练学生220人，实际截至8月份培训260人，超额未完成任务 2.培养优秀人才数达到65人 3.完成项目资金支付82.85344万元</w:t>
            </w:r>
          </w:p>
        </w:tc>
      </w:tr>
      <w:tr>
        <w:tblPrEx>
          <w:tblCellMar>
            <w:top w:w="15" w:type="dxa"/>
            <w:left w:w="108" w:type="dxa"/>
            <w:bottom w:w="15" w:type="dxa"/>
            <w:right w:w="108" w:type="dxa"/>
          </w:tblCellMar>
        </w:tblPrEx>
        <w:trPr>
          <w:trHeight w:val="425" w:hRule="atLeast"/>
        </w:trPr>
        <w:tc>
          <w:tcPr>
            <w:tcW w:w="4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年度绩效</w:t>
            </w:r>
          </w:p>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指标（90分）</w:t>
            </w:r>
          </w:p>
        </w:tc>
        <w:tc>
          <w:tcPr>
            <w:tcW w:w="963" w:type="dxa"/>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一级指标</w:t>
            </w:r>
          </w:p>
        </w:tc>
        <w:tc>
          <w:tcPr>
            <w:tcW w:w="116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二级指标</w:t>
            </w:r>
          </w:p>
        </w:tc>
        <w:tc>
          <w:tcPr>
            <w:tcW w:w="21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三级指标</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8"/>
              <w:widowControl/>
              <w:spacing w:before="128" w:line="213" w:lineRule="exact"/>
              <w:ind w:right="53"/>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50100"/>
                <w:sz w:val="18"/>
                <w:szCs w:val="18"/>
              </w:rPr>
              <w:t>年度指标值</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实际完成值</w:t>
            </w:r>
          </w:p>
        </w:tc>
        <w:tc>
          <w:tcPr>
            <w:tcW w:w="6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分值</w:t>
            </w:r>
          </w:p>
        </w:tc>
        <w:tc>
          <w:tcPr>
            <w:tcW w:w="7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得分</w:t>
            </w:r>
          </w:p>
        </w:tc>
        <w:tc>
          <w:tcPr>
            <w:tcW w:w="174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偏差原因分析及改进措施</w:t>
            </w: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项目产出（50分）</w:t>
            </w: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训练学生数量</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≧220人</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260人</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数量指标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教练员数量</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≧10人</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20人</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质量指标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学生训练水平质量</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高</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高</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时效指标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按时开展训练员管理</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按时</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按时</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成本指标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项目所需成本金额</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≦99万元</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82</w:t>
            </w:r>
            <w:r>
              <w:rPr>
                <w:rFonts w:hint="eastAsia" w:asciiTheme="minorEastAsia" w:hAnsiTheme="minorEastAsia" w:eastAsiaTheme="minorEastAsia" w:cstheme="minorEastAsia"/>
                <w:color w:val="000000"/>
                <w:kern w:val="0"/>
                <w:sz w:val="18"/>
                <w:szCs w:val="18"/>
                <w:lang w:val="en-US" w:eastAsia="zh-CN"/>
              </w:rPr>
              <w:t>.</w:t>
            </w:r>
            <w:r>
              <w:rPr>
                <w:rFonts w:hint="eastAsia" w:asciiTheme="minorEastAsia" w:hAnsiTheme="minorEastAsia" w:eastAsiaTheme="minorEastAsia" w:cstheme="minorEastAsia"/>
                <w:color w:val="000000"/>
                <w:kern w:val="0"/>
                <w:sz w:val="18"/>
                <w:szCs w:val="18"/>
              </w:rPr>
              <w:t>86万元</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项目效益（30分）</w:t>
            </w: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社会效益指标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提高群众对竞技体育认可度</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提高</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提高</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可持续影响指标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持续向上级输送优秀人才</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持续</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持续</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421" w:type="dxa"/>
            <w:vMerge w:val="continue"/>
            <w:tcBorders>
              <w:top w:val="single" w:color="auto" w:sz="4" w:space="0"/>
              <w:left w:val="single" w:color="auto" w:sz="4" w:space="0"/>
              <w:bottom w:val="single" w:color="auto" w:sz="4" w:space="0"/>
              <w:right w:val="single" w:color="auto" w:sz="4" w:space="0"/>
            </w:tcBorders>
          </w:tcPr>
          <w:p>
            <w:pPr>
              <w:widowControl/>
              <w:spacing w:line="300" w:lineRule="exact"/>
              <w:rPr>
                <w:rFonts w:hint="eastAsia" w:asciiTheme="minorEastAsia" w:hAnsiTheme="minorEastAsia" w:eastAsiaTheme="minorEastAsia" w:cstheme="minorEastAsia"/>
                <w:sz w:val="18"/>
                <w:szCs w:val="18"/>
              </w:rPr>
            </w:pPr>
          </w:p>
        </w:tc>
        <w:tc>
          <w:tcPr>
            <w:tcW w:w="963" w:type="dxa"/>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满意度指标（10分）</w:t>
            </w:r>
          </w:p>
        </w:tc>
        <w:tc>
          <w:tcPr>
            <w:tcW w:w="1162" w:type="dxa"/>
            <w:gridSpan w:val="2"/>
            <w:tcBorders>
              <w:top w:val="single" w:color="000000" w:sz="4" w:space="0"/>
              <w:left w:val="single" w:color="auto"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社会公众或服务对象满意度指标</w:t>
            </w:r>
          </w:p>
        </w:tc>
        <w:tc>
          <w:tcPr>
            <w:tcW w:w="2138" w:type="dxa"/>
            <w:gridSpan w:val="3"/>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50100"/>
                <w:sz w:val="18"/>
                <w:szCs w:val="18"/>
              </w:rPr>
            </w:pPr>
            <w:r>
              <w:rPr>
                <w:rFonts w:hint="eastAsia" w:asciiTheme="minorEastAsia" w:hAnsiTheme="minorEastAsia" w:eastAsiaTheme="minorEastAsia" w:cstheme="minorEastAsia"/>
                <w:color w:val="050100"/>
                <w:sz w:val="18"/>
                <w:szCs w:val="18"/>
              </w:rPr>
              <w:t>群众对竞技体育满意度</w:t>
            </w:r>
          </w:p>
        </w:tc>
        <w:tc>
          <w:tcPr>
            <w:tcW w:w="887"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c>
          <w:tcPr>
            <w:tcW w:w="888"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95%</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r>
        <w:tblPrEx>
          <w:tblCellMar>
            <w:top w:w="15" w:type="dxa"/>
            <w:left w:w="108" w:type="dxa"/>
            <w:bottom w:w="15" w:type="dxa"/>
            <w:right w:w="108" w:type="dxa"/>
          </w:tblCellMar>
        </w:tblPrEx>
        <w:trPr>
          <w:trHeight w:val="425" w:hRule="atLeast"/>
        </w:trPr>
        <w:tc>
          <w:tcPr>
            <w:tcW w:w="6459" w:type="dxa"/>
            <w:gridSpan w:val="9"/>
            <w:tcBorders>
              <w:top w:val="single" w:color="auto"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50100"/>
                <w:sz w:val="18"/>
                <w:szCs w:val="18"/>
              </w:rPr>
              <w:t>总分</w:t>
            </w:r>
          </w:p>
        </w:tc>
        <w:tc>
          <w:tcPr>
            <w:tcW w:w="687"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100</w:t>
            </w:r>
          </w:p>
        </w:tc>
        <w:tc>
          <w:tcPr>
            <w:tcW w:w="763"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98.7</w:t>
            </w:r>
          </w:p>
        </w:tc>
        <w:tc>
          <w:tcPr>
            <w:tcW w:w="1745"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hint="eastAsia" w:asciiTheme="minorEastAsia" w:hAnsiTheme="minorEastAsia" w:eastAsiaTheme="minorEastAsia" w:cstheme="minorEastAsia"/>
                <w:color w:val="000000"/>
                <w:kern w:val="0"/>
                <w:sz w:val="18"/>
                <w:szCs w:val="18"/>
              </w:rPr>
            </w:pPr>
          </w:p>
        </w:tc>
      </w:tr>
    </w:tbl>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auto"/>
          <w:sz w:val="44"/>
          <w:szCs w:val="44"/>
        </w:rPr>
      </w:pPr>
    </w:p>
    <w:p>
      <w:pPr>
        <w:snapToGrid/>
        <w:spacing w:after="0" w:line="560" w:lineRule="exact"/>
        <w:jc w:val="center"/>
        <w:rPr>
          <w:rFonts w:hint="eastAsia" w:ascii="黑体" w:hAnsi="黑体" w:eastAsia="黑体"/>
          <w:color w:val="auto"/>
          <w:sz w:val="32"/>
          <w:szCs w:val="32"/>
        </w:rPr>
      </w:pPr>
      <w:r>
        <w:rPr>
          <w:rFonts w:hint="eastAsia" w:ascii="方正小标宋简体" w:hAnsi="黑体" w:eastAsia="方正小标宋简体"/>
          <w:color w:val="auto"/>
          <w:sz w:val="44"/>
          <w:szCs w:val="44"/>
        </w:rPr>
        <w:t>第二部分 区级预算重点项目绩效评价报告</w:t>
      </w: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both"/>
        <w:rPr>
          <w:rFonts w:hint="eastAsia" w:ascii="方正小标宋简体" w:hAnsi="黑体" w:eastAsia="方正小标宋简体"/>
          <w:color w:val="FF0000"/>
          <w:sz w:val="44"/>
          <w:szCs w:val="44"/>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snapToGrid/>
          <w:kern w:val="2"/>
          <w:sz w:val="44"/>
          <w:szCs w:val="44"/>
          <w:lang w:val="en-US" w:eastAsia="zh-CN" w:bidi="ar"/>
        </w:rPr>
        <w:t>临淄区安全生产及应急救援项目</w:t>
      </w: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snapToGrid/>
          <w:kern w:val="2"/>
          <w:sz w:val="44"/>
          <w:szCs w:val="44"/>
          <w:lang w:val="en-US" w:eastAsia="zh-CN" w:bidi="ar"/>
        </w:rPr>
        <w:t>绩效评价报告</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宋体" w:hAnsi="宋体" w:eastAsia="黑体" w:cs="Times New Roman"/>
          <w:kern w:val="2"/>
          <w:sz w:val="30"/>
          <w:szCs w:val="30"/>
        </w:rPr>
      </w:pPr>
      <w:r>
        <w:rPr>
          <w:rFonts w:hint="eastAsia" w:ascii="宋体" w:hAnsi="宋体" w:eastAsia="黑体" w:cs="Times New Roman"/>
          <w:snapToGrid/>
          <w:kern w:val="2"/>
          <w:sz w:val="30"/>
          <w:szCs w:val="30"/>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color w:val="000000"/>
          <w:kern w:val="2"/>
          <w:sz w:val="27"/>
          <w:szCs w:val="27"/>
          <w:lang w:val="en-US" w:eastAsia="zh-CN" w:bidi="ar"/>
        </w:rPr>
        <w:t>为进一步规范和加强项目预算资金管理，提高项目预算资金使用效益和管理水平，强化财政支出绩效管理，科学、公正地评价预算资金使用绩效，根据《项目支出绩效评价管理办法》（财预〔2020〕10号）、《临淄区区级部门单位预算绩效管理办法》（临政办字〔2020〕</w:t>
      </w:r>
      <w:r>
        <w:rPr>
          <w:rFonts w:hint="eastAsia" w:ascii="宋体" w:hAnsi="宋体" w:eastAsia="宋体" w:cs="Times New Roman"/>
          <w:snapToGrid/>
          <w:color w:val="000000"/>
          <w:kern w:val="2"/>
          <w:sz w:val="27"/>
          <w:szCs w:val="27"/>
          <w:lang w:val="en-US" w:eastAsia="zh-CN" w:bidi="ar"/>
        </w:rPr>
        <w:t>33</w:t>
      </w:r>
      <w:r>
        <w:rPr>
          <w:rFonts w:hint="eastAsia" w:ascii="宋体" w:hAnsi="宋体" w:eastAsia="宋体" w:cs="宋体"/>
          <w:snapToGrid/>
          <w:color w:val="000000"/>
          <w:kern w:val="2"/>
          <w:sz w:val="27"/>
          <w:szCs w:val="27"/>
          <w:lang w:val="en-US" w:eastAsia="zh-CN" w:bidi="ar"/>
        </w:rPr>
        <w:t>号）、《临淄区区级预算绩效管理委托第三方机构管理办法（试行）》（临财〔</w:t>
      </w:r>
      <w:r>
        <w:rPr>
          <w:rFonts w:hint="eastAsia" w:ascii="宋体" w:hAnsi="宋体" w:eastAsia="宋体" w:cs="Times New Roman"/>
          <w:snapToGrid/>
          <w:color w:val="000000"/>
          <w:kern w:val="2"/>
          <w:sz w:val="27"/>
          <w:szCs w:val="27"/>
          <w:lang w:val="en-US" w:eastAsia="zh-CN" w:bidi="ar"/>
        </w:rPr>
        <w:t>2021〕75号</w:t>
      </w:r>
      <w:r>
        <w:rPr>
          <w:rFonts w:hint="eastAsia" w:ascii="宋体" w:hAnsi="宋体" w:eastAsia="宋体" w:cs="宋体"/>
          <w:snapToGrid/>
          <w:color w:val="000000"/>
          <w:kern w:val="2"/>
          <w:sz w:val="27"/>
          <w:szCs w:val="27"/>
          <w:lang w:val="en-US" w:eastAsia="zh-CN" w:bidi="ar"/>
        </w:rPr>
        <w:t>）等文件有关规定，山东皓诚投资咨询有限公司受临淄区财政局委托</w:t>
      </w:r>
      <w:r>
        <w:rPr>
          <w:rFonts w:hint="eastAsia" w:ascii="宋体" w:hAnsi="宋体" w:eastAsia="宋体" w:cs="宋体"/>
          <w:snapToGrid/>
          <w:kern w:val="2"/>
          <w:sz w:val="27"/>
          <w:szCs w:val="27"/>
          <w:lang w:val="en-US" w:eastAsia="zh-CN" w:bidi="ar"/>
        </w:rPr>
        <w:t>对</w:t>
      </w:r>
      <w:r>
        <w:rPr>
          <w:rFonts w:hint="eastAsia" w:ascii="宋体" w:hAnsi="宋体" w:eastAsia="宋体" w:cs="Times New Roman"/>
          <w:snapToGrid/>
          <w:kern w:val="2"/>
          <w:sz w:val="27"/>
          <w:szCs w:val="27"/>
          <w:lang w:val="en-US" w:eastAsia="zh-CN" w:bidi="ar"/>
        </w:rPr>
        <w:t>2021年安全生产及应急救援项目</w:t>
      </w:r>
      <w:r>
        <w:rPr>
          <w:rFonts w:hint="eastAsia" w:ascii="宋体" w:hAnsi="宋体" w:eastAsia="宋体" w:cs="宋体"/>
          <w:snapToGrid/>
          <w:kern w:val="2"/>
          <w:sz w:val="27"/>
          <w:szCs w:val="27"/>
          <w:lang w:val="en-US" w:eastAsia="zh-CN" w:bidi="ar"/>
        </w:rPr>
        <w:t>支出进行绩效评价。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b w:val="0"/>
          <w:sz w:val="30"/>
          <w:szCs w:val="30"/>
        </w:rPr>
      </w:pPr>
      <w:r>
        <w:rPr>
          <w:rStyle w:val="12"/>
          <w:rFonts w:hint="eastAsia" w:ascii="黑体" w:hAnsi="宋体" w:eastAsia="黑体" w:cs="黑体"/>
          <w:b w:val="0"/>
          <w:kern w:val="2"/>
          <w:sz w:val="30"/>
          <w:szCs w:val="30"/>
          <w:lang w:val="en-US" w:eastAsia="zh-CN" w:bidi="ar"/>
        </w:rPr>
        <w:t>一、项目基本情况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
          <w:bCs/>
          <w:kern w:val="2"/>
          <w:sz w:val="27"/>
          <w:szCs w:val="27"/>
        </w:rPr>
      </w:pPr>
      <w:r>
        <w:rPr>
          <w:rFonts w:hint="eastAsia" w:ascii="宋体" w:hAnsi="宋体" w:eastAsia="宋体" w:cs="宋体"/>
          <w:b/>
          <w:bCs/>
          <w:snapToGrid/>
          <w:kern w:val="2"/>
          <w:sz w:val="27"/>
          <w:szCs w:val="27"/>
          <w:lang w:val="en-US" w:eastAsia="zh-CN" w:bidi="ar"/>
        </w:rPr>
        <w:t>（一）项目立项背景及实施目的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为全面贯彻党的十八大和十八届三中全会精神，认真落实习近平总书记关于安全生产工作的重要指示批示要求以及省、市各级党委政府关于安全生产的一系列决策部署，根据《中华人民共和国安全生产法》和《山东省生产经营单位安全生产主体责任规定》等法律法规，区委、区政府联合印发《关于落实生产经营单位安全生产主体责任的意见》（临发〔2</w:t>
      </w:r>
      <w:r>
        <w:rPr>
          <w:rFonts w:hint="eastAsia" w:ascii="宋体" w:hAnsi="宋体" w:eastAsia="宋体" w:cs="Times New Roman"/>
          <w:snapToGrid/>
          <w:kern w:val="2"/>
          <w:sz w:val="27"/>
          <w:szCs w:val="27"/>
          <w:lang w:val="en-US" w:eastAsia="zh-CN" w:bidi="ar"/>
        </w:rPr>
        <w:t>016</w:t>
      </w:r>
      <w:r>
        <w:rPr>
          <w:rFonts w:hint="eastAsia" w:ascii="宋体" w:hAnsi="宋体" w:eastAsia="宋体" w:cs="宋体"/>
          <w:snapToGrid/>
          <w:kern w:val="2"/>
          <w:sz w:val="27"/>
          <w:szCs w:val="27"/>
          <w:lang w:val="en-US" w:eastAsia="zh-CN" w:bidi="ar"/>
        </w:rPr>
        <w:t>〕6号），该文件指出生产经营单位应建立并落实符合企业实际的安全生产责任制、安全生产规章制度和安全操作规程；生产经营单位应与安全中介机构或安全专家签订安全生产技术服务协议，三级企业每季度、二级企业每半年、一级和其他企业每年组织专家至少进行一次“诊断式”检查。</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区交通运输局为确保全区道路危险货物运输泄露事故应急救援工作及时、有效，最大限度地减少事故灾难损失和人员伤亡，根据《中华人民共和国安全生产法》及相关法律法规要求，经区政府批准，依托有关企业建立临淄区道路危险货物运输应急救援队伍。</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
          <w:bCs/>
          <w:kern w:val="2"/>
          <w:sz w:val="27"/>
          <w:szCs w:val="27"/>
        </w:rPr>
      </w:pPr>
      <w:r>
        <w:rPr>
          <w:rFonts w:hint="eastAsia" w:ascii="宋体" w:hAnsi="宋体" w:eastAsia="宋体" w:cs="宋体"/>
          <w:b/>
          <w:bCs/>
          <w:snapToGrid/>
          <w:kern w:val="2"/>
          <w:sz w:val="27"/>
          <w:szCs w:val="27"/>
          <w:lang w:val="en-US" w:eastAsia="zh-CN" w:bidi="ar"/>
        </w:rPr>
        <w:t>（二）项目预算安排和支出情况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本项目预算资金9</w:t>
      </w:r>
      <w:r>
        <w:rPr>
          <w:rFonts w:hint="eastAsia" w:ascii="宋体" w:hAnsi="宋体" w:eastAsia="宋体" w:cs="Times New Roman"/>
          <w:snapToGrid/>
          <w:kern w:val="2"/>
          <w:sz w:val="27"/>
          <w:szCs w:val="27"/>
          <w:lang w:val="en-US" w:eastAsia="zh-CN" w:bidi="ar"/>
        </w:rPr>
        <w:t>0</w:t>
      </w:r>
      <w:r>
        <w:rPr>
          <w:rFonts w:hint="eastAsia" w:ascii="宋体" w:hAnsi="宋体" w:eastAsia="宋体" w:cs="宋体"/>
          <w:snapToGrid/>
          <w:kern w:val="2"/>
          <w:sz w:val="27"/>
          <w:szCs w:val="27"/>
          <w:lang w:val="en-US" w:eastAsia="zh-CN" w:bidi="ar"/>
        </w:rPr>
        <w:t>万元，实际拨付9</w:t>
      </w:r>
      <w:r>
        <w:rPr>
          <w:rFonts w:hint="eastAsia" w:ascii="宋体" w:hAnsi="宋体" w:eastAsia="宋体" w:cs="Times New Roman"/>
          <w:snapToGrid/>
          <w:kern w:val="2"/>
          <w:sz w:val="27"/>
          <w:szCs w:val="27"/>
          <w:lang w:val="en-US" w:eastAsia="zh-CN" w:bidi="ar"/>
        </w:rPr>
        <w:t>0</w:t>
      </w:r>
      <w:r>
        <w:rPr>
          <w:rFonts w:hint="eastAsia" w:ascii="宋体" w:hAnsi="宋体" w:eastAsia="宋体" w:cs="宋体"/>
          <w:snapToGrid/>
          <w:kern w:val="2"/>
          <w:sz w:val="27"/>
          <w:szCs w:val="27"/>
          <w:lang w:val="en-US" w:eastAsia="zh-CN" w:bidi="ar"/>
        </w:rPr>
        <w:t>万元。截至绩效评价时，该项目共支出9</w:t>
      </w:r>
      <w:r>
        <w:rPr>
          <w:rFonts w:hint="eastAsia" w:ascii="宋体" w:hAnsi="宋体" w:eastAsia="宋体" w:cs="Times New Roman"/>
          <w:snapToGrid/>
          <w:kern w:val="2"/>
          <w:sz w:val="27"/>
          <w:szCs w:val="27"/>
          <w:lang w:val="en-US" w:eastAsia="zh-CN" w:bidi="ar"/>
        </w:rPr>
        <w:t>0</w:t>
      </w:r>
      <w:r>
        <w:rPr>
          <w:rFonts w:hint="eastAsia" w:ascii="宋体" w:hAnsi="宋体" w:eastAsia="宋体" w:cs="宋体"/>
          <w:snapToGrid/>
          <w:kern w:val="2"/>
          <w:sz w:val="27"/>
          <w:szCs w:val="27"/>
          <w:lang w:val="en-US" w:eastAsia="zh-CN" w:bidi="ar"/>
        </w:rPr>
        <w:t>万元，其中安全生产第三方检查费用支出4</w:t>
      </w:r>
      <w:r>
        <w:rPr>
          <w:rFonts w:hint="eastAsia" w:ascii="宋体" w:hAnsi="宋体" w:eastAsia="宋体" w:cs="Times New Roman"/>
          <w:snapToGrid/>
          <w:kern w:val="2"/>
          <w:sz w:val="27"/>
          <w:szCs w:val="27"/>
          <w:lang w:val="en-US" w:eastAsia="zh-CN" w:bidi="ar"/>
        </w:rPr>
        <w:t>3</w:t>
      </w: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74</w:t>
      </w:r>
      <w:r>
        <w:rPr>
          <w:rFonts w:hint="eastAsia" w:ascii="宋体" w:hAnsi="宋体" w:eastAsia="宋体" w:cs="宋体"/>
          <w:snapToGrid/>
          <w:kern w:val="2"/>
          <w:sz w:val="27"/>
          <w:szCs w:val="27"/>
          <w:lang w:val="en-US" w:eastAsia="zh-CN" w:bidi="ar"/>
        </w:rPr>
        <w:t>万元，应急救援补贴4</w:t>
      </w:r>
      <w:r>
        <w:rPr>
          <w:rFonts w:hint="eastAsia" w:ascii="宋体" w:hAnsi="宋体" w:eastAsia="宋体" w:cs="Times New Roman"/>
          <w:snapToGrid/>
          <w:kern w:val="2"/>
          <w:sz w:val="27"/>
          <w:szCs w:val="27"/>
          <w:lang w:val="en-US" w:eastAsia="zh-CN" w:bidi="ar"/>
        </w:rPr>
        <w:t>6.26</w:t>
      </w:r>
      <w:r>
        <w:rPr>
          <w:rFonts w:hint="eastAsia" w:ascii="宋体" w:hAnsi="宋体" w:eastAsia="宋体" w:cs="宋体"/>
          <w:snapToGrid/>
          <w:kern w:val="2"/>
          <w:sz w:val="27"/>
          <w:szCs w:val="27"/>
          <w:lang w:val="en-US" w:eastAsia="zh-CN" w:bidi="ar"/>
        </w:rPr>
        <w:t>万元。</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left"/>
        <w:rPr>
          <w:rFonts w:hint="eastAsia" w:ascii="宋体" w:hAnsi="宋体" w:eastAsia="宋体" w:cs="Times New Roman"/>
          <w:b/>
          <w:bCs/>
          <w:kern w:val="2"/>
          <w:sz w:val="27"/>
          <w:szCs w:val="27"/>
        </w:rPr>
      </w:pPr>
      <w:r>
        <w:rPr>
          <w:rFonts w:hint="eastAsia" w:ascii="宋体" w:hAnsi="宋体" w:eastAsia="宋体" w:cs="宋体"/>
          <w:b/>
          <w:bCs/>
          <w:snapToGrid/>
          <w:kern w:val="2"/>
          <w:sz w:val="27"/>
          <w:szCs w:val="27"/>
          <w:lang w:val="en-US" w:eastAsia="zh-CN" w:bidi="ar"/>
        </w:rPr>
        <w:t>（三）项目主要内容和实施情况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宋体" w:cs="宋体"/>
          <w:b/>
          <w:bCs/>
          <w:snapToGrid/>
          <w:kern w:val="2"/>
          <w:sz w:val="28"/>
          <w:szCs w:val="28"/>
          <w:lang w:val="en-US" w:eastAsia="zh-CN" w:bidi="ar"/>
        </w:rPr>
        <w:t>1</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主要内容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（1）安全生产第三方服务：聘请第三方专家对临淄区运输企业实施安全检查，将行业专家作为查找安全隐患问题的重点内容。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（2）道路危险货物运输泄露事故应急救援补贴：根据区政府及应急办有关要求，为有效加强全区道路危险货物运输泄漏事故的应急处置，提升救援时效，山东齐鲁物流有限公司和淄博荣轩物流有限公司分别设置</w:t>
      </w:r>
      <w:r>
        <w:rPr>
          <w:rFonts w:hint="eastAsia" w:ascii="宋体" w:hAnsi="宋体" w:eastAsia="宋体" w:cs="Times New Roman"/>
          <w:snapToGrid/>
          <w:kern w:val="2"/>
          <w:sz w:val="27"/>
          <w:szCs w:val="27"/>
          <w:lang w:val="en-US" w:eastAsia="zh-CN" w:bidi="ar"/>
        </w:rPr>
        <w:t>1处应急救援处置点，</w:t>
      </w:r>
      <w:r>
        <w:rPr>
          <w:rFonts w:hint="eastAsia" w:ascii="宋体" w:hAnsi="宋体" w:eastAsia="宋体" w:cs="宋体"/>
          <w:snapToGrid/>
          <w:kern w:val="2"/>
          <w:sz w:val="27"/>
          <w:szCs w:val="27"/>
          <w:lang w:val="en-US" w:eastAsia="zh-CN" w:bidi="ar"/>
        </w:rPr>
        <w:t>对两家物流公司进行应急救援补贴。</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宋体" w:cs="宋体"/>
          <w:b/>
          <w:bCs/>
          <w:snapToGrid/>
          <w:kern w:val="2"/>
          <w:sz w:val="28"/>
          <w:szCs w:val="28"/>
          <w:lang w:val="en-US" w:eastAsia="zh-CN" w:bidi="ar"/>
        </w:rPr>
        <w:t>2</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1）安全生产第三方服务方面，经查看合同及招标文件，淄博宇顺安全评估服务有限公司所有参加项目人员服从项目负责人统一调度，机构负责人刘静静、项目负责人李新对各检查组工作巡回监督，各组组长对小组成员工作负责。该公司要求每评审小组至少由3人组成，保证至少3个检查小组同时开展工作；共有评审资格人员2</w:t>
      </w:r>
      <w:r>
        <w:rPr>
          <w:rFonts w:hint="eastAsia" w:ascii="宋体" w:hAnsi="宋体" w:eastAsia="宋体" w:cs="Times New Roman"/>
          <w:snapToGrid/>
          <w:kern w:val="2"/>
          <w:sz w:val="27"/>
          <w:szCs w:val="27"/>
          <w:lang w:val="en-US" w:eastAsia="zh-CN" w:bidi="ar"/>
        </w:rPr>
        <w:t>3</w:t>
      </w:r>
      <w:r>
        <w:rPr>
          <w:rFonts w:hint="eastAsia" w:ascii="宋体" w:hAnsi="宋体" w:eastAsia="宋体" w:cs="宋体"/>
          <w:snapToGrid/>
          <w:kern w:val="2"/>
          <w:sz w:val="27"/>
          <w:szCs w:val="27"/>
          <w:lang w:val="en-US" w:eastAsia="zh-CN" w:bidi="ar"/>
        </w:rPr>
        <w:t>人，已全部通过交通运输企业安全生产标准化建设信用信息管理系统继续教育测试。经查看现场评估报告及相关资料，</w:t>
      </w:r>
      <w:r>
        <w:rPr>
          <w:rFonts w:hint="eastAsia" w:ascii="宋体" w:hAnsi="宋体" w:eastAsia="宋体" w:cs="Times New Roman"/>
          <w:snapToGrid/>
          <w:kern w:val="2"/>
          <w:sz w:val="27"/>
          <w:szCs w:val="27"/>
          <w:lang w:val="en-US" w:eastAsia="zh-CN" w:bidi="ar"/>
        </w:rPr>
        <w:t>2021年安全检查企业数量共111家，其中专项检查10家，综合检查101家。</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left"/>
        <w:rPr>
          <w:rFonts w:hint="eastAsia" w:ascii="宋体" w:hAnsi="宋体" w:eastAsia="宋体" w:cs="Times New Roman"/>
          <w:b/>
          <w:bCs/>
          <w:kern w:val="2"/>
          <w:sz w:val="27"/>
          <w:szCs w:val="27"/>
        </w:rPr>
      </w:pPr>
      <w:r>
        <w:rPr>
          <w:rFonts w:hint="eastAsia" w:ascii="宋体" w:hAnsi="宋体" w:eastAsia="宋体" w:cs="宋体"/>
          <w:snapToGrid/>
          <w:kern w:val="2"/>
          <w:sz w:val="27"/>
          <w:szCs w:val="27"/>
          <w:lang w:val="en-US" w:eastAsia="zh-CN" w:bidi="ar"/>
        </w:rPr>
        <w:t>（2）道路危险货物运输泄露事故应急救援方面，应急救援队伍由山东齐鲁物流有限公司、淄博荣轩物流有限公司负责组建，所需人员由员工兼职承担全区范围内危险运输车辆泄露事故应急处置；运行管理由区交通运输局负责。险情发生时，应急救援平台下达救援指令，企业应急值班人员收到应急救援信息后，及时将专业救援车辆和倒罐车开往现场，开展救援工作。特殊情况下，由现场指挥部或区交通运输局进行调集其他人员和车辆。经调查，</w:t>
      </w:r>
      <w:r>
        <w:rPr>
          <w:rFonts w:hint="eastAsia" w:ascii="宋体" w:hAnsi="宋体" w:eastAsia="宋体" w:cs="Times New Roman"/>
          <w:snapToGrid/>
          <w:kern w:val="2"/>
          <w:sz w:val="27"/>
          <w:szCs w:val="27"/>
          <w:lang w:val="en-US" w:eastAsia="zh-CN" w:bidi="ar"/>
        </w:rPr>
        <w:t>2021年度齐鲁物流开展应急救援2次，荣轩物流开展应急救援7次，共开展9次救援。</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b w:val="0"/>
          <w:sz w:val="30"/>
          <w:szCs w:val="30"/>
        </w:rPr>
      </w:pPr>
      <w:r>
        <w:rPr>
          <w:rStyle w:val="12"/>
          <w:rFonts w:hint="eastAsia" w:ascii="黑体" w:hAnsi="宋体" w:eastAsia="黑体" w:cs="黑体"/>
          <w:b w:val="0"/>
          <w:kern w:val="2"/>
          <w:sz w:val="30"/>
          <w:szCs w:val="30"/>
          <w:lang w:val="en-US" w:eastAsia="zh-CN" w:bidi="ar"/>
        </w:rPr>
        <w:t>二、项目绩效目标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楷体" w:cs="Times New Roman"/>
          <w:b/>
          <w:bCs/>
          <w:snapToGrid/>
          <w:kern w:val="2"/>
          <w:sz w:val="28"/>
          <w:szCs w:val="28"/>
          <w:lang w:val="en-US" w:eastAsia="zh-CN" w:bidi="ar"/>
        </w:rPr>
        <w:t>1.</w:t>
      </w:r>
      <w:r>
        <w:rPr>
          <w:rFonts w:hint="eastAsia" w:ascii="楷体" w:hAnsi="楷体" w:eastAsia="楷体" w:cs="楷体"/>
          <w:b/>
          <w:bCs/>
          <w:snapToGrid/>
          <w:kern w:val="2"/>
          <w:sz w:val="28"/>
          <w:szCs w:val="28"/>
          <w:lang w:val="en-US" w:eastAsia="zh-CN" w:bidi="ar"/>
        </w:rPr>
        <w:t>项目总体目标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一是安全生产第三方服务项目。排查交通运输企业存在的安全隐患，促进企业安全生产主体责任进一步落实。</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二是道路危险货物运输泄露事故应急救援项目。培养专业的救援队伍，有效完成全区发生的道路危险货物运输泄漏事故处置工作。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楷体" w:cs="Times New Roman"/>
          <w:b/>
          <w:bCs/>
          <w:snapToGrid/>
          <w:kern w:val="2"/>
          <w:sz w:val="28"/>
          <w:szCs w:val="28"/>
          <w:lang w:val="en-US" w:eastAsia="zh-CN" w:bidi="ar"/>
        </w:rPr>
        <w:t>2.</w:t>
      </w:r>
      <w:r>
        <w:rPr>
          <w:rFonts w:hint="eastAsia" w:ascii="楷体" w:hAnsi="楷体" w:eastAsia="楷体" w:cs="楷体"/>
          <w:b/>
          <w:bCs/>
          <w:snapToGrid/>
          <w:kern w:val="2"/>
          <w:sz w:val="28"/>
          <w:szCs w:val="28"/>
          <w:lang w:val="en-US" w:eastAsia="zh-CN" w:bidi="ar"/>
        </w:rPr>
        <w:t>项目阶段性目标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1）安全生产</w:t>
      </w:r>
      <w:r>
        <w:rPr>
          <w:rFonts w:hint="eastAsia" w:ascii="宋体" w:hAnsi="宋体" w:eastAsia="宋体" w:cs="宋体"/>
          <w:snapToGrid/>
          <w:kern w:val="2"/>
          <w:sz w:val="27"/>
          <w:szCs w:val="27"/>
          <w:lang w:val="en-US" w:eastAsia="zh-CN" w:bidi="ar"/>
        </w:rPr>
        <w:t>检查第三方服务项目：结合年度执法检查计划任务，组织安全生产检查，并对企业的整改提出意见建议，帮助企业进一步提升安全生产管理水平；协助行政执法人员认定违法意见，实施有效的行政处罚，避免行政复议等问题的发生。</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黑体" w:hAnsi="宋体" w:eastAsia="黑体" w:cs="Times New Roman"/>
          <w:b w:val="0"/>
          <w:sz w:val="30"/>
          <w:szCs w:val="30"/>
        </w:rPr>
      </w:pP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2）道路危险货物运输泄露事故应急救援补贴项目：切实提升应急队伍的应急救援处置知识和应急救援处置能力，确保一旦发生事故，救援队伍和救援车辆能够第一时间赶赴现场，实施救援，及时有效完成全区发生的道路危险货物运输泄漏事故处置工作</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b w:val="0"/>
          <w:sz w:val="30"/>
          <w:szCs w:val="30"/>
        </w:rPr>
      </w:pPr>
      <w:r>
        <w:rPr>
          <w:rStyle w:val="12"/>
          <w:rFonts w:hint="eastAsia" w:ascii="黑体" w:hAnsi="宋体" w:eastAsia="黑体" w:cs="黑体"/>
          <w:b w:val="0"/>
          <w:kern w:val="2"/>
          <w:sz w:val="30"/>
          <w:szCs w:val="30"/>
          <w:lang w:val="en-US" w:eastAsia="zh-CN" w:bidi="ar"/>
        </w:rPr>
        <w:t>三、评价基本情况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
          <w:bCs/>
          <w:kern w:val="2"/>
          <w:sz w:val="27"/>
          <w:szCs w:val="27"/>
        </w:rPr>
      </w:pPr>
      <w:r>
        <w:rPr>
          <w:rFonts w:hint="eastAsia" w:ascii="宋体" w:hAnsi="宋体" w:eastAsia="宋体" w:cs="宋体"/>
          <w:b/>
          <w:bCs/>
          <w:snapToGrid/>
          <w:kern w:val="2"/>
          <w:sz w:val="27"/>
          <w:szCs w:val="27"/>
          <w:lang w:val="en-US" w:eastAsia="zh-CN" w:bidi="ar"/>
        </w:rPr>
        <w:t>（一）绩效评价目的、对象和范围</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楷体" w:cs="Times New Roman"/>
          <w:b/>
          <w:bCs/>
          <w:snapToGrid/>
          <w:kern w:val="2"/>
          <w:sz w:val="28"/>
          <w:szCs w:val="28"/>
          <w:lang w:val="en-US" w:eastAsia="zh-CN" w:bidi="ar"/>
        </w:rPr>
        <w:t>1.</w:t>
      </w:r>
      <w:r>
        <w:rPr>
          <w:rFonts w:hint="eastAsia" w:ascii="楷体" w:hAnsi="楷体" w:eastAsia="楷体" w:cs="楷体"/>
          <w:b/>
          <w:bCs/>
          <w:snapToGrid/>
          <w:kern w:val="2"/>
          <w:sz w:val="28"/>
          <w:szCs w:val="28"/>
          <w:lang w:val="en-US" w:eastAsia="zh-CN" w:bidi="ar"/>
        </w:rPr>
        <w:t>评价目的。</w:t>
      </w:r>
      <w:r>
        <w:rPr>
          <w:rFonts w:hint="eastAsia" w:ascii="宋体" w:hAnsi="宋体" w:eastAsia="宋体" w:cs="宋体"/>
          <w:snapToGrid/>
          <w:kern w:val="2"/>
          <w:sz w:val="27"/>
          <w:szCs w:val="27"/>
          <w:lang w:val="en-US" w:eastAsia="zh-CN" w:bidi="ar"/>
        </w:rPr>
        <w:t>通过开展项目绩效评价，了解该项目是否按照有关制度办法实施，掌握该项目的组织实施情况和资金的管理使用情况，总结项目产出和效益等；运用科学、规范的绩效评价方法，客观公正地反映项目预期目标实现程度，考评资金支出效率及其所产生的相关效益、可持续影响。</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通过绩效评价，总结项目实施的经验做法，查找资金使用与管理中的薄弱环节，发现项目实施过程中存在的问题，提出有针对性的改进意见和建议。通过绩效评价，督促项目单位切实采取措施改进、加强项目管理，进一步提高项目资金管理水平和预算资金使用效益。通过绩效评价，为促进完善财政政策、改进预算管理提供依据，为后续财政预算资金安排提供重要参考，提高财政资金配置效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2</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评价对象及范围。</w:t>
      </w:r>
      <w:r>
        <w:rPr>
          <w:rFonts w:hint="eastAsia" w:ascii="宋体" w:hAnsi="宋体" w:eastAsia="宋体" w:cs="宋体"/>
          <w:snapToGrid/>
          <w:kern w:val="2"/>
          <w:sz w:val="27"/>
          <w:szCs w:val="27"/>
          <w:lang w:val="en-US" w:eastAsia="zh-CN" w:bidi="ar"/>
        </w:rPr>
        <w:t>本项目绩效评价对象为临淄区</w:t>
      </w:r>
      <w:r>
        <w:rPr>
          <w:rFonts w:hint="eastAsia" w:ascii="宋体" w:hAnsi="宋体" w:eastAsia="宋体" w:cs="Times New Roman"/>
          <w:snapToGrid/>
          <w:kern w:val="2"/>
          <w:sz w:val="27"/>
          <w:szCs w:val="27"/>
          <w:lang w:val="en-US" w:eastAsia="zh-CN" w:bidi="ar"/>
        </w:rPr>
        <w:t>2021年安全生产及应急救援项目</w:t>
      </w:r>
      <w:r>
        <w:rPr>
          <w:rFonts w:hint="eastAsia" w:ascii="宋体" w:hAnsi="宋体" w:eastAsia="宋体" w:cs="宋体"/>
          <w:snapToGrid/>
          <w:kern w:val="2"/>
          <w:sz w:val="27"/>
          <w:szCs w:val="27"/>
          <w:lang w:val="en-US" w:eastAsia="zh-CN" w:bidi="ar"/>
        </w:rPr>
        <w:t>的绩效情况，针对评价对象的评价范围包括以下几方面内容：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（1）项目决策情况，包括项目立项依据充分性、程序规范性，绩效目标合理性、指标明确性，项目预算编制科学性等；</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（2）项目过程情况，包括项目预算执行率及资金使用合规性，管理制度健全性、项目过程管理、采购合规性、应急救援培训及演练情况；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（3）项目产出及效益情况，包括项目产出数量、质量、时效情况，项目实施所产生的直接或间接的效益、可持续影响等。</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（二）绩效评价原则、评价指标体系、评价方法及评价标准</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楷体" w:cs="Times New Roman"/>
          <w:b/>
          <w:bCs/>
          <w:snapToGrid/>
          <w:kern w:val="2"/>
          <w:sz w:val="28"/>
          <w:szCs w:val="28"/>
          <w:lang w:val="en-US" w:eastAsia="zh-CN" w:bidi="ar"/>
        </w:rPr>
        <w:t>1.</w:t>
      </w:r>
      <w:r>
        <w:rPr>
          <w:rFonts w:hint="eastAsia" w:ascii="楷体" w:hAnsi="楷体" w:eastAsia="楷体" w:cs="楷体"/>
          <w:b/>
          <w:bCs/>
          <w:snapToGrid/>
          <w:kern w:val="2"/>
          <w:sz w:val="28"/>
          <w:szCs w:val="28"/>
          <w:lang w:val="en-US" w:eastAsia="zh-CN" w:bidi="ar"/>
        </w:rPr>
        <w:t>绩效评价原则。</w:t>
      </w:r>
      <w:r>
        <w:rPr>
          <w:rFonts w:hint="eastAsia" w:ascii="宋体" w:hAnsi="宋体" w:eastAsia="宋体" w:cs="宋体"/>
          <w:snapToGrid/>
          <w:kern w:val="2"/>
          <w:sz w:val="27"/>
          <w:szCs w:val="27"/>
          <w:lang w:val="en-US" w:eastAsia="zh-CN" w:bidi="ar"/>
        </w:rPr>
        <w:t>本项目绩效评价遵守科学规范、政策相符、绩效相关、依据充分、公正公开、独立评价六原则，保持绩效评价的客观性、独立性、公正性。</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2</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评价指标体系。</w:t>
      </w:r>
      <w:r>
        <w:rPr>
          <w:rFonts w:hint="eastAsia" w:ascii="宋体" w:hAnsi="宋体" w:eastAsia="宋体" w:cs="宋体"/>
          <w:snapToGrid/>
          <w:kern w:val="2"/>
          <w:sz w:val="27"/>
          <w:szCs w:val="27"/>
          <w:lang w:val="en-US" w:eastAsia="zh-CN" w:bidi="ar"/>
        </w:rPr>
        <w:t>绩效评价指标的设置遵循定性、定量相结合的原则，参照行业、专业标准及采集的相关数据材料制定评价标准，对评价目标进行逐步分解，设置实用性、可操作性和可实现性较强的绩效指标，根据相关规定并结合项目特点赋予指标权重与指标分值。包括项目决策、项目过程、项目产出、项目效益等部分，总分为</w:t>
      </w:r>
      <w:r>
        <w:rPr>
          <w:rFonts w:hint="eastAsia" w:ascii="宋体" w:hAnsi="宋体" w:eastAsia="宋体" w:cs="Times New Roman"/>
          <w:snapToGrid/>
          <w:kern w:val="2"/>
          <w:sz w:val="27"/>
          <w:szCs w:val="27"/>
          <w:lang w:val="en-US" w:eastAsia="zh-CN" w:bidi="ar"/>
        </w:rPr>
        <w:t>100分，每部分分值分配</w:t>
      </w:r>
      <w:r>
        <w:rPr>
          <w:rFonts w:hint="eastAsia" w:ascii="宋体" w:hAnsi="宋体" w:eastAsia="宋体" w:cs="宋体"/>
          <w:snapToGrid/>
          <w:kern w:val="2"/>
          <w:sz w:val="27"/>
          <w:szCs w:val="27"/>
          <w:lang w:val="en-US" w:eastAsia="zh-CN" w:bidi="ar"/>
        </w:rPr>
        <w:t>为：项目决策</w:t>
      </w:r>
      <w:r>
        <w:rPr>
          <w:rFonts w:hint="eastAsia" w:ascii="宋体" w:hAnsi="宋体" w:eastAsia="宋体" w:cs="Times New Roman"/>
          <w:snapToGrid/>
          <w:kern w:val="2"/>
          <w:sz w:val="27"/>
          <w:szCs w:val="27"/>
          <w:lang w:val="en-US" w:eastAsia="zh-CN" w:bidi="ar"/>
        </w:rPr>
        <w:t>15分，项目过程24分，项目产出26分，项目效益35分</w:t>
      </w:r>
      <w:r>
        <w:rPr>
          <w:rFonts w:hint="eastAsia" w:ascii="宋体" w:hAnsi="宋体" w:eastAsia="宋体" w:cs="宋体"/>
          <w:snapToGrid/>
          <w:kern w:val="2"/>
          <w:sz w:val="27"/>
          <w:szCs w:val="27"/>
          <w:lang w:val="en-US" w:eastAsia="zh-CN" w:bidi="ar"/>
        </w:rPr>
        <w:t>。本项目对象主要是安全生产检查第三方机构和应急救援队伍人员为特定对象，故本项目并未设置服务对象满意度相关指标。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
          <w:sz w:val="27"/>
          <w:szCs w:val="27"/>
        </w:rPr>
      </w:pPr>
      <w:r>
        <w:rPr>
          <w:rFonts w:hint="eastAsia" w:ascii="宋体" w:hAnsi="宋体" w:eastAsia="宋体" w:cs="宋体"/>
          <w:b/>
          <w:bCs w:val="0"/>
          <w:snapToGrid/>
          <w:kern w:val="2"/>
          <w:sz w:val="27"/>
          <w:szCs w:val="27"/>
          <w:lang w:val="en-US" w:eastAsia="zh-CN" w:bidi="ar"/>
        </w:rPr>
        <w:t>核心指标设置方面，</w:t>
      </w:r>
      <w:r>
        <w:rPr>
          <w:rFonts w:hint="eastAsia" w:ascii="宋体" w:hAnsi="宋体" w:eastAsia="宋体" w:cs="宋体"/>
          <w:snapToGrid/>
          <w:kern w:val="2"/>
          <w:sz w:val="27"/>
          <w:szCs w:val="27"/>
          <w:lang w:val="en-US" w:eastAsia="zh-CN" w:bidi="ar"/>
        </w:rPr>
        <w:t>因该项目主要为支付第三方安全生产检查费用和应急救援队伍补贴费用；因此本次绩效评价将产出中的</w:t>
      </w:r>
      <w:r>
        <w:rPr>
          <w:rFonts w:hint="eastAsia" w:ascii="宋体" w:hAnsi="宋体" w:eastAsia="宋体" w:cs="宋体"/>
          <w:bCs/>
          <w:snapToGrid/>
          <w:kern w:val="2"/>
          <w:sz w:val="27"/>
          <w:szCs w:val="27"/>
          <w:lang w:val="en-US" w:eastAsia="zh-CN" w:bidi="ar"/>
        </w:rPr>
        <w:t>“项目过程管理”“应急救援培训及演练情况”</w:t>
      </w:r>
      <w:r>
        <w:rPr>
          <w:rFonts w:hint="eastAsia" w:ascii="宋体" w:hAnsi="宋体" w:eastAsia="宋体" w:cs="宋体"/>
          <w:snapToGrid/>
          <w:kern w:val="2"/>
          <w:sz w:val="27"/>
          <w:szCs w:val="27"/>
          <w:lang w:val="en-US" w:eastAsia="zh-CN" w:bidi="ar"/>
        </w:rPr>
        <w:t>两项指标作为核心指标进行重点考核。</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
          <w:sz w:val="27"/>
          <w:szCs w:val="27"/>
        </w:rPr>
      </w:pPr>
      <w:r>
        <w:rPr>
          <w:rFonts w:hint="eastAsia" w:ascii="宋体" w:hAnsi="宋体" w:eastAsia="宋体" w:cs="宋体"/>
          <w:b/>
          <w:bCs w:val="0"/>
          <w:snapToGrid/>
          <w:kern w:val="2"/>
          <w:sz w:val="27"/>
          <w:szCs w:val="27"/>
          <w:lang w:val="en-US" w:eastAsia="zh-CN" w:bidi="ar"/>
        </w:rPr>
        <w:t>否决性指标方面，</w:t>
      </w:r>
      <w:r>
        <w:rPr>
          <w:rFonts w:hint="eastAsia" w:ascii="宋体" w:hAnsi="宋体" w:eastAsia="宋体" w:cs="宋体"/>
          <w:snapToGrid/>
          <w:kern w:val="2"/>
          <w:sz w:val="27"/>
          <w:szCs w:val="27"/>
          <w:lang w:val="en-US" w:eastAsia="zh-CN" w:bidi="ar"/>
        </w:rPr>
        <w:t>设置1项否决性指标，重点关注项目实施过程中的资金使用违法及严重不合规、提交资料真实合规性等情况，如出现相关情况，则本项目绩效评价等级直接为“差”。</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宋体" w:cs="宋体"/>
          <w:b/>
          <w:bCs/>
          <w:snapToGrid/>
          <w:kern w:val="2"/>
          <w:sz w:val="28"/>
          <w:szCs w:val="28"/>
          <w:lang w:val="en-US" w:eastAsia="zh-CN" w:bidi="ar"/>
        </w:rPr>
        <w:t>3</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评价方法。</w:t>
      </w:r>
      <w:r>
        <w:rPr>
          <w:rFonts w:hint="eastAsia" w:ascii="宋体" w:hAnsi="宋体" w:eastAsia="宋体" w:cs="宋体"/>
          <w:snapToGrid/>
          <w:kern w:val="2"/>
          <w:sz w:val="27"/>
          <w:szCs w:val="27"/>
          <w:lang w:val="en-US" w:eastAsia="zh-CN" w:bidi="ar"/>
        </w:rPr>
        <w:t>通过研究分析本项目的实施情况，本项目评价采用比较法、案卷研究法、专家评判法、实地测评法相结合的方式进行。</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4</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评价标准。</w:t>
      </w:r>
      <w:r>
        <w:rPr>
          <w:rFonts w:hint="eastAsia" w:ascii="宋体" w:hAnsi="宋体" w:eastAsia="宋体" w:cs="宋体"/>
          <w:snapToGrid/>
          <w:kern w:val="2"/>
          <w:sz w:val="27"/>
          <w:szCs w:val="27"/>
          <w:lang w:val="en-US" w:eastAsia="zh-CN" w:bidi="ar"/>
        </w:rPr>
        <w:t>绩效评价采用定性分析与定量考核相结合方法，对定性考核指标采用分析打分，对定量考核指标采用量化打分。评价结果以评分和评级相结合的方式予以体现。评价得分采用总分百分制，按照所确定的本项目指标体系指标标准及其权重与分值，逐项打分汇总得出，评价结果分为优（90（含）～100分）、良（</w:t>
      </w:r>
      <w:r>
        <w:rPr>
          <w:rFonts w:hint="eastAsia" w:ascii="宋体" w:hAnsi="宋体" w:eastAsia="宋体" w:cs="Times New Roman"/>
          <w:snapToGrid/>
          <w:kern w:val="2"/>
          <w:sz w:val="27"/>
          <w:szCs w:val="27"/>
          <w:lang w:val="en-US" w:eastAsia="zh-CN" w:bidi="ar"/>
        </w:rPr>
        <w:t>8</w:t>
      </w:r>
      <w:r>
        <w:rPr>
          <w:rFonts w:hint="eastAsia" w:ascii="宋体" w:hAnsi="宋体" w:eastAsia="宋体" w:cs="宋体"/>
          <w:snapToGrid/>
          <w:kern w:val="2"/>
          <w:sz w:val="27"/>
          <w:szCs w:val="27"/>
          <w:lang w:val="en-US" w:eastAsia="zh-CN" w:bidi="ar"/>
        </w:rPr>
        <w:t>0（含）～</w:t>
      </w:r>
      <w:r>
        <w:rPr>
          <w:rFonts w:hint="eastAsia" w:ascii="宋体" w:hAnsi="宋体" w:eastAsia="宋体" w:cs="Times New Roman"/>
          <w:snapToGrid/>
          <w:kern w:val="2"/>
          <w:sz w:val="27"/>
          <w:szCs w:val="27"/>
          <w:lang w:val="en-US" w:eastAsia="zh-CN" w:bidi="ar"/>
        </w:rPr>
        <w:t>9</w:t>
      </w:r>
      <w:r>
        <w:rPr>
          <w:rFonts w:hint="eastAsia" w:ascii="宋体" w:hAnsi="宋体" w:eastAsia="宋体" w:cs="宋体"/>
          <w:snapToGrid/>
          <w:kern w:val="2"/>
          <w:sz w:val="27"/>
          <w:szCs w:val="27"/>
          <w:lang w:val="en-US" w:eastAsia="zh-CN" w:bidi="ar"/>
        </w:rPr>
        <w:t>0分）、中（</w:t>
      </w:r>
      <w:r>
        <w:rPr>
          <w:rFonts w:hint="eastAsia" w:ascii="宋体" w:hAnsi="宋体" w:eastAsia="宋体" w:cs="Times New Roman"/>
          <w:snapToGrid/>
          <w:kern w:val="2"/>
          <w:sz w:val="27"/>
          <w:szCs w:val="27"/>
          <w:lang w:val="en-US" w:eastAsia="zh-CN" w:bidi="ar"/>
        </w:rPr>
        <w:t>6</w:t>
      </w:r>
      <w:r>
        <w:rPr>
          <w:rFonts w:hint="eastAsia" w:ascii="宋体" w:hAnsi="宋体" w:eastAsia="宋体" w:cs="宋体"/>
          <w:snapToGrid/>
          <w:kern w:val="2"/>
          <w:sz w:val="27"/>
          <w:szCs w:val="27"/>
          <w:lang w:val="en-US" w:eastAsia="zh-CN" w:bidi="ar"/>
        </w:rPr>
        <w:t>0（含）～</w:t>
      </w:r>
      <w:r>
        <w:rPr>
          <w:rFonts w:hint="eastAsia" w:ascii="宋体" w:hAnsi="宋体" w:eastAsia="宋体" w:cs="Times New Roman"/>
          <w:snapToGrid/>
          <w:kern w:val="2"/>
          <w:sz w:val="27"/>
          <w:szCs w:val="27"/>
          <w:lang w:val="en-US" w:eastAsia="zh-CN" w:bidi="ar"/>
        </w:rPr>
        <w:t>8</w:t>
      </w:r>
      <w:r>
        <w:rPr>
          <w:rFonts w:hint="eastAsia" w:ascii="宋体" w:hAnsi="宋体" w:eastAsia="宋体" w:cs="宋体"/>
          <w:snapToGrid/>
          <w:kern w:val="2"/>
          <w:sz w:val="27"/>
          <w:szCs w:val="27"/>
          <w:lang w:val="en-US" w:eastAsia="zh-CN" w:bidi="ar"/>
        </w:rPr>
        <w:t>0分）、差（＜60分）四个档次。</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（三）绩效评价工作过程</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宋体" w:cs="宋体"/>
          <w:b/>
          <w:bCs/>
          <w:snapToGrid/>
          <w:kern w:val="2"/>
          <w:sz w:val="28"/>
          <w:szCs w:val="28"/>
          <w:lang w:val="en-US" w:eastAsia="zh-CN" w:bidi="ar"/>
        </w:rPr>
        <w:t>1</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项目工作机制</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1）评价工作组</w:t>
      </w:r>
      <w:r>
        <w:rPr>
          <w:rFonts w:hint="eastAsia" w:ascii="宋体" w:hAnsi="宋体" w:eastAsia="宋体" w:cs="宋体"/>
          <w:snapToGrid/>
          <w:kern w:val="2"/>
          <w:sz w:val="27"/>
          <w:szCs w:val="27"/>
          <w:lang w:val="en-US" w:eastAsia="zh-CN" w:bidi="ar"/>
        </w:rPr>
        <w:t>。成立项目评价工作组，由公司高管、骨干业务人员、特聘专家组成，负责项目评价全过程工作。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2）质量控制组。</w:t>
      </w:r>
      <w:r>
        <w:rPr>
          <w:rFonts w:hint="eastAsia" w:ascii="宋体" w:hAnsi="宋体" w:eastAsia="宋体" w:cs="宋体"/>
          <w:snapToGrid/>
          <w:kern w:val="2"/>
          <w:sz w:val="27"/>
          <w:szCs w:val="27"/>
          <w:lang w:val="en-US" w:eastAsia="zh-CN" w:bidi="ar"/>
        </w:rPr>
        <w:t>根据项目实际情况设置质控组，负责评价程序的规范性监管、采用数据资料的合规性审查、结论意见的定性依据审查等方面工作。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3）专业审核委员会</w:t>
      </w:r>
      <w:r>
        <w:rPr>
          <w:rFonts w:hint="eastAsia" w:ascii="宋体" w:hAnsi="宋体" w:eastAsia="宋体" w:cs="宋体"/>
          <w:snapToGrid/>
          <w:kern w:val="2"/>
          <w:sz w:val="27"/>
          <w:szCs w:val="27"/>
          <w:lang w:val="en-US" w:eastAsia="zh-CN" w:bidi="ar"/>
        </w:rPr>
        <w:t>。公司常设专业审核委员会，专门负责对外提供咨询服务成果的专业审核，公司所有业务成果均须经专业审核委员会审核通过后方可对外提供、报送。</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楷体" w:cs="Times New Roman"/>
          <w:b/>
          <w:bCs/>
          <w:kern w:val="2"/>
          <w:sz w:val="28"/>
          <w:szCs w:val="28"/>
        </w:rPr>
      </w:pPr>
      <w:r>
        <w:rPr>
          <w:rFonts w:hint="eastAsia" w:ascii="宋体" w:hAnsi="宋体" w:eastAsia="宋体" w:cs="宋体"/>
          <w:b/>
          <w:bCs/>
          <w:snapToGrid/>
          <w:kern w:val="2"/>
          <w:sz w:val="28"/>
          <w:szCs w:val="28"/>
          <w:lang w:val="en-US" w:eastAsia="zh-CN" w:bidi="ar"/>
        </w:rPr>
        <w:t>2</w:t>
      </w:r>
      <w:r>
        <w:rPr>
          <w:rFonts w:hint="eastAsia" w:ascii="宋体" w:hAnsi="宋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工作程序</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（1）评价准备阶段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1）成立绩效评价工作组。根据本项目实际情况，公司选调精干、专业人员组成本项目绩效评价工作组。工作组设工作组组长</w:t>
      </w:r>
      <w:r>
        <w:rPr>
          <w:rFonts w:hint="eastAsia" w:ascii="宋体" w:hAnsi="宋体" w:eastAsia="宋体" w:cs="Times New Roman"/>
          <w:snapToGrid/>
          <w:kern w:val="2"/>
          <w:sz w:val="27"/>
          <w:szCs w:val="27"/>
          <w:lang w:val="en-US" w:eastAsia="zh-CN" w:bidi="ar"/>
        </w:rPr>
        <w:t>1名及工作组成员若干名，工作组</w:t>
      </w:r>
      <w:r>
        <w:rPr>
          <w:rFonts w:hint="eastAsia" w:ascii="宋体" w:hAnsi="宋体" w:eastAsia="宋体" w:cs="宋体"/>
          <w:snapToGrid/>
          <w:kern w:val="2"/>
          <w:sz w:val="27"/>
          <w:szCs w:val="27"/>
          <w:lang w:val="en-US" w:eastAsia="zh-CN" w:bidi="ar"/>
        </w:rPr>
        <w:t>全部成员均具备一定的专业知识和丰富的绩效评价工作经验。同时聘请相关领域的专家加入评价工作组。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2）拟定评价实施方案。根据委托方工作要求和项目特点，对项目评价重点及评价要求进行全面梳理及细化，在调研、了解评价项目相关单位基本情况的基础上，按照有关规定拟定评价工作的具体评价方案，主要内容有：项目认识、评价对象、评价目的、评价内容、评价依据、评价指标体系、评价标准、评价方法、组织实施程序、评价质量控制措施、工作组人员配置、工作时间安排、准备评价资料及有关工作要求等内容。方案设计后，由专家评议、公司审委会论证审核后进一步修正、完善，报经委托方审查批准后组织实施。</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color w:val="000000"/>
          <w:kern w:val="1"/>
          <w:sz w:val="27"/>
          <w:szCs w:val="27"/>
        </w:rPr>
      </w:pPr>
      <w:r>
        <w:rPr>
          <w:rFonts w:hint="eastAsia" w:ascii="宋体" w:hAnsi="宋体" w:eastAsia="宋体" w:cs="宋体"/>
          <w:snapToGrid/>
          <w:kern w:val="2"/>
          <w:sz w:val="27"/>
          <w:szCs w:val="27"/>
          <w:lang w:val="en-US" w:eastAsia="zh-CN" w:bidi="ar"/>
        </w:rPr>
        <w:t>3）制定绩效评价指标体系。</w:t>
      </w:r>
      <w:r>
        <w:rPr>
          <w:rFonts w:hint="eastAsia" w:ascii="宋体" w:hAnsi="宋体" w:eastAsia="宋体" w:cs="宋体"/>
          <w:snapToGrid/>
          <w:color w:val="000000"/>
          <w:kern w:val="1"/>
          <w:sz w:val="27"/>
          <w:szCs w:val="27"/>
          <w:lang w:val="en-US" w:eastAsia="zh-CN" w:bidi="ar"/>
        </w:rPr>
        <w:t>评价工作组基于各级党委政府最新的一系列政策、法规、制度，根据不同行业领域的项目特点，参照本地经济社会发展以及财政供给水平，结合不同部门、不同地域的客观因素，科学、合理地设置本项目绩效评价指标体系。具体包括：①评价指标体系初构；②评价指标体系检验；③工作组专家评议；④专业审核委员会审核；⑤报委托方审核；⑥经委托方批准后使用。</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（2）评价实施阶段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1）评价工作组正式进驻现场。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①收集资料。评价工作组联系被评价单位，由其提供相关基础资料；评价工作组对所提供数据资料进行整理、核实、审验，确定可采纳资料目录；</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②实地测评。评价工作组通过实地勘察和测评，获取评价第一手资料，在此基础上，结合从其他渠道获取的资料，进行交互验证，筛选出可采纳数据资料；</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③沟通落实。评价工作组到项目现场采取勘查、问询、复核等多种方式，与被评价单位进行沟通交流，对信息不明确的数据资料进行确认，对拟采纳使用的数据资料进行落实。</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2）分类整理、统计汇总、综合分析。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评价工作组进行案卷研究，通过分类整理、统计汇总、综合分析，按照设立的评价指标、标准、方法实施评价，并形成评价结论。</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①工作组对采集的数据资料进行分类整理、复核汇总，同时根据实际情况要求有关单位补充更新资料；</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②统计、分析相关数据资料，依据指标体系分类，进行逐项分析和综合分析；</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③在充分分析的基础上，按照设立的评价指标、标准、方法进行打分；</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④得出初步评价结论。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（3）评价总结阶段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1）撰写绩效评价报告初稿。按照财政部门绩效评价报告规范要求撰写评价报告，除须符合第三方报告质量要求外，报告内容应体现第三方评价的公正性、客观性、独立性；</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2）送被评价项目相关单位就报告反映内容的真实性、完整性征询意见（其中不含我方的绩效分析、反映的问题和提出的意见建议）；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3）工作组专家评议，根据专家意见进行修改；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4）公司专业审核委员会进行审议，根据审议意见进行修改；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5）报送委托方，根据委托方意见作最终修改、定稿；</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6）将正式绩效评价报告报送委托方。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正式绩效评价报告定稿后，统一使用A4纸打印，按规定格式装订，并在规定时间内提交，同时附评价有关资料，包括项目相关资料、工作底稿等。并根据档案管理的有关要求，完善评价工作档案并及时归档，以备存查。</w:t>
      </w:r>
    </w:p>
    <w:p>
      <w:pPr>
        <w:keepNext w:val="0"/>
        <w:keepLines w:val="0"/>
        <w:widowControl w:val="0"/>
        <w:suppressLineNumbers w:val="0"/>
        <w:overflowPunct w:val="0"/>
        <w:adjustRightInd w:val="0"/>
        <w:snapToGrid w:val="0"/>
        <w:spacing w:before="0" w:beforeLines="50" w:beforeAutospacing="0" w:after="0" w:afterAutospacing="0" w:line="360" w:lineRule="auto"/>
        <w:ind w:left="0" w:right="0" w:firstLine="600" w:firstLineChars="200"/>
        <w:jc w:val="both"/>
        <w:rPr>
          <w:rFonts w:hint="eastAsia" w:ascii="黑体" w:hAnsi="宋体" w:eastAsia="黑体" w:cs="Times New Roman"/>
          <w:b w:val="0"/>
          <w:sz w:val="30"/>
          <w:szCs w:val="30"/>
        </w:rPr>
      </w:pPr>
      <w:r>
        <w:rPr>
          <w:rStyle w:val="12"/>
          <w:rFonts w:hint="eastAsia" w:ascii="黑体" w:hAnsi="宋体" w:eastAsia="黑体" w:cs="黑体"/>
          <w:b w:val="0"/>
          <w:kern w:val="2"/>
          <w:sz w:val="30"/>
          <w:szCs w:val="30"/>
          <w:lang w:val="en-US" w:eastAsia="zh-CN" w:bidi="ar"/>
        </w:rPr>
        <w:t>四、评价结论和绩效分析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
          <w:bCs/>
          <w:kern w:val="2"/>
          <w:sz w:val="27"/>
          <w:szCs w:val="27"/>
        </w:rPr>
      </w:pPr>
      <w:r>
        <w:rPr>
          <w:rFonts w:hint="eastAsia" w:ascii="宋体" w:hAnsi="宋体" w:eastAsia="宋体" w:cs="宋体"/>
          <w:b/>
          <w:bCs/>
          <w:snapToGrid/>
          <w:kern w:val="2"/>
          <w:sz w:val="27"/>
          <w:szCs w:val="27"/>
          <w:lang w:val="en-US" w:eastAsia="zh-CN" w:bidi="ar"/>
        </w:rPr>
        <w:t>（一）综合评价结论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我们通过对该项目的决策、过程、产出及效益等方面进行综合绩效评价，决策部分满分</w:t>
      </w:r>
      <w:r>
        <w:rPr>
          <w:rFonts w:hint="eastAsia" w:ascii="宋体" w:hAnsi="宋体" w:eastAsia="宋体" w:cs="Times New Roman"/>
          <w:snapToGrid/>
          <w:kern w:val="2"/>
          <w:sz w:val="27"/>
          <w:szCs w:val="27"/>
          <w:lang w:val="en-US" w:eastAsia="zh-CN" w:bidi="ar"/>
        </w:rPr>
        <w:t>15</w:t>
      </w:r>
      <w:r>
        <w:rPr>
          <w:rFonts w:hint="eastAsia" w:ascii="宋体" w:hAnsi="宋体" w:eastAsia="宋体" w:cs="宋体"/>
          <w:snapToGrid/>
          <w:kern w:val="2"/>
          <w:sz w:val="27"/>
          <w:szCs w:val="27"/>
          <w:lang w:val="en-US" w:eastAsia="zh-CN" w:bidi="ar"/>
        </w:rPr>
        <w:t>分，得</w:t>
      </w:r>
      <w:r>
        <w:rPr>
          <w:rFonts w:hint="eastAsia" w:ascii="宋体" w:hAnsi="宋体" w:eastAsia="宋体" w:cs="Times New Roman"/>
          <w:snapToGrid/>
          <w:kern w:val="2"/>
          <w:sz w:val="27"/>
          <w:szCs w:val="27"/>
          <w:lang w:val="en-US" w:eastAsia="zh-CN" w:bidi="ar"/>
        </w:rPr>
        <w:t>13</w:t>
      </w:r>
      <w:r>
        <w:rPr>
          <w:rFonts w:hint="eastAsia" w:ascii="宋体" w:hAnsi="宋体" w:eastAsia="宋体" w:cs="宋体"/>
          <w:snapToGrid/>
          <w:kern w:val="2"/>
          <w:sz w:val="27"/>
          <w:szCs w:val="27"/>
          <w:lang w:val="en-US" w:eastAsia="zh-CN" w:bidi="ar"/>
        </w:rPr>
        <w:t>分；过程部分满分</w:t>
      </w:r>
      <w:r>
        <w:rPr>
          <w:rFonts w:hint="eastAsia" w:ascii="宋体" w:hAnsi="宋体" w:eastAsia="宋体" w:cs="Times New Roman"/>
          <w:snapToGrid/>
          <w:kern w:val="2"/>
          <w:sz w:val="27"/>
          <w:szCs w:val="27"/>
          <w:lang w:val="en-US" w:eastAsia="zh-CN" w:bidi="ar"/>
        </w:rPr>
        <w:t>24分</w:t>
      </w:r>
      <w:r>
        <w:rPr>
          <w:rFonts w:hint="eastAsia" w:ascii="宋体" w:hAnsi="宋体" w:eastAsia="宋体" w:cs="宋体"/>
          <w:snapToGrid/>
          <w:kern w:val="2"/>
          <w:sz w:val="27"/>
          <w:szCs w:val="27"/>
          <w:lang w:val="en-US" w:eastAsia="zh-CN" w:bidi="ar"/>
        </w:rPr>
        <w:t>，得</w:t>
      </w:r>
      <w:r>
        <w:rPr>
          <w:rFonts w:hint="eastAsia" w:ascii="宋体" w:hAnsi="宋体" w:eastAsia="宋体" w:cs="Times New Roman"/>
          <w:snapToGrid/>
          <w:kern w:val="2"/>
          <w:sz w:val="27"/>
          <w:szCs w:val="27"/>
          <w:lang w:val="en-US" w:eastAsia="zh-CN" w:bidi="ar"/>
        </w:rPr>
        <w:t>19分；</w:t>
      </w:r>
      <w:r>
        <w:rPr>
          <w:rFonts w:hint="eastAsia" w:ascii="宋体" w:hAnsi="宋体" w:eastAsia="宋体" w:cs="宋体"/>
          <w:snapToGrid/>
          <w:kern w:val="2"/>
          <w:sz w:val="27"/>
          <w:szCs w:val="27"/>
          <w:lang w:val="en-US" w:eastAsia="zh-CN" w:bidi="ar"/>
        </w:rPr>
        <w:t>产出部分满分</w:t>
      </w:r>
      <w:r>
        <w:rPr>
          <w:rFonts w:hint="eastAsia" w:ascii="宋体" w:hAnsi="宋体" w:eastAsia="宋体" w:cs="Times New Roman"/>
          <w:snapToGrid/>
          <w:kern w:val="2"/>
          <w:sz w:val="27"/>
          <w:szCs w:val="27"/>
          <w:lang w:val="en-US" w:eastAsia="zh-CN" w:bidi="ar"/>
        </w:rPr>
        <w:t>26分，得25.6分；</w:t>
      </w:r>
      <w:r>
        <w:rPr>
          <w:rFonts w:hint="eastAsia" w:ascii="宋体" w:hAnsi="宋体" w:eastAsia="宋体" w:cs="宋体"/>
          <w:snapToGrid/>
          <w:kern w:val="2"/>
          <w:sz w:val="27"/>
          <w:szCs w:val="27"/>
          <w:lang w:val="en-US" w:eastAsia="zh-CN" w:bidi="ar"/>
        </w:rPr>
        <w:t>效益部分满分</w:t>
      </w:r>
      <w:r>
        <w:rPr>
          <w:rFonts w:hint="eastAsia" w:ascii="宋体" w:hAnsi="宋体" w:eastAsia="宋体" w:cs="Times New Roman"/>
          <w:snapToGrid/>
          <w:kern w:val="2"/>
          <w:sz w:val="27"/>
          <w:szCs w:val="27"/>
          <w:lang w:val="en-US" w:eastAsia="zh-CN" w:bidi="ar"/>
        </w:rPr>
        <w:t>35分，得35分。</w:t>
      </w:r>
      <w:r>
        <w:rPr>
          <w:rFonts w:hint="eastAsia" w:ascii="宋体" w:hAnsi="宋体" w:eastAsia="宋体" w:cs="宋体"/>
          <w:snapToGrid/>
          <w:kern w:val="2"/>
          <w:sz w:val="27"/>
          <w:szCs w:val="27"/>
          <w:lang w:val="en-US" w:eastAsia="zh-CN" w:bidi="ar"/>
        </w:rPr>
        <w:t>根据评价分值，确定</w:t>
      </w:r>
      <w:r>
        <w:rPr>
          <w:rFonts w:hint="eastAsia" w:ascii="宋体" w:hAnsi="宋体" w:eastAsia="宋体" w:cs="Times New Roman"/>
          <w:snapToGrid/>
          <w:kern w:val="2"/>
          <w:sz w:val="27"/>
          <w:szCs w:val="27"/>
          <w:lang w:val="en-US" w:eastAsia="zh-CN" w:bidi="ar"/>
        </w:rPr>
        <w:t>2021年</w:t>
      </w:r>
      <w:r>
        <w:rPr>
          <w:rFonts w:hint="eastAsia" w:ascii="宋体" w:hAnsi="宋体" w:eastAsia="宋体" w:cs="宋体"/>
          <w:snapToGrid/>
          <w:kern w:val="2"/>
          <w:sz w:val="27"/>
          <w:szCs w:val="27"/>
          <w:lang w:val="en-US" w:eastAsia="zh-CN" w:bidi="ar"/>
        </w:rPr>
        <w:t>安全生产及应急救援项目绩效评价得分</w:t>
      </w:r>
      <w:r>
        <w:rPr>
          <w:rFonts w:hint="eastAsia" w:ascii="宋体" w:hAnsi="宋体" w:eastAsia="宋体" w:cs="Times New Roman"/>
          <w:snapToGrid/>
          <w:kern w:val="2"/>
          <w:sz w:val="27"/>
          <w:szCs w:val="27"/>
          <w:lang w:val="en-US" w:eastAsia="zh-CN" w:bidi="ar"/>
        </w:rPr>
        <w:t>92.6分</w:t>
      </w:r>
      <w:r>
        <w:rPr>
          <w:rFonts w:hint="eastAsia" w:ascii="宋体" w:hAnsi="宋体" w:eastAsia="宋体" w:cs="宋体"/>
          <w:snapToGrid/>
          <w:kern w:val="2"/>
          <w:sz w:val="27"/>
          <w:szCs w:val="27"/>
          <w:lang w:val="en-US" w:eastAsia="zh-CN" w:bidi="ar"/>
        </w:rPr>
        <w:t>，绩效评价等级为“优”。</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（二）绩效分析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项目决策方面。该项目依据相关政策组织立项，立项依据充分，符合国家政策及发展规划；项目立项程序规范，申报流程符合相关立项工作过程要求；项目实施前编制了项目绩效目标表，项目绩效目标设置完整，绩效指标设置存在不规范、不准确之处；项目预算内容与实际需求相符，预算额度测算依据充分、标准明确，预算投入资金量与工作内容匹配度高。项目决策满分</w:t>
      </w:r>
      <w:r>
        <w:rPr>
          <w:rFonts w:hint="eastAsia" w:ascii="宋体" w:hAnsi="宋体" w:eastAsia="宋体" w:cs="Times New Roman"/>
          <w:snapToGrid/>
          <w:kern w:val="2"/>
          <w:sz w:val="27"/>
          <w:szCs w:val="27"/>
          <w:lang w:val="en-US" w:eastAsia="zh-CN" w:bidi="ar"/>
        </w:rPr>
        <w:t>15分，因绩效目标编制不规范原因，扣2分，此项得13分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项目过程方面。预算资金执行情况良好，支出范围符合项目要求；项目财务管理符合政府会计准则制度要求，资金申报、审批、支出流程规范，项目财务账目编制规范，账目内容符合规范财务会计核算要求；项目管理制度不健全，过程管理规范性一般，项目档案整理不合规。项目过程满分</w:t>
      </w:r>
      <w:r>
        <w:rPr>
          <w:rFonts w:hint="eastAsia" w:ascii="宋体" w:hAnsi="宋体" w:eastAsia="宋体" w:cs="Times New Roman"/>
          <w:snapToGrid/>
          <w:kern w:val="2"/>
          <w:sz w:val="27"/>
          <w:szCs w:val="27"/>
          <w:lang w:val="en-US" w:eastAsia="zh-CN" w:bidi="ar"/>
        </w:rPr>
        <w:t>24分，因</w:t>
      </w:r>
      <w:r>
        <w:rPr>
          <w:rFonts w:hint="eastAsia" w:ascii="宋体" w:hAnsi="宋体" w:eastAsia="宋体" w:cs="宋体"/>
          <w:snapToGrid/>
          <w:kern w:val="2"/>
          <w:sz w:val="27"/>
          <w:szCs w:val="27"/>
          <w:lang w:val="en-US" w:eastAsia="zh-CN" w:bidi="ar"/>
        </w:rPr>
        <w:t>项目管理制度不健全，项目档案整理不合规等原因，扣</w:t>
      </w:r>
      <w:r>
        <w:rPr>
          <w:rFonts w:hint="eastAsia" w:ascii="宋体" w:hAnsi="宋体" w:eastAsia="宋体" w:cs="Times New Roman"/>
          <w:snapToGrid/>
          <w:kern w:val="2"/>
          <w:sz w:val="27"/>
          <w:szCs w:val="27"/>
          <w:lang w:val="en-US" w:eastAsia="zh-CN" w:bidi="ar"/>
        </w:rPr>
        <w:t>5分，此项得19分。</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项目产出方面。一是安全生产第三方检查运输企业共</w:t>
      </w:r>
      <w:r>
        <w:rPr>
          <w:rFonts w:hint="eastAsia" w:ascii="宋体" w:hAnsi="宋体" w:eastAsia="宋体" w:cs="Times New Roman"/>
          <w:snapToGrid/>
          <w:kern w:val="2"/>
          <w:sz w:val="27"/>
          <w:szCs w:val="27"/>
          <w:lang w:val="en-US" w:eastAsia="zh-CN" w:bidi="ar"/>
        </w:rPr>
        <w:t>111家，符合项目要求；二是开展应急抢险救援9次，未达到</w:t>
      </w:r>
      <w:r>
        <w:rPr>
          <w:rFonts w:hint="eastAsia" w:ascii="宋体" w:hAnsi="宋体" w:eastAsia="宋体" w:cs="宋体"/>
          <w:snapToGrid/>
          <w:kern w:val="2"/>
          <w:sz w:val="27"/>
          <w:szCs w:val="27"/>
          <w:lang w:val="en-US" w:eastAsia="zh-CN" w:bidi="ar"/>
        </w:rPr>
        <w:t>年度应急救援1</w:t>
      </w:r>
      <w:r>
        <w:rPr>
          <w:rFonts w:hint="eastAsia" w:ascii="宋体" w:hAnsi="宋体" w:eastAsia="宋体" w:cs="Times New Roman"/>
          <w:snapToGrid/>
          <w:kern w:val="2"/>
          <w:sz w:val="27"/>
          <w:szCs w:val="27"/>
          <w:lang w:val="en-US" w:eastAsia="zh-CN" w:bidi="ar"/>
        </w:rPr>
        <w:t>0</w:t>
      </w:r>
      <w:r>
        <w:rPr>
          <w:rFonts w:hint="eastAsia" w:ascii="宋体" w:hAnsi="宋体" w:eastAsia="宋体" w:cs="宋体"/>
          <w:snapToGrid/>
          <w:kern w:val="2"/>
          <w:sz w:val="27"/>
          <w:szCs w:val="27"/>
          <w:lang w:val="en-US" w:eastAsia="zh-CN" w:bidi="ar"/>
        </w:rPr>
        <w:t>次的要求。各项工作规定时间内完成，产出时效性较好。项目产出满分</w:t>
      </w:r>
      <w:r>
        <w:rPr>
          <w:rFonts w:hint="eastAsia" w:ascii="宋体" w:hAnsi="宋体" w:eastAsia="宋体" w:cs="Times New Roman"/>
          <w:snapToGrid/>
          <w:kern w:val="2"/>
          <w:sz w:val="27"/>
          <w:szCs w:val="27"/>
          <w:lang w:val="en-US" w:eastAsia="zh-CN" w:bidi="ar"/>
        </w:rPr>
        <w:t>26分，因</w:t>
      </w:r>
      <w:r>
        <w:rPr>
          <w:rFonts w:hint="eastAsia" w:ascii="宋体" w:hAnsi="宋体" w:eastAsia="宋体" w:cs="宋体"/>
          <w:snapToGrid/>
          <w:kern w:val="2"/>
          <w:sz w:val="27"/>
          <w:szCs w:val="27"/>
          <w:lang w:val="en-US" w:eastAsia="zh-CN" w:bidi="ar"/>
        </w:rPr>
        <w:t>完成应急救援次数不足1</w:t>
      </w:r>
      <w:r>
        <w:rPr>
          <w:rFonts w:hint="eastAsia" w:ascii="宋体" w:hAnsi="宋体" w:eastAsia="宋体" w:cs="Times New Roman"/>
          <w:snapToGrid/>
          <w:kern w:val="2"/>
          <w:sz w:val="27"/>
          <w:szCs w:val="27"/>
          <w:lang w:val="en-US" w:eastAsia="zh-CN" w:bidi="ar"/>
        </w:rPr>
        <w:t>0</w:t>
      </w:r>
      <w:r>
        <w:rPr>
          <w:rFonts w:hint="eastAsia" w:ascii="宋体" w:hAnsi="宋体" w:eastAsia="宋体" w:cs="宋体"/>
          <w:snapToGrid/>
          <w:kern w:val="2"/>
          <w:sz w:val="27"/>
          <w:szCs w:val="27"/>
          <w:lang w:val="en-US" w:eastAsia="zh-CN" w:bidi="ar"/>
        </w:rPr>
        <w:t>次，扣</w:t>
      </w:r>
      <w:r>
        <w:rPr>
          <w:rFonts w:hint="eastAsia" w:ascii="宋体" w:hAnsi="宋体" w:eastAsia="宋体" w:cs="Times New Roman"/>
          <w:snapToGrid/>
          <w:kern w:val="2"/>
          <w:sz w:val="27"/>
          <w:szCs w:val="27"/>
          <w:lang w:val="en-US" w:eastAsia="zh-CN" w:bidi="ar"/>
        </w:rPr>
        <w:t>0.4分，此项得25.6分。</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项目效益方面。一是项目实施后减少人员伤亡及事故损失，降低非生产性经营成本，从而提高企业的经济效益；二是夯实企业主体责任，进一步健全了风险分级管控、隐患排查治理双重预防工作机制，积极引领企业生产标准化建设，提升了企业安全管理水平；三是及时救援道路危险货物运输泄露事故是政府快速应对突发事件能力的一个重要体现，安全生产和应急救援项目的开展，减少了生产人员伤亡和企业的损失，体现了政府以人为本的执政理念，提高了人民群众对安全生产生活的满意度。项目效益满分</w:t>
      </w:r>
      <w:r>
        <w:rPr>
          <w:rFonts w:hint="eastAsia" w:ascii="宋体" w:hAnsi="宋体" w:eastAsia="宋体" w:cs="Times New Roman"/>
          <w:snapToGrid/>
          <w:kern w:val="2"/>
          <w:sz w:val="27"/>
          <w:szCs w:val="27"/>
          <w:lang w:val="en-US" w:eastAsia="zh-CN" w:bidi="ar"/>
        </w:rPr>
        <w:t>35分，</w:t>
      </w:r>
      <w:r>
        <w:rPr>
          <w:rFonts w:hint="eastAsia" w:ascii="宋体" w:hAnsi="宋体" w:eastAsia="宋体" w:cs="宋体"/>
          <w:snapToGrid/>
          <w:kern w:val="2"/>
          <w:sz w:val="27"/>
          <w:szCs w:val="27"/>
          <w:lang w:val="en-US" w:eastAsia="zh-CN" w:bidi="ar"/>
        </w:rPr>
        <w:t>产出社会效益和经济效益显著，此项得</w:t>
      </w:r>
      <w:r>
        <w:rPr>
          <w:rFonts w:hint="eastAsia" w:ascii="宋体" w:hAnsi="宋体" w:eastAsia="宋体" w:cs="Times New Roman"/>
          <w:snapToGrid/>
          <w:kern w:val="2"/>
          <w:sz w:val="27"/>
          <w:szCs w:val="27"/>
          <w:lang w:val="en-US" w:eastAsia="zh-CN" w:bidi="ar"/>
        </w:rPr>
        <w:t>35分。</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b w:val="0"/>
          <w:sz w:val="30"/>
          <w:szCs w:val="30"/>
        </w:rPr>
      </w:pPr>
      <w:r>
        <w:rPr>
          <w:rStyle w:val="12"/>
          <w:rFonts w:hint="eastAsia" w:ascii="黑体" w:hAnsi="宋体" w:eastAsia="黑体" w:cs="黑体"/>
          <w:b w:val="0"/>
          <w:kern w:val="2"/>
          <w:sz w:val="30"/>
          <w:szCs w:val="30"/>
          <w:lang w:val="en-US" w:eastAsia="zh-CN" w:bidi="ar"/>
        </w:rPr>
        <w:t>五、存在问题及原因分析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1.</w:t>
      </w:r>
      <w:r>
        <w:rPr>
          <w:rFonts w:hint="eastAsia" w:ascii="宋体" w:hAnsi="宋体" w:eastAsia="宋体" w:cs="宋体"/>
          <w:snapToGrid/>
          <w:kern w:val="2"/>
          <w:sz w:val="27"/>
          <w:szCs w:val="27"/>
          <w:lang w:val="en-US" w:eastAsia="zh-CN" w:bidi="ar"/>
        </w:rPr>
        <w:t>项目管理制度不健全。该项目管理制度欠缺，该项目执行根据《中华人民共和国安全生产法》，未单独建立项目实施、管理等制度，如项目执行注意事项，应急抢险制度等内容，无法对项目进行全面管控。通过完善的项目管理制度，可对项目实施过程进行监管，有助于该项目落实到位，因此需切实加强项目的制度建设。</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2.</w:t>
      </w:r>
      <w:r>
        <w:rPr>
          <w:rFonts w:hint="eastAsia" w:ascii="宋体" w:hAnsi="宋体" w:eastAsia="宋体" w:cs="宋体"/>
          <w:snapToGrid/>
          <w:kern w:val="2"/>
          <w:sz w:val="27"/>
          <w:szCs w:val="27"/>
          <w:lang w:val="en-US" w:eastAsia="zh-CN" w:bidi="ar"/>
        </w:rPr>
        <w:t>档案整理规范性有待提高。对该项目进行现场查勘时存在以下问题：一是该项目是延续性项目，</w:t>
      </w:r>
      <w:r>
        <w:rPr>
          <w:rFonts w:hint="eastAsia" w:ascii="宋体" w:hAnsi="宋体" w:eastAsia="宋体" w:cs="Times New Roman"/>
          <w:snapToGrid/>
          <w:kern w:val="2"/>
          <w:sz w:val="27"/>
          <w:szCs w:val="27"/>
          <w:lang w:val="en-US" w:eastAsia="zh-CN" w:bidi="ar"/>
        </w:rPr>
        <w:t>2020年和2021年企业安全生产第三方检查报告未分别整理归档；二是对于部分资料未整理存档如应急抢险队伍的设备购置资料、意外险投保资料等未存档。</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3.</w:t>
      </w:r>
      <w:r>
        <w:rPr>
          <w:rFonts w:hint="eastAsia" w:ascii="宋体" w:hAnsi="宋体" w:eastAsia="宋体" w:cs="宋体"/>
          <w:snapToGrid/>
          <w:kern w:val="2"/>
          <w:sz w:val="27"/>
          <w:szCs w:val="27"/>
          <w:lang w:val="en-US" w:eastAsia="zh-CN" w:bidi="ar"/>
        </w:rPr>
        <w:t>绩效目标编制不规范。经查阅该项目绩效目标批复表，绩效目标存在问题如下：一是质量指标“道路危险货物泄露事故应急救援能力提升情况”的指标值为“</w:t>
      </w:r>
      <w:r>
        <w:rPr>
          <w:rFonts w:hint="eastAsia" w:ascii="宋体" w:hAnsi="宋体" w:eastAsia="宋体" w:cs="Times New Roman"/>
          <w:snapToGrid/>
          <w:kern w:val="2"/>
          <w:sz w:val="27"/>
          <w:szCs w:val="27"/>
          <w:lang w:val="en-US" w:eastAsia="zh-CN" w:bidi="ar"/>
        </w:rPr>
        <w:t>100%”较不合理，可设为定性指标如“有效”。二是经济效益指标“成本控制有效性”，该项指标设置不合理，不属于经济效益范围。三是满意度指标的指标值为“100%”，应该以区间表示，如“≥98%”。</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b w:val="0"/>
          <w:sz w:val="30"/>
          <w:szCs w:val="30"/>
        </w:rPr>
      </w:pPr>
      <w:r>
        <w:rPr>
          <w:rStyle w:val="12"/>
          <w:rFonts w:hint="eastAsia" w:ascii="黑体" w:hAnsi="宋体" w:eastAsia="黑体" w:cs="黑体"/>
          <w:b w:val="0"/>
          <w:kern w:val="2"/>
          <w:sz w:val="30"/>
          <w:szCs w:val="30"/>
          <w:lang w:val="en-US" w:eastAsia="zh-CN" w:bidi="ar"/>
        </w:rPr>
        <w:t>六、有关建议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1.</w:t>
      </w:r>
      <w:r>
        <w:rPr>
          <w:rFonts w:hint="eastAsia" w:ascii="宋体" w:hAnsi="宋体" w:eastAsia="宋体" w:cs="宋体"/>
          <w:snapToGrid/>
          <w:kern w:val="2"/>
          <w:sz w:val="27"/>
          <w:szCs w:val="27"/>
          <w:lang w:val="en-US" w:eastAsia="zh-CN" w:bidi="ar"/>
        </w:rPr>
        <w:t>加强项目管理制度落地。建议项目实施单位，落实相应责任，预防和控制潜在的事故或紧急情况发生，制定重大安全事故的应急预案，减轻可能产生的事故后果。在应急管理原则、领导机构及职责、运行机制、应急处置等方面进一步明确相关内容，将管理制度、细则落到实处。项目执行后，及时对项目资料整理归纳。同时，应定期加强监督和检查，确保项目效益的长期发挥。</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2.</w:t>
      </w:r>
      <w:r>
        <w:rPr>
          <w:rFonts w:hint="eastAsia" w:ascii="宋体" w:hAnsi="宋体" w:eastAsia="宋体" w:cs="宋体"/>
          <w:snapToGrid/>
          <w:kern w:val="2"/>
          <w:sz w:val="27"/>
          <w:szCs w:val="27"/>
          <w:lang w:val="en-US" w:eastAsia="zh-CN" w:bidi="ar"/>
        </w:rPr>
        <w:t>加强档案规范化管理。档案整理是指将处于凌乱的和需要进一步条理化的档案，进行基本的分类、组合、排列、编号、编制目录、建立全宗等，组成有序体系的过程。对于该项目资料的整理存放工作，应进一步提高规范化管理，首先以实施主体为单位，收集并整合验收资料；其次是资料性质，分类整理归档同时编制目录表，然后将整理后的资料归类存放。</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3.</w:t>
      </w:r>
      <w:r>
        <w:rPr>
          <w:rFonts w:hint="eastAsia" w:ascii="宋体" w:hAnsi="宋体" w:eastAsia="宋体" w:cs="宋体"/>
          <w:snapToGrid/>
          <w:kern w:val="2"/>
          <w:sz w:val="27"/>
          <w:szCs w:val="27"/>
          <w:lang w:val="en-US" w:eastAsia="zh-CN" w:bidi="ar"/>
        </w:rPr>
        <w:t>提高绩效目标编制规范性。建议在编制项目绩效目标时，一是对项目的功能进行梳理，包括资金性质、预期投入、支出范围、实施内容、工作任务、受益对象等，明确该项目支出的功能特性；二是依据功能特性，预计项目实施在一定时期内所要达到的总体产出和效果，从而确定该项目所要实现的总体绩效目标，并以定量和定性指标相结合的方式进行表述；三是依据项目实际情况，对绩效目标进行细化分解，并通过定量分析与定性分析相结合的方式，从产出、效益等方面设定具体的绩效指标，对目标的实现程度给予较清晰、可衡量的指标体现；四是收集相关基准数据，如过去三年的平均值，以前某年度的数值、类似项目的先进水平、行业标准等，并依据项目预期实施进展，结合预计投资的资金规模，确定绩效指标及具体数值。</w:t>
      </w:r>
    </w:p>
    <w:p>
      <w:pPr>
        <w:keepNext w:val="0"/>
        <w:keepLines w:val="0"/>
        <w:widowControl w:val="0"/>
        <w:suppressLineNumbers w:val="0"/>
        <w:overflowPunct w:val="0"/>
        <w:adjustRightInd w:val="0"/>
        <w:snapToGrid w:val="0"/>
        <w:spacing w:before="0" w:beforeLines="100" w:beforeAutospacing="0" w:after="0" w:afterAutospacing="0" w:line="360" w:lineRule="auto"/>
        <w:ind w:left="0" w:right="0" w:firstLine="0" w:firstLineChars="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overflowPunct w:val="0"/>
        <w:adjustRightInd w:val="0"/>
        <w:snapToGrid w:val="0"/>
        <w:spacing w:before="0" w:beforeLines="100" w:beforeAutospacing="0" w:after="0" w:afterAutospacing="0" w:line="360" w:lineRule="auto"/>
        <w:ind w:left="0" w:right="0" w:firstLine="0" w:firstLineChars="0"/>
        <w:jc w:val="center"/>
        <w:rPr>
          <w:rFonts w:hint="eastAsia" w:ascii="方正小标宋简体" w:hAnsi="宋体" w:eastAsia="方正小标宋简体" w:cs="Times New Roman"/>
          <w:snapToGrid/>
          <w:kern w:val="2"/>
          <w:sz w:val="44"/>
          <w:szCs w:val="44"/>
          <w:lang w:val="en-US" w:eastAsia="zh-CN" w:bidi="ar"/>
        </w:rPr>
      </w:pPr>
    </w:p>
    <w:p>
      <w:pPr>
        <w:keepNext w:val="0"/>
        <w:keepLines w:val="0"/>
        <w:widowControl w:val="0"/>
        <w:suppressLineNumbers w:val="0"/>
        <w:overflowPunct w:val="0"/>
        <w:adjustRightInd w:val="0"/>
        <w:snapToGrid w:val="0"/>
        <w:spacing w:before="0" w:beforeLines="100" w:beforeAutospacing="0" w:after="0" w:afterAutospacing="0" w:line="360" w:lineRule="auto"/>
        <w:ind w:left="0" w:right="0" w:firstLine="0" w:firstLineChars="0"/>
        <w:jc w:val="center"/>
        <w:rPr>
          <w:rFonts w:hint="eastAsia" w:ascii="方正小标宋简体" w:hAnsi="宋体" w:eastAsia="方正小标宋简体" w:cs="Times New Roman"/>
          <w:snapToGrid/>
          <w:kern w:val="2"/>
          <w:sz w:val="44"/>
          <w:szCs w:val="44"/>
          <w:lang w:val="en-US" w:eastAsia="zh-CN" w:bidi="ar"/>
        </w:rPr>
      </w:pPr>
    </w:p>
    <w:p>
      <w:pPr>
        <w:keepNext w:val="0"/>
        <w:keepLines w:val="0"/>
        <w:widowControl w:val="0"/>
        <w:suppressLineNumbers w:val="0"/>
        <w:overflowPunct w:val="0"/>
        <w:adjustRightInd w:val="0"/>
        <w:snapToGrid w:val="0"/>
        <w:spacing w:before="0" w:beforeLines="100" w:beforeAutospacing="0" w:after="0" w:afterAutospacing="0" w:line="360" w:lineRule="auto"/>
        <w:ind w:left="0" w:right="0" w:firstLine="0" w:firstLineChars="0"/>
        <w:jc w:val="center"/>
        <w:rPr>
          <w:rFonts w:hint="eastAsia" w:ascii="方正小标宋简体" w:hAnsi="宋体" w:eastAsia="方正小标宋简体" w:cs="Times New Roman"/>
          <w:snapToGrid/>
          <w:kern w:val="2"/>
          <w:sz w:val="44"/>
          <w:szCs w:val="44"/>
          <w:lang w:val="en-US" w:eastAsia="zh-CN" w:bidi="ar"/>
        </w:rPr>
      </w:pPr>
    </w:p>
    <w:p>
      <w:pPr>
        <w:keepNext w:val="0"/>
        <w:keepLines w:val="0"/>
        <w:widowControl w:val="0"/>
        <w:suppressLineNumbers w:val="0"/>
        <w:overflowPunct w:val="0"/>
        <w:adjustRightInd w:val="0"/>
        <w:snapToGrid w:val="0"/>
        <w:spacing w:before="0" w:beforeLines="100" w:beforeAutospacing="0" w:after="0" w:afterAutospacing="0" w:line="360" w:lineRule="auto"/>
        <w:ind w:left="0" w:right="0" w:firstLine="0" w:firstLineChars="0"/>
        <w:jc w:val="center"/>
        <w:rPr>
          <w:rFonts w:hint="eastAsia" w:ascii="方正小标宋简体" w:hAnsi="宋体" w:eastAsia="方正小标宋简体" w:cs="Times New Roman"/>
          <w:snapToGrid/>
          <w:kern w:val="2"/>
          <w:sz w:val="44"/>
          <w:szCs w:val="44"/>
          <w:lang w:val="en-US" w:eastAsia="zh-CN" w:bidi="ar"/>
        </w:rPr>
      </w:pPr>
    </w:p>
    <w:p>
      <w:pPr>
        <w:keepNext w:val="0"/>
        <w:keepLines w:val="0"/>
        <w:widowControl w:val="0"/>
        <w:suppressLineNumbers w:val="0"/>
        <w:overflowPunct w:val="0"/>
        <w:adjustRightInd w:val="0"/>
        <w:snapToGrid w:val="0"/>
        <w:spacing w:before="0" w:beforeLines="100" w:beforeAutospacing="0" w:after="0" w:afterAutospacing="0" w:line="360" w:lineRule="auto"/>
        <w:ind w:left="0" w:right="0" w:firstLine="0" w:firstLineChars="0"/>
        <w:jc w:val="center"/>
        <w:rPr>
          <w:rFonts w:hint="eastAsia" w:ascii="方正小标宋简体" w:hAnsi="宋体" w:eastAsia="方正小标宋简体" w:cs="Times New Roman"/>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snapToGrid/>
          <w:kern w:val="2"/>
          <w:sz w:val="44"/>
          <w:szCs w:val="44"/>
          <w:lang w:val="en-US" w:eastAsia="zh-CN" w:bidi="ar"/>
        </w:rPr>
        <w:t>新冠肺炎等重大传染病疫情防控</w:t>
      </w: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snapToGrid/>
          <w:kern w:val="2"/>
          <w:sz w:val="44"/>
          <w:szCs w:val="44"/>
          <w:lang w:val="en-US" w:eastAsia="zh-CN" w:bidi="ar"/>
        </w:rPr>
        <w:t>项目绩效评价报告</w:t>
      </w:r>
    </w:p>
    <w:p>
      <w:pPr>
        <w:keepNext w:val="0"/>
        <w:keepLines w:val="0"/>
        <w:widowControl w:val="0"/>
        <w:suppressLineNumbers w:val="0"/>
        <w:overflowPunct w:val="0"/>
        <w:adjustRightInd w:val="0"/>
        <w:snapToGrid w:val="0"/>
        <w:spacing w:before="0" w:beforeAutospacing="0" w:after="0" w:afterAutospacing="0" w:line="360" w:lineRule="auto"/>
        <w:ind w:left="0" w:right="0" w:firstLine="200" w:firstLineChars="200"/>
        <w:jc w:val="both"/>
        <w:rPr>
          <w:rFonts w:hint="eastAsia" w:ascii="黑体" w:hAnsi="宋体" w:eastAsia="黑体" w:cs="黑体"/>
          <w:kern w:val="2"/>
          <w:sz w:val="30"/>
          <w:szCs w:val="30"/>
        </w:rPr>
      </w:pPr>
      <w:r>
        <w:rPr>
          <w:rFonts w:hint="eastAsia" w:ascii="宋体" w:hAnsi="宋体" w:eastAsia="宋体" w:cs="Times New Roman"/>
          <w:kern w:val="2"/>
          <w:sz w:val="10"/>
          <w:szCs w:val="10"/>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一、项目基本情况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（一）项目立项背景及实施目的</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2020年10月，市委统筹疫情防控和经济运行工作领导小组 （指挥部）印发《淄博市新冠肺炎疫情防控重要医疗物资储备（配备）指导方案》（淄指办发〔2020〕69号），提出在当前医疗物资市场供应相对充足的情况下，梳理医疗机构等有关重点场所医疗物资储备（配备）需求，补短板、强弱项，做好疫情防控医疗物资保障工作，及时有效应对疫情变化带来的风险，确保当前和秋冬季疫情防控物资调得出、用得上。</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为贯彻落实市级文件要求，临淄区卫健局根据区疫情防控的需要，确立了临淄区新冠肺炎等重大传染病疫情防控项目，全面做好临淄区疫情防控经费保障工作，保障人民健康和安全。</w:t>
      </w:r>
    </w:p>
    <w:p>
      <w:pPr>
        <w:keepNext w:val="0"/>
        <w:keepLines w:val="0"/>
        <w:widowControl w:val="0"/>
        <w:numPr>
          <w:ilvl w:val="0"/>
          <w:numId w:val="1"/>
        </w:numPr>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项目预算安排和支出情况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2021年，本项目共投入区级财政资金1487.33万元。截至2021年末，资金已全部支付完毕。</w:t>
      </w:r>
    </w:p>
    <w:p>
      <w:pPr>
        <w:keepNext w:val="0"/>
        <w:keepLines w:val="0"/>
        <w:widowControl w:val="0"/>
        <w:numPr>
          <w:ilvl w:val="0"/>
          <w:numId w:val="1"/>
        </w:numPr>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项目主要内容和实施情况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1.项目主要内容</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（1）购买新冠肺炎疫苗接种点配套设施。</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（2）留淄过年市外人员健康查体优惠。</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（3）临淄区居民核酸检测。</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4）其他内容。2020年度及2021年度租用疫情隔离宾馆、租赁指挥部集中办公点、购置办公设备、临淄高铁北站防疫人员值班、核酸检测实验室改建、进行疫情防控应急演练、二级以上医院发热门诊新建、改建、购买防护用品费用等。</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2.项目实施情况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（1）核酸检测实施情况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财政资金到位后，区卫健局要求各核酸检测实验室统计近期核酸检测人数名单报卫健局医政科，医政科按照成本核算的补助标准，根据人数将补贴发放至各核酸检测实验室，截至2021年底，共补贴435474人次，补贴金额6669306.42元，截至年底实际拨付6669306.42元。</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（2）留淄过年市外人员健康查体优惠补贴实施情况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2021年3月，各医院将留淄过年人员查体资料上报区卫健局，区卫健局审核通过后，核算应减免资金，并将减免资金拨付医院。2021年，享受健康查体优惠补贴人数21人，补贴金额13888.6元，截至年底实际拨付13888.6元。</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（3）新冠肺炎疫苗接种点配套设施实施情况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2021年，区卫健局根据各医院、卫生院接种情况测算应配备配套设施数量，并根据测算情况先为临淄区各医院、卫生院发放新冠肺炎疫苗接种点配套设施补助，剩余资金由各卫生院、医院自筹或向乡镇政府申请补助。各卫生院、医院将新冠肺炎疫苗接种点配套设施采购到位后，将采购发票上传财政局网站进行备案。2021年，实际采购电脑99台，打印机33台，医用冰箱33台，台式冰箱66台，操作台（桌椅）99套，各医院、卫生院信息建设，补贴资金142.4万元，截至年底实际拨付142.4万元。</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（4）其他工作完成情况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Times New Roman"/>
          <w:kern w:val="2"/>
          <w:sz w:val="27"/>
          <w:szCs w:val="27"/>
        </w:rPr>
        <w:t>2021年</w:t>
      </w:r>
      <w:r>
        <w:rPr>
          <w:rFonts w:hint="eastAsia" w:ascii="宋体" w:hAnsi="宋体" w:eastAsia="宋体" w:cs="宋体"/>
          <w:kern w:val="2"/>
          <w:sz w:val="27"/>
          <w:szCs w:val="27"/>
        </w:rPr>
        <w:t>临淄区共有</w:t>
      </w:r>
      <w:r>
        <w:rPr>
          <w:rFonts w:hint="eastAsia" w:ascii="宋体" w:hAnsi="宋体" w:eastAsia="宋体" w:cs="Times New Roman"/>
          <w:kern w:val="2"/>
          <w:sz w:val="27"/>
          <w:szCs w:val="27"/>
        </w:rPr>
        <w:t>4家医院进行了发热门诊</w:t>
      </w:r>
      <w:r>
        <w:rPr>
          <w:rFonts w:hint="eastAsia" w:ascii="宋体" w:hAnsi="宋体" w:eastAsia="宋体" w:cs="宋体"/>
          <w:kern w:val="2"/>
          <w:sz w:val="27"/>
          <w:szCs w:val="27"/>
        </w:rPr>
        <w:t>的新建、改建工作。</w:t>
      </w:r>
      <w:r>
        <w:rPr>
          <w:rFonts w:hint="eastAsia" w:ascii="宋体" w:hAnsi="宋体" w:eastAsia="宋体" w:cs="Times New Roman"/>
          <w:kern w:val="2"/>
          <w:sz w:val="27"/>
          <w:szCs w:val="27"/>
        </w:rPr>
        <w:t>2021年11月3日，市卫健委组织专家对</w:t>
      </w:r>
      <w:r>
        <w:rPr>
          <w:rFonts w:hint="eastAsia" w:ascii="宋体" w:hAnsi="宋体" w:eastAsia="宋体" w:cs="宋体"/>
          <w:kern w:val="2"/>
          <w:sz w:val="27"/>
          <w:szCs w:val="27"/>
        </w:rPr>
        <w:t>此</w:t>
      </w:r>
      <w:r>
        <w:rPr>
          <w:rFonts w:hint="eastAsia" w:ascii="宋体" w:hAnsi="宋体" w:eastAsia="宋体" w:cs="Times New Roman"/>
          <w:kern w:val="2"/>
          <w:sz w:val="27"/>
          <w:szCs w:val="27"/>
        </w:rPr>
        <w:t>4家医院发热门诊运行管理工作进行了复查验收，经专家评定，4家医院</w:t>
      </w:r>
      <w:r>
        <w:rPr>
          <w:rFonts w:hint="eastAsia" w:ascii="宋体" w:hAnsi="宋体" w:eastAsia="宋体" w:cs="宋体"/>
          <w:kern w:val="2"/>
          <w:sz w:val="27"/>
          <w:szCs w:val="27"/>
        </w:rPr>
        <w:t>的发热门诊全部达到了发热门诊设置的基本标准。</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临淄区于</w:t>
      </w:r>
      <w:r>
        <w:rPr>
          <w:rFonts w:hint="eastAsia" w:ascii="宋体" w:hAnsi="宋体" w:eastAsia="宋体" w:cs="Times New Roman"/>
          <w:kern w:val="2"/>
          <w:sz w:val="27"/>
          <w:szCs w:val="27"/>
        </w:rPr>
        <w:t>2021年开展</w:t>
      </w:r>
      <w:r>
        <w:rPr>
          <w:rFonts w:hint="eastAsia" w:ascii="宋体" w:hAnsi="宋体" w:eastAsia="宋体" w:cs="宋体"/>
          <w:kern w:val="2"/>
          <w:sz w:val="27"/>
          <w:szCs w:val="27"/>
        </w:rPr>
        <w:t>了</w:t>
      </w:r>
      <w:r>
        <w:rPr>
          <w:rFonts w:hint="eastAsia" w:ascii="宋体" w:hAnsi="宋体" w:eastAsia="宋体" w:cs="Times New Roman"/>
          <w:kern w:val="2"/>
          <w:sz w:val="27"/>
          <w:szCs w:val="27"/>
        </w:rPr>
        <w:t>3次新冠肺炎聚集性疫情应急演练活动，通过查找应急演练过程中遇到的问题，分析应急短板</w:t>
      </w:r>
      <w:r>
        <w:rPr>
          <w:rFonts w:hint="eastAsia" w:ascii="宋体" w:hAnsi="宋体" w:eastAsia="宋体" w:cs="宋体"/>
          <w:kern w:val="2"/>
          <w:sz w:val="27"/>
          <w:szCs w:val="27"/>
        </w:rPr>
        <w:t>并及时对问题进行整改，确保疫情发生时能够迅速有效地控制疫情发展，最大程度地保障人民群众的生命安全。</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二、项目绩效目标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（一）总体绩效目标</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做好“应检尽检”重点人员核酸检测工作，及早发现确诊病例和无症状感染者，精准找到并控制传染源，从而切断传播途径，最大程度降低传播风险，将对社会的损失降至最低，确保经济、社会平稳运行。</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（二）2021年度绩效目标</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做好“应检尽检”重点人员核酸检测工作，及早发现确诊病例和无症状感染者，精准找到并控制传染源，从而切断传播途径，最大程度降低传播风险，将对社会的损失降至最低，确保经济、社会平稳运行。</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三、评价基本情况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（一）绩效评价目的、对象和范围</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1.绩效评价目的</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通过开展绩效评价，全面了解、分析、衡量项目资金管理和使用情况，了解资金的发放和管理等环节是否规范；项目实施过程与政策衔接是否有效。根据项目的执行及完成情况，运用科学、规范的绩效评价方法，依据评价指标体系，对资金的使用进行综合评判，客观反映其社会效益、可持续影响；进一步规范资金的分配和使用，强化监督管理机制，抓实措施，保障资金投入目标的落实，确保项目资金充分发挥效益。</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通过绩效评价，发现项目实施过程中存在的问题，提出有针对性的意见和建议，采取切实可行的改进措施，加强项目管理，提高资金管理水平；总结预算管理经验，查找资金使用和管理中的薄弱环节，为进一步完善财政政策、改进预算管理、提高财政资源配置效率和使用效益提供依据，为后续资金安排提供重要参考。</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2.绩效评价对象和范围</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本次评价的对象是临淄区新冠肺炎等重大传染病疫情防控项目实施情况及财政资源配置效率和使用效益情况，结合项目立项、项目实施、资金管理、项目产出和绩效等，将评价对象细化为以下五方面：</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（1）项目决策情况，包括项目立项、绩效目标、资金投入情况。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（2）项目主管部门对项目实施过程的监督管理情况，项目管理、实施情况。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（3）项目资金管理及使用情况，包括资金到位情况、资金执行情况、资金管理情况。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（4）项目目标的实现程度及效果情况。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（5）根据项目实际情况确定的其他评价内容。</w:t>
      </w:r>
    </w:p>
    <w:p>
      <w:pPr>
        <w:pStyle w:val="9"/>
        <w:widowControl/>
        <w:ind w:left="0" w:firstLine="562"/>
        <w:rPr>
          <w:rFonts w:hint="eastAsia" w:ascii="宋体" w:hAnsi="Calibri" w:eastAsia="宋体" w:cs="Times New Roman"/>
          <w:b/>
          <w:bCs/>
          <w:kern w:val="2"/>
          <w:sz w:val="28"/>
          <w:szCs w:val="28"/>
        </w:rPr>
      </w:pPr>
      <w:r>
        <w:rPr>
          <w:rFonts w:hint="eastAsia" w:ascii="宋体" w:hAnsi="宋体" w:eastAsia="宋体" w:cs="宋体"/>
          <w:b/>
          <w:bCs/>
          <w:kern w:val="2"/>
          <w:sz w:val="28"/>
          <w:szCs w:val="28"/>
        </w:rPr>
        <w:t>（二）绩效评价原则、评价指标体系、评价方法、评价标准</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1.绩效评价原则</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（1）科学公正。运用科学合理的方法，按照规范的程序，对项目绩效进行客观、公正的反映。</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（2）统筹兼顾。职责明确，各有侧重，相互衔接。</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（3）激励约束。绩效评价结果与预算安排、政策调整、改进管理实质性挂钩，体现奖优罚劣和激励相容导向，有效要安排、低效要压减、无效要问责。</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（4）公开透明。绩效评价结果依法依规公开，并自觉接受社会监督。</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2.评价指标体系</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根据绩效评价相关制度，结合本项目实际特点，我们组织专业力量成立绩效评价组进行指标体系的构建。绩效评价指标的研发遵循定量、定性相结合的原则，参照行业、专业标准及采集的相关数据材料制订评价标准，采用“突出问题导向，注重评价实效”的绩效评价方法，对评价项目进行逐步分解，评价资金使用的效率与效益。评价采用预期目标与实施效果比较方法，将绩效目标与其实际所产生的效益进行对比，对项目资金的使用绩效做出全面评价。</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针对项目的实施特点和过程，我们在深入分析的基础上，从决策、过程、产出和效益四个方面来设置评价指标体系对本项目进行评价。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3.评价方法</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通过研究分析项目实施情况，采取成本效益分析法、比较法、因素分析法、公众评判法中的一种或多种方法相结合的方式进行评价。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4.评价标准</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经过深入调查、研究分析补贴资金投入使用及项目实施过程，总结归纳政策法规、管理办法、实施过程文件、参考资料和监督文件等五个方面，作为本次绩效评价的评价依据和标准。</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（三）绩效评价工作过程</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1．评价准备阶段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（1）成立绩效评价工作组。</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（2）开展前期调研。</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（3）设计绩效评价指标体系。</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（4）制定评价实施方案。</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2．评价实施阶段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（1）现场评价。</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（2）非现场评价。</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（3）形成评价初步结论。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3．评价总结阶段</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（1）拟定绩效评价报告初稿。</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（2）与区财政局进行沟通，根据其合理意见进行修改。</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（3）形成新的绩效评价报告。</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（4）将正式绩效评价报告报送区财政局。</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四、评价结论和绩效分析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（一）综合评价结论</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根据本项目绩效评价指标打分情况，新冠肺炎等重大传染病疫情防控项目决策得分为8分，项目过程得分为30分，项目产出得分为30分，项目效益得分为29.69分，最终得分为97.69分，评价等级为“优”。</w:t>
      </w:r>
    </w:p>
    <w:p>
      <w:pPr>
        <w:pStyle w:val="9"/>
        <w:widowControl/>
        <w:ind w:left="0" w:firstLine="562"/>
        <w:rPr>
          <w:rFonts w:hint="eastAsia" w:ascii="宋体" w:hAnsi="Calibri" w:eastAsia="宋体" w:cs="Times New Roman"/>
          <w:b/>
          <w:bCs/>
          <w:kern w:val="2"/>
          <w:sz w:val="28"/>
          <w:szCs w:val="28"/>
        </w:rPr>
      </w:pPr>
      <w:r>
        <w:rPr>
          <w:rFonts w:hint="eastAsia" w:ascii="宋体" w:hAnsi="宋体" w:eastAsia="宋体" w:cs="宋体"/>
          <w:b/>
          <w:bCs/>
          <w:kern w:val="2"/>
          <w:sz w:val="28"/>
          <w:szCs w:val="28"/>
        </w:rPr>
        <w:t>（二）绩效分析</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经综合分析，项目决策方面，项目立项符合相关文件政策要求，实施与部门职责范围相符，属于部门履职所需，立项依据充分，按照规定程序申请设立，审批文件、材料符合要求，绩效目标与实际工作内容相关，绩效指标细化明确，预算编制科学、合理，但存在长期目标与年度目标设置一致，无法清晰反应项目预期能够达到的长期产出和效果、个别绩效指标填报不够规范的问题。在资金管理方面，到位资金全部支出，项目资金使用合规。在组织实施方面，组织机构健全，相关科室责任明确，区卫健局资金及业务管理制度完备且执行有效，档案整理和归档完善、合规。在项目产出方面，核酸检测试剂耗材补贴、留淄过年市外人员健康查体优惠补贴、新冠肺炎疫苗接种点配套设施以及其他工作完成情况良好。在项目效果方面，项目自身的社会效益显著、可持续影响长远，为全区人民提供了更加优质高效的卫生健康服务。</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五、存在问题及原因分析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绩效目标和指标设置不够合理</w:t>
      </w:r>
    </w:p>
    <w:p>
      <w:pPr>
        <w:pStyle w:val="9"/>
        <w:widowControl/>
        <w:ind w:left="0" w:firstLine="540"/>
        <w:rPr>
          <w:rFonts w:hint="eastAsia" w:ascii="宋体" w:hAnsi="宋体" w:eastAsia="宋体" w:cs="Times New Roman"/>
          <w:color w:val="C00000"/>
          <w:kern w:val="2"/>
          <w:sz w:val="27"/>
          <w:szCs w:val="27"/>
        </w:rPr>
      </w:pPr>
      <w:r>
        <w:rPr>
          <w:rFonts w:hint="eastAsia" w:ascii="宋体" w:hAnsi="宋体" w:eastAsia="宋体" w:cs="宋体"/>
          <w:kern w:val="2"/>
          <w:sz w:val="27"/>
          <w:szCs w:val="27"/>
        </w:rPr>
        <w:t>本项目绩效目标申报表中，项目简介、项目申报可行性、项目申报必要性等内容填制完整，但因为部门不重视，业务水平不高，绩效目标申报仍存在如下问题：一是项目长期目标与年度目标内容一致，未反映项目预期能够达到的长期产出和效果；二是年度目标未清晰反映当年预计完成的任务及实现的目标情况；三是“政府指定人群核酸检测任务完成率”错填为社会效益指标，应为数量指标；四是“承担政府指定免费检测新冠病毒核酸人员样本检测，保障地区群众健康权益”指标设置过长，应为短语形式。</w:t>
      </w:r>
      <w:r>
        <w:rPr>
          <w:rFonts w:hint="eastAsia" w:ascii="宋体" w:hAnsi="宋体" w:eastAsia="宋体" w:cs="Times New Roman"/>
          <w:kern w:val="2"/>
          <w:sz w:val="27"/>
          <w:szCs w:val="27"/>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六、有关建议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（一）规范填报绩效指标，提高预算绩效管理水平</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预算绩效目标是预算绩效管理的重要内容，是实施绩效监控、开展绩效评价等的重要基础和依据。绩效指标是绩效目标的细化和量化，能够全面、客观地反映项目绩效水平和目标实现程度，提升财政资金的使用效益和政府公共服务的管理水平。建议区卫健局重视绩效目标的填报，总结绩效目标填报经验，强化绩效目标填报培训，切实提高绩效目标申报表的填写水平；加强绩效目标审核，对于填制不规范的绩效目标，提出修改意见并反馈给相关科室，确保绩效目标编制的规范性。</w:t>
      </w:r>
    </w:p>
    <w:p>
      <w:pPr>
        <w:pStyle w:val="9"/>
        <w:widowControl/>
        <w:ind w:left="0" w:firstLine="562"/>
        <w:rPr>
          <w:rFonts w:hint="eastAsia" w:ascii="宋体" w:hAnsi="Calibri" w:eastAsia="宋体" w:cs="Times New Roman"/>
          <w:b/>
          <w:bCs/>
          <w:kern w:val="2"/>
          <w:sz w:val="28"/>
          <w:szCs w:val="28"/>
        </w:rPr>
      </w:pPr>
      <w:r>
        <w:rPr>
          <w:rFonts w:hint="eastAsia" w:ascii="宋体" w:hAnsi="宋体" w:eastAsia="宋体" w:cs="宋体"/>
          <w:b/>
          <w:bCs/>
          <w:kern w:val="2"/>
          <w:sz w:val="28"/>
          <w:szCs w:val="28"/>
        </w:rPr>
        <w:t>（二）进一步健全监督机制，保障资金使用效益</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有效的监督管理可以保障项目的顺利实施，减少和预防管理漏洞，提高项目实施质量，保证项目实施进度。建议区卫健局进一步健全监管机制，对项目实施进行全过程监管，制定监督管理制度，对监督的方式方法及内容加以明确，并根据完成情况进行考核，采用监督-反馈-整改-考核-跟踪的闭环式管理模式，对项目的资金和管理进行约束控制，保障财政资金的使用效益。</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snapToGrid/>
          <w:kern w:val="2"/>
          <w:sz w:val="27"/>
          <w:szCs w:val="27"/>
          <w:lang w:val="en-US" w:eastAsia="zh-CN" w:bidi="ar"/>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snapToGrid/>
          <w:kern w:val="2"/>
          <w:sz w:val="27"/>
          <w:szCs w:val="27"/>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snapToGrid/>
          <w:kern w:val="2"/>
          <w:sz w:val="27"/>
          <w:szCs w:val="27"/>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snapToGrid/>
          <w:kern w:val="2"/>
          <w:sz w:val="27"/>
          <w:szCs w:val="27"/>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right="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snapToGrid/>
          <w:kern w:val="2"/>
          <w:sz w:val="44"/>
          <w:szCs w:val="44"/>
          <w:lang w:val="en-US" w:eastAsia="zh-CN" w:bidi="ar"/>
        </w:rPr>
        <w:t>临淄区消防救援大队智慧用电和消防水</w:t>
      </w: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snapToGrid/>
          <w:kern w:val="2"/>
          <w:sz w:val="44"/>
          <w:szCs w:val="44"/>
          <w:lang w:val="en-US" w:eastAsia="zh-CN" w:bidi="ar"/>
        </w:rPr>
        <w:t>监控安全监管体系经费项目绩效评价报告</w:t>
      </w:r>
    </w:p>
    <w:p>
      <w:pPr>
        <w:keepNext w:val="0"/>
        <w:keepLines w:val="0"/>
        <w:widowControl w:val="0"/>
        <w:suppressLineNumbers w:val="0"/>
        <w:overflowPunct w:val="0"/>
        <w:adjustRightInd w:val="0"/>
        <w:snapToGrid w:val="0"/>
        <w:spacing w:before="0" w:beforeAutospacing="0" w:after="0" w:afterAutospacing="0" w:line="360" w:lineRule="auto"/>
        <w:ind w:right="0"/>
        <w:jc w:val="both"/>
        <w:rPr>
          <w:rFonts w:hint="eastAsia" w:ascii="宋体" w:hAnsi="宋体" w:eastAsia="宋体" w:cs="宋体"/>
          <w:kern w:val="2"/>
          <w:sz w:val="30"/>
          <w:szCs w:val="30"/>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为进一步规范和加强项目预算资金管理，提高项目预算资金使用效益和管理水平，强化财政支出绩效管理，科学、公正地评价预算资金使用绩效，根据《项目支出绩效评价管理办法》（财预〔</w:t>
      </w:r>
      <w:r>
        <w:rPr>
          <w:rFonts w:hint="eastAsia" w:ascii="宋体" w:hAnsi="宋体" w:eastAsia="宋体" w:cs="Times New Roman"/>
          <w:snapToGrid/>
          <w:kern w:val="2"/>
          <w:sz w:val="27"/>
          <w:szCs w:val="27"/>
          <w:lang w:val="en-US" w:eastAsia="zh-CN" w:bidi="ar"/>
        </w:rPr>
        <w:t>2020〕10号）、《临淄区区级部门单位预算绩效管理办法》（临政办字〔2020〕33号）、《临淄区区级预算绩效管理委托第三方机构管理办法（试行）》（临财〔2021〕75号）</w:t>
      </w:r>
      <w:r>
        <w:rPr>
          <w:rFonts w:hint="eastAsia" w:ascii="宋体" w:hAnsi="宋体" w:eastAsia="宋体" w:cs="宋体"/>
          <w:snapToGrid/>
          <w:kern w:val="2"/>
          <w:sz w:val="27"/>
          <w:szCs w:val="27"/>
          <w:lang w:val="en-US" w:eastAsia="zh-CN" w:bidi="ar"/>
        </w:rPr>
        <w:t>等文件，山东皓诚投资咨询有限公司受临淄区财政局委托，对淄博市临淄区消防救援大队智慧用电和消防水监控安全监管体系经费项目进行绩效评价。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一、项目基本情况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（一）项目立项背景及实施目的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按照淄博市安全生产委员会《关于印发全市电气火灾综合治理工作实施方案的通知》（淄安委发〔</w:t>
      </w:r>
      <w:r>
        <w:rPr>
          <w:rFonts w:hint="eastAsia" w:ascii="宋体" w:hAnsi="宋体" w:eastAsia="宋体" w:cs="Times New Roman"/>
          <w:snapToGrid/>
          <w:kern w:val="2"/>
          <w:sz w:val="27"/>
          <w:szCs w:val="27"/>
          <w:lang w:val="en-US" w:eastAsia="zh-CN" w:bidi="ar"/>
        </w:rPr>
        <w:t>2017〕14号）要求，</w:t>
      </w:r>
      <w:r>
        <w:rPr>
          <w:rFonts w:hint="eastAsia" w:ascii="宋体" w:hAnsi="宋体" w:eastAsia="宋体" w:cs="宋体"/>
          <w:snapToGrid/>
          <w:kern w:val="2"/>
          <w:sz w:val="27"/>
          <w:szCs w:val="27"/>
          <w:lang w:val="en-US" w:eastAsia="zh-CN" w:bidi="ar"/>
        </w:rPr>
        <w:t>临淄区消防救援大队以问题为导向，拟引入智慧用电和消防水监控安全监管体系，对电气故障、消防用水实时监控，提升电气火灾安全事故的预警防控能力，确保人民群众生命财产安全得到保障。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（二）项目预算安排和支出情况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2021年该项目共下达预算指标173.44万元，资金来源为区级一般公共预算。</w:t>
      </w:r>
      <w:r>
        <w:rPr>
          <w:rFonts w:hint="eastAsia" w:ascii="宋体" w:hAnsi="宋体" w:eastAsia="宋体" w:cs="宋体"/>
          <w:snapToGrid/>
          <w:kern w:val="2"/>
          <w:sz w:val="27"/>
          <w:szCs w:val="27"/>
          <w:lang w:val="en-US" w:eastAsia="zh-CN" w:bidi="ar"/>
        </w:rPr>
        <w:t>2</w:t>
      </w:r>
      <w:r>
        <w:rPr>
          <w:rFonts w:hint="eastAsia" w:ascii="宋体" w:hAnsi="宋体" w:eastAsia="宋体" w:cs="Times New Roman"/>
          <w:snapToGrid/>
          <w:kern w:val="2"/>
          <w:sz w:val="27"/>
          <w:szCs w:val="27"/>
          <w:lang w:val="en-US" w:eastAsia="zh-CN" w:bidi="ar"/>
        </w:rPr>
        <w:t>021</w:t>
      </w:r>
      <w:r>
        <w:rPr>
          <w:rFonts w:hint="eastAsia" w:ascii="宋体" w:hAnsi="宋体" w:eastAsia="宋体" w:cs="宋体"/>
          <w:snapToGrid/>
          <w:kern w:val="2"/>
          <w:sz w:val="27"/>
          <w:szCs w:val="27"/>
          <w:lang w:val="en-US" w:eastAsia="zh-CN" w:bidi="ar"/>
        </w:rPr>
        <w:t>年该项目共支出1</w:t>
      </w:r>
      <w:r>
        <w:rPr>
          <w:rFonts w:hint="eastAsia" w:ascii="宋体" w:hAnsi="宋体" w:eastAsia="宋体" w:cs="Times New Roman"/>
          <w:snapToGrid/>
          <w:kern w:val="2"/>
          <w:sz w:val="27"/>
          <w:szCs w:val="27"/>
          <w:lang w:val="en-US" w:eastAsia="zh-CN" w:bidi="ar"/>
        </w:rPr>
        <w:t>73.44</w:t>
      </w:r>
      <w:r>
        <w:rPr>
          <w:rFonts w:hint="eastAsia" w:ascii="宋体" w:hAnsi="宋体" w:eastAsia="宋体" w:cs="宋体"/>
          <w:snapToGrid/>
          <w:kern w:val="2"/>
          <w:sz w:val="27"/>
          <w:szCs w:val="27"/>
          <w:lang w:val="en-US" w:eastAsia="zh-CN" w:bidi="ar"/>
        </w:rPr>
        <w:t>万元，预算执行率为1</w:t>
      </w:r>
      <w:r>
        <w:rPr>
          <w:rFonts w:hint="eastAsia" w:ascii="宋体" w:hAnsi="宋体" w:eastAsia="宋体" w:cs="Times New Roman"/>
          <w:snapToGrid/>
          <w:kern w:val="2"/>
          <w:sz w:val="27"/>
          <w:szCs w:val="27"/>
          <w:lang w:val="en-US" w:eastAsia="zh-CN" w:bidi="ar"/>
        </w:rPr>
        <w:t>00</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（三）项目主要内容和实施情况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1</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项目内容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该项目分为线上及线下两部分运营服务内容。线上服务内容包括：各监控平台及设备终端提供</w:t>
      </w:r>
      <w:r>
        <w:rPr>
          <w:rFonts w:hint="eastAsia" w:ascii="宋体" w:hAnsi="宋体" w:eastAsia="宋体" w:cs="Times New Roman"/>
          <w:snapToGrid/>
          <w:kern w:val="2"/>
          <w:sz w:val="27"/>
          <w:szCs w:val="27"/>
          <w:lang w:val="en-US" w:eastAsia="zh-CN" w:bidi="ar"/>
        </w:rPr>
        <w:t>7×24小时在线隐患监测及电话隐患提醒服务</w:t>
      </w:r>
      <w:r>
        <w:rPr>
          <w:rFonts w:hint="eastAsia" w:ascii="宋体" w:hAnsi="宋体" w:eastAsia="宋体" w:cs="宋体"/>
          <w:snapToGrid/>
          <w:kern w:val="2"/>
          <w:sz w:val="27"/>
          <w:szCs w:val="27"/>
          <w:lang w:val="en-US" w:eastAsia="zh-CN" w:bidi="ar"/>
        </w:rPr>
        <w:t>；当被监控电气线路、消防水系统出现报警信息时，以隐患信息推送或电话提醒方式通知公司技术人员。线下服务内容包括：技术人员收到隐患提醒后，电话告知用户单位，并赴现场查勘；现场确定隐患类型并查找问题原因后进行隐患处理；无法现场处理的，制定隐患整改方案并督促用户单位进行整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该项目共为全区</w:t>
      </w:r>
      <w:r>
        <w:rPr>
          <w:rFonts w:hint="eastAsia" w:ascii="宋体" w:hAnsi="宋体" w:eastAsia="宋体" w:cs="Times New Roman"/>
          <w:snapToGrid/>
          <w:kern w:val="2"/>
          <w:sz w:val="27"/>
          <w:szCs w:val="27"/>
          <w:lang w:val="en-US" w:eastAsia="zh-CN" w:bidi="ar"/>
        </w:rPr>
        <w:t>206家医院、学校、养老机构等</w:t>
      </w:r>
      <w:r>
        <w:rPr>
          <w:rFonts w:hint="eastAsia" w:ascii="宋体" w:hAnsi="宋体" w:eastAsia="宋体" w:cs="宋体"/>
          <w:snapToGrid/>
          <w:kern w:val="2"/>
          <w:sz w:val="27"/>
          <w:szCs w:val="27"/>
          <w:lang w:val="en-US" w:eastAsia="zh-CN" w:bidi="ar"/>
        </w:rPr>
        <w:t>单位安装终端设备</w:t>
      </w:r>
      <w:r>
        <w:rPr>
          <w:rFonts w:hint="eastAsia" w:ascii="宋体" w:hAnsi="宋体" w:eastAsia="宋体" w:cs="Times New Roman"/>
          <w:snapToGrid/>
          <w:kern w:val="2"/>
          <w:sz w:val="27"/>
          <w:szCs w:val="27"/>
          <w:lang w:val="en-US" w:eastAsia="zh-CN" w:bidi="ar"/>
        </w:rPr>
        <w:t>2168套，其中智慧用电终端设备2018套、消防水终端设备150套。</w:t>
      </w:r>
      <w:r>
        <w:rPr>
          <w:rFonts w:hint="eastAsia" w:ascii="宋体" w:hAnsi="宋体" w:eastAsia="宋体" w:cs="宋体"/>
          <w:snapToGrid/>
          <w:kern w:val="2"/>
          <w:sz w:val="27"/>
          <w:szCs w:val="27"/>
          <w:lang w:val="en-US" w:eastAsia="zh-CN" w:bidi="ar"/>
        </w:rPr>
        <w:t>经统计，</w:t>
      </w:r>
      <w:r>
        <w:rPr>
          <w:rFonts w:hint="eastAsia" w:ascii="宋体" w:hAnsi="宋体" w:eastAsia="宋体" w:cs="Times New Roman"/>
          <w:snapToGrid/>
          <w:kern w:val="2"/>
          <w:sz w:val="27"/>
          <w:szCs w:val="27"/>
          <w:lang w:val="en-US" w:eastAsia="zh-CN" w:bidi="ar"/>
        </w:rPr>
        <w:t>2021年各终端共监测到隐患点4480个</w:t>
      </w:r>
      <w:r>
        <w:rPr>
          <w:rFonts w:hint="eastAsia" w:ascii="宋体" w:hAnsi="宋体" w:eastAsia="宋体" w:cs="宋体"/>
          <w:snapToGrid/>
          <w:kern w:val="2"/>
          <w:sz w:val="27"/>
          <w:szCs w:val="27"/>
          <w:lang w:val="en-US" w:eastAsia="zh-CN" w:bidi="ar"/>
        </w:rPr>
        <w:t>，淄博物联信息技术有限公司共提供</w:t>
      </w:r>
      <w:r>
        <w:rPr>
          <w:rFonts w:hint="eastAsia" w:ascii="宋体" w:hAnsi="宋体" w:eastAsia="宋体" w:cs="Times New Roman"/>
          <w:snapToGrid/>
          <w:kern w:val="2"/>
          <w:sz w:val="27"/>
          <w:szCs w:val="27"/>
          <w:lang w:val="en-US" w:eastAsia="zh-CN" w:bidi="ar"/>
        </w:rPr>
        <w:t>4480次隐患排查服务，</w:t>
      </w:r>
      <w:r>
        <w:rPr>
          <w:rFonts w:hint="eastAsia" w:ascii="宋体" w:hAnsi="宋体" w:eastAsia="宋体" w:cs="宋体"/>
          <w:snapToGrid/>
          <w:kern w:val="2"/>
          <w:sz w:val="27"/>
          <w:szCs w:val="27"/>
          <w:lang w:val="en-US" w:eastAsia="zh-CN" w:bidi="ar"/>
        </w:rPr>
        <w:t>提供</w:t>
      </w:r>
      <w:r>
        <w:rPr>
          <w:rFonts w:hint="eastAsia" w:ascii="宋体" w:hAnsi="宋体" w:eastAsia="宋体" w:cs="Times New Roman"/>
          <w:snapToGrid/>
          <w:kern w:val="2"/>
          <w:sz w:val="27"/>
          <w:szCs w:val="27"/>
          <w:lang w:val="en-US" w:eastAsia="zh-CN" w:bidi="ar"/>
        </w:rPr>
        <w:t>824次现场巡检、电气故障咨询等服务</w:t>
      </w:r>
      <w:r>
        <w:rPr>
          <w:rFonts w:hint="eastAsia" w:ascii="宋体" w:hAnsi="宋体" w:eastAsia="宋体" w:cs="宋体"/>
          <w:snapToGrid/>
          <w:kern w:val="2"/>
          <w:sz w:val="27"/>
          <w:szCs w:val="27"/>
          <w:lang w:val="en-US" w:eastAsia="zh-CN" w:bidi="ar"/>
        </w:rPr>
        <w:t>，督促并整改存在隐患单位</w:t>
      </w:r>
      <w:r>
        <w:rPr>
          <w:rFonts w:hint="eastAsia" w:ascii="宋体" w:hAnsi="宋体" w:eastAsia="宋体" w:cs="Times New Roman"/>
          <w:snapToGrid/>
          <w:kern w:val="2"/>
          <w:sz w:val="27"/>
          <w:szCs w:val="27"/>
          <w:lang w:val="en-US" w:eastAsia="zh-CN" w:bidi="ar"/>
        </w:rPr>
        <w:t>12家。</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二、项目绩效目标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（一）总体绩效目标。</w:t>
      </w:r>
      <w:r>
        <w:rPr>
          <w:rFonts w:hint="eastAsia" w:ascii="宋体" w:hAnsi="宋体" w:eastAsia="宋体" w:cs="宋体"/>
          <w:snapToGrid/>
          <w:kern w:val="2"/>
          <w:sz w:val="27"/>
          <w:szCs w:val="27"/>
          <w:lang w:val="en-US" w:eastAsia="zh-CN" w:bidi="ar"/>
        </w:rPr>
        <w:t>加快推动“智慧用电”系统建设，利用物联网、大数据、人工智能等技术和电气安全领域知识，通过数据挖掘分析，提前发现隐患，识别隐患类型，洞察隐患发生发展的规律，进而预测隐患发展趋势，并将相关风险因素和社会化服务体系进行联动，最终实现预测预警、隐患治理、社会化服务和政府信息收集四方联动的安全生产预防体系，提高生产隐患、安全事故“预测预警”和社会化服务的针对性，提升用电安全事故的预警防控能力，确保人民群众生命财产安全得到保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（二）阶段性绩效目标。</w:t>
      </w:r>
      <w:r>
        <w:rPr>
          <w:rFonts w:hint="eastAsia" w:ascii="宋体" w:hAnsi="宋体" w:eastAsia="宋体" w:cs="宋体"/>
          <w:snapToGrid/>
          <w:kern w:val="2"/>
          <w:sz w:val="27"/>
          <w:szCs w:val="27"/>
          <w:lang w:val="en-US" w:eastAsia="zh-CN" w:bidi="ar"/>
        </w:rPr>
        <w:t>通过项目实施，完成对医院、学校、幼儿园、养老机构、救助福利机构等单位智慧用电和消防水监控工作，形成服务于临淄区政府电气火灾隐患治理的本地化安全服务网，形成预测预警、隐患治理、社会化服务和政府信息收集四方联动的管理新机制。</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三、评价基本情况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（一）绩效评价目的、对象和范围</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楷体"/>
          <w:b/>
          <w:bCs/>
          <w:snapToGrid/>
          <w:kern w:val="2"/>
          <w:sz w:val="28"/>
          <w:szCs w:val="28"/>
          <w:lang w:val="en-US" w:eastAsia="zh-CN" w:bidi="ar"/>
        </w:rPr>
        <w:t>1</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评价目的。</w:t>
      </w:r>
      <w:r>
        <w:rPr>
          <w:rFonts w:hint="eastAsia" w:ascii="宋体" w:hAnsi="宋体" w:eastAsia="宋体" w:cs="宋体"/>
          <w:snapToGrid/>
          <w:kern w:val="2"/>
          <w:sz w:val="27"/>
          <w:szCs w:val="27"/>
          <w:lang w:val="en-US" w:eastAsia="zh-CN" w:bidi="ar"/>
        </w:rPr>
        <w:t>通过开展绩效评价，了解该项目是否按照有关制度办法实施，掌握该项目的组织实施情况和资金的管理使用情况，总结项目产出和效益等；总结项目实施的经验做法，查找资金使用与管理中的薄弱环节，发现项目实施过程中存在的问题，提出有针对性的改进意见和建议；督促项目单位切实采取措施改进、加强项目管理，进一步提高项目资金管理水平和预算资金使用效益。通过绩效评价，为促进完善财政政策、改进预算管理提供依据，为后续财政预算资金安排提供重要参考，提高财政资金配置效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评价对象及范围。</w:t>
      </w:r>
      <w:r>
        <w:rPr>
          <w:rFonts w:hint="eastAsia" w:ascii="宋体" w:hAnsi="宋体" w:eastAsia="宋体" w:cs="宋体"/>
          <w:snapToGrid/>
          <w:kern w:val="2"/>
          <w:sz w:val="27"/>
          <w:szCs w:val="27"/>
          <w:lang w:val="en-US" w:eastAsia="zh-CN" w:bidi="ar"/>
        </w:rPr>
        <w:t>本项目绩效评价对象为淄博市临淄区消防救援大队智慧用电和消防水监控安全监管体系经费项目。评价范围包括以下几方面内容：（</w:t>
      </w:r>
      <w:r>
        <w:rPr>
          <w:rFonts w:hint="eastAsia" w:ascii="宋体" w:hAnsi="宋体" w:eastAsia="宋体" w:cs="Times New Roman"/>
          <w:snapToGrid/>
          <w:kern w:val="2"/>
          <w:sz w:val="27"/>
          <w:szCs w:val="27"/>
          <w:lang w:val="en-US" w:eastAsia="zh-CN" w:bidi="ar"/>
        </w:rPr>
        <w:t>1）项目决策情况，包括项目立项依据充分性、程序规范性，绩效目标合理性、绩效指标明确性，预算编制科学性等；</w:t>
      </w: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2）项目过程情况，包括预算执行率、资金使用合规性，采购合规性、</w:t>
      </w:r>
      <w:r>
        <w:rPr>
          <w:rFonts w:hint="eastAsia" w:ascii="宋体" w:hAnsi="宋体" w:eastAsia="宋体" w:cs="宋体"/>
          <w:snapToGrid/>
          <w:kern w:val="2"/>
          <w:sz w:val="27"/>
          <w:szCs w:val="27"/>
          <w:lang w:val="en-US" w:eastAsia="zh-CN" w:bidi="ar"/>
        </w:rPr>
        <w:t>管理制度健全性、合同签订与执行等；（</w:t>
      </w:r>
      <w:r>
        <w:rPr>
          <w:rFonts w:hint="eastAsia" w:ascii="宋体" w:hAnsi="宋体" w:eastAsia="宋体" w:cs="Times New Roman"/>
          <w:snapToGrid/>
          <w:kern w:val="2"/>
          <w:sz w:val="27"/>
          <w:szCs w:val="27"/>
          <w:lang w:val="en-US" w:eastAsia="zh-CN" w:bidi="ar"/>
        </w:rPr>
        <w:t>3）项目产出情况，包括项目产出数量、产出质量、产出时效、产出成本等；</w:t>
      </w: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4）项目效益情况，包括项目实施所产生的直接或间接的效益、可持续影响</w:t>
      </w:r>
      <w:r>
        <w:rPr>
          <w:rFonts w:hint="eastAsia" w:ascii="宋体" w:hAnsi="宋体" w:eastAsia="宋体" w:cs="宋体"/>
          <w:snapToGrid/>
          <w:kern w:val="2"/>
          <w:sz w:val="27"/>
          <w:szCs w:val="27"/>
          <w:lang w:val="en-US" w:eastAsia="zh-CN" w:bidi="ar"/>
        </w:rPr>
        <w:t>、服务对象满意度等。</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（二）绩效评价原则、评价指标体系、评价方法及评价标准</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Times New Roman"/>
          <w:b/>
          <w:bCs/>
          <w:snapToGrid/>
          <w:kern w:val="2"/>
          <w:sz w:val="28"/>
          <w:szCs w:val="28"/>
          <w:lang w:val="en-US" w:eastAsia="zh-CN" w:bidi="ar"/>
        </w:rPr>
        <w:t>1.绩效评价原则</w:t>
      </w:r>
      <w:r>
        <w:rPr>
          <w:rFonts w:hint="eastAsia" w:ascii="楷体" w:hAnsi="楷体" w:eastAsia="楷体" w:cs="楷体"/>
          <w:b/>
          <w:bCs/>
          <w:snapToGrid/>
          <w:kern w:val="2"/>
          <w:sz w:val="28"/>
          <w:szCs w:val="28"/>
          <w:lang w:val="en-US" w:eastAsia="zh-CN" w:bidi="ar"/>
        </w:rPr>
        <w:t>。</w:t>
      </w:r>
      <w:r>
        <w:rPr>
          <w:rFonts w:hint="eastAsia" w:ascii="宋体" w:hAnsi="宋体" w:eastAsia="宋体" w:cs="宋体"/>
          <w:snapToGrid/>
          <w:kern w:val="2"/>
          <w:sz w:val="27"/>
          <w:szCs w:val="27"/>
          <w:lang w:val="en-US" w:eastAsia="zh-CN" w:bidi="ar"/>
        </w:rPr>
        <w:t>本项目绩效评价遵守科学规范、政策相符、绩效相关、依据充分、公正公开、独立评价六原则，保持绩效评价的客观性、独立性、公正性。</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评价指标体系。</w:t>
      </w:r>
      <w:r>
        <w:rPr>
          <w:rFonts w:hint="eastAsia" w:ascii="宋体" w:hAnsi="宋体" w:eastAsia="宋体" w:cs="宋体"/>
          <w:snapToGrid/>
          <w:kern w:val="2"/>
          <w:sz w:val="27"/>
          <w:szCs w:val="27"/>
          <w:lang w:val="en-US" w:eastAsia="zh-CN" w:bidi="ar"/>
        </w:rPr>
        <w:t>绩效评价指标的设置遵循定性、定量相结合的原则，参照行业、专业标准及采集的相关数据材料制定评价标准，对评价目标进行逐步分解，设置实用性、可操作性和可实现性较强的绩效指标，根据相关规定并结合项目特点赋予指标权重与指标分值。包括项目决策、项目过程、项目产出、项目效益等部分，总分为</w:t>
      </w:r>
      <w:r>
        <w:rPr>
          <w:rFonts w:hint="eastAsia" w:ascii="宋体" w:hAnsi="宋体" w:eastAsia="宋体" w:cs="Times New Roman"/>
          <w:snapToGrid/>
          <w:kern w:val="2"/>
          <w:sz w:val="27"/>
          <w:szCs w:val="27"/>
          <w:lang w:val="en-US" w:eastAsia="zh-CN" w:bidi="ar"/>
        </w:rPr>
        <w:t>100分，每部分分值分配</w:t>
      </w:r>
      <w:r>
        <w:rPr>
          <w:rFonts w:hint="eastAsia" w:ascii="宋体" w:hAnsi="宋体" w:eastAsia="宋体" w:cs="宋体"/>
          <w:snapToGrid/>
          <w:kern w:val="2"/>
          <w:sz w:val="27"/>
          <w:szCs w:val="27"/>
          <w:lang w:val="en-US" w:eastAsia="zh-CN" w:bidi="ar"/>
        </w:rPr>
        <w:t>为：项目决策</w:t>
      </w:r>
      <w:r>
        <w:rPr>
          <w:rFonts w:hint="eastAsia" w:ascii="宋体" w:hAnsi="宋体" w:eastAsia="宋体" w:cs="Times New Roman"/>
          <w:snapToGrid/>
          <w:kern w:val="2"/>
          <w:sz w:val="27"/>
          <w:szCs w:val="27"/>
          <w:lang w:val="en-US" w:eastAsia="zh-CN" w:bidi="ar"/>
        </w:rPr>
        <w:t>15分，项目过程25分，项目产出30分，项目效益30分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核心指标设置方面，将“隐患排查服务次数”“隐患整改情况”</w:t>
      </w:r>
      <w:r>
        <w:rPr>
          <w:rFonts w:hint="eastAsia" w:ascii="宋体" w:hAnsi="宋体" w:eastAsia="宋体" w:cs="Times New Roman"/>
          <w:snapToGrid/>
          <w:kern w:val="2"/>
          <w:sz w:val="27"/>
          <w:szCs w:val="27"/>
          <w:lang w:val="en-US" w:eastAsia="zh-CN" w:bidi="ar"/>
        </w:rPr>
        <w:t>2项指标设置为核心指标进行重点考核。</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否决性指标方面，设置</w:t>
      </w:r>
      <w:r>
        <w:rPr>
          <w:rFonts w:hint="eastAsia" w:ascii="宋体" w:hAnsi="宋体" w:eastAsia="宋体" w:cs="Times New Roman"/>
          <w:snapToGrid/>
          <w:kern w:val="2"/>
          <w:sz w:val="27"/>
          <w:szCs w:val="27"/>
          <w:lang w:val="en-US" w:eastAsia="zh-CN" w:bidi="ar"/>
        </w:rPr>
        <w:t>1项否决性指标，重点关注项目实施过程中的资金使用违法及严重不合规、提交资料真实合规性等情况，如出现相关情况，则本项目绩效评价等级直接为“差”</w:t>
      </w:r>
      <w:r>
        <w:rPr>
          <w:rFonts w:hint="eastAsia" w:ascii="宋体" w:hAnsi="宋体" w:eastAsia="宋体" w:cs="宋体"/>
          <w:snapToGrid/>
          <w:kern w:val="2"/>
          <w:sz w:val="27"/>
          <w:szCs w:val="27"/>
          <w:lang w:val="en-US" w:eastAsia="zh-CN" w:bidi="ar"/>
        </w:rPr>
        <w:t>。指标体系中，核心指标及否决性指标均加注“★”以区别与其它指标。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kern w:val="2"/>
          <w:sz w:val="27"/>
          <w:szCs w:val="27"/>
        </w:rPr>
      </w:pPr>
      <w:r>
        <w:rPr>
          <w:rFonts w:hint="eastAsia" w:ascii="楷体" w:hAnsi="楷体" w:eastAsia="楷体" w:cs="楷体"/>
          <w:b/>
          <w:bCs/>
          <w:snapToGrid/>
          <w:kern w:val="2"/>
          <w:sz w:val="28"/>
          <w:szCs w:val="28"/>
          <w:lang w:val="en-US" w:eastAsia="zh-CN" w:bidi="ar"/>
        </w:rPr>
        <w:t>3</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评价方法。</w:t>
      </w:r>
      <w:r>
        <w:rPr>
          <w:rFonts w:hint="eastAsia" w:ascii="宋体" w:hAnsi="宋体" w:eastAsia="宋体" w:cs="宋体"/>
          <w:snapToGrid/>
          <w:kern w:val="2"/>
          <w:sz w:val="27"/>
          <w:szCs w:val="27"/>
          <w:lang w:val="en-US" w:eastAsia="zh-CN" w:bidi="ar"/>
        </w:rPr>
        <w:t>通过研究分析本项目的实施情况，本项目评价采用比较法、案卷研究法、专家评判法、实地测评法、成本效益分析法、最低成本法相结合的方式进行。</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kern w:val="2"/>
          <w:sz w:val="27"/>
          <w:szCs w:val="27"/>
        </w:rPr>
      </w:pPr>
      <w:r>
        <w:rPr>
          <w:rFonts w:hint="eastAsia" w:ascii="楷体" w:hAnsi="楷体" w:eastAsia="楷体" w:cs="楷体"/>
          <w:b/>
          <w:bCs/>
          <w:snapToGrid/>
          <w:kern w:val="2"/>
          <w:sz w:val="28"/>
          <w:szCs w:val="28"/>
          <w:lang w:val="en-US" w:eastAsia="zh-CN" w:bidi="ar"/>
        </w:rPr>
        <w:t>4</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评价标准。</w:t>
      </w:r>
      <w:r>
        <w:rPr>
          <w:rFonts w:hint="eastAsia" w:ascii="宋体" w:hAnsi="宋体" w:eastAsia="宋体" w:cs="宋体"/>
          <w:snapToGrid/>
          <w:kern w:val="2"/>
          <w:sz w:val="27"/>
          <w:szCs w:val="27"/>
          <w:lang w:val="en-US" w:eastAsia="zh-CN" w:bidi="ar"/>
        </w:rPr>
        <w:t>绩效评价采用定性分析与定量考核相结合方法，对定性考核指标采用分析打分，对定量考核指标采用量化打分。评价结果以评分和评级相结合的方式予以体现。评价得分采用总分百分制，按照所确定的本项目指标体系指标标准及其权重与分值，逐项打分汇总得出，评价结果分为优（90（含）～100分）、良（</w:t>
      </w:r>
      <w:r>
        <w:rPr>
          <w:rFonts w:hint="eastAsia" w:ascii="宋体" w:hAnsi="等线" w:eastAsia="宋体" w:cs="Times New Roman"/>
          <w:snapToGrid/>
          <w:kern w:val="2"/>
          <w:sz w:val="27"/>
          <w:szCs w:val="27"/>
          <w:lang w:val="en-US" w:eastAsia="zh-CN" w:bidi="ar"/>
        </w:rPr>
        <w:t>8</w:t>
      </w:r>
      <w:r>
        <w:rPr>
          <w:rFonts w:hint="eastAsia" w:ascii="宋体" w:hAnsi="宋体" w:eastAsia="宋体" w:cs="宋体"/>
          <w:snapToGrid/>
          <w:kern w:val="2"/>
          <w:sz w:val="27"/>
          <w:szCs w:val="27"/>
          <w:lang w:val="en-US" w:eastAsia="zh-CN" w:bidi="ar"/>
        </w:rPr>
        <w:t>0（含）～</w:t>
      </w:r>
      <w:r>
        <w:rPr>
          <w:rFonts w:hint="eastAsia" w:ascii="宋体" w:hAnsi="等线" w:eastAsia="宋体" w:cs="Times New Roman"/>
          <w:snapToGrid/>
          <w:kern w:val="2"/>
          <w:sz w:val="27"/>
          <w:szCs w:val="27"/>
          <w:lang w:val="en-US" w:eastAsia="zh-CN" w:bidi="ar"/>
        </w:rPr>
        <w:t>9</w:t>
      </w:r>
      <w:r>
        <w:rPr>
          <w:rFonts w:hint="eastAsia" w:ascii="宋体" w:hAnsi="宋体" w:eastAsia="宋体" w:cs="宋体"/>
          <w:snapToGrid/>
          <w:kern w:val="2"/>
          <w:sz w:val="27"/>
          <w:szCs w:val="27"/>
          <w:lang w:val="en-US" w:eastAsia="zh-CN" w:bidi="ar"/>
        </w:rPr>
        <w:t>0分）、中（</w:t>
      </w:r>
      <w:r>
        <w:rPr>
          <w:rFonts w:hint="eastAsia" w:ascii="宋体" w:hAnsi="等线" w:eastAsia="宋体" w:cs="Times New Roman"/>
          <w:snapToGrid/>
          <w:kern w:val="2"/>
          <w:sz w:val="27"/>
          <w:szCs w:val="27"/>
          <w:lang w:val="en-US" w:eastAsia="zh-CN" w:bidi="ar"/>
        </w:rPr>
        <w:t>6</w:t>
      </w:r>
      <w:r>
        <w:rPr>
          <w:rFonts w:hint="eastAsia" w:ascii="宋体" w:hAnsi="宋体" w:eastAsia="宋体" w:cs="宋体"/>
          <w:snapToGrid/>
          <w:kern w:val="2"/>
          <w:sz w:val="27"/>
          <w:szCs w:val="27"/>
          <w:lang w:val="en-US" w:eastAsia="zh-CN" w:bidi="ar"/>
        </w:rPr>
        <w:t>0（含）～</w:t>
      </w:r>
      <w:r>
        <w:rPr>
          <w:rFonts w:hint="eastAsia" w:ascii="宋体" w:hAnsi="等线" w:eastAsia="宋体" w:cs="Times New Roman"/>
          <w:snapToGrid/>
          <w:kern w:val="2"/>
          <w:sz w:val="27"/>
          <w:szCs w:val="27"/>
          <w:lang w:val="en-US" w:eastAsia="zh-CN" w:bidi="ar"/>
        </w:rPr>
        <w:t>8</w:t>
      </w:r>
      <w:r>
        <w:rPr>
          <w:rFonts w:hint="eastAsia" w:ascii="宋体" w:hAnsi="宋体" w:eastAsia="宋体" w:cs="宋体"/>
          <w:snapToGrid/>
          <w:kern w:val="2"/>
          <w:sz w:val="27"/>
          <w:szCs w:val="27"/>
          <w:lang w:val="en-US" w:eastAsia="zh-CN" w:bidi="ar"/>
        </w:rPr>
        <w:t>0分）、差（＜60分）四个档次。</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b/>
          <w:bCs/>
          <w:kern w:val="2"/>
          <w:sz w:val="28"/>
          <w:szCs w:val="28"/>
        </w:rPr>
      </w:pPr>
      <w:r>
        <w:rPr>
          <w:rFonts w:hint="eastAsia" w:ascii="宋体" w:hAnsi="宋体" w:eastAsia="宋体" w:cs="宋体"/>
          <w:b/>
          <w:bCs/>
          <w:snapToGrid/>
          <w:kern w:val="2"/>
          <w:sz w:val="28"/>
          <w:szCs w:val="28"/>
          <w:lang w:val="en-US" w:eastAsia="zh-CN" w:bidi="ar"/>
        </w:rPr>
        <w:t>（三）绩效评价工作过程</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1</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项目工作机制</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等线" w:eastAsia="宋体" w:cs="Times New Roman"/>
          <w:snapToGrid/>
          <w:kern w:val="2"/>
          <w:sz w:val="27"/>
          <w:szCs w:val="27"/>
          <w:lang w:val="en-US" w:eastAsia="zh-CN" w:bidi="ar"/>
        </w:rPr>
        <w:t>1）评价工作组</w:t>
      </w:r>
      <w:r>
        <w:rPr>
          <w:rFonts w:hint="eastAsia" w:ascii="宋体" w:hAnsi="宋体" w:eastAsia="宋体" w:cs="宋体"/>
          <w:snapToGrid/>
          <w:kern w:val="2"/>
          <w:sz w:val="27"/>
          <w:szCs w:val="27"/>
          <w:lang w:val="en-US" w:eastAsia="zh-CN" w:bidi="ar"/>
        </w:rPr>
        <w:t>。成立项目评价工作组，由公司高管、骨干业务人员、特聘专家组成，负责项目评价全过程工作。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等线" w:eastAsia="宋体" w:cs="Times New Roman"/>
          <w:snapToGrid/>
          <w:kern w:val="2"/>
          <w:sz w:val="27"/>
          <w:szCs w:val="27"/>
          <w:lang w:val="en-US" w:eastAsia="zh-CN" w:bidi="ar"/>
        </w:rPr>
        <w:t>2）质量控制组</w:t>
      </w:r>
      <w:r>
        <w:rPr>
          <w:rFonts w:hint="eastAsia" w:ascii="宋体" w:hAnsi="宋体" w:eastAsia="宋体" w:cs="宋体"/>
          <w:snapToGrid/>
          <w:kern w:val="2"/>
          <w:sz w:val="27"/>
          <w:szCs w:val="27"/>
          <w:lang w:val="en-US" w:eastAsia="zh-CN" w:bidi="ar"/>
        </w:rPr>
        <w:t>。根据项目实际情况设置质控组，负责评价程序的规范性监管、采用数据资料的合规性审查、结论意见的定性依据审查等方面工作。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等线" w:eastAsia="宋体" w:cs="Times New Roman"/>
          <w:snapToGrid/>
          <w:kern w:val="2"/>
          <w:sz w:val="27"/>
          <w:szCs w:val="27"/>
          <w:lang w:val="en-US" w:eastAsia="zh-CN" w:bidi="ar"/>
        </w:rPr>
        <w:t>3）专业审核委员会</w:t>
      </w:r>
      <w:r>
        <w:rPr>
          <w:rFonts w:hint="eastAsia" w:ascii="宋体" w:hAnsi="宋体" w:eastAsia="宋体" w:cs="宋体"/>
          <w:snapToGrid/>
          <w:kern w:val="2"/>
          <w:sz w:val="27"/>
          <w:szCs w:val="27"/>
          <w:lang w:val="en-US" w:eastAsia="zh-CN" w:bidi="ar"/>
        </w:rPr>
        <w:t>。公司常设专业审核委员会，专门负责对外提供咨询服务成果的专业审核，公司所有业务成果均须经专业审核委员会审核通过后方可对外提供、报送。</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工作程序</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（1）评价准备阶段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1）成立绩效评价工作组。根据本项目实际情况，公司选调精干、专业人员组成本项目绩效评价工作组。工作组设工作组组长</w:t>
      </w:r>
      <w:r>
        <w:rPr>
          <w:rFonts w:hint="eastAsia" w:ascii="宋体" w:hAnsi="等线" w:eastAsia="宋体" w:cs="Times New Roman"/>
          <w:snapToGrid/>
          <w:kern w:val="2"/>
          <w:sz w:val="27"/>
          <w:szCs w:val="27"/>
          <w:lang w:val="en-US" w:eastAsia="zh-CN" w:bidi="ar"/>
        </w:rPr>
        <w:t>1名及工作组成员若干名，工作组</w:t>
      </w:r>
      <w:r>
        <w:rPr>
          <w:rFonts w:hint="eastAsia" w:ascii="宋体" w:hAnsi="宋体" w:eastAsia="宋体" w:cs="宋体"/>
          <w:snapToGrid/>
          <w:kern w:val="2"/>
          <w:sz w:val="27"/>
          <w:szCs w:val="27"/>
          <w:lang w:val="en-US" w:eastAsia="zh-CN" w:bidi="ar"/>
        </w:rPr>
        <w:t>全部成员均具备一定的专业知识和丰富的绩效评价工作经验。同时聘请相关领域的专家加入评价工作组。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2）拟定评价实施方案。根据委托方工作要求和项目特点，对项目评价重点及评价要求进行全面梳理及细化，在调研、了解评价项目相关单位基本情况的基础上，按照有关规定拟定评价工作的具体评价方案，主要内容有：项目认识、评价对象、评价目的、评价内容、评价依据、评价指标体系、评价标准、评价方法、组织实施程序、评价质量控制措施、工作组人员配置、工作时间安排、准备评价资料及有关工作要求等内容。方案设计后，由专家评议、公司审委会论证审核后进一步修正、完善，报经委托方审查批准后组织实施。</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color w:val="000000"/>
          <w:kern w:val="1"/>
          <w:sz w:val="27"/>
          <w:szCs w:val="27"/>
        </w:rPr>
      </w:pPr>
      <w:r>
        <w:rPr>
          <w:rFonts w:hint="eastAsia" w:ascii="宋体" w:hAnsi="宋体" w:eastAsia="宋体" w:cs="宋体"/>
          <w:snapToGrid/>
          <w:kern w:val="2"/>
          <w:sz w:val="27"/>
          <w:szCs w:val="27"/>
          <w:lang w:val="en-US" w:eastAsia="zh-CN" w:bidi="ar"/>
        </w:rPr>
        <w:t>3）制定绩效评价指标体系。评价工作组基于各级党委政府最新的一系列政策、法规、制度，根据不同行业领域的项目特点，参照本地经济社会发展以及财政供给水平，结合不同部门、不同地域的客观因素，科学、合理地设置本项目绩效评价指标体系。具体包括：①评价指标体系初构；②评价指标体系检验；③工作组专家评议；④专业审核委员会审核；⑤报委托方审核；⑥经委托方批准后使用。</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（2）评价实施阶段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1）评价工作组正式进驻现场。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①收集资料。评价工作组联系被评价单位，由其提供相关基础资料；评价工作组对所提供数据资料进行整理、核实、审验，确定可采纳资料目录；</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②实地测评。评价工作组通过实地勘察和测评，获取评价第一手资料，在此基础上，结合从其他渠道获取的资料，进行交互验证，筛选出可采纳数据资料；</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③沟通落实。评价工作组到项目现场采取勘查、问询、复核等多种方式，与被评价单位进行沟通交流，对信息不明确的数据资料进行确认，对拟采纳使用的数据资料进行落实。</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2）分类整理、统计汇总、综合分析。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评价工作组进行案卷研究，通过分类整理、统计汇总、综合分析，按照设立的评价指标、标准、方法实施评价，并形成评价结论。</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①工作组对采集的数据资料进行分类整理、复核汇总，同时根据实际情况要求有关单位补充更新资料；</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②统计、分析相关数据资料，依据指标体系分类，进行逐项分析和综合分析；</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③在充分分析的基础上，按照设立的评价指标、标准、方法进行打分；</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④得出初步评价结论。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（3）评价总结阶段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1）撰写绩效评价报告初稿。按照财政部门绩效评价报告规范要求撰写评价报告，除须符合第三方报告质量要求外，报告内容应体现第三方评价的公正性、客观性、独立性；</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2）送被评价项目相关单位就报告反映内容的真实性、完整性征询意见（其中不含我方的绩效分析、反映的问题和提出的意见建议）；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3）工作组专家评议，根据专家意见进行修改；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4）公司专业审核委员会进行审议，根据审议意见进行修改；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5）报送委托方，根据委托方意见作最终修改、定稿；</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6）将正式绩效评价报告报送委托方。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正式绩效评价报告定稿后，统一使用A4纸打印，按规定格式装订，并在规定时间内提交，同时附评价有关资料，包括项目相关资料、工作底稿等。并根据档案管理的有关要求，完善评价工作档案并及时归档，以备存查。</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四、评价结论和指标分析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b/>
          <w:bCs/>
          <w:kern w:val="2"/>
          <w:sz w:val="28"/>
          <w:szCs w:val="28"/>
        </w:rPr>
      </w:pPr>
      <w:r>
        <w:rPr>
          <w:rFonts w:hint="eastAsia" w:ascii="宋体" w:hAnsi="宋体" w:eastAsia="宋体" w:cs="宋体"/>
          <w:b/>
          <w:bCs/>
          <w:snapToGrid/>
          <w:kern w:val="2"/>
          <w:sz w:val="28"/>
          <w:szCs w:val="28"/>
          <w:lang w:val="en-US" w:eastAsia="zh-CN" w:bidi="ar"/>
        </w:rPr>
        <w:t>（一）综合评价结论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我们通过对该项目的决策、过程、产出及效益等方面进行综合绩效评价，确定决策部分满分</w:t>
      </w:r>
      <w:r>
        <w:rPr>
          <w:rFonts w:hint="eastAsia" w:ascii="宋体" w:hAnsi="等线" w:eastAsia="宋体" w:cs="Times New Roman"/>
          <w:snapToGrid/>
          <w:kern w:val="2"/>
          <w:sz w:val="27"/>
          <w:szCs w:val="27"/>
          <w:lang w:val="en-US" w:eastAsia="zh-CN" w:bidi="ar"/>
        </w:rPr>
        <w:t>15</w:t>
      </w:r>
      <w:r>
        <w:rPr>
          <w:rFonts w:hint="eastAsia" w:ascii="宋体" w:hAnsi="宋体" w:eastAsia="宋体" w:cs="宋体"/>
          <w:snapToGrid/>
          <w:kern w:val="2"/>
          <w:sz w:val="27"/>
          <w:szCs w:val="27"/>
          <w:lang w:val="en-US" w:eastAsia="zh-CN" w:bidi="ar"/>
        </w:rPr>
        <w:t>分，得10.5分；过程部分满分</w:t>
      </w:r>
      <w:r>
        <w:rPr>
          <w:rFonts w:hint="eastAsia" w:ascii="宋体" w:hAnsi="等线" w:eastAsia="宋体" w:cs="Times New Roman"/>
          <w:snapToGrid/>
          <w:kern w:val="2"/>
          <w:sz w:val="27"/>
          <w:szCs w:val="27"/>
          <w:lang w:val="en-US" w:eastAsia="zh-CN" w:bidi="ar"/>
        </w:rPr>
        <w:t>25分</w:t>
      </w:r>
      <w:r>
        <w:rPr>
          <w:rFonts w:hint="eastAsia" w:ascii="宋体" w:hAnsi="宋体" w:eastAsia="宋体" w:cs="宋体"/>
          <w:snapToGrid/>
          <w:kern w:val="2"/>
          <w:sz w:val="27"/>
          <w:szCs w:val="27"/>
          <w:lang w:val="en-US" w:eastAsia="zh-CN" w:bidi="ar"/>
        </w:rPr>
        <w:t>，得</w:t>
      </w:r>
      <w:r>
        <w:rPr>
          <w:rFonts w:hint="eastAsia" w:ascii="宋体" w:hAnsi="等线" w:eastAsia="宋体" w:cs="Times New Roman"/>
          <w:snapToGrid/>
          <w:kern w:val="2"/>
          <w:sz w:val="27"/>
          <w:szCs w:val="27"/>
          <w:lang w:val="en-US" w:eastAsia="zh-CN" w:bidi="ar"/>
        </w:rPr>
        <w:t>21分；</w:t>
      </w:r>
      <w:r>
        <w:rPr>
          <w:rFonts w:hint="eastAsia" w:ascii="宋体" w:hAnsi="宋体" w:eastAsia="宋体" w:cs="宋体"/>
          <w:snapToGrid/>
          <w:kern w:val="2"/>
          <w:sz w:val="27"/>
          <w:szCs w:val="27"/>
          <w:lang w:val="en-US" w:eastAsia="zh-CN" w:bidi="ar"/>
        </w:rPr>
        <w:t>产出部分满分</w:t>
      </w:r>
      <w:r>
        <w:rPr>
          <w:rFonts w:hint="eastAsia" w:ascii="宋体" w:hAnsi="等线" w:eastAsia="宋体" w:cs="Times New Roman"/>
          <w:snapToGrid/>
          <w:kern w:val="2"/>
          <w:sz w:val="27"/>
          <w:szCs w:val="27"/>
          <w:lang w:val="en-US" w:eastAsia="zh-CN" w:bidi="ar"/>
        </w:rPr>
        <w:t>30分，得24分；</w:t>
      </w:r>
      <w:r>
        <w:rPr>
          <w:rFonts w:hint="eastAsia" w:ascii="宋体" w:hAnsi="宋体" w:eastAsia="宋体" w:cs="宋体"/>
          <w:snapToGrid/>
          <w:kern w:val="2"/>
          <w:sz w:val="27"/>
          <w:szCs w:val="27"/>
          <w:lang w:val="en-US" w:eastAsia="zh-CN" w:bidi="ar"/>
        </w:rPr>
        <w:t>效益部分满分</w:t>
      </w:r>
      <w:r>
        <w:rPr>
          <w:rFonts w:hint="eastAsia" w:ascii="宋体" w:hAnsi="等线" w:eastAsia="宋体" w:cs="Times New Roman"/>
          <w:snapToGrid/>
          <w:kern w:val="2"/>
          <w:sz w:val="27"/>
          <w:szCs w:val="27"/>
          <w:lang w:val="en-US" w:eastAsia="zh-CN" w:bidi="ar"/>
        </w:rPr>
        <w:t>30分，得26分。</w:t>
      </w:r>
      <w:r>
        <w:rPr>
          <w:rFonts w:hint="eastAsia" w:ascii="宋体" w:hAnsi="宋体" w:eastAsia="宋体" w:cs="宋体"/>
          <w:snapToGrid/>
          <w:color w:val="000000"/>
          <w:kern w:val="2"/>
          <w:sz w:val="27"/>
          <w:szCs w:val="27"/>
          <w:lang w:val="en-US" w:eastAsia="zh-CN" w:bidi="ar"/>
        </w:rPr>
        <w:t>根据绩效评价指标体系及评分规则，</w:t>
      </w:r>
      <w:r>
        <w:rPr>
          <w:rFonts w:hint="eastAsia" w:ascii="宋体" w:hAnsi="宋体" w:eastAsia="宋体" w:cs="宋体"/>
          <w:snapToGrid/>
          <w:kern w:val="2"/>
          <w:sz w:val="27"/>
          <w:szCs w:val="27"/>
          <w:lang w:val="en-US" w:eastAsia="zh-CN" w:bidi="ar"/>
        </w:rPr>
        <w:t>确定淄博市临淄区消防救援大队智慧用电和消防水监控安全监管体系经费项目绩效评价得分为</w:t>
      </w:r>
      <w:r>
        <w:rPr>
          <w:rFonts w:hint="eastAsia" w:ascii="宋体" w:hAnsi="等线" w:eastAsia="宋体" w:cs="Times New Roman"/>
          <w:snapToGrid/>
          <w:kern w:val="2"/>
          <w:sz w:val="27"/>
          <w:szCs w:val="27"/>
          <w:lang w:val="en-US" w:eastAsia="zh-CN" w:bidi="ar"/>
        </w:rPr>
        <w:t>81.5</w:t>
      </w:r>
      <w:r>
        <w:rPr>
          <w:rFonts w:hint="eastAsia" w:ascii="宋体" w:hAnsi="宋体" w:eastAsia="宋体" w:cs="宋体"/>
          <w:snapToGrid/>
          <w:kern w:val="2"/>
          <w:sz w:val="27"/>
          <w:szCs w:val="27"/>
          <w:lang w:val="en-US" w:eastAsia="zh-CN" w:bidi="ar"/>
        </w:rPr>
        <w:t>分，绩效评价等级为“良”。</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b/>
          <w:bCs/>
          <w:kern w:val="2"/>
          <w:sz w:val="28"/>
          <w:szCs w:val="28"/>
        </w:rPr>
      </w:pPr>
      <w:r>
        <w:rPr>
          <w:rFonts w:hint="eastAsia" w:ascii="宋体" w:hAnsi="宋体" w:eastAsia="宋体" w:cs="宋体"/>
          <w:b/>
          <w:bCs/>
          <w:snapToGrid/>
          <w:kern w:val="2"/>
          <w:sz w:val="28"/>
          <w:szCs w:val="28"/>
          <w:lang w:val="en-US" w:eastAsia="zh-CN" w:bidi="ar"/>
        </w:rPr>
        <w:t>（二）绩效分析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决策方面。项目立项上，该项目立项依据充分，符合相关政策要求。立项程序上，该项目立项程序规范，立项材料规范。绩效目标设置上，该项目虽按要求设置了绩效目标，但在编制上较不规范，绩效目标及指标合理性、准确性不足。资金投入上，该项目预算编制不科学、不合理。项目决策满分</w:t>
      </w:r>
      <w:r>
        <w:rPr>
          <w:rFonts w:hint="eastAsia" w:ascii="宋体" w:hAnsi="等线" w:eastAsia="宋体" w:cs="Times New Roman"/>
          <w:snapToGrid/>
          <w:kern w:val="2"/>
          <w:sz w:val="27"/>
          <w:szCs w:val="27"/>
          <w:lang w:val="en-US" w:eastAsia="zh-CN" w:bidi="ar"/>
        </w:rPr>
        <w:t>15分，因绩效目标编制不规范</w:t>
      </w:r>
      <w:r>
        <w:rPr>
          <w:rFonts w:hint="eastAsia" w:ascii="宋体" w:hAnsi="宋体" w:eastAsia="宋体" w:cs="宋体"/>
          <w:snapToGrid/>
          <w:kern w:val="2"/>
          <w:sz w:val="27"/>
          <w:szCs w:val="27"/>
          <w:lang w:val="en-US" w:eastAsia="zh-CN" w:bidi="ar"/>
        </w:rPr>
        <w:t>、预算编制不合理等原因，扣</w:t>
      </w:r>
      <w:r>
        <w:rPr>
          <w:rFonts w:hint="eastAsia" w:ascii="宋体" w:hAnsi="等线" w:eastAsia="宋体" w:cs="Times New Roman"/>
          <w:snapToGrid/>
          <w:kern w:val="2"/>
          <w:sz w:val="27"/>
          <w:szCs w:val="27"/>
          <w:lang w:val="en-US" w:eastAsia="zh-CN" w:bidi="ar"/>
        </w:rPr>
        <w:t>4.5分，此项得10.5分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项目过程方面。资金管理上，该项目预算执行率为</w:t>
      </w:r>
      <w:r>
        <w:rPr>
          <w:rFonts w:hint="eastAsia" w:ascii="宋体" w:hAnsi="等线" w:eastAsia="宋体" w:cs="Times New Roman"/>
          <w:snapToGrid/>
          <w:kern w:val="2"/>
          <w:sz w:val="27"/>
          <w:szCs w:val="27"/>
          <w:lang w:val="en-US" w:eastAsia="zh-CN" w:bidi="ar"/>
        </w:rPr>
        <w:t>100%，预算执行率高，资金使用规范，符合项目合同约定内容、国家法规、财务管理制度及专项资金办法规定。采购程序上，该项目招投标程序规范，符合</w:t>
      </w:r>
      <w:bookmarkStart w:id="0" w:name="_GoBack"/>
      <w:r>
        <w:rPr>
          <w:rFonts w:hint="eastAsia" w:ascii="宋体" w:hAnsi="等线" w:eastAsia="宋体" w:cs="Times New Roman"/>
          <w:snapToGrid/>
          <w:color w:val="auto"/>
          <w:kern w:val="2"/>
          <w:sz w:val="27"/>
          <w:szCs w:val="27"/>
          <w:lang w:val="en-US" w:eastAsia="zh-CN" w:bidi="ar"/>
        </w:rPr>
        <w:t>《中华人民共和国招标投标法》</w:t>
      </w:r>
      <w:bookmarkEnd w:id="0"/>
      <w:r>
        <w:rPr>
          <w:rFonts w:hint="eastAsia" w:ascii="宋体" w:hAnsi="等线" w:eastAsia="宋体" w:cs="Times New Roman"/>
          <w:snapToGrid/>
          <w:kern w:val="2"/>
          <w:sz w:val="27"/>
          <w:szCs w:val="27"/>
          <w:lang w:val="en-US" w:eastAsia="zh-CN" w:bidi="ar"/>
        </w:rPr>
        <w:t>的相关规定。管理制度上，该项目管理制度不健全，无监督考核机制，对服务方监管工作不到位。合同签订与执行上，项目执行规范，但部分合同签订内容较不规范。</w:t>
      </w:r>
      <w:r>
        <w:rPr>
          <w:rFonts w:hint="eastAsia" w:ascii="宋体" w:hAnsi="宋体" w:eastAsia="宋体" w:cs="宋体"/>
          <w:snapToGrid/>
          <w:kern w:val="2"/>
          <w:sz w:val="27"/>
          <w:szCs w:val="27"/>
          <w:lang w:val="en-US" w:eastAsia="zh-CN" w:bidi="ar"/>
        </w:rPr>
        <w:t>项目过程满分</w:t>
      </w:r>
      <w:r>
        <w:rPr>
          <w:rFonts w:hint="eastAsia" w:ascii="宋体" w:hAnsi="等线" w:eastAsia="宋体" w:cs="Times New Roman"/>
          <w:snapToGrid/>
          <w:kern w:val="2"/>
          <w:sz w:val="27"/>
          <w:szCs w:val="27"/>
          <w:lang w:val="en-US" w:eastAsia="zh-CN" w:bidi="ar"/>
        </w:rPr>
        <w:t>25分，因管理制度不</w:t>
      </w:r>
      <w:r>
        <w:rPr>
          <w:rFonts w:hint="eastAsia" w:ascii="宋体" w:hAnsi="宋体" w:eastAsia="宋体" w:cs="宋体"/>
          <w:snapToGrid/>
          <w:kern w:val="2"/>
          <w:sz w:val="27"/>
          <w:szCs w:val="27"/>
          <w:lang w:val="en-US" w:eastAsia="zh-CN" w:bidi="ar"/>
        </w:rPr>
        <w:t>健全、合同签订不规范等原因，扣</w:t>
      </w:r>
      <w:r>
        <w:rPr>
          <w:rFonts w:hint="eastAsia" w:ascii="宋体" w:hAnsi="等线" w:eastAsia="宋体" w:cs="Times New Roman"/>
          <w:snapToGrid/>
          <w:kern w:val="2"/>
          <w:sz w:val="27"/>
          <w:szCs w:val="27"/>
          <w:lang w:val="en-US" w:eastAsia="zh-CN" w:bidi="ar"/>
        </w:rPr>
        <w:t>4分，此项得21分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项目产出方面。产出数量上，该项目共给全区</w:t>
      </w:r>
      <w:r>
        <w:rPr>
          <w:rFonts w:hint="eastAsia" w:ascii="宋体" w:hAnsi="等线" w:eastAsia="宋体" w:cs="Times New Roman"/>
          <w:snapToGrid/>
          <w:kern w:val="2"/>
          <w:sz w:val="27"/>
          <w:szCs w:val="27"/>
          <w:lang w:val="en-US" w:eastAsia="zh-CN" w:bidi="ar"/>
        </w:rPr>
        <w:t>206家医院、学校、养老机构等安装终端设备2168套，其中智慧用电终端设备2018套、消防水终端设备150套；经统计，2021年各终端共监测到隐患点4480个，共提供4480次隐患排查服务， 824次现场巡检、电气故障咨询等服务，督促并整改存在隐患单位12家。产出质量上，总体来看，存在隐患的用户单位整改情况良好，仅个别单位存在整改不到位现象；使用期间并未出现设备故障情况，设备故障率为0.00</w:t>
      </w:r>
      <w:r>
        <w:rPr>
          <w:rFonts w:hint="eastAsia" w:ascii="宋体" w:hAnsi="宋体" w:eastAsia="宋体" w:cs="宋体"/>
          <w:snapToGrid/>
          <w:kern w:val="2"/>
          <w:sz w:val="27"/>
          <w:szCs w:val="27"/>
          <w:lang w:val="en-US" w:eastAsia="zh-CN" w:bidi="ar"/>
        </w:rPr>
        <w:t>%。产出时效上，该项目监测时段覆盖率为</w:t>
      </w:r>
      <w:r>
        <w:rPr>
          <w:rFonts w:hint="eastAsia" w:ascii="宋体" w:hAnsi="等线" w:eastAsia="宋体" w:cs="Times New Roman"/>
          <w:snapToGrid/>
          <w:kern w:val="2"/>
          <w:sz w:val="27"/>
          <w:szCs w:val="27"/>
          <w:lang w:val="en-US" w:eastAsia="zh-CN" w:bidi="ar"/>
        </w:rPr>
        <w:t>100%，服务响应及时，符合要求。产出成本上，</w:t>
      </w:r>
      <w:r>
        <w:rPr>
          <w:rFonts w:hint="eastAsia" w:ascii="宋体" w:hAnsi="宋体" w:eastAsia="宋体" w:cs="宋体"/>
          <w:snapToGrid/>
          <w:kern w:val="2"/>
          <w:sz w:val="27"/>
          <w:szCs w:val="27"/>
          <w:lang w:val="en-US" w:eastAsia="zh-CN" w:bidi="ar"/>
        </w:rPr>
        <w:t>该项目成本节约率为</w:t>
      </w:r>
      <w:r>
        <w:rPr>
          <w:rFonts w:hint="eastAsia" w:ascii="宋体" w:hAnsi="等线" w:eastAsia="宋体" w:cs="Times New Roman"/>
          <w:snapToGrid/>
          <w:kern w:val="2"/>
          <w:sz w:val="27"/>
          <w:szCs w:val="27"/>
          <w:lang w:val="en-US" w:eastAsia="zh-CN" w:bidi="ar"/>
        </w:rPr>
        <w:t>0.06%，成本控制情况较差。</w:t>
      </w:r>
      <w:r>
        <w:rPr>
          <w:rFonts w:hint="eastAsia" w:ascii="宋体" w:hAnsi="宋体" w:eastAsia="宋体" w:cs="宋体"/>
          <w:snapToGrid/>
          <w:kern w:val="2"/>
          <w:sz w:val="27"/>
          <w:szCs w:val="27"/>
          <w:lang w:val="en-US" w:eastAsia="zh-CN" w:bidi="ar"/>
        </w:rPr>
        <w:t>项目产出满分</w:t>
      </w:r>
      <w:r>
        <w:rPr>
          <w:rFonts w:hint="eastAsia" w:ascii="宋体" w:hAnsi="等线" w:eastAsia="宋体" w:cs="Times New Roman"/>
          <w:snapToGrid/>
          <w:kern w:val="2"/>
          <w:sz w:val="27"/>
          <w:szCs w:val="27"/>
          <w:lang w:val="en-US" w:eastAsia="zh-CN" w:bidi="ar"/>
        </w:rPr>
        <w:t>30分，因成本控制较差等原因，扣6分，此项得24分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效益方面。该项目通过对导线温度、电流和剩余电流进行不间断的数据跟踪与统计分析，实时发现电气线路和用电设备存在的安全隐患，向管理人员发送预警信息，指导单位开展隐患治理，将大数据分析应用到安全生产监管，使用电安全从被动监管到主动管理，建立了基于真实传感数据的安全管理评估体系，实现了基于真实传感数据的用电安全监管体系，建立了基于物联网技术的用电安全社会化服务模式。该项目产生较好的社会效益与积极的可持续影响。该项目服务对象满意度为</w:t>
      </w:r>
      <w:r>
        <w:rPr>
          <w:rFonts w:hint="eastAsia" w:ascii="宋体" w:hAnsi="等线" w:eastAsia="宋体" w:cs="Times New Roman"/>
          <w:snapToGrid/>
          <w:kern w:val="2"/>
          <w:sz w:val="27"/>
          <w:szCs w:val="27"/>
          <w:lang w:val="en-US" w:eastAsia="zh-CN" w:bidi="ar"/>
        </w:rPr>
        <w:t>93.04%，满意度高。</w:t>
      </w:r>
      <w:r>
        <w:rPr>
          <w:rFonts w:hint="eastAsia" w:ascii="宋体" w:hAnsi="宋体" w:eastAsia="宋体" w:cs="宋体"/>
          <w:snapToGrid/>
          <w:kern w:val="2"/>
          <w:sz w:val="27"/>
          <w:szCs w:val="27"/>
          <w:lang w:val="en-US" w:eastAsia="zh-CN" w:bidi="ar"/>
        </w:rPr>
        <w:t>项目效益满分</w:t>
      </w:r>
      <w:r>
        <w:rPr>
          <w:rFonts w:hint="eastAsia" w:ascii="宋体" w:hAnsi="等线" w:eastAsia="宋体" w:cs="Times New Roman"/>
          <w:snapToGrid/>
          <w:kern w:val="2"/>
          <w:sz w:val="27"/>
          <w:szCs w:val="27"/>
          <w:lang w:val="en-US" w:eastAsia="zh-CN" w:bidi="ar"/>
        </w:rPr>
        <w:t>30分，</w:t>
      </w:r>
      <w:r>
        <w:rPr>
          <w:rFonts w:hint="eastAsia" w:ascii="宋体" w:hAnsi="宋体" w:eastAsia="宋体" w:cs="宋体"/>
          <w:snapToGrid/>
          <w:kern w:val="2"/>
          <w:sz w:val="27"/>
          <w:szCs w:val="27"/>
          <w:lang w:val="en-US" w:eastAsia="zh-CN" w:bidi="ar"/>
        </w:rPr>
        <w:t>因对临淄区火灾及电气火灾预防无明显效益等原因，扣4分，此项得</w:t>
      </w:r>
      <w:r>
        <w:rPr>
          <w:rFonts w:hint="eastAsia" w:ascii="宋体" w:hAnsi="等线" w:eastAsia="宋体" w:cs="Times New Roman"/>
          <w:snapToGrid/>
          <w:kern w:val="2"/>
          <w:sz w:val="27"/>
          <w:szCs w:val="27"/>
          <w:lang w:val="en-US" w:eastAsia="zh-CN" w:bidi="ar"/>
        </w:rPr>
        <w:t>26分。</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五、存在问题及原因分析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Cs/>
          <w:kern w:val="2"/>
          <w:sz w:val="27"/>
          <w:szCs w:val="27"/>
        </w:rPr>
      </w:pPr>
      <w:r>
        <w:rPr>
          <w:rFonts w:hint="eastAsia" w:ascii="宋体" w:hAnsi="宋体" w:eastAsia="宋体" w:cs="宋体"/>
          <w:b/>
          <w:bCs w:val="0"/>
          <w:snapToGrid/>
          <w:kern w:val="2"/>
          <w:sz w:val="27"/>
          <w:szCs w:val="27"/>
          <w:lang w:val="en-US" w:eastAsia="zh-CN" w:bidi="ar"/>
        </w:rPr>
        <w:t>（一）服务费测算不合理。</w:t>
      </w:r>
      <w:r>
        <w:rPr>
          <w:rFonts w:hint="eastAsia" w:ascii="宋体" w:hAnsi="宋体" w:eastAsia="宋体" w:cs="宋体"/>
          <w:bCs/>
          <w:snapToGrid/>
          <w:kern w:val="2"/>
          <w:sz w:val="27"/>
          <w:szCs w:val="27"/>
          <w:lang w:val="en-US" w:eastAsia="zh-CN" w:bidi="ar"/>
        </w:rPr>
        <w:t>一是服务内容与计价方式不合理。该项目服务费按照安装终端设备数量计价，即每套设备的运营服务费为</w:t>
      </w:r>
      <w:r>
        <w:rPr>
          <w:rFonts w:hint="eastAsia" w:ascii="宋体" w:hAnsi="宋体" w:eastAsia="宋体" w:cs="Times New Roman"/>
          <w:bCs/>
          <w:snapToGrid/>
          <w:kern w:val="2"/>
          <w:sz w:val="27"/>
          <w:szCs w:val="27"/>
          <w:lang w:val="en-US" w:eastAsia="zh-CN" w:bidi="ar"/>
        </w:rPr>
        <w:t>800元/年，全年运营服务费按照“800元/年/套×终端设备数量”进行测算。但部分运营服务内容如建设监管运营中心、提供手机APP系统等，无法以“终端设备数量×单价”的方式衡量商品价格，将其列入运营服务内容中并以该方式计价不合理。</w:t>
      </w:r>
      <w:r>
        <w:rPr>
          <w:rFonts w:hint="eastAsia" w:ascii="宋体" w:hAnsi="宋体" w:eastAsia="宋体" w:cs="宋体"/>
          <w:bCs/>
          <w:snapToGrid/>
          <w:kern w:val="2"/>
          <w:sz w:val="27"/>
          <w:szCs w:val="27"/>
          <w:lang w:val="en-US" w:eastAsia="zh-CN" w:bidi="ar"/>
        </w:rPr>
        <w:t>二是无资金测算依据、标准。该项目在编制预算时，仅列明服务内容和服务价格，对于价格确定的依据、标准等未予列明。以上问题的产生源于项目单位没有从项目情况入手，根据项目特点，充分考虑项目实际并进行市场调研，致使项目费用测算不合理。</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Cs/>
          <w:kern w:val="2"/>
          <w:sz w:val="27"/>
          <w:szCs w:val="27"/>
        </w:rPr>
      </w:pPr>
      <w:r>
        <w:rPr>
          <w:rFonts w:hint="eastAsia" w:ascii="宋体" w:hAnsi="宋体" w:eastAsia="宋体" w:cs="宋体"/>
          <w:b/>
          <w:bCs w:val="0"/>
          <w:snapToGrid/>
          <w:kern w:val="2"/>
          <w:sz w:val="27"/>
          <w:szCs w:val="27"/>
          <w:lang w:val="en-US" w:eastAsia="zh-CN" w:bidi="ar"/>
        </w:rPr>
        <w:t>（二）制度建设不健全。</w:t>
      </w:r>
      <w:r>
        <w:rPr>
          <w:rFonts w:hint="eastAsia" w:ascii="宋体" w:hAnsi="宋体" w:eastAsia="宋体" w:cs="宋体"/>
          <w:bCs/>
          <w:snapToGrid/>
          <w:kern w:val="2"/>
          <w:sz w:val="27"/>
          <w:szCs w:val="27"/>
          <w:lang w:val="en-US" w:eastAsia="zh-CN" w:bidi="ar"/>
        </w:rPr>
        <w:t>由于项目主管部门对第三方服务机构的制度约束意识薄弱，故项目实施后，并未对第三方服务机构采取有效监管措施。经调查了解，淄博物联向区消防大队定期提交电气火灾隐患月度监测报告、半年总结报告及年度总结报告，汇报隐患监测及处理情况。区消防大队作为项目主管部门，虽配备监督管理团队，但没有对第三方机构的服务响应时效、服务工作质量等方面制定有效的监督管理或考核办法，对服务方监管工作不到位，对项目实施效果产生一定的不利因素。</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Cs/>
          <w:kern w:val="2"/>
          <w:sz w:val="27"/>
          <w:szCs w:val="27"/>
        </w:rPr>
      </w:pPr>
      <w:r>
        <w:rPr>
          <w:rFonts w:hint="eastAsia" w:ascii="宋体" w:hAnsi="宋体" w:eastAsia="宋体" w:cs="宋体"/>
          <w:b/>
          <w:bCs w:val="0"/>
          <w:snapToGrid/>
          <w:kern w:val="2"/>
          <w:sz w:val="27"/>
          <w:szCs w:val="27"/>
          <w:lang w:val="en-US" w:eastAsia="zh-CN" w:bidi="ar"/>
        </w:rPr>
        <w:t>（三）无后续运营服务费的付款条例。</w:t>
      </w:r>
      <w:r>
        <w:rPr>
          <w:rFonts w:hint="eastAsia" w:ascii="宋体" w:hAnsi="宋体" w:eastAsia="宋体" w:cs="宋体"/>
          <w:bCs/>
          <w:snapToGrid/>
          <w:kern w:val="2"/>
          <w:sz w:val="27"/>
          <w:szCs w:val="27"/>
          <w:lang w:val="en-US" w:eastAsia="zh-CN" w:bidi="ar"/>
        </w:rPr>
        <w:t>该项目签订合同时，对于运营服务方面无明确服务期限，故于</w:t>
      </w:r>
      <w:r>
        <w:rPr>
          <w:rFonts w:hint="eastAsia" w:ascii="宋体" w:hAnsi="宋体" w:eastAsia="宋体" w:cs="Times New Roman"/>
          <w:bCs/>
          <w:snapToGrid/>
          <w:kern w:val="2"/>
          <w:sz w:val="27"/>
          <w:szCs w:val="27"/>
          <w:lang w:val="en-US" w:eastAsia="zh-CN" w:bidi="ar"/>
        </w:rPr>
        <w:t>2019年3月签订补充协议，明确本项目的运营服务期限为2019年3月7日至2024年3月7日。但对于服务费的付款方式、付款比例、付款时间等内容无相关约定。究其原因，区消防大队在在合同管理方面存在一定欠缺，对规范合同内容制定、加强合同履约管理的意识薄弱。</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bCs/>
          <w:kern w:val="2"/>
          <w:sz w:val="27"/>
          <w:szCs w:val="27"/>
        </w:rPr>
      </w:pPr>
      <w:r>
        <w:rPr>
          <w:rFonts w:hint="eastAsia" w:ascii="宋体" w:hAnsi="宋体" w:eastAsia="宋体" w:cs="宋体"/>
          <w:b/>
          <w:bCs w:val="0"/>
          <w:snapToGrid/>
          <w:kern w:val="2"/>
          <w:sz w:val="27"/>
          <w:szCs w:val="27"/>
          <w:lang w:val="en-US" w:eastAsia="zh-CN" w:bidi="ar"/>
        </w:rPr>
        <w:t>（四）绩效目标编制不规范。</w:t>
      </w:r>
      <w:r>
        <w:rPr>
          <w:rFonts w:hint="eastAsia" w:ascii="宋体" w:hAnsi="宋体" w:eastAsia="宋体" w:cs="宋体"/>
          <w:bCs/>
          <w:snapToGrid/>
          <w:kern w:val="2"/>
          <w:sz w:val="27"/>
          <w:szCs w:val="27"/>
          <w:lang w:val="en-US" w:eastAsia="zh-CN" w:bidi="ar"/>
        </w:rPr>
        <w:t>一是绩效目标方面，</w:t>
      </w:r>
      <w:r>
        <w:rPr>
          <w:rFonts w:hint="eastAsia" w:ascii="宋体" w:hAnsi="宋体" w:eastAsia="宋体" w:cs="Times New Roman"/>
          <w:bCs/>
          <w:snapToGrid/>
          <w:kern w:val="2"/>
          <w:sz w:val="27"/>
          <w:szCs w:val="27"/>
          <w:lang w:val="en-US" w:eastAsia="zh-CN" w:bidi="ar"/>
        </w:rPr>
        <w:t>2021年年度目标仅能体现项目实施后的产出数量、成本等情况，无法体现出其他产出内容，如项目所产生的的效益情况。</w:t>
      </w:r>
      <w:r>
        <w:rPr>
          <w:rFonts w:hint="eastAsia" w:ascii="宋体" w:hAnsi="宋体" w:eastAsia="宋体" w:cs="宋体"/>
          <w:bCs/>
          <w:snapToGrid/>
          <w:kern w:val="2"/>
          <w:sz w:val="27"/>
          <w:szCs w:val="27"/>
          <w:lang w:val="en-US" w:eastAsia="zh-CN" w:bidi="ar"/>
        </w:rPr>
        <w:t>二是绩效指标方面，部分指标值编制准确性不足。如社会效益下的四级指标内容为“提高临淄区医院、学校电气设备使用监测能力”，为定性描述，而指标值“</w:t>
      </w:r>
      <w:r>
        <w:rPr>
          <w:rFonts w:hint="eastAsia" w:ascii="宋体" w:hAnsi="宋体" w:eastAsia="宋体" w:cs="Times New Roman"/>
          <w:bCs/>
          <w:snapToGrid/>
          <w:kern w:val="2"/>
          <w:sz w:val="27"/>
          <w:szCs w:val="27"/>
          <w:lang w:val="en-US" w:eastAsia="zh-CN" w:bidi="ar"/>
        </w:rPr>
        <w:t>100%”为定量描述，指标内容与指标值不匹配；再如“学校、医院满意度”指标值为“100%”，指标值设置过高，脱离实际。</w:t>
      </w:r>
      <w:r>
        <w:rPr>
          <w:rFonts w:hint="eastAsia" w:ascii="宋体" w:hAnsi="宋体" w:eastAsia="宋体" w:cs="宋体"/>
          <w:bCs/>
          <w:snapToGrid/>
          <w:kern w:val="2"/>
          <w:sz w:val="27"/>
          <w:szCs w:val="27"/>
          <w:lang w:val="en-US" w:eastAsia="zh-CN" w:bidi="ar"/>
        </w:rPr>
        <w:t>究其原因，项目单位在编制绩效目标表时，未能充分掌握项目整体情况，无法确定项目重点工作的开展应集中在哪些方面，致使绩效目标、指标的设置不合理。</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六、有关建议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7"/>
          <w:sz w:val="27"/>
          <w:szCs w:val="27"/>
        </w:rPr>
      </w:pPr>
      <w:r>
        <w:rPr>
          <w:rFonts w:hint="eastAsia" w:ascii="宋体" w:hAnsi="宋体" w:eastAsia="宋体" w:cs="宋体"/>
          <w:b/>
          <w:bCs/>
          <w:snapToGrid/>
          <w:kern w:val="27"/>
          <w:sz w:val="27"/>
          <w:szCs w:val="27"/>
          <w:lang w:val="en-US" w:eastAsia="zh-CN" w:bidi="ar"/>
        </w:rPr>
        <w:t>（一）合理测算运营服务费，并采取成本控制措施。</w:t>
      </w:r>
      <w:r>
        <w:rPr>
          <w:rFonts w:hint="eastAsia" w:ascii="宋体" w:hAnsi="宋体" w:eastAsia="宋体" w:cs="宋体"/>
          <w:snapToGrid/>
          <w:kern w:val="27"/>
          <w:sz w:val="27"/>
          <w:szCs w:val="27"/>
          <w:lang w:val="en-US" w:eastAsia="zh-CN" w:bidi="ar"/>
        </w:rPr>
        <w:t>一是建议根据投入的人力成本、物力成本、服务响应时限、服务响应质量等方面重新核定服务费用，对于不合理但纳入服务范围的内容，予以剔除，如建设监管服务中心等。二是列明资金测算标准和依据，确定的项目投资额或资金量需与实际工作任务相匹配。三是采取成本控制措施，如结合绩效运行监控情况，强化成本约束管控，对偏离成本绩效目标的行为及时予以预警纠偏，提高资金使用效率；再如将服务费用与监管或考核结果进行挂钩。</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7"/>
          <w:sz w:val="27"/>
          <w:szCs w:val="27"/>
        </w:rPr>
      </w:pPr>
      <w:r>
        <w:rPr>
          <w:rFonts w:hint="eastAsia" w:ascii="宋体" w:hAnsi="宋体" w:eastAsia="宋体" w:cs="宋体"/>
          <w:b/>
          <w:bCs/>
          <w:snapToGrid/>
          <w:kern w:val="27"/>
          <w:sz w:val="27"/>
          <w:szCs w:val="27"/>
          <w:lang w:val="en-US" w:eastAsia="zh-CN" w:bidi="ar"/>
        </w:rPr>
        <w:t>（二）建立监督与考核机制。</w:t>
      </w:r>
      <w:r>
        <w:rPr>
          <w:rFonts w:hint="eastAsia" w:ascii="宋体" w:hAnsi="宋体" w:eastAsia="宋体" w:cs="宋体"/>
          <w:snapToGrid/>
          <w:kern w:val="27"/>
          <w:sz w:val="27"/>
          <w:szCs w:val="27"/>
          <w:lang w:val="en-US" w:eastAsia="zh-CN" w:bidi="ar"/>
        </w:rPr>
        <w:t>建议项目主管部门根据本项目的实际情况，从人员配备、服务响应时效、服务工作质量等方面制定相应的监督管理或考核办法，对服务方的服务行为和服务结果进行监督管理和考核评定，服务不达标的提出整改意见并监督落实。通过对服务机构开展监督管理工作，可有效的提高其工作效率和工作水平，确保其服务能力和服务质量，保障项目的实施效果。</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7"/>
          <w:sz w:val="27"/>
          <w:szCs w:val="27"/>
        </w:rPr>
      </w:pPr>
      <w:r>
        <w:rPr>
          <w:rFonts w:hint="eastAsia" w:ascii="宋体" w:hAnsi="宋体" w:eastAsia="宋体" w:cs="宋体"/>
          <w:b/>
          <w:bCs/>
          <w:snapToGrid/>
          <w:kern w:val="27"/>
          <w:sz w:val="27"/>
          <w:szCs w:val="27"/>
          <w:lang w:val="en-US" w:eastAsia="zh-CN" w:bidi="ar"/>
        </w:rPr>
        <w:t>（三）提高合同制定的严谨性。</w:t>
      </w:r>
      <w:r>
        <w:rPr>
          <w:rFonts w:hint="eastAsia" w:ascii="宋体" w:hAnsi="宋体" w:eastAsia="宋体" w:cs="宋体"/>
          <w:snapToGrid/>
          <w:kern w:val="27"/>
          <w:sz w:val="27"/>
          <w:szCs w:val="27"/>
          <w:lang w:val="en-US" w:eastAsia="zh-CN" w:bidi="ar"/>
        </w:rPr>
        <w:t>建议从以下几方面明确合同内容，对于欠缺或不明确条款，进行协议补充：一是对于智慧用电、消防水系统两大部分的线上、线下运营服务内容分类别逐条列明具体的约定条款；二是补充付款方式条款，明确服务费的付款方式、付款比例、付款时间等，建议增加“根据考核结果据实结算”的相关规定，进一步为运行服务质量提供保障；三是严格对合同内容进行审核，按要求分类审查、分别把关，做到合同内容严谨，约定条款细致明确。</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7"/>
          <w:sz w:val="27"/>
          <w:szCs w:val="27"/>
        </w:rPr>
      </w:pPr>
      <w:r>
        <w:rPr>
          <w:rFonts w:hint="eastAsia" w:ascii="宋体" w:hAnsi="宋体" w:eastAsia="宋体" w:cs="宋体"/>
          <w:b/>
          <w:bCs/>
          <w:snapToGrid/>
          <w:kern w:val="27"/>
          <w:sz w:val="27"/>
          <w:szCs w:val="27"/>
          <w:lang w:val="en-US" w:eastAsia="zh-CN" w:bidi="ar"/>
        </w:rPr>
        <w:t>（四）强化绩效目标、绩效指标设置的规范性、合理性。</w:t>
      </w:r>
      <w:r>
        <w:rPr>
          <w:rFonts w:hint="eastAsia" w:ascii="宋体" w:hAnsi="宋体" w:eastAsia="宋体" w:cs="宋体"/>
          <w:snapToGrid/>
          <w:kern w:val="27"/>
          <w:sz w:val="27"/>
          <w:szCs w:val="27"/>
          <w:lang w:val="en-US" w:eastAsia="zh-CN" w:bidi="ar"/>
        </w:rPr>
        <w:t>建议项目主管部门在编制项目绩效目标时，一是对项目的功能进行梳理，包括资金性质、预期投入、支出范围、实施内容、工作任务、受益对象等，明确该项目支出的功能特性；二是依据功能特性，预计项目实施在一定时期内所要达到的总体产出和效果，从而确定该项目所要实现的总体绩效目标，并以定量和定性指标相结合的方式进行表述；三是依据项目实际情况，对绩效目标进行细化分解，并通过定量分析与定性分析相结合的方式，从产出、效益等方面设定具体的绩效指标，对目标的实现程度给予较清晰、可衡量的指标体现；四是收集相关基准数据，如过去三年的平均值，以前某年度的数值、类似项目的先进水平、行业标准等，并依据项目预期实施进展，结合预计投资的资金规模，确定绩效指标及具体数值。</w:t>
      </w:r>
    </w:p>
    <w:p>
      <w:pPr>
        <w:keepNext w:val="0"/>
        <w:keepLines w:val="0"/>
        <w:widowControl w:val="0"/>
        <w:suppressLineNumbers w:val="0"/>
        <w:overflowPunct w:val="0"/>
        <w:adjustRightInd w:val="0"/>
        <w:snapToGrid w:val="0"/>
        <w:spacing w:before="0" w:beforeLines="5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宋体" w:eastAsia="方正小标宋简体" w:cs="Times New Roman"/>
          <w:snapToGrid/>
          <w:kern w:val="2"/>
          <w:sz w:val="44"/>
          <w:szCs w:val="44"/>
          <w:lang w:val="en-US" w:eastAsia="zh-CN" w:bidi="ar"/>
        </w:rPr>
        <w:t xml:space="preserve"> </w:t>
      </w:r>
    </w:p>
    <w:p>
      <w:pPr>
        <w:keepNext w:val="0"/>
        <w:keepLines w:val="0"/>
        <w:widowControl w:val="0"/>
        <w:suppressLineNumbers w:val="0"/>
        <w:overflowPunct w:val="0"/>
        <w:adjustRightInd w:val="0"/>
        <w:snapToGrid w:val="0"/>
        <w:spacing w:before="0" w:beforeLines="5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宋体" w:eastAsia="方正小标宋简体" w:cs="Times New Roman"/>
          <w:snapToGrid/>
          <w:kern w:val="2"/>
          <w:sz w:val="44"/>
          <w:szCs w:val="44"/>
          <w:lang w:val="en-US" w:eastAsia="zh-CN" w:bidi="ar"/>
        </w:rPr>
        <w:t xml:space="preserve"> </w:t>
      </w:r>
    </w:p>
    <w:p>
      <w:pPr>
        <w:keepNext w:val="0"/>
        <w:keepLines w:val="0"/>
        <w:widowControl w:val="0"/>
        <w:suppressLineNumbers w:val="0"/>
        <w:overflowPunct w:val="0"/>
        <w:adjustRightInd w:val="0"/>
        <w:snapToGrid w:val="0"/>
        <w:spacing w:before="0" w:beforeLines="50" w:beforeAutospacing="0" w:after="0" w:afterAutospacing="0" w:line="360" w:lineRule="auto"/>
        <w:ind w:left="0" w:right="0" w:firstLine="0" w:firstLineChars="0"/>
        <w:jc w:val="center"/>
        <w:rPr>
          <w:rFonts w:hint="eastAsia" w:ascii="方正小标宋简体" w:hAnsi="宋体" w:eastAsia="方正小标宋简体" w:cs="Times New Roman"/>
          <w:kern w:val="2"/>
          <w:sz w:val="44"/>
          <w:szCs w:val="44"/>
        </w:rPr>
      </w:pPr>
      <w:r>
        <w:rPr>
          <w:rFonts w:hint="eastAsia" w:ascii="方正小标宋简体" w:hAnsi="宋体" w:eastAsia="方正小标宋简体" w:cs="Times New Roman"/>
          <w:snapToGrid/>
          <w:kern w:val="2"/>
          <w:sz w:val="44"/>
          <w:szCs w:val="44"/>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方正小标宋简体" w:eastAsia="方正小标宋简体" w:cs="方正小标宋简体"/>
          <w:snapToGrid/>
          <w:kern w:val="2"/>
          <w:sz w:val="44"/>
          <w:szCs w:val="44"/>
          <w:lang w:val="en-US" w:eastAsia="zh-CN" w:bidi="ar"/>
        </w:rPr>
      </w:pPr>
      <w:r>
        <w:rPr>
          <w:rFonts w:hint="eastAsia" w:ascii="方正小标宋简体" w:hAnsi="方正小标宋简体" w:eastAsia="方正小标宋简体" w:cs="方正小标宋简体"/>
          <w:snapToGrid/>
          <w:kern w:val="2"/>
          <w:sz w:val="44"/>
          <w:szCs w:val="44"/>
          <w:lang w:val="en-US" w:eastAsia="zh-CN" w:bidi="ar"/>
        </w:rPr>
        <w:t>临淄区农村房地一体不动产确权登记项目</w:t>
      </w: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方正小标宋简体" w:hAnsi="方正小标宋简体" w:eastAsia="方正小标宋简体" w:cs="方正小标宋简体"/>
          <w:snapToGrid/>
          <w:kern w:val="2"/>
          <w:sz w:val="44"/>
          <w:szCs w:val="44"/>
          <w:lang w:val="en-US" w:eastAsia="zh-CN" w:bidi="ar"/>
        </w:rPr>
      </w:pPr>
      <w:r>
        <w:rPr>
          <w:rFonts w:hint="eastAsia" w:ascii="方正小标宋简体" w:hAnsi="方正小标宋简体" w:eastAsia="方正小标宋简体" w:cs="方正小标宋简体"/>
          <w:snapToGrid/>
          <w:kern w:val="2"/>
          <w:sz w:val="44"/>
          <w:szCs w:val="44"/>
          <w:lang w:val="en-US" w:eastAsia="zh-CN" w:bidi="ar"/>
        </w:rPr>
        <w:t>绩效评价报告</w:t>
      </w:r>
    </w:p>
    <w:p>
      <w:pPr>
        <w:keepNext w:val="0"/>
        <w:keepLines w:val="0"/>
        <w:widowControl w:val="0"/>
        <w:suppressLineNumbers w:val="0"/>
        <w:overflowPunct w:val="0"/>
        <w:adjustRightInd w:val="0"/>
        <w:snapToGrid w:val="0"/>
        <w:spacing w:before="0" w:beforeAutospacing="0" w:after="0" w:afterAutospacing="0" w:line="360" w:lineRule="auto"/>
        <w:ind w:left="0" w:right="0" w:firstLine="0" w:firstLineChars="0"/>
        <w:jc w:val="center"/>
        <w:rPr>
          <w:rFonts w:hint="eastAsia" w:ascii="宋体" w:hAnsi="宋体" w:eastAsia="宋体" w:cs="宋体"/>
          <w:snapToGrid/>
          <w:kern w:val="2"/>
          <w:sz w:val="30"/>
          <w:szCs w:val="30"/>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color w:val="000000"/>
          <w:kern w:val="2"/>
          <w:sz w:val="27"/>
          <w:szCs w:val="27"/>
        </w:rPr>
      </w:pPr>
      <w:r>
        <w:rPr>
          <w:rFonts w:hint="eastAsia" w:ascii="宋体" w:hAnsi="宋体" w:eastAsia="宋体" w:cs="宋体"/>
          <w:snapToGrid/>
          <w:color w:val="000000"/>
          <w:kern w:val="2"/>
          <w:sz w:val="27"/>
          <w:szCs w:val="27"/>
          <w:lang w:val="en-US" w:eastAsia="zh-CN" w:bidi="ar"/>
        </w:rPr>
        <w:t>为进一步规范和加强项目预算资金管理，提高项目预算资金使用效益和管理水平，强化财政支出绩效管理，科学、公正地评价预算资金使用绩效，根据《项目支出绩效评价管理办法》（财预〔</w:t>
      </w:r>
      <w:r>
        <w:rPr>
          <w:rFonts w:hint="eastAsia" w:ascii="宋体" w:hAnsi="宋体" w:eastAsia="宋体" w:cs="Times New Roman"/>
          <w:snapToGrid/>
          <w:color w:val="000000"/>
          <w:kern w:val="2"/>
          <w:sz w:val="27"/>
          <w:szCs w:val="27"/>
          <w:lang w:val="en-US" w:eastAsia="zh-CN" w:bidi="ar"/>
        </w:rPr>
        <w:t>2020〕10号）、《临淄区区级部门单位预算绩效管理办法》（临政办字〔2020〕33号）、《临淄区区级预算绩效管理委托第三方机构管理办法（试行）》（临财〔2021〕75号）</w:t>
      </w:r>
      <w:r>
        <w:rPr>
          <w:rFonts w:hint="eastAsia" w:ascii="宋体" w:hAnsi="宋体" w:eastAsia="宋体" w:cs="宋体"/>
          <w:snapToGrid/>
          <w:color w:val="000000"/>
          <w:kern w:val="2"/>
          <w:sz w:val="27"/>
          <w:szCs w:val="27"/>
          <w:lang w:val="en-US" w:eastAsia="zh-CN" w:bidi="ar"/>
        </w:rPr>
        <w:t>，山东皓诚投资咨询有限公司受临淄区财政局委托对临淄区农村房地一体不动产确权登记项目进行绩效评价。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一、项目基本情况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（一）项目立项背景及实施目的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为贯彻落实党中央、国务院乡村振兴战略，全面深化农村土地制度改革总体要求和省委、省政府工作部署，按时完成农村不动产确权登记发证工作任务，切实保障农民合法权益，根据自然资源部</w:t>
      </w:r>
      <w:r>
        <w:rPr>
          <w:rFonts w:hint="eastAsia" w:ascii="宋体" w:hAnsi="宋体" w:eastAsia="宋体" w:cs="宋体"/>
          <w:bCs/>
          <w:snapToGrid/>
          <w:kern w:val="2"/>
          <w:sz w:val="27"/>
          <w:szCs w:val="27"/>
          <w:lang w:val="en-US" w:eastAsia="zh-CN" w:bidi="ar"/>
        </w:rPr>
        <w:t>确权登记局</w:t>
      </w:r>
      <w:r>
        <w:rPr>
          <w:rFonts w:hint="eastAsia" w:ascii="宋体" w:hAnsi="宋体" w:eastAsia="宋体" w:cs="宋体"/>
          <w:snapToGrid/>
          <w:kern w:val="2"/>
          <w:sz w:val="27"/>
          <w:szCs w:val="27"/>
          <w:lang w:val="en-US" w:eastAsia="zh-CN" w:bidi="ar"/>
        </w:rPr>
        <w:t>《关于进一步做好农村不动产确权登记工作的通知》（自然资登记函〔2019〕6号）、省国土资源厅等3部门《关于做好农村房地一体不动产登记工作的通知》（鲁国土资字〔2018〕191号）、市国土资源局等4部门《关于做好农村房地一体不动产登记工作的通知》（淄国土资字〔2018〕203号）等文件要求，2</w:t>
      </w:r>
      <w:r>
        <w:rPr>
          <w:rFonts w:hint="eastAsia" w:ascii="宋体" w:hAnsi="宋体" w:eastAsia="宋体" w:cs="Times New Roman"/>
          <w:snapToGrid/>
          <w:kern w:val="2"/>
          <w:sz w:val="27"/>
          <w:szCs w:val="27"/>
          <w:lang w:val="en-US" w:eastAsia="zh-CN" w:bidi="ar"/>
        </w:rPr>
        <w:t>020</w:t>
      </w:r>
      <w:r>
        <w:rPr>
          <w:rFonts w:hint="eastAsia" w:ascii="宋体" w:hAnsi="宋体" w:eastAsia="宋体" w:cs="宋体"/>
          <w:snapToGrid/>
          <w:kern w:val="2"/>
          <w:sz w:val="27"/>
          <w:szCs w:val="27"/>
          <w:lang w:val="en-US" w:eastAsia="zh-CN" w:bidi="ar"/>
        </w:rPr>
        <w:t>年</w:t>
      </w:r>
      <w:r>
        <w:rPr>
          <w:rFonts w:hint="eastAsia" w:ascii="宋体" w:hAnsi="宋体" w:eastAsia="宋体" w:cs="Times New Roman"/>
          <w:snapToGrid/>
          <w:kern w:val="2"/>
          <w:sz w:val="27"/>
          <w:szCs w:val="27"/>
          <w:lang w:val="en-US" w:eastAsia="zh-CN" w:bidi="ar"/>
        </w:rPr>
        <w:t>1</w:t>
      </w:r>
      <w:r>
        <w:rPr>
          <w:rFonts w:hint="eastAsia" w:ascii="宋体" w:hAnsi="宋体" w:eastAsia="宋体" w:cs="宋体"/>
          <w:snapToGrid/>
          <w:kern w:val="2"/>
          <w:sz w:val="27"/>
          <w:szCs w:val="27"/>
          <w:lang w:val="en-US" w:eastAsia="zh-CN" w:bidi="ar"/>
        </w:rPr>
        <w:t>月区政府部署农村房地一体不动产确权登记工作。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（二）项目预算安排和支出情况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该项目总预算安排为2</w:t>
      </w:r>
      <w:r>
        <w:rPr>
          <w:rFonts w:hint="eastAsia" w:ascii="宋体" w:hAnsi="宋体" w:eastAsia="宋体" w:cs="Times New Roman"/>
          <w:snapToGrid/>
          <w:kern w:val="2"/>
          <w:sz w:val="27"/>
          <w:szCs w:val="27"/>
          <w:lang w:val="en-US" w:eastAsia="zh-CN" w:bidi="ar"/>
        </w:rPr>
        <w:t>914万元，</w:t>
      </w:r>
      <w:r>
        <w:rPr>
          <w:rFonts w:hint="eastAsia" w:ascii="宋体" w:hAnsi="宋体" w:eastAsia="宋体" w:cs="宋体"/>
          <w:snapToGrid/>
          <w:kern w:val="2"/>
          <w:sz w:val="27"/>
          <w:szCs w:val="27"/>
          <w:lang w:val="en-US" w:eastAsia="zh-CN" w:bidi="ar"/>
        </w:rPr>
        <w:t>主要用于支付3家作业单位和1家监理单位的合同费用。截至2</w:t>
      </w:r>
      <w:r>
        <w:rPr>
          <w:rFonts w:hint="eastAsia" w:ascii="宋体" w:hAnsi="宋体" w:eastAsia="宋体" w:cs="Times New Roman"/>
          <w:snapToGrid/>
          <w:kern w:val="2"/>
          <w:sz w:val="27"/>
          <w:szCs w:val="27"/>
          <w:lang w:val="en-US" w:eastAsia="zh-CN" w:bidi="ar"/>
        </w:rPr>
        <w:t>021</w:t>
      </w:r>
      <w:r>
        <w:rPr>
          <w:rFonts w:hint="eastAsia" w:ascii="宋体" w:hAnsi="宋体" w:eastAsia="宋体" w:cs="宋体"/>
          <w:snapToGrid/>
          <w:kern w:val="2"/>
          <w:sz w:val="27"/>
          <w:szCs w:val="27"/>
          <w:lang w:val="en-US" w:eastAsia="zh-CN" w:bidi="ar"/>
        </w:rPr>
        <w:t>年底实际拨付资金2</w:t>
      </w:r>
      <w:r>
        <w:rPr>
          <w:rFonts w:hint="eastAsia" w:ascii="宋体" w:hAnsi="宋体" w:eastAsia="宋体" w:cs="Times New Roman"/>
          <w:snapToGrid/>
          <w:kern w:val="2"/>
          <w:sz w:val="27"/>
          <w:szCs w:val="27"/>
          <w:lang w:val="en-US" w:eastAsia="zh-CN" w:bidi="ar"/>
        </w:rPr>
        <w:t>91.4</w:t>
      </w:r>
      <w:r>
        <w:rPr>
          <w:rFonts w:hint="eastAsia" w:ascii="宋体" w:hAnsi="宋体" w:eastAsia="宋体" w:cs="宋体"/>
          <w:snapToGrid/>
          <w:kern w:val="2"/>
          <w:sz w:val="27"/>
          <w:szCs w:val="27"/>
          <w:lang w:val="en-US" w:eastAsia="zh-CN" w:bidi="ar"/>
        </w:rPr>
        <w:t>万元，实际支付共计2</w:t>
      </w:r>
      <w:r>
        <w:rPr>
          <w:rFonts w:hint="eastAsia" w:ascii="宋体" w:hAnsi="宋体" w:eastAsia="宋体" w:cs="Times New Roman"/>
          <w:snapToGrid/>
          <w:kern w:val="2"/>
          <w:sz w:val="27"/>
          <w:szCs w:val="27"/>
          <w:lang w:val="en-US" w:eastAsia="zh-CN" w:bidi="ar"/>
        </w:rPr>
        <w:t>91.4</w:t>
      </w:r>
      <w:r>
        <w:rPr>
          <w:rFonts w:hint="eastAsia" w:ascii="宋体" w:hAnsi="宋体" w:eastAsia="宋体" w:cs="宋体"/>
          <w:snapToGrid/>
          <w:kern w:val="2"/>
          <w:sz w:val="27"/>
          <w:szCs w:val="27"/>
          <w:lang w:val="en-US" w:eastAsia="zh-CN" w:bidi="ar"/>
        </w:rPr>
        <w:t>万元，其中山东明嘉勘察测绘有限公司1</w:t>
      </w:r>
      <w:r>
        <w:rPr>
          <w:rFonts w:hint="eastAsia" w:ascii="宋体" w:hAnsi="宋体" w:eastAsia="宋体" w:cs="Times New Roman"/>
          <w:snapToGrid/>
          <w:kern w:val="2"/>
          <w:sz w:val="27"/>
          <w:szCs w:val="27"/>
          <w:lang w:val="en-US" w:eastAsia="zh-CN" w:bidi="ar"/>
        </w:rPr>
        <w:t>19.8</w:t>
      </w:r>
      <w:r>
        <w:rPr>
          <w:rFonts w:hint="eastAsia" w:ascii="宋体" w:hAnsi="宋体" w:eastAsia="宋体" w:cs="宋体"/>
          <w:snapToGrid/>
          <w:kern w:val="2"/>
          <w:sz w:val="27"/>
          <w:szCs w:val="27"/>
          <w:lang w:val="en-US" w:eastAsia="zh-CN" w:bidi="ar"/>
        </w:rPr>
        <w:t>万元，山东省地质测绘院1</w:t>
      </w:r>
      <w:r>
        <w:rPr>
          <w:rFonts w:hint="eastAsia" w:ascii="宋体" w:hAnsi="宋体" w:eastAsia="宋体" w:cs="Times New Roman"/>
          <w:snapToGrid/>
          <w:kern w:val="2"/>
          <w:sz w:val="27"/>
          <w:szCs w:val="27"/>
          <w:lang w:val="en-US" w:eastAsia="zh-CN" w:bidi="ar"/>
        </w:rPr>
        <w:t>09.1</w:t>
      </w:r>
      <w:r>
        <w:rPr>
          <w:rFonts w:hint="eastAsia" w:ascii="宋体" w:hAnsi="宋体" w:eastAsia="宋体" w:cs="宋体"/>
          <w:snapToGrid/>
          <w:kern w:val="2"/>
          <w:sz w:val="27"/>
          <w:szCs w:val="27"/>
          <w:lang w:val="en-US" w:eastAsia="zh-CN" w:bidi="ar"/>
        </w:rPr>
        <w:t>万元，北京富地勘察测绘有限公司4</w:t>
      </w:r>
      <w:r>
        <w:rPr>
          <w:rFonts w:hint="eastAsia" w:ascii="宋体" w:hAnsi="宋体" w:eastAsia="宋体" w:cs="Times New Roman"/>
          <w:snapToGrid/>
          <w:kern w:val="2"/>
          <w:sz w:val="27"/>
          <w:szCs w:val="27"/>
          <w:lang w:val="en-US" w:eastAsia="zh-CN" w:bidi="ar"/>
        </w:rPr>
        <w:t>9.8</w:t>
      </w:r>
      <w:r>
        <w:rPr>
          <w:rFonts w:hint="eastAsia" w:ascii="宋体" w:hAnsi="宋体" w:eastAsia="宋体" w:cs="宋体"/>
          <w:snapToGrid/>
          <w:kern w:val="2"/>
          <w:sz w:val="27"/>
          <w:szCs w:val="27"/>
          <w:lang w:val="en-US" w:eastAsia="zh-CN" w:bidi="ar"/>
        </w:rPr>
        <w:t>万元，山东建勘集团有限公司</w:t>
      </w:r>
      <w:r>
        <w:rPr>
          <w:rFonts w:hint="eastAsia" w:ascii="宋体" w:hAnsi="宋体" w:eastAsia="宋体" w:cs="Times New Roman"/>
          <w:snapToGrid/>
          <w:kern w:val="2"/>
          <w:sz w:val="27"/>
          <w:szCs w:val="27"/>
          <w:lang w:val="en-US" w:eastAsia="zh-CN" w:bidi="ar"/>
        </w:rPr>
        <w:t>12.7</w:t>
      </w:r>
      <w:r>
        <w:rPr>
          <w:rFonts w:hint="eastAsia" w:ascii="宋体" w:hAnsi="宋体" w:eastAsia="宋体" w:cs="宋体"/>
          <w:snapToGrid/>
          <w:kern w:val="2"/>
          <w:sz w:val="27"/>
          <w:szCs w:val="27"/>
          <w:lang w:val="en-US" w:eastAsia="zh-CN" w:bidi="ar"/>
        </w:rPr>
        <w:t>万元。</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（三）项目主要内容和实施情况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1</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项目内容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在临淄区农村范围内开展包括宅基地、集体建设用地及其地上房屋等建筑物、构筑物的权籍调查和测量工作，获取每宗宅基地、集体建设用地及其地上建筑物、构筑物的属性信息及空间信息。到2020年年底，完成全区441个村（社区）、约</w:t>
      </w:r>
      <w:r>
        <w:rPr>
          <w:rFonts w:hint="eastAsia" w:ascii="宋体" w:hAnsi="宋体" w:eastAsia="宋体" w:cs="Times New Roman"/>
          <w:snapToGrid/>
          <w:kern w:val="2"/>
          <w:sz w:val="27"/>
          <w:szCs w:val="27"/>
          <w:lang w:val="en-US" w:eastAsia="zh-CN" w:bidi="ar"/>
        </w:rPr>
        <w:t>155099</w:t>
      </w:r>
      <w:r>
        <w:rPr>
          <w:rFonts w:hint="eastAsia" w:ascii="宋体" w:hAnsi="宋体" w:eastAsia="宋体" w:cs="宋体"/>
          <w:snapToGrid/>
          <w:kern w:val="2"/>
          <w:sz w:val="27"/>
          <w:szCs w:val="27"/>
          <w:lang w:val="en-US" w:eastAsia="zh-CN" w:bidi="ar"/>
        </w:rPr>
        <w:t>宗（农村宅基地约145669宗，农村集体建设用地约9430宗）土地的不动产权籍调查及确权登记工作，并建立起城乡一体化的不动产权籍调查数据库。因淄博市功能区划调整，临淄区4</w:t>
      </w:r>
      <w:r>
        <w:rPr>
          <w:rFonts w:hint="eastAsia" w:ascii="宋体" w:hAnsi="宋体" w:eastAsia="宋体" w:cs="Times New Roman"/>
          <w:snapToGrid/>
          <w:kern w:val="2"/>
          <w:sz w:val="27"/>
          <w:szCs w:val="27"/>
          <w:lang w:val="en-US" w:eastAsia="zh-CN" w:bidi="ar"/>
        </w:rPr>
        <w:t>3</w:t>
      </w:r>
      <w:r>
        <w:rPr>
          <w:rFonts w:hint="eastAsia" w:ascii="宋体" w:hAnsi="宋体" w:eastAsia="宋体" w:cs="宋体"/>
          <w:snapToGrid/>
          <w:kern w:val="2"/>
          <w:sz w:val="27"/>
          <w:szCs w:val="27"/>
          <w:lang w:val="en-US" w:eastAsia="zh-CN" w:bidi="ar"/>
        </w:rPr>
        <w:t>个村划转先创区，应完成</w:t>
      </w:r>
      <w:r>
        <w:rPr>
          <w:rFonts w:hint="eastAsia" w:ascii="宋体" w:hAnsi="宋体" w:eastAsia="宋体" w:cs="Times New Roman"/>
          <w:snapToGrid/>
          <w:kern w:val="2"/>
          <w:sz w:val="27"/>
          <w:szCs w:val="27"/>
          <w:lang w:val="en-US" w:eastAsia="zh-CN" w:bidi="ar"/>
        </w:rPr>
        <w:t>398</w:t>
      </w:r>
      <w:r>
        <w:rPr>
          <w:rFonts w:hint="eastAsia" w:ascii="宋体" w:hAnsi="宋体" w:eastAsia="宋体" w:cs="宋体"/>
          <w:snapToGrid/>
          <w:kern w:val="2"/>
          <w:sz w:val="27"/>
          <w:szCs w:val="27"/>
          <w:lang w:val="en-US" w:eastAsia="zh-CN" w:bidi="ar"/>
        </w:rPr>
        <w:t>个村（社区）、约</w:t>
      </w:r>
      <w:r>
        <w:rPr>
          <w:rFonts w:hint="eastAsia" w:ascii="宋体" w:hAnsi="宋体" w:eastAsia="宋体" w:cs="Times New Roman"/>
          <w:snapToGrid/>
          <w:kern w:val="2"/>
          <w:sz w:val="27"/>
          <w:szCs w:val="27"/>
          <w:lang w:val="en-US" w:eastAsia="zh-CN" w:bidi="ar"/>
        </w:rPr>
        <w:t>140650</w:t>
      </w:r>
      <w:r>
        <w:rPr>
          <w:rFonts w:hint="eastAsia" w:ascii="宋体" w:hAnsi="宋体" w:eastAsia="宋体" w:cs="宋体"/>
          <w:snapToGrid/>
          <w:kern w:val="2"/>
          <w:sz w:val="27"/>
          <w:szCs w:val="27"/>
          <w:lang w:val="en-US" w:eastAsia="zh-CN" w:bidi="ar"/>
        </w:rPr>
        <w:t>宗地的不动产权籍调查及确权登记工作。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bCs/>
          <w:kern w:val="2"/>
          <w:sz w:val="27"/>
          <w:szCs w:val="27"/>
        </w:rPr>
      </w:pPr>
      <w:r>
        <w:rPr>
          <w:rFonts w:hint="eastAsia" w:ascii="宋体" w:hAnsi="宋体" w:eastAsia="宋体" w:cs="宋体"/>
          <w:snapToGrid/>
          <w:kern w:val="2"/>
          <w:sz w:val="27"/>
          <w:szCs w:val="27"/>
          <w:lang w:val="en-US" w:eastAsia="zh-CN" w:bidi="ar"/>
        </w:rPr>
        <w:t>区自然资源局于2</w:t>
      </w:r>
      <w:r>
        <w:rPr>
          <w:rFonts w:hint="eastAsia" w:ascii="宋体" w:hAnsi="宋体" w:eastAsia="宋体" w:cs="Times New Roman"/>
          <w:snapToGrid/>
          <w:kern w:val="2"/>
          <w:sz w:val="27"/>
          <w:szCs w:val="27"/>
          <w:lang w:val="en-US" w:eastAsia="zh-CN" w:bidi="ar"/>
        </w:rPr>
        <w:t>020年</w:t>
      </w:r>
      <w:r>
        <w:rPr>
          <w:rFonts w:hint="eastAsia" w:ascii="宋体" w:hAnsi="宋体" w:eastAsia="宋体" w:cs="宋体"/>
          <w:snapToGrid/>
          <w:kern w:val="2"/>
          <w:sz w:val="27"/>
          <w:szCs w:val="27"/>
          <w:lang w:val="en-US" w:eastAsia="zh-CN" w:bidi="ar"/>
        </w:rPr>
        <w:t>4月通过公开招标</w:t>
      </w:r>
      <w:r>
        <w:rPr>
          <w:rFonts w:hint="eastAsia" w:ascii="宋体" w:hAnsi="宋体" w:eastAsia="宋体" w:cs="宋体"/>
          <w:bCs/>
          <w:snapToGrid/>
          <w:kern w:val="2"/>
          <w:sz w:val="27"/>
          <w:szCs w:val="27"/>
          <w:lang w:val="en-US" w:eastAsia="zh-CN" w:bidi="ar"/>
        </w:rPr>
        <w:t>确定</w:t>
      </w:r>
      <w:r>
        <w:rPr>
          <w:rFonts w:hint="eastAsia" w:ascii="宋体" w:hAnsi="宋体" w:eastAsia="宋体" w:cs="Times New Roman"/>
          <w:bCs/>
          <w:snapToGrid/>
          <w:kern w:val="2"/>
          <w:sz w:val="27"/>
          <w:szCs w:val="27"/>
          <w:lang w:val="en-US" w:eastAsia="zh-CN" w:bidi="ar"/>
        </w:rPr>
        <w:t>3家作业单位和</w:t>
      </w:r>
      <w:r>
        <w:rPr>
          <w:rFonts w:hint="eastAsia" w:ascii="宋体" w:hAnsi="宋体" w:eastAsia="宋体" w:cs="宋体"/>
          <w:bCs/>
          <w:snapToGrid/>
          <w:kern w:val="2"/>
          <w:sz w:val="27"/>
          <w:szCs w:val="27"/>
          <w:lang w:val="en-US" w:eastAsia="zh-CN" w:bidi="ar"/>
        </w:rPr>
        <w:t>1家监理单位进行农村房地一体不动产确权登记工作。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bCs/>
          <w:kern w:val="2"/>
          <w:sz w:val="27"/>
          <w:szCs w:val="27"/>
        </w:rPr>
      </w:pPr>
      <w:r>
        <w:rPr>
          <w:rFonts w:hint="eastAsia" w:ascii="宋体" w:hAnsi="宋体" w:eastAsia="宋体" w:cs="宋体"/>
          <w:bCs/>
          <w:snapToGrid/>
          <w:kern w:val="2"/>
          <w:sz w:val="27"/>
          <w:szCs w:val="27"/>
          <w:lang w:val="en-US" w:eastAsia="zh-CN" w:bidi="ar"/>
        </w:rPr>
        <w:t>截至</w:t>
      </w:r>
      <w:r>
        <w:rPr>
          <w:rFonts w:hint="eastAsia" w:ascii="宋体" w:hAnsi="宋体" w:eastAsia="宋体" w:cs="Times New Roman"/>
          <w:bCs/>
          <w:snapToGrid/>
          <w:kern w:val="2"/>
          <w:sz w:val="27"/>
          <w:szCs w:val="27"/>
          <w:lang w:val="en-US" w:eastAsia="zh-CN" w:bidi="ar"/>
        </w:rPr>
        <w:t>2022年6月25日，</w:t>
      </w:r>
      <w:r>
        <w:rPr>
          <w:rFonts w:hint="eastAsia" w:ascii="宋体" w:hAnsi="宋体" w:eastAsia="宋体" w:cs="宋体"/>
          <w:bCs/>
          <w:snapToGrid/>
          <w:kern w:val="2"/>
          <w:sz w:val="27"/>
          <w:szCs w:val="27"/>
          <w:lang w:val="en-US" w:eastAsia="zh-CN" w:bidi="ar"/>
        </w:rPr>
        <w:t>临淄区已完成</w:t>
      </w:r>
      <w:r>
        <w:rPr>
          <w:rFonts w:hint="eastAsia" w:ascii="宋体" w:hAnsi="宋体" w:eastAsia="宋体" w:cs="Times New Roman"/>
          <w:bCs/>
          <w:snapToGrid/>
          <w:kern w:val="2"/>
          <w:sz w:val="27"/>
          <w:szCs w:val="27"/>
          <w:lang w:val="en-US" w:eastAsia="zh-CN" w:bidi="ar"/>
        </w:rPr>
        <w:t>354个</w:t>
      </w:r>
      <w:r>
        <w:rPr>
          <w:rFonts w:hint="eastAsia" w:ascii="宋体" w:hAnsi="宋体" w:eastAsia="宋体" w:cs="宋体"/>
          <w:bCs/>
          <w:snapToGrid/>
          <w:kern w:val="2"/>
          <w:sz w:val="27"/>
          <w:szCs w:val="27"/>
          <w:lang w:val="en-US" w:eastAsia="zh-CN" w:bidi="ar"/>
        </w:rPr>
        <w:t>村（社区）、约123000宗的宅基地权籍调查，权籍调查完成率92%；应登记发证</w:t>
      </w:r>
      <w:r>
        <w:rPr>
          <w:rFonts w:hint="eastAsia" w:ascii="宋体" w:hAnsi="宋体" w:eastAsia="宋体" w:cs="Times New Roman"/>
          <w:bCs/>
          <w:snapToGrid/>
          <w:kern w:val="2"/>
          <w:sz w:val="27"/>
          <w:szCs w:val="27"/>
          <w:lang w:val="en-US" w:eastAsia="zh-CN" w:bidi="ar"/>
        </w:rPr>
        <w:t>76847宗，</w:t>
      </w:r>
      <w:r>
        <w:rPr>
          <w:rFonts w:hint="eastAsia" w:ascii="宋体" w:hAnsi="宋体" w:eastAsia="宋体" w:cs="宋体"/>
          <w:bCs/>
          <w:snapToGrid/>
          <w:kern w:val="2"/>
          <w:sz w:val="27"/>
          <w:szCs w:val="27"/>
          <w:lang w:val="en-US" w:eastAsia="zh-CN" w:bidi="ar"/>
        </w:rPr>
        <w:t>登记平台可查询已登记发证数</w:t>
      </w:r>
      <w:r>
        <w:rPr>
          <w:rFonts w:hint="eastAsia" w:ascii="宋体" w:hAnsi="宋体" w:eastAsia="宋体" w:cs="Times New Roman"/>
          <w:bCs/>
          <w:snapToGrid/>
          <w:kern w:val="2"/>
          <w:sz w:val="27"/>
          <w:szCs w:val="27"/>
          <w:lang w:val="en-US" w:eastAsia="zh-CN" w:bidi="ar"/>
        </w:rPr>
        <w:t>55682宗，登记发证率72.46%</w:t>
      </w:r>
      <w:r>
        <w:rPr>
          <w:rFonts w:hint="eastAsia" w:ascii="宋体" w:hAnsi="宋体" w:eastAsia="宋体" w:cs="宋体"/>
          <w:bCs/>
          <w:snapToGrid/>
          <w:kern w:val="2"/>
          <w:sz w:val="27"/>
          <w:szCs w:val="27"/>
          <w:lang w:val="en-US" w:eastAsia="zh-CN" w:bidi="ar"/>
        </w:rPr>
        <w:t>。集体建设用地共</w:t>
      </w:r>
      <w:r>
        <w:rPr>
          <w:rFonts w:hint="eastAsia" w:ascii="宋体" w:hAnsi="宋体" w:eastAsia="宋体" w:cs="Times New Roman"/>
          <w:bCs/>
          <w:snapToGrid/>
          <w:kern w:val="2"/>
          <w:sz w:val="27"/>
          <w:szCs w:val="27"/>
          <w:lang w:val="en-US" w:eastAsia="zh-CN" w:bidi="ar"/>
        </w:rPr>
        <w:t>9822宗，已完成权籍调查9822宗，完成率100%；</w:t>
      </w:r>
      <w:r>
        <w:rPr>
          <w:rFonts w:hint="eastAsia" w:ascii="宋体" w:hAnsi="宋体" w:eastAsia="宋体" w:cs="宋体"/>
          <w:bCs/>
          <w:snapToGrid/>
          <w:kern w:val="2"/>
          <w:sz w:val="27"/>
          <w:szCs w:val="27"/>
          <w:lang w:val="en-US" w:eastAsia="zh-CN" w:bidi="ar"/>
        </w:rPr>
        <w:t>应登记发证</w:t>
      </w:r>
      <w:r>
        <w:rPr>
          <w:rFonts w:hint="eastAsia" w:ascii="宋体" w:hAnsi="宋体" w:eastAsia="宋体" w:cs="Times New Roman"/>
          <w:bCs/>
          <w:snapToGrid/>
          <w:kern w:val="2"/>
          <w:sz w:val="27"/>
          <w:szCs w:val="27"/>
          <w:lang w:val="en-US" w:eastAsia="zh-CN" w:bidi="ar"/>
        </w:rPr>
        <w:t>236宗，登记平台可查询已登记发证数236宗，登记发证率100%</w:t>
      </w:r>
      <w:r>
        <w:rPr>
          <w:rFonts w:hint="eastAsia" w:ascii="宋体" w:hAnsi="宋体" w:eastAsia="宋体" w:cs="宋体"/>
          <w:bCs/>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bCs/>
          <w:kern w:val="2"/>
          <w:sz w:val="27"/>
          <w:szCs w:val="27"/>
        </w:rPr>
      </w:pPr>
      <w:r>
        <w:rPr>
          <w:rFonts w:hint="eastAsia" w:ascii="宋体" w:hAnsi="宋体" w:eastAsia="宋体" w:cs="宋体"/>
          <w:bCs/>
          <w:snapToGrid/>
          <w:kern w:val="2"/>
          <w:sz w:val="27"/>
          <w:szCs w:val="27"/>
          <w:lang w:val="en-US" w:eastAsia="zh-CN" w:bidi="ar"/>
        </w:rPr>
        <w:t>截至绩效评价日期，临淄区未完成“到2020年年底，完成</w:t>
      </w:r>
      <w:r>
        <w:rPr>
          <w:rFonts w:hint="eastAsia" w:ascii="宋体" w:hAnsi="宋体" w:eastAsia="宋体" w:cs="Times New Roman"/>
          <w:bCs/>
          <w:snapToGrid/>
          <w:kern w:val="2"/>
          <w:sz w:val="27"/>
          <w:szCs w:val="27"/>
          <w:lang w:val="en-US" w:eastAsia="zh-CN" w:bidi="ar"/>
        </w:rPr>
        <w:t>398</w:t>
      </w:r>
      <w:r>
        <w:rPr>
          <w:rFonts w:hint="eastAsia" w:ascii="宋体" w:hAnsi="宋体" w:eastAsia="宋体" w:cs="宋体"/>
          <w:bCs/>
          <w:snapToGrid/>
          <w:kern w:val="2"/>
          <w:sz w:val="27"/>
          <w:szCs w:val="27"/>
          <w:lang w:val="en-US" w:eastAsia="zh-CN" w:bidi="ar"/>
        </w:rPr>
        <w:t>个村（社区）、约</w:t>
      </w:r>
      <w:r>
        <w:rPr>
          <w:rFonts w:hint="eastAsia" w:ascii="宋体" w:hAnsi="宋体" w:eastAsia="宋体" w:cs="Times New Roman"/>
          <w:bCs/>
          <w:snapToGrid/>
          <w:kern w:val="2"/>
          <w:sz w:val="27"/>
          <w:szCs w:val="27"/>
          <w:lang w:val="en-US" w:eastAsia="zh-CN" w:bidi="ar"/>
        </w:rPr>
        <w:t>140650</w:t>
      </w:r>
      <w:r>
        <w:rPr>
          <w:rFonts w:hint="eastAsia" w:ascii="宋体" w:hAnsi="宋体" w:eastAsia="宋体" w:cs="宋体"/>
          <w:bCs/>
          <w:snapToGrid/>
          <w:kern w:val="2"/>
          <w:sz w:val="27"/>
          <w:szCs w:val="27"/>
          <w:lang w:val="en-US" w:eastAsia="zh-CN" w:bidi="ar"/>
        </w:rPr>
        <w:t>宗地的不动产权籍调查及确权登记工作”的目标，且该项目未组织验收。</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二、项目绩效目标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（一）总体绩效目标。</w:t>
      </w:r>
      <w:r>
        <w:rPr>
          <w:rFonts w:hint="eastAsia" w:ascii="宋体" w:hAnsi="宋体" w:eastAsia="宋体" w:cs="宋体"/>
          <w:snapToGrid/>
          <w:kern w:val="2"/>
          <w:sz w:val="27"/>
          <w:szCs w:val="27"/>
          <w:lang w:val="en-US" w:eastAsia="zh-CN" w:bidi="ar"/>
        </w:rPr>
        <w:t>在临淄区农村范围内开展包括宅基地、集体建设用地及其地上房屋等建筑物、构筑物的权籍调查和测量工作，获取每宗宅基地、集体建设用地及其地上建筑物、构筑物的属性信息及空间信息。到2020年年底，完成全区</w:t>
      </w:r>
      <w:r>
        <w:rPr>
          <w:rFonts w:hint="eastAsia" w:ascii="宋体" w:hAnsi="宋体" w:eastAsia="宋体" w:cs="Times New Roman"/>
          <w:snapToGrid/>
          <w:kern w:val="2"/>
          <w:sz w:val="27"/>
          <w:szCs w:val="27"/>
          <w:lang w:val="en-US" w:eastAsia="zh-CN" w:bidi="ar"/>
        </w:rPr>
        <w:t>398</w:t>
      </w:r>
      <w:r>
        <w:rPr>
          <w:rFonts w:hint="eastAsia" w:ascii="宋体" w:hAnsi="宋体" w:eastAsia="宋体" w:cs="宋体"/>
          <w:snapToGrid/>
          <w:kern w:val="2"/>
          <w:sz w:val="27"/>
          <w:szCs w:val="27"/>
          <w:lang w:val="en-US" w:eastAsia="zh-CN" w:bidi="ar"/>
        </w:rPr>
        <w:t>个村（社区）、约</w:t>
      </w:r>
      <w:r>
        <w:rPr>
          <w:rFonts w:hint="eastAsia" w:ascii="宋体" w:hAnsi="宋体" w:eastAsia="宋体" w:cs="Times New Roman"/>
          <w:snapToGrid/>
          <w:kern w:val="2"/>
          <w:sz w:val="27"/>
          <w:szCs w:val="27"/>
          <w:lang w:val="en-US" w:eastAsia="zh-CN" w:bidi="ar"/>
        </w:rPr>
        <w:t>140650</w:t>
      </w:r>
      <w:r>
        <w:rPr>
          <w:rFonts w:hint="eastAsia" w:ascii="宋体" w:hAnsi="宋体" w:eastAsia="宋体" w:cs="宋体"/>
          <w:snapToGrid/>
          <w:kern w:val="2"/>
          <w:sz w:val="27"/>
          <w:szCs w:val="27"/>
          <w:lang w:val="en-US" w:eastAsia="zh-CN" w:bidi="ar"/>
        </w:rPr>
        <w:t>宗土地的不动产权籍调查及确权登记工作；以农村不动产权籍调查数据为基础，以不动产单元编码为抓手，结合城镇地籍调查、房产登记数据，实现城乡不动产权籍成果图形、属性、档案等信息的一体化存储、管理和应用，建立起城乡一体化的不动产权籍调查数据库；围绕农村不动产确权登记发证，形成适合临淄区的农村不动产权籍调查技术方法和实现路径，支撑和保障全区农村不动产登记发证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（二）阶段性绩效目标。</w:t>
      </w:r>
      <w:r>
        <w:rPr>
          <w:rFonts w:hint="eastAsia" w:ascii="宋体" w:hAnsi="宋体" w:eastAsia="宋体" w:cs="宋体"/>
          <w:snapToGrid/>
          <w:kern w:val="2"/>
          <w:sz w:val="27"/>
          <w:szCs w:val="27"/>
          <w:lang w:val="en-US" w:eastAsia="zh-CN" w:bidi="ar"/>
        </w:rPr>
        <w:t>根据区自然资源局《2</w:t>
      </w:r>
      <w:r>
        <w:rPr>
          <w:rFonts w:hint="eastAsia" w:ascii="宋体" w:hAnsi="宋体" w:eastAsia="宋体" w:cs="Times New Roman"/>
          <w:snapToGrid/>
          <w:kern w:val="2"/>
          <w:sz w:val="27"/>
          <w:szCs w:val="27"/>
          <w:lang w:val="en-US" w:eastAsia="zh-CN" w:bidi="ar"/>
        </w:rPr>
        <w:t>020年</w:t>
      </w:r>
      <w:r>
        <w:rPr>
          <w:rFonts w:hint="eastAsia" w:ascii="宋体" w:hAnsi="宋体" w:eastAsia="宋体" w:cs="宋体"/>
          <w:snapToGrid/>
          <w:kern w:val="2"/>
          <w:sz w:val="27"/>
          <w:szCs w:val="27"/>
          <w:lang w:val="en-US" w:eastAsia="zh-CN" w:bidi="ar"/>
        </w:rPr>
        <w:t>度临淄区农村房地一体不动产登记项目支出绩效目标批复表》，该项目绩效年度目标为：“农村宅基地房屋权籍调查费用参照依据《测绘工程产品价格》标准以及我市周村区试点以及高密市、禹城市招标价格，确定我区1</w:t>
      </w:r>
      <w:r>
        <w:rPr>
          <w:rFonts w:hint="eastAsia" w:ascii="宋体" w:hAnsi="宋体" w:eastAsia="宋体" w:cs="Times New Roman"/>
          <w:snapToGrid/>
          <w:kern w:val="2"/>
          <w:sz w:val="27"/>
          <w:szCs w:val="27"/>
          <w:lang w:val="en-US" w:eastAsia="zh-CN" w:bidi="ar"/>
        </w:rPr>
        <w:t>30</w:t>
      </w:r>
      <w:r>
        <w:rPr>
          <w:rFonts w:hint="eastAsia" w:ascii="宋体" w:hAnsi="宋体" w:eastAsia="宋体" w:cs="宋体"/>
          <w:snapToGrid/>
          <w:kern w:val="2"/>
          <w:sz w:val="27"/>
          <w:szCs w:val="27"/>
          <w:lang w:val="en-US" w:eastAsia="zh-CN" w:bidi="ar"/>
        </w:rPr>
        <w:t>元/户，共需申请资金1</w:t>
      </w:r>
      <w:r>
        <w:rPr>
          <w:rFonts w:hint="eastAsia" w:ascii="宋体" w:hAnsi="宋体" w:eastAsia="宋体" w:cs="Times New Roman"/>
          <w:snapToGrid/>
          <w:kern w:val="2"/>
          <w:sz w:val="27"/>
          <w:szCs w:val="27"/>
          <w:lang w:val="en-US" w:eastAsia="zh-CN" w:bidi="ar"/>
        </w:rPr>
        <w:t>265</w:t>
      </w:r>
      <w:r>
        <w:rPr>
          <w:rFonts w:hint="eastAsia" w:ascii="宋体" w:hAnsi="宋体" w:eastAsia="宋体" w:cs="宋体"/>
          <w:snapToGrid/>
          <w:kern w:val="2"/>
          <w:sz w:val="27"/>
          <w:szCs w:val="27"/>
          <w:lang w:val="en-US" w:eastAsia="zh-CN" w:bidi="ar"/>
        </w:rPr>
        <w:t>万元。其中2</w:t>
      </w:r>
      <w:r>
        <w:rPr>
          <w:rFonts w:hint="eastAsia" w:ascii="宋体" w:hAnsi="宋体" w:eastAsia="宋体" w:cs="Times New Roman"/>
          <w:snapToGrid/>
          <w:kern w:val="2"/>
          <w:sz w:val="27"/>
          <w:szCs w:val="27"/>
          <w:lang w:val="en-US" w:eastAsia="zh-CN" w:bidi="ar"/>
        </w:rPr>
        <w:t>019</w:t>
      </w:r>
      <w:r>
        <w:rPr>
          <w:rFonts w:hint="eastAsia" w:ascii="宋体" w:hAnsi="宋体" w:eastAsia="宋体" w:cs="宋体"/>
          <w:snapToGrid/>
          <w:kern w:val="2"/>
          <w:sz w:val="27"/>
          <w:szCs w:val="27"/>
          <w:lang w:val="en-US" w:eastAsia="zh-CN" w:bidi="ar"/>
        </w:rPr>
        <w:t>年4</w:t>
      </w:r>
      <w:r>
        <w:rPr>
          <w:rFonts w:hint="eastAsia" w:ascii="宋体" w:hAnsi="宋体" w:eastAsia="宋体" w:cs="Times New Roman"/>
          <w:snapToGrid/>
          <w:kern w:val="2"/>
          <w:sz w:val="27"/>
          <w:szCs w:val="27"/>
          <w:lang w:val="en-US" w:eastAsia="zh-CN" w:bidi="ar"/>
        </w:rPr>
        <w:t>20</w:t>
      </w:r>
      <w:r>
        <w:rPr>
          <w:rFonts w:hint="eastAsia" w:ascii="宋体" w:hAnsi="宋体" w:eastAsia="宋体" w:cs="宋体"/>
          <w:snapToGrid/>
          <w:kern w:val="2"/>
          <w:sz w:val="27"/>
          <w:szCs w:val="27"/>
          <w:lang w:val="en-US" w:eastAsia="zh-CN" w:bidi="ar"/>
        </w:rPr>
        <w:t>万元，2</w:t>
      </w:r>
      <w:r>
        <w:rPr>
          <w:rFonts w:hint="eastAsia" w:ascii="宋体" w:hAnsi="宋体" w:eastAsia="宋体" w:cs="Times New Roman"/>
          <w:snapToGrid/>
          <w:kern w:val="2"/>
          <w:sz w:val="27"/>
          <w:szCs w:val="27"/>
          <w:lang w:val="en-US" w:eastAsia="zh-CN" w:bidi="ar"/>
        </w:rPr>
        <w:t>020</w:t>
      </w:r>
      <w:r>
        <w:rPr>
          <w:rFonts w:hint="eastAsia" w:ascii="宋体" w:hAnsi="宋体" w:eastAsia="宋体" w:cs="宋体"/>
          <w:snapToGrid/>
          <w:kern w:val="2"/>
          <w:sz w:val="27"/>
          <w:szCs w:val="27"/>
          <w:lang w:val="en-US" w:eastAsia="zh-CN" w:bidi="ar"/>
        </w:rPr>
        <w:t>年8</w:t>
      </w:r>
      <w:r>
        <w:rPr>
          <w:rFonts w:hint="eastAsia" w:ascii="宋体" w:hAnsi="宋体" w:eastAsia="宋体" w:cs="Times New Roman"/>
          <w:snapToGrid/>
          <w:kern w:val="2"/>
          <w:sz w:val="27"/>
          <w:szCs w:val="27"/>
          <w:lang w:val="en-US" w:eastAsia="zh-CN" w:bidi="ar"/>
        </w:rPr>
        <w:t>45</w:t>
      </w:r>
      <w:r>
        <w:rPr>
          <w:rFonts w:hint="eastAsia" w:ascii="宋体" w:hAnsi="宋体" w:eastAsia="宋体" w:cs="宋体"/>
          <w:snapToGrid/>
          <w:kern w:val="2"/>
          <w:sz w:val="27"/>
          <w:szCs w:val="27"/>
          <w:lang w:val="en-US" w:eastAsia="zh-CN" w:bidi="ar"/>
        </w:rPr>
        <w:t>万元”。</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三、评价基本情况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b/>
          <w:bCs/>
          <w:kern w:val="2"/>
          <w:sz w:val="28"/>
          <w:szCs w:val="28"/>
        </w:rPr>
      </w:pPr>
      <w:r>
        <w:rPr>
          <w:rFonts w:hint="eastAsia" w:ascii="宋体" w:hAnsi="宋体" w:eastAsia="宋体" w:cs="宋体"/>
          <w:b/>
          <w:bCs/>
          <w:snapToGrid/>
          <w:kern w:val="2"/>
          <w:sz w:val="28"/>
          <w:szCs w:val="28"/>
          <w:lang w:val="en-US" w:eastAsia="zh-CN" w:bidi="ar"/>
        </w:rPr>
        <w:t>（一）绩效评价目的、对象和范围</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楷体"/>
          <w:b/>
          <w:bCs/>
          <w:snapToGrid/>
          <w:kern w:val="2"/>
          <w:sz w:val="28"/>
          <w:szCs w:val="28"/>
          <w:lang w:val="en-US" w:eastAsia="zh-CN" w:bidi="ar"/>
        </w:rPr>
        <w:t>1</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评价目的。</w:t>
      </w:r>
      <w:r>
        <w:rPr>
          <w:rFonts w:hint="eastAsia" w:ascii="宋体" w:hAnsi="宋体" w:eastAsia="宋体" w:cs="宋体"/>
          <w:snapToGrid/>
          <w:kern w:val="2"/>
          <w:sz w:val="27"/>
          <w:szCs w:val="27"/>
          <w:lang w:val="en-US" w:eastAsia="zh-CN" w:bidi="ar"/>
        </w:rPr>
        <w:t>通过开展绩效评价，了解该项目是否按照有关制度办法实施，掌握该项目的组织实施情况和资金的管理使用情况，总结项目产出和效益等；总结项目实施的经验做法，查找资金使用与管理中的薄弱环节，发现项目实施过程中存在的问题，提出有针对性的改进意见和建议；督促项目单位切实采取措施改进、加强项目管理，进一步提高项目资金管理水平和预算资金使用效益。通过绩效评价，为促进完善财政政策、改进预算管理提供依据，为后续财政预算资金安排提供重要参考，提高财政资金配置效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评价对象及范围。</w:t>
      </w:r>
      <w:r>
        <w:rPr>
          <w:rFonts w:hint="eastAsia" w:ascii="宋体" w:hAnsi="宋体" w:eastAsia="宋体" w:cs="宋体"/>
          <w:snapToGrid/>
          <w:kern w:val="2"/>
          <w:sz w:val="27"/>
          <w:szCs w:val="27"/>
          <w:lang w:val="en-US" w:eastAsia="zh-CN" w:bidi="ar"/>
        </w:rPr>
        <w:t>本项目绩效评价对象为临淄区农村房地一体不动产确权登记项目绩效情况。评价范围包括以下几方面内容：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（1）项目决策情况，包括项目立项依据充分性、程序规范性，项目目标合理性，项目预算编制科学性等；</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（2）项目过程情况，主要包括项目资金使用合规性，组织管理规范性、管理制度健全性、政府采购合规性、房地一体农村不动产确权登记工作规范性等；</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宋体" w:eastAsia="宋体" w:cs="Times New Roman"/>
          <w:snapToGrid/>
          <w:kern w:val="2"/>
          <w:sz w:val="27"/>
          <w:szCs w:val="27"/>
          <w:lang w:val="en-US" w:eastAsia="zh-CN" w:bidi="ar"/>
        </w:rPr>
        <w:t>3）</w:t>
      </w:r>
      <w:r>
        <w:rPr>
          <w:rFonts w:hint="eastAsia" w:ascii="宋体" w:hAnsi="宋体" w:eastAsia="宋体" w:cs="宋体"/>
          <w:snapToGrid/>
          <w:kern w:val="2"/>
          <w:sz w:val="27"/>
          <w:szCs w:val="27"/>
          <w:lang w:val="en-US" w:eastAsia="zh-CN" w:bidi="ar"/>
        </w:rPr>
        <w:t>项目产出及效益情况，包括项目产出数量、质量、时效、成本情况，项目实施所产生的直接或间接的效益、可持续影响情况等。</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8"/>
          <w:szCs w:val="28"/>
          <w:lang w:val="en-US" w:eastAsia="zh-CN" w:bidi="ar"/>
        </w:rPr>
        <w:t>（二）绩效评价原则、评价指标体系、评价方法及评价标准</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Times New Roman"/>
          <w:b/>
          <w:bCs/>
          <w:snapToGrid/>
          <w:kern w:val="2"/>
          <w:sz w:val="28"/>
          <w:szCs w:val="28"/>
          <w:lang w:val="en-US" w:eastAsia="zh-CN" w:bidi="ar"/>
        </w:rPr>
        <w:t>1.绩效评价原则</w:t>
      </w:r>
      <w:r>
        <w:rPr>
          <w:rFonts w:hint="eastAsia" w:ascii="楷体" w:hAnsi="楷体" w:eastAsia="楷体" w:cs="楷体"/>
          <w:b/>
          <w:bCs/>
          <w:snapToGrid/>
          <w:kern w:val="2"/>
          <w:sz w:val="28"/>
          <w:szCs w:val="28"/>
          <w:lang w:val="en-US" w:eastAsia="zh-CN" w:bidi="ar"/>
        </w:rPr>
        <w:t>。</w:t>
      </w:r>
      <w:r>
        <w:rPr>
          <w:rFonts w:hint="eastAsia" w:ascii="宋体" w:hAnsi="宋体" w:eastAsia="宋体" w:cs="宋体"/>
          <w:snapToGrid/>
          <w:kern w:val="2"/>
          <w:sz w:val="27"/>
          <w:szCs w:val="27"/>
          <w:lang w:val="en-US" w:eastAsia="zh-CN" w:bidi="ar"/>
        </w:rPr>
        <w:t>本项目绩效评价遵守科学规范、政策相符、绩效相关、依据充分、公正公开、独立评价六原则，保持绩效评价的客观性、独立性、公正性。</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宋体" w:eastAsia="宋体" w:cs="Times New Roman"/>
          <w:kern w:val="2"/>
          <w:sz w:val="27"/>
          <w:szCs w:val="27"/>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评价指标体系。</w:t>
      </w:r>
      <w:r>
        <w:rPr>
          <w:rFonts w:hint="eastAsia" w:ascii="宋体" w:hAnsi="宋体" w:eastAsia="宋体" w:cs="宋体"/>
          <w:snapToGrid/>
          <w:kern w:val="2"/>
          <w:sz w:val="27"/>
          <w:szCs w:val="27"/>
          <w:lang w:val="en-US" w:eastAsia="zh-CN" w:bidi="ar"/>
        </w:rPr>
        <w:t>绩效评价指标的设置遵循定性、定量相结合的原则，参照行业、专业标准及采集的相关数据材料制定评价标准，对评价目标进行逐步分解，设置实用性、可操作性和可实现性较强的绩效指标，根据相关规定并结合项目特点赋予指标权重与指标分值。包括项目决策、项目过程、项目产出及效益3部分，总分为</w:t>
      </w:r>
      <w:r>
        <w:rPr>
          <w:rFonts w:hint="eastAsia" w:ascii="宋体" w:hAnsi="宋体" w:eastAsia="宋体" w:cs="Times New Roman"/>
          <w:snapToGrid/>
          <w:kern w:val="2"/>
          <w:sz w:val="27"/>
          <w:szCs w:val="27"/>
          <w:lang w:val="en-US" w:eastAsia="zh-CN" w:bidi="ar"/>
        </w:rPr>
        <w:t>100分，每部分分值分配</w:t>
      </w:r>
      <w:r>
        <w:rPr>
          <w:rFonts w:hint="eastAsia" w:ascii="宋体" w:hAnsi="宋体" w:eastAsia="宋体" w:cs="宋体"/>
          <w:snapToGrid/>
          <w:kern w:val="2"/>
          <w:sz w:val="27"/>
          <w:szCs w:val="27"/>
          <w:lang w:val="en-US" w:eastAsia="zh-CN" w:bidi="ar"/>
        </w:rPr>
        <w:t>为：项目决策</w:t>
      </w:r>
      <w:r>
        <w:rPr>
          <w:rFonts w:hint="eastAsia" w:ascii="宋体" w:hAnsi="宋体" w:eastAsia="宋体" w:cs="Times New Roman"/>
          <w:snapToGrid/>
          <w:kern w:val="2"/>
          <w:sz w:val="27"/>
          <w:szCs w:val="27"/>
          <w:lang w:val="en-US" w:eastAsia="zh-CN" w:bidi="ar"/>
        </w:rPr>
        <w:t>15分，项目过程25分，项目产出</w:t>
      </w:r>
      <w:r>
        <w:rPr>
          <w:rFonts w:hint="eastAsia" w:ascii="宋体" w:hAnsi="宋体" w:eastAsia="宋体" w:cs="宋体"/>
          <w:snapToGrid/>
          <w:kern w:val="2"/>
          <w:sz w:val="27"/>
          <w:szCs w:val="27"/>
          <w:lang w:val="en-US" w:eastAsia="zh-CN" w:bidi="ar"/>
        </w:rPr>
        <w:t>及效益6</w:t>
      </w:r>
      <w:r>
        <w:rPr>
          <w:rFonts w:hint="eastAsia" w:ascii="宋体" w:hAnsi="宋体" w:eastAsia="宋体" w:cs="Times New Roman"/>
          <w:snapToGrid/>
          <w:kern w:val="2"/>
          <w:sz w:val="27"/>
          <w:szCs w:val="27"/>
          <w:lang w:val="en-US" w:eastAsia="zh-CN" w:bidi="ar"/>
        </w:rPr>
        <w:t>0分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7"/>
          <w:szCs w:val="27"/>
          <w:lang w:val="en-US" w:eastAsia="zh-CN" w:bidi="ar"/>
        </w:rPr>
        <w:t>核心指标设置方面，</w:t>
      </w:r>
      <w:r>
        <w:rPr>
          <w:rFonts w:hint="eastAsia" w:ascii="宋体" w:hAnsi="宋体" w:eastAsia="宋体" w:cs="宋体"/>
          <w:snapToGrid/>
          <w:kern w:val="2"/>
          <w:sz w:val="27"/>
          <w:szCs w:val="27"/>
          <w:lang w:val="en-US" w:eastAsia="zh-CN" w:bidi="ar"/>
        </w:rPr>
        <w:t>将</w:t>
      </w:r>
      <w:r>
        <w:rPr>
          <w:rFonts w:hint="eastAsia" w:ascii="宋体" w:hAnsi="宋体" w:eastAsia="宋体" w:cs="宋体"/>
          <w:bCs/>
          <w:snapToGrid/>
          <w:kern w:val="2"/>
          <w:sz w:val="27"/>
          <w:szCs w:val="27"/>
          <w:lang w:val="en-US" w:eastAsia="zh-CN" w:bidi="ar"/>
        </w:rPr>
        <w:t>“权籍调查完成率”“确权登记率”“数据库建设及调查成果质量达标情况”</w:t>
      </w:r>
      <w:r>
        <w:rPr>
          <w:rFonts w:hint="eastAsia" w:ascii="宋体" w:hAnsi="宋体" w:eastAsia="宋体" w:cs="Times New Roman"/>
          <w:snapToGrid/>
          <w:kern w:val="2"/>
          <w:sz w:val="27"/>
          <w:szCs w:val="27"/>
          <w:lang w:val="en-US" w:eastAsia="zh-CN" w:bidi="ar"/>
        </w:rPr>
        <w:t>3项指标设置为核心指标进行重点考核。</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宋体" w:eastAsia="宋体" w:cs="Times New Roman"/>
          <w:kern w:val="2"/>
          <w:sz w:val="27"/>
          <w:szCs w:val="27"/>
        </w:rPr>
      </w:pPr>
      <w:r>
        <w:rPr>
          <w:rFonts w:hint="eastAsia" w:ascii="宋体" w:hAnsi="宋体" w:eastAsia="宋体" w:cs="宋体"/>
          <w:b/>
          <w:bCs/>
          <w:snapToGrid/>
          <w:kern w:val="2"/>
          <w:sz w:val="27"/>
          <w:szCs w:val="27"/>
          <w:lang w:val="en-US" w:eastAsia="zh-CN" w:bidi="ar"/>
        </w:rPr>
        <w:t>否决性指标方面，</w:t>
      </w:r>
      <w:r>
        <w:rPr>
          <w:rFonts w:hint="eastAsia" w:ascii="宋体" w:hAnsi="宋体" w:eastAsia="宋体" w:cs="宋体"/>
          <w:snapToGrid/>
          <w:kern w:val="2"/>
          <w:sz w:val="27"/>
          <w:szCs w:val="27"/>
          <w:lang w:val="en-US" w:eastAsia="zh-CN" w:bidi="ar"/>
        </w:rPr>
        <w:t>设置</w:t>
      </w:r>
      <w:r>
        <w:rPr>
          <w:rFonts w:hint="eastAsia" w:ascii="宋体" w:hAnsi="宋体" w:eastAsia="宋体" w:cs="Times New Roman"/>
          <w:snapToGrid/>
          <w:kern w:val="2"/>
          <w:sz w:val="27"/>
          <w:szCs w:val="27"/>
          <w:lang w:val="en-US" w:eastAsia="zh-CN" w:bidi="ar"/>
        </w:rPr>
        <w:t>1项否决性指标，重点关注项目实施过程中的资金使用违法及严重不合规、提交资料真实合规性等情况，如出现相关情况，则本项目绩效评价等级直接为“差”。</w:t>
      </w:r>
      <w:r>
        <w:rPr>
          <w:rFonts w:hint="eastAsia" w:ascii="宋体" w:hAnsi="宋体" w:eastAsia="宋体" w:cs="宋体"/>
          <w:snapToGrid/>
          <w:kern w:val="2"/>
          <w:sz w:val="27"/>
          <w:szCs w:val="27"/>
          <w:lang w:val="en-US" w:eastAsia="zh-CN" w:bidi="ar"/>
        </w:rPr>
        <w:t>指标体系中，核心指标及否决性指标均加注“★”以区别与其它指标。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kern w:val="2"/>
          <w:sz w:val="27"/>
          <w:szCs w:val="27"/>
        </w:rPr>
      </w:pPr>
      <w:r>
        <w:rPr>
          <w:rFonts w:hint="eastAsia" w:ascii="楷体" w:hAnsi="楷体" w:eastAsia="楷体" w:cs="楷体"/>
          <w:b/>
          <w:bCs/>
          <w:snapToGrid/>
          <w:kern w:val="2"/>
          <w:sz w:val="28"/>
          <w:szCs w:val="28"/>
          <w:lang w:val="en-US" w:eastAsia="zh-CN" w:bidi="ar"/>
        </w:rPr>
        <w:t>3</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评价方法。</w:t>
      </w:r>
      <w:r>
        <w:rPr>
          <w:rFonts w:hint="eastAsia" w:ascii="宋体" w:hAnsi="宋体" w:eastAsia="宋体" w:cs="宋体"/>
          <w:snapToGrid/>
          <w:kern w:val="2"/>
          <w:sz w:val="27"/>
          <w:szCs w:val="27"/>
          <w:lang w:val="en-US" w:eastAsia="zh-CN" w:bidi="ar"/>
        </w:rPr>
        <w:t>通过研究分析本项目的实施情况，本项目评价采用比较法、案卷研究法、专家评判法、实地测评法、问卷调查法相结合的方式进行。</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kern w:val="2"/>
          <w:sz w:val="27"/>
          <w:szCs w:val="27"/>
        </w:rPr>
      </w:pPr>
      <w:r>
        <w:rPr>
          <w:rFonts w:hint="eastAsia" w:ascii="楷体" w:hAnsi="楷体" w:eastAsia="楷体" w:cs="楷体"/>
          <w:b/>
          <w:bCs/>
          <w:snapToGrid/>
          <w:kern w:val="2"/>
          <w:sz w:val="28"/>
          <w:szCs w:val="28"/>
          <w:lang w:val="en-US" w:eastAsia="zh-CN" w:bidi="ar"/>
        </w:rPr>
        <w:t>4</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评价标准。</w:t>
      </w:r>
      <w:r>
        <w:rPr>
          <w:rFonts w:hint="eastAsia" w:ascii="宋体" w:hAnsi="宋体" w:eastAsia="宋体" w:cs="宋体"/>
          <w:snapToGrid/>
          <w:kern w:val="2"/>
          <w:sz w:val="27"/>
          <w:szCs w:val="27"/>
          <w:lang w:val="en-US" w:eastAsia="zh-CN" w:bidi="ar"/>
        </w:rPr>
        <w:t>绩效评价采用定性分析与定量考核相结合方法，对定性考核指标采用分析打分，对定量考核指标采用量化打分。评价结果以评分和评级相结合的方式予以体现。评价得分采用总分百分制，按照所确定的本项目指标体系指标标准及其权重与分值，逐项打分汇总得出，评价结果分为优（90（含）～100分）、良（</w:t>
      </w:r>
      <w:r>
        <w:rPr>
          <w:rFonts w:hint="eastAsia" w:ascii="宋体" w:hAnsi="等线" w:eastAsia="宋体" w:cs="Times New Roman"/>
          <w:snapToGrid/>
          <w:kern w:val="2"/>
          <w:sz w:val="27"/>
          <w:szCs w:val="27"/>
          <w:lang w:val="en-US" w:eastAsia="zh-CN" w:bidi="ar"/>
        </w:rPr>
        <w:t>8</w:t>
      </w:r>
      <w:r>
        <w:rPr>
          <w:rFonts w:hint="eastAsia" w:ascii="宋体" w:hAnsi="宋体" w:eastAsia="宋体" w:cs="宋体"/>
          <w:snapToGrid/>
          <w:kern w:val="2"/>
          <w:sz w:val="27"/>
          <w:szCs w:val="27"/>
          <w:lang w:val="en-US" w:eastAsia="zh-CN" w:bidi="ar"/>
        </w:rPr>
        <w:t>0（含）～</w:t>
      </w:r>
      <w:r>
        <w:rPr>
          <w:rFonts w:hint="eastAsia" w:ascii="宋体" w:hAnsi="等线" w:eastAsia="宋体" w:cs="Times New Roman"/>
          <w:snapToGrid/>
          <w:kern w:val="2"/>
          <w:sz w:val="27"/>
          <w:szCs w:val="27"/>
          <w:lang w:val="en-US" w:eastAsia="zh-CN" w:bidi="ar"/>
        </w:rPr>
        <w:t>9</w:t>
      </w:r>
      <w:r>
        <w:rPr>
          <w:rFonts w:hint="eastAsia" w:ascii="宋体" w:hAnsi="宋体" w:eastAsia="宋体" w:cs="宋体"/>
          <w:snapToGrid/>
          <w:kern w:val="2"/>
          <w:sz w:val="27"/>
          <w:szCs w:val="27"/>
          <w:lang w:val="en-US" w:eastAsia="zh-CN" w:bidi="ar"/>
        </w:rPr>
        <w:t>0分）、中（</w:t>
      </w:r>
      <w:r>
        <w:rPr>
          <w:rFonts w:hint="eastAsia" w:ascii="宋体" w:hAnsi="等线" w:eastAsia="宋体" w:cs="Times New Roman"/>
          <w:snapToGrid/>
          <w:kern w:val="2"/>
          <w:sz w:val="27"/>
          <w:szCs w:val="27"/>
          <w:lang w:val="en-US" w:eastAsia="zh-CN" w:bidi="ar"/>
        </w:rPr>
        <w:t>6</w:t>
      </w:r>
      <w:r>
        <w:rPr>
          <w:rFonts w:hint="eastAsia" w:ascii="宋体" w:hAnsi="宋体" w:eastAsia="宋体" w:cs="宋体"/>
          <w:snapToGrid/>
          <w:kern w:val="2"/>
          <w:sz w:val="27"/>
          <w:szCs w:val="27"/>
          <w:lang w:val="en-US" w:eastAsia="zh-CN" w:bidi="ar"/>
        </w:rPr>
        <w:t>0（含）～</w:t>
      </w:r>
      <w:r>
        <w:rPr>
          <w:rFonts w:hint="eastAsia" w:ascii="宋体" w:hAnsi="等线" w:eastAsia="宋体" w:cs="Times New Roman"/>
          <w:snapToGrid/>
          <w:kern w:val="2"/>
          <w:sz w:val="27"/>
          <w:szCs w:val="27"/>
          <w:lang w:val="en-US" w:eastAsia="zh-CN" w:bidi="ar"/>
        </w:rPr>
        <w:t>8</w:t>
      </w:r>
      <w:r>
        <w:rPr>
          <w:rFonts w:hint="eastAsia" w:ascii="宋体" w:hAnsi="宋体" w:eastAsia="宋体" w:cs="宋体"/>
          <w:snapToGrid/>
          <w:kern w:val="2"/>
          <w:sz w:val="27"/>
          <w:szCs w:val="27"/>
          <w:lang w:val="en-US" w:eastAsia="zh-CN" w:bidi="ar"/>
        </w:rPr>
        <w:t>0分）、差（＜60分）四个档次。</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b/>
          <w:bCs/>
          <w:kern w:val="2"/>
          <w:sz w:val="28"/>
          <w:szCs w:val="28"/>
        </w:rPr>
      </w:pPr>
      <w:r>
        <w:rPr>
          <w:rFonts w:hint="eastAsia" w:ascii="宋体" w:hAnsi="宋体" w:eastAsia="宋体" w:cs="宋体"/>
          <w:b/>
          <w:bCs/>
          <w:snapToGrid/>
          <w:kern w:val="2"/>
          <w:sz w:val="28"/>
          <w:szCs w:val="28"/>
          <w:lang w:val="en-US" w:eastAsia="zh-CN" w:bidi="ar"/>
        </w:rPr>
        <w:t>（三）绩效评价工作过程</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1</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项目工作机制</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等线" w:eastAsia="宋体" w:cs="Times New Roman"/>
          <w:snapToGrid/>
          <w:kern w:val="2"/>
          <w:sz w:val="27"/>
          <w:szCs w:val="27"/>
          <w:lang w:val="en-US" w:eastAsia="zh-CN" w:bidi="ar"/>
        </w:rPr>
        <w:t>1）评价工作组</w:t>
      </w:r>
      <w:r>
        <w:rPr>
          <w:rFonts w:hint="eastAsia" w:ascii="宋体" w:hAnsi="宋体" w:eastAsia="宋体" w:cs="宋体"/>
          <w:snapToGrid/>
          <w:kern w:val="2"/>
          <w:sz w:val="27"/>
          <w:szCs w:val="27"/>
          <w:lang w:val="en-US" w:eastAsia="zh-CN" w:bidi="ar"/>
        </w:rPr>
        <w:t>。成立项目评价工作组，由公司高管、骨干业务人员、特聘专家组成，负责项目评价全过程工作。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等线" w:eastAsia="宋体" w:cs="Times New Roman"/>
          <w:snapToGrid/>
          <w:kern w:val="2"/>
          <w:sz w:val="27"/>
          <w:szCs w:val="27"/>
          <w:lang w:val="en-US" w:eastAsia="zh-CN" w:bidi="ar"/>
        </w:rPr>
        <w:t>2）质量控制组</w:t>
      </w:r>
      <w:r>
        <w:rPr>
          <w:rFonts w:hint="eastAsia" w:ascii="宋体" w:hAnsi="宋体" w:eastAsia="宋体" w:cs="宋体"/>
          <w:snapToGrid/>
          <w:kern w:val="2"/>
          <w:sz w:val="27"/>
          <w:szCs w:val="27"/>
          <w:lang w:val="en-US" w:eastAsia="zh-CN" w:bidi="ar"/>
        </w:rPr>
        <w:t>。根据项目实际情况设置质控组，负责评价程序的规范性监管、采用数据资料的合规性审查、结论意见的定性依据审查等方面工作。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w:t>
      </w:r>
      <w:r>
        <w:rPr>
          <w:rFonts w:hint="eastAsia" w:ascii="宋体" w:hAnsi="等线" w:eastAsia="宋体" w:cs="Times New Roman"/>
          <w:snapToGrid/>
          <w:kern w:val="2"/>
          <w:sz w:val="27"/>
          <w:szCs w:val="27"/>
          <w:lang w:val="en-US" w:eastAsia="zh-CN" w:bidi="ar"/>
        </w:rPr>
        <w:t>3）专业审核委员会</w:t>
      </w:r>
      <w:r>
        <w:rPr>
          <w:rFonts w:hint="eastAsia" w:ascii="宋体" w:hAnsi="宋体" w:eastAsia="宋体" w:cs="宋体"/>
          <w:snapToGrid/>
          <w:kern w:val="2"/>
          <w:sz w:val="27"/>
          <w:szCs w:val="27"/>
          <w:lang w:val="en-US" w:eastAsia="zh-CN" w:bidi="ar"/>
        </w:rPr>
        <w:t>。公司常设专业审核委员会，专门负责对外提供咨询服务成果的专业审核，公司所有业务成果均须经专业审核委员会审核通过后方可对外提供、报送。</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Times New Roman"/>
          <w:b/>
          <w:bCs/>
          <w:kern w:val="2"/>
          <w:sz w:val="28"/>
          <w:szCs w:val="28"/>
        </w:rPr>
      </w:pPr>
      <w:r>
        <w:rPr>
          <w:rFonts w:hint="eastAsia" w:ascii="楷体" w:hAnsi="楷体" w:eastAsia="楷体" w:cs="楷体"/>
          <w:b/>
          <w:bCs/>
          <w:snapToGrid/>
          <w:kern w:val="2"/>
          <w:sz w:val="28"/>
          <w:szCs w:val="28"/>
          <w:lang w:val="en-US" w:eastAsia="zh-CN" w:bidi="ar"/>
        </w:rPr>
        <w:t>2</w:t>
      </w:r>
      <w:r>
        <w:rPr>
          <w:rFonts w:hint="eastAsia" w:ascii="楷体" w:hAnsi="楷体" w:eastAsia="楷体" w:cs="Times New Roman"/>
          <w:b/>
          <w:bCs/>
          <w:snapToGrid/>
          <w:kern w:val="2"/>
          <w:sz w:val="28"/>
          <w:szCs w:val="28"/>
          <w:lang w:val="en-US" w:eastAsia="zh-CN" w:bidi="ar"/>
        </w:rPr>
        <w:t>.</w:t>
      </w:r>
      <w:r>
        <w:rPr>
          <w:rFonts w:hint="eastAsia" w:ascii="楷体" w:hAnsi="楷体" w:eastAsia="楷体" w:cs="楷体"/>
          <w:b/>
          <w:bCs/>
          <w:snapToGrid/>
          <w:kern w:val="2"/>
          <w:sz w:val="28"/>
          <w:szCs w:val="28"/>
          <w:lang w:val="en-US" w:eastAsia="zh-CN" w:bidi="ar"/>
        </w:rPr>
        <w:t>工作程序</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（1）评价准备阶段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1）成立绩效评价工作组。根据本项目实际情况，公司选调精干、专业人员组成本项目绩效评价工作组。工作组设工作组组长</w:t>
      </w:r>
      <w:r>
        <w:rPr>
          <w:rFonts w:hint="eastAsia" w:ascii="宋体" w:hAnsi="等线" w:eastAsia="宋体" w:cs="Times New Roman"/>
          <w:snapToGrid/>
          <w:kern w:val="2"/>
          <w:sz w:val="27"/>
          <w:szCs w:val="27"/>
          <w:lang w:val="en-US" w:eastAsia="zh-CN" w:bidi="ar"/>
        </w:rPr>
        <w:t>1名及工作组成员若干名，工作组</w:t>
      </w:r>
      <w:r>
        <w:rPr>
          <w:rFonts w:hint="eastAsia" w:ascii="宋体" w:hAnsi="宋体" w:eastAsia="宋体" w:cs="宋体"/>
          <w:snapToGrid/>
          <w:kern w:val="2"/>
          <w:sz w:val="27"/>
          <w:szCs w:val="27"/>
          <w:lang w:val="en-US" w:eastAsia="zh-CN" w:bidi="ar"/>
        </w:rPr>
        <w:t>全部成员均具备一定的专业知识和丰富的绩效评价工作经验。同时聘请相关领域的专家加入评价工作组。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2）拟定评价实施方案。根据委托方工作要求和项目特点，对项目评价重点及评价要求进行全面梳理及细化，在调研、了解评价项目相关单位基本情况的基础上，按照有关规定拟定评价工作的具体评价方案，主要内容有：项目认识、评价对象、评价目的、评价内容、评价依据、评价指标体系、评价标准、评价方法、组织实施程序、评价质量控制措施、工作组人员配置、工作时间安排、准备评价资料及有关工作要求等内容。方案设计后，由专家评议、公司审委会论证审核后进一步修正、完善，报经委托方审查批准后组织实施。</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color w:val="000000"/>
          <w:kern w:val="1"/>
          <w:sz w:val="27"/>
          <w:szCs w:val="27"/>
        </w:rPr>
      </w:pPr>
      <w:r>
        <w:rPr>
          <w:rFonts w:hint="eastAsia" w:ascii="宋体" w:hAnsi="宋体" w:eastAsia="宋体" w:cs="宋体"/>
          <w:snapToGrid/>
          <w:kern w:val="2"/>
          <w:sz w:val="27"/>
          <w:szCs w:val="27"/>
          <w:lang w:val="en-US" w:eastAsia="zh-CN" w:bidi="ar"/>
        </w:rPr>
        <w:t>3）制定绩效评价指标体系。</w:t>
      </w:r>
      <w:r>
        <w:rPr>
          <w:rFonts w:hint="eastAsia" w:ascii="宋体" w:hAnsi="宋体" w:eastAsia="宋体" w:cs="宋体"/>
          <w:snapToGrid/>
          <w:color w:val="000000"/>
          <w:kern w:val="1"/>
          <w:sz w:val="27"/>
          <w:szCs w:val="27"/>
          <w:lang w:val="en-US" w:eastAsia="zh-CN" w:bidi="ar"/>
        </w:rPr>
        <w:t>评价工作组基于各级党委政府最新的一系列政策、法规、制度，根据不同行业领域的项目特点，参照本地经济社会发展以及财政供给水平，结合不同部门、不同地域的客观因素，科学、合理地设置本项目绩效评价指标体系。具体包括：①评价指标体系初构；②评价指标体系检验；③工作组专家评议；④专业审核委员会审核；⑤报委托方审核；⑥经委托方批准后使用。</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（2）评价实施阶段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1）评价工作组正式进驻现场。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①收集资料。评价工作组联系被评价单位，由其提供相关基础资料；评价工作组对所提供数据资料进行整理、核实、审验，确定可采纳资料目录；</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②实地测评。评价工作组通过实地勘察和测评，获取评价第一手资料，在此基础上，结合从其他渠道获取的资料，进行交互验证，筛选出可采纳数据资料；</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③沟通落实。评价工作组到项目现场采取勘查、问询、复核等多种方式，与被评价单位进行沟通交流，对信息不明确的数据资料进行确认，对拟采纳使用的数据资料进行落实。</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2）分类整理、统计汇总、综合分析。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评价工作组进行案卷研究，通过分类整理、统计汇总、综合分析，按照设立的评价指标、标准、方法实施评价，并形成评价结论。</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①工作组对采集的数据资料进行分类整理、复核汇总，同时根据实际情况要求有关单位补充更新资料；</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②统计、分析相关数据资料，依据指标体系分类，进行逐项分析和综合分析；</w:t>
      </w:r>
    </w:p>
    <w:p>
      <w:pPr>
        <w:keepNext w:val="0"/>
        <w:keepLines w:val="0"/>
        <w:widowControl w:val="0"/>
        <w:suppressLineNumbers w:val="0"/>
        <w:kinsoku w:val="0"/>
        <w:overflowPunct w:val="0"/>
        <w:autoSpaceDE w:val="0"/>
        <w:autoSpaceDN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③在充分分析的基础上，按照设立的评价指标、标准、方法进行打分；</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④得出初步评价结论。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b/>
          <w:bCs w:val="0"/>
          <w:kern w:val="2"/>
          <w:sz w:val="27"/>
          <w:szCs w:val="27"/>
        </w:rPr>
      </w:pPr>
      <w:r>
        <w:rPr>
          <w:rFonts w:hint="eastAsia" w:ascii="宋体" w:hAnsi="宋体" w:eastAsia="宋体" w:cs="宋体"/>
          <w:b/>
          <w:bCs w:val="0"/>
          <w:snapToGrid/>
          <w:kern w:val="2"/>
          <w:sz w:val="27"/>
          <w:szCs w:val="27"/>
          <w:lang w:val="en-US" w:eastAsia="zh-CN" w:bidi="ar"/>
        </w:rPr>
        <w:t>（3）评价总结阶段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1）撰写绩效评价报告初稿。按照财政部门绩效评价报告规范要求撰写评价报告，除须符合第三方报告质量要求外，报告内容应体现第三方评价的公正性、客观性、独立性；</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2）送被评价项目相关单位就报告反映内容的真实性、完整性征询意见（其中不含我方的绩效分析、反映的问题和提出的意见建议）；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3）工作组专家评议，根据专家意见进行修改；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4）公司专业审核委员会进行审议，根据审议意见进行修改；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5）报送委托方，根据委托方意见作最终修改、定稿；</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6）将正式绩效评价报告报送委托方。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正式绩效评价报告定稿后，统一使用A4纸打印，按规定格式装订，并在规定时间内提交，同时附评价有关资料，包括项目相关资料、工作底稿等。并根据档案管理的有关要求，完善评价工作档案并及时归档，以备存查。</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四、评价结论和指标分析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b/>
          <w:bCs/>
          <w:kern w:val="2"/>
          <w:sz w:val="28"/>
          <w:szCs w:val="28"/>
        </w:rPr>
      </w:pPr>
      <w:r>
        <w:rPr>
          <w:rFonts w:hint="eastAsia" w:ascii="宋体" w:hAnsi="宋体" w:eastAsia="宋体" w:cs="宋体"/>
          <w:b/>
          <w:bCs/>
          <w:snapToGrid/>
          <w:kern w:val="2"/>
          <w:sz w:val="28"/>
          <w:szCs w:val="28"/>
          <w:lang w:val="en-US" w:eastAsia="zh-CN" w:bidi="ar"/>
        </w:rPr>
        <w:t>（一）综合评价结论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我们通过对该项目的决策、过程、产出及效益等方面进行综合绩效评价，确定决策部分满分</w:t>
      </w:r>
      <w:r>
        <w:rPr>
          <w:rFonts w:hint="eastAsia" w:ascii="宋体" w:hAnsi="等线" w:eastAsia="宋体" w:cs="Times New Roman"/>
          <w:snapToGrid/>
          <w:kern w:val="2"/>
          <w:sz w:val="27"/>
          <w:szCs w:val="27"/>
          <w:lang w:val="en-US" w:eastAsia="zh-CN" w:bidi="ar"/>
        </w:rPr>
        <w:t>15</w:t>
      </w:r>
      <w:r>
        <w:rPr>
          <w:rFonts w:hint="eastAsia" w:ascii="宋体" w:hAnsi="宋体" w:eastAsia="宋体" w:cs="宋体"/>
          <w:snapToGrid/>
          <w:kern w:val="2"/>
          <w:sz w:val="27"/>
          <w:szCs w:val="27"/>
          <w:lang w:val="en-US" w:eastAsia="zh-CN" w:bidi="ar"/>
        </w:rPr>
        <w:t>分，得</w:t>
      </w:r>
      <w:r>
        <w:rPr>
          <w:rFonts w:hint="eastAsia" w:ascii="宋体" w:hAnsi="等线" w:eastAsia="宋体" w:cs="Times New Roman"/>
          <w:snapToGrid/>
          <w:kern w:val="2"/>
          <w:sz w:val="27"/>
          <w:szCs w:val="27"/>
          <w:lang w:val="en-US" w:eastAsia="zh-CN" w:bidi="ar"/>
        </w:rPr>
        <w:t>11</w:t>
      </w:r>
      <w:r>
        <w:rPr>
          <w:rFonts w:hint="eastAsia" w:ascii="宋体" w:hAnsi="宋体" w:eastAsia="宋体" w:cs="宋体"/>
          <w:snapToGrid/>
          <w:kern w:val="2"/>
          <w:sz w:val="27"/>
          <w:szCs w:val="27"/>
          <w:lang w:val="en-US" w:eastAsia="zh-CN" w:bidi="ar"/>
        </w:rPr>
        <w:t>分；过程部分满分</w:t>
      </w:r>
      <w:r>
        <w:rPr>
          <w:rFonts w:hint="eastAsia" w:ascii="宋体" w:hAnsi="等线" w:eastAsia="宋体" w:cs="Times New Roman"/>
          <w:snapToGrid/>
          <w:kern w:val="2"/>
          <w:sz w:val="27"/>
          <w:szCs w:val="27"/>
          <w:lang w:val="en-US" w:eastAsia="zh-CN" w:bidi="ar"/>
        </w:rPr>
        <w:t>25分</w:t>
      </w:r>
      <w:r>
        <w:rPr>
          <w:rFonts w:hint="eastAsia" w:ascii="宋体" w:hAnsi="宋体" w:eastAsia="宋体" w:cs="宋体"/>
          <w:snapToGrid/>
          <w:kern w:val="2"/>
          <w:sz w:val="27"/>
          <w:szCs w:val="27"/>
          <w:lang w:val="en-US" w:eastAsia="zh-CN" w:bidi="ar"/>
        </w:rPr>
        <w:t>，得</w:t>
      </w:r>
      <w:r>
        <w:rPr>
          <w:rFonts w:hint="eastAsia" w:ascii="宋体" w:hAnsi="等线" w:eastAsia="宋体" w:cs="Times New Roman"/>
          <w:snapToGrid/>
          <w:kern w:val="2"/>
          <w:sz w:val="27"/>
          <w:szCs w:val="27"/>
          <w:lang w:val="en-US" w:eastAsia="zh-CN" w:bidi="ar"/>
        </w:rPr>
        <w:t>23分；</w:t>
      </w:r>
      <w:r>
        <w:rPr>
          <w:rFonts w:hint="eastAsia" w:ascii="宋体" w:hAnsi="宋体" w:eastAsia="宋体" w:cs="宋体"/>
          <w:snapToGrid/>
          <w:kern w:val="2"/>
          <w:sz w:val="27"/>
          <w:szCs w:val="27"/>
          <w:lang w:val="en-US" w:eastAsia="zh-CN" w:bidi="ar"/>
        </w:rPr>
        <w:t>产出部分满分4</w:t>
      </w:r>
      <w:r>
        <w:rPr>
          <w:rFonts w:hint="eastAsia" w:ascii="宋体" w:hAnsi="等线" w:eastAsia="宋体" w:cs="Times New Roman"/>
          <w:snapToGrid/>
          <w:kern w:val="2"/>
          <w:sz w:val="27"/>
          <w:szCs w:val="27"/>
          <w:lang w:val="en-US" w:eastAsia="zh-CN" w:bidi="ar"/>
        </w:rPr>
        <w:t>0</w:t>
      </w:r>
      <w:r>
        <w:rPr>
          <w:rFonts w:hint="eastAsia" w:ascii="宋体" w:hAnsi="宋体" w:eastAsia="宋体" w:cs="宋体"/>
          <w:snapToGrid/>
          <w:kern w:val="2"/>
          <w:sz w:val="27"/>
          <w:szCs w:val="27"/>
          <w:lang w:val="en-US" w:eastAsia="zh-CN" w:bidi="ar"/>
        </w:rPr>
        <w:t>分，得3</w:t>
      </w:r>
      <w:r>
        <w:rPr>
          <w:rFonts w:hint="eastAsia" w:ascii="宋体" w:hAnsi="等线" w:eastAsia="宋体" w:cs="Times New Roman"/>
          <w:snapToGrid/>
          <w:kern w:val="2"/>
          <w:sz w:val="27"/>
          <w:szCs w:val="27"/>
          <w:lang w:val="en-US" w:eastAsia="zh-CN" w:bidi="ar"/>
        </w:rPr>
        <w:t>1.73</w:t>
      </w:r>
      <w:r>
        <w:rPr>
          <w:rFonts w:hint="eastAsia" w:ascii="宋体" w:hAnsi="宋体" w:eastAsia="宋体" w:cs="宋体"/>
          <w:snapToGrid/>
          <w:kern w:val="2"/>
          <w:sz w:val="27"/>
          <w:szCs w:val="27"/>
          <w:lang w:val="en-US" w:eastAsia="zh-CN" w:bidi="ar"/>
        </w:rPr>
        <w:t>分；效益部分满分</w:t>
      </w:r>
      <w:r>
        <w:rPr>
          <w:rFonts w:hint="eastAsia" w:ascii="宋体" w:hAnsi="等线" w:eastAsia="宋体" w:cs="Times New Roman"/>
          <w:snapToGrid/>
          <w:kern w:val="2"/>
          <w:sz w:val="27"/>
          <w:szCs w:val="27"/>
          <w:lang w:val="en-US" w:eastAsia="zh-CN" w:bidi="ar"/>
        </w:rPr>
        <w:t>2</w:t>
      </w:r>
      <w:r>
        <w:rPr>
          <w:rFonts w:hint="eastAsia" w:ascii="宋体" w:hAnsi="宋体" w:eastAsia="宋体" w:cs="宋体"/>
          <w:snapToGrid/>
          <w:kern w:val="2"/>
          <w:sz w:val="27"/>
          <w:szCs w:val="27"/>
          <w:lang w:val="en-US" w:eastAsia="zh-CN" w:bidi="ar"/>
        </w:rPr>
        <w:t>0分，得</w:t>
      </w:r>
      <w:r>
        <w:rPr>
          <w:rFonts w:hint="eastAsia" w:ascii="宋体" w:hAnsi="等线" w:eastAsia="宋体" w:cs="Times New Roman"/>
          <w:snapToGrid/>
          <w:kern w:val="2"/>
          <w:sz w:val="27"/>
          <w:szCs w:val="27"/>
          <w:lang w:val="en-US" w:eastAsia="zh-CN" w:bidi="ar"/>
        </w:rPr>
        <w:t>20</w:t>
      </w:r>
      <w:r>
        <w:rPr>
          <w:rFonts w:hint="eastAsia" w:ascii="宋体" w:hAnsi="宋体" w:eastAsia="宋体" w:cs="宋体"/>
          <w:snapToGrid/>
          <w:kern w:val="2"/>
          <w:sz w:val="27"/>
          <w:szCs w:val="27"/>
          <w:lang w:val="en-US" w:eastAsia="zh-CN" w:bidi="ar"/>
        </w:rPr>
        <w:t>分。根据绩效评价指标体系及评分规则，确定临淄区农村房地一体不动产确权登记项目绩效评价最终得分为</w:t>
      </w:r>
      <w:r>
        <w:rPr>
          <w:rFonts w:hint="eastAsia" w:ascii="宋体" w:hAnsi="等线" w:eastAsia="宋体" w:cs="Times New Roman"/>
          <w:snapToGrid/>
          <w:kern w:val="2"/>
          <w:sz w:val="27"/>
          <w:szCs w:val="27"/>
          <w:lang w:val="en-US" w:eastAsia="zh-CN" w:bidi="ar"/>
        </w:rPr>
        <w:t>85.73</w:t>
      </w:r>
      <w:r>
        <w:rPr>
          <w:rFonts w:hint="eastAsia" w:ascii="宋体" w:hAnsi="宋体" w:eastAsia="宋体" w:cs="宋体"/>
          <w:snapToGrid/>
          <w:kern w:val="2"/>
          <w:sz w:val="27"/>
          <w:szCs w:val="27"/>
          <w:lang w:val="en-US" w:eastAsia="zh-CN" w:bidi="ar"/>
        </w:rPr>
        <w:t>分，绩效评价等级为“良”。</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等线" w:eastAsia="宋体" w:cs="Times New Roman"/>
          <w:b/>
          <w:bCs/>
          <w:kern w:val="2"/>
          <w:sz w:val="28"/>
          <w:szCs w:val="28"/>
        </w:rPr>
      </w:pPr>
      <w:r>
        <w:rPr>
          <w:rFonts w:hint="eastAsia" w:ascii="宋体" w:hAnsi="宋体" w:eastAsia="宋体" w:cs="宋体"/>
          <w:b/>
          <w:bCs/>
          <w:snapToGrid/>
          <w:kern w:val="2"/>
          <w:sz w:val="28"/>
          <w:szCs w:val="28"/>
          <w:lang w:val="en-US" w:eastAsia="zh-CN" w:bidi="ar"/>
        </w:rPr>
        <w:t>（二）绩效分析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决策方面。项目立项上，该项目依据国家、省、市关于开展农村房地一体不动产确权登记工作的相关政策和发展规划组织立项，立项依据充分。立项程序上，项目立项程序规范，申报流程符合项目立项过程要求。绩效目标设置上，该项目虽设置了绩效目标，但绩效目标合理性、科学性不足，绩效目标编制不规范；资金投入上，项目预算编制合理，预算内容符合项目实施要求，预算额度测算依据充分、标准明确。项目决策满分</w:t>
      </w:r>
      <w:r>
        <w:rPr>
          <w:rFonts w:hint="eastAsia" w:ascii="宋体" w:hAnsi="等线" w:eastAsia="宋体" w:cs="Times New Roman"/>
          <w:snapToGrid/>
          <w:kern w:val="2"/>
          <w:sz w:val="27"/>
          <w:szCs w:val="27"/>
          <w:lang w:val="en-US" w:eastAsia="zh-CN" w:bidi="ar"/>
        </w:rPr>
        <w:t>15分，因绩效目标编制不规范等原因，扣4分，此项得11分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过程方面。资金管理上，该项目预算资金执行情况良好，资金使用规范。组织实施上，项目组织管理规范，业务管理及财务管理制度健全，财务管理工作总体规范；政府采购合规，项目申购审批程序规范，审批文件齐全，招投标信息、中标公告等公开及时；宣传及培训工作开展情况总体较好，但农村房地一体不动产确权登记宣传效果一般；农村房地一体不动产确权登记工作流程规范，确权登记申报材料完整、规范；项目监督管理情况一般。项目过程满分</w:t>
      </w:r>
      <w:r>
        <w:rPr>
          <w:rFonts w:hint="eastAsia" w:ascii="宋体" w:hAnsi="等线" w:eastAsia="宋体" w:cs="Times New Roman"/>
          <w:snapToGrid/>
          <w:kern w:val="2"/>
          <w:sz w:val="27"/>
          <w:szCs w:val="27"/>
          <w:lang w:val="en-US" w:eastAsia="zh-CN" w:bidi="ar"/>
        </w:rPr>
        <w:t>25分，因</w:t>
      </w:r>
      <w:r>
        <w:rPr>
          <w:rFonts w:hint="eastAsia" w:ascii="宋体" w:hAnsi="宋体" w:eastAsia="宋体" w:cs="宋体"/>
          <w:snapToGrid/>
          <w:kern w:val="2"/>
          <w:sz w:val="27"/>
          <w:szCs w:val="27"/>
          <w:lang w:val="en-US" w:eastAsia="zh-CN" w:bidi="ar"/>
        </w:rPr>
        <w:t>项目监督管理情况一般等原因，扣</w:t>
      </w:r>
      <w:r>
        <w:rPr>
          <w:rFonts w:hint="eastAsia" w:ascii="宋体" w:hAnsi="等线" w:eastAsia="宋体" w:cs="Times New Roman"/>
          <w:snapToGrid/>
          <w:kern w:val="2"/>
          <w:sz w:val="27"/>
          <w:szCs w:val="27"/>
          <w:lang w:val="en-US" w:eastAsia="zh-CN" w:bidi="ar"/>
        </w:rPr>
        <w:t>2分，此项得23分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项目产出方面。产出数量上，临淄区在全区范围内开展了农村不动产确权登记工作，截至2</w:t>
      </w:r>
      <w:r>
        <w:rPr>
          <w:rFonts w:hint="eastAsia" w:ascii="宋体" w:hAnsi="宋体" w:eastAsia="宋体" w:cs="Times New Roman"/>
          <w:snapToGrid/>
          <w:kern w:val="2"/>
          <w:sz w:val="27"/>
          <w:szCs w:val="27"/>
          <w:lang w:val="en-US" w:eastAsia="zh-CN" w:bidi="ar"/>
        </w:rPr>
        <w:t>022</w:t>
      </w:r>
      <w:r>
        <w:rPr>
          <w:rFonts w:hint="eastAsia" w:ascii="宋体" w:hAnsi="宋体" w:eastAsia="宋体" w:cs="宋体"/>
          <w:snapToGrid/>
          <w:kern w:val="2"/>
          <w:sz w:val="27"/>
          <w:szCs w:val="27"/>
          <w:lang w:val="en-US" w:eastAsia="zh-CN" w:bidi="ar"/>
        </w:rPr>
        <w:t>年6月2</w:t>
      </w:r>
      <w:r>
        <w:rPr>
          <w:rFonts w:hint="eastAsia" w:ascii="宋体" w:hAnsi="宋体" w:eastAsia="宋体" w:cs="Times New Roman"/>
          <w:snapToGrid/>
          <w:kern w:val="2"/>
          <w:sz w:val="27"/>
          <w:szCs w:val="27"/>
          <w:lang w:val="en-US" w:eastAsia="zh-CN" w:bidi="ar"/>
        </w:rPr>
        <w:t>5</w:t>
      </w:r>
      <w:r>
        <w:rPr>
          <w:rFonts w:hint="eastAsia" w:ascii="宋体" w:hAnsi="宋体" w:eastAsia="宋体" w:cs="宋体"/>
          <w:snapToGrid/>
          <w:kern w:val="2"/>
          <w:sz w:val="27"/>
          <w:szCs w:val="27"/>
          <w:lang w:val="en-US" w:eastAsia="zh-CN" w:bidi="ar"/>
        </w:rPr>
        <w:t>日，</w:t>
      </w:r>
      <w:r>
        <w:rPr>
          <w:rFonts w:hint="eastAsia" w:ascii="宋体" w:hAnsi="宋体" w:eastAsia="宋体" w:cs="宋体"/>
          <w:bCs/>
          <w:snapToGrid/>
          <w:kern w:val="2"/>
          <w:sz w:val="27"/>
          <w:szCs w:val="27"/>
          <w:lang w:val="en-US" w:eastAsia="zh-CN" w:bidi="ar"/>
        </w:rPr>
        <w:t>临淄区已完成宅基地权籍调查约123000宗，权籍调查完成率约92%，集体建设用地共9822宗</w:t>
      </w:r>
      <w:r>
        <w:rPr>
          <w:rFonts w:hint="eastAsia" w:ascii="宋体" w:hAnsi="宋体" w:eastAsia="宋体" w:cs="宋体"/>
          <w:snapToGrid/>
          <w:kern w:val="2"/>
          <w:sz w:val="27"/>
          <w:szCs w:val="27"/>
          <w:lang w:val="en-US" w:eastAsia="zh-CN" w:bidi="ar"/>
        </w:rPr>
        <w:t>，</w:t>
      </w:r>
      <w:r>
        <w:rPr>
          <w:rFonts w:hint="eastAsia" w:ascii="宋体" w:hAnsi="宋体" w:eastAsia="宋体" w:cs="宋体"/>
          <w:bCs/>
          <w:snapToGrid/>
          <w:kern w:val="2"/>
          <w:sz w:val="27"/>
          <w:szCs w:val="27"/>
          <w:lang w:val="en-US" w:eastAsia="zh-CN" w:bidi="ar"/>
        </w:rPr>
        <w:t>权籍调查完成率100%</w:t>
      </w:r>
      <w:r>
        <w:rPr>
          <w:rFonts w:hint="eastAsia" w:ascii="宋体" w:hAnsi="宋体" w:eastAsia="宋体" w:cs="宋体"/>
          <w:snapToGrid/>
          <w:kern w:val="2"/>
          <w:sz w:val="27"/>
          <w:szCs w:val="27"/>
          <w:lang w:val="en-US" w:eastAsia="zh-CN" w:bidi="ar"/>
        </w:rPr>
        <w:t>；全区农村宅基地应登记发证7</w:t>
      </w:r>
      <w:r>
        <w:rPr>
          <w:rFonts w:hint="eastAsia" w:ascii="宋体" w:hAnsi="等线" w:eastAsia="宋体" w:cs="Times New Roman"/>
          <w:snapToGrid/>
          <w:kern w:val="2"/>
          <w:sz w:val="27"/>
          <w:szCs w:val="27"/>
          <w:lang w:val="en-US" w:eastAsia="zh-CN" w:bidi="ar"/>
        </w:rPr>
        <w:t>6847</w:t>
      </w:r>
      <w:r>
        <w:rPr>
          <w:rFonts w:hint="eastAsia" w:ascii="宋体" w:hAnsi="宋体" w:eastAsia="宋体" w:cs="宋体"/>
          <w:snapToGrid/>
          <w:kern w:val="2"/>
          <w:sz w:val="27"/>
          <w:szCs w:val="27"/>
          <w:lang w:val="en-US" w:eastAsia="zh-CN" w:bidi="ar"/>
        </w:rPr>
        <w:t>宗，已登记发证数</w:t>
      </w:r>
      <w:r>
        <w:rPr>
          <w:rFonts w:hint="eastAsia" w:ascii="宋体" w:hAnsi="宋体" w:eastAsia="宋体" w:cs="宋体"/>
          <w:bCs/>
          <w:snapToGrid/>
          <w:kern w:val="2"/>
          <w:sz w:val="27"/>
          <w:szCs w:val="27"/>
          <w:lang w:val="en-US" w:eastAsia="zh-CN" w:bidi="ar"/>
        </w:rPr>
        <w:t>55682</w:t>
      </w:r>
      <w:r>
        <w:rPr>
          <w:rFonts w:hint="eastAsia" w:ascii="宋体" w:hAnsi="宋体" w:eastAsia="宋体" w:cs="宋体"/>
          <w:snapToGrid/>
          <w:kern w:val="2"/>
          <w:sz w:val="27"/>
          <w:szCs w:val="27"/>
          <w:lang w:val="en-US" w:eastAsia="zh-CN" w:bidi="ar"/>
        </w:rPr>
        <w:t>宗，登记率</w:t>
      </w:r>
      <w:r>
        <w:rPr>
          <w:rFonts w:hint="eastAsia" w:ascii="宋体" w:hAnsi="等线" w:eastAsia="宋体" w:cs="Times New Roman"/>
          <w:snapToGrid/>
          <w:kern w:val="2"/>
          <w:sz w:val="27"/>
          <w:szCs w:val="27"/>
          <w:lang w:val="en-US" w:eastAsia="zh-CN" w:bidi="ar"/>
        </w:rPr>
        <w:t>72.46</w:t>
      </w:r>
      <w:r>
        <w:rPr>
          <w:rFonts w:hint="eastAsia" w:ascii="宋体" w:hAnsi="宋体" w:eastAsia="宋体" w:cs="宋体"/>
          <w:snapToGrid/>
          <w:kern w:val="2"/>
          <w:sz w:val="27"/>
          <w:szCs w:val="27"/>
          <w:lang w:val="en-US" w:eastAsia="zh-CN" w:bidi="ar"/>
        </w:rPr>
        <w:t>%，集体建设用地应登记发证</w:t>
      </w:r>
      <w:r>
        <w:rPr>
          <w:rFonts w:hint="eastAsia" w:ascii="宋体" w:hAnsi="等线" w:eastAsia="宋体" w:cs="Times New Roman"/>
          <w:snapToGrid/>
          <w:kern w:val="2"/>
          <w:sz w:val="27"/>
          <w:szCs w:val="27"/>
          <w:lang w:val="en-US" w:eastAsia="zh-CN" w:bidi="ar"/>
        </w:rPr>
        <w:t>236宗</w:t>
      </w:r>
      <w:r>
        <w:rPr>
          <w:rFonts w:hint="eastAsia" w:ascii="宋体" w:hAnsi="宋体" w:eastAsia="宋体" w:cs="宋体"/>
          <w:snapToGrid/>
          <w:kern w:val="2"/>
          <w:sz w:val="27"/>
          <w:szCs w:val="27"/>
          <w:lang w:val="en-US" w:eastAsia="zh-CN" w:bidi="ar"/>
        </w:rPr>
        <w:t>，登记发证率</w:t>
      </w:r>
      <w:r>
        <w:rPr>
          <w:rFonts w:hint="eastAsia" w:ascii="宋体" w:hAnsi="等线" w:eastAsia="宋体" w:cs="Times New Roman"/>
          <w:snapToGrid/>
          <w:kern w:val="2"/>
          <w:sz w:val="27"/>
          <w:szCs w:val="27"/>
          <w:lang w:val="en-US" w:eastAsia="zh-CN" w:bidi="ar"/>
        </w:rPr>
        <w:t>100%</w:t>
      </w:r>
      <w:r>
        <w:rPr>
          <w:rFonts w:hint="eastAsia" w:ascii="宋体" w:hAnsi="宋体" w:eastAsia="宋体" w:cs="宋体"/>
          <w:snapToGrid/>
          <w:kern w:val="2"/>
          <w:sz w:val="27"/>
          <w:szCs w:val="27"/>
          <w:lang w:val="en-US" w:eastAsia="zh-CN" w:bidi="ar"/>
        </w:rPr>
        <w:t>。产出质量上，权籍调查数据库已按相关要求建立，但因房地一体不动产确权登记工作尚未完成，区自然资源局尚未组织验收。产出时效上，截至2</w:t>
      </w:r>
      <w:r>
        <w:rPr>
          <w:rFonts w:hint="eastAsia" w:ascii="宋体" w:hAnsi="等线" w:eastAsia="宋体" w:cs="Times New Roman"/>
          <w:snapToGrid/>
          <w:kern w:val="2"/>
          <w:sz w:val="27"/>
          <w:szCs w:val="27"/>
          <w:lang w:val="en-US" w:eastAsia="zh-CN" w:bidi="ar"/>
        </w:rPr>
        <w:t>022</w:t>
      </w:r>
      <w:r>
        <w:rPr>
          <w:rFonts w:hint="eastAsia" w:ascii="宋体" w:hAnsi="宋体" w:eastAsia="宋体" w:cs="宋体"/>
          <w:snapToGrid/>
          <w:kern w:val="2"/>
          <w:sz w:val="27"/>
          <w:szCs w:val="27"/>
          <w:lang w:val="en-US" w:eastAsia="zh-CN" w:bidi="ar"/>
        </w:rPr>
        <w:t>年6月2</w:t>
      </w:r>
      <w:r>
        <w:rPr>
          <w:rFonts w:hint="eastAsia" w:ascii="宋体" w:hAnsi="等线" w:eastAsia="宋体" w:cs="Times New Roman"/>
          <w:snapToGrid/>
          <w:kern w:val="2"/>
          <w:sz w:val="27"/>
          <w:szCs w:val="27"/>
          <w:lang w:val="en-US" w:eastAsia="zh-CN" w:bidi="ar"/>
        </w:rPr>
        <w:t>5</w:t>
      </w:r>
      <w:r>
        <w:rPr>
          <w:rFonts w:hint="eastAsia" w:ascii="宋体" w:hAnsi="宋体" w:eastAsia="宋体" w:cs="宋体"/>
          <w:snapToGrid/>
          <w:kern w:val="2"/>
          <w:sz w:val="27"/>
          <w:szCs w:val="27"/>
          <w:lang w:val="en-US" w:eastAsia="zh-CN" w:bidi="ar"/>
        </w:rPr>
        <w:t>日，临淄区未按项目计划完成房地一体不动产权籍调查及确权登记工作。产出成本上，该项目成本节约率为1</w:t>
      </w:r>
      <w:r>
        <w:rPr>
          <w:rFonts w:hint="eastAsia" w:ascii="宋体" w:hAnsi="等线" w:eastAsia="宋体" w:cs="Times New Roman"/>
          <w:snapToGrid/>
          <w:kern w:val="2"/>
          <w:sz w:val="27"/>
          <w:szCs w:val="27"/>
          <w:lang w:val="en-US" w:eastAsia="zh-CN" w:bidi="ar"/>
        </w:rPr>
        <w:t>.43</w:t>
      </w:r>
      <w:r>
        <w:rPr>
          <w:rFonts w:hint="eastAsia" w:ascii="宋体" w:hAnsi="宋体" w:eastAsia="宋体" w:cs="宋体"/>
          <w:snapToGrid/>
          <w:kern w:val="2"/>
          <w:sz w:val="27"/>
          <w:szCs w:val="27"/>
          <w:lang w:val="en-US" w:eastAsia="zh-CN" w:bidi="ar"/>
        </w:rPr>
        <w:t>%，成本控制力度有待进一步加强。项目产出4</w:t>
      </w:r>
      <w:r>
        <w:rPr>
          <w:rFonts w:hint="eastAsia" w:ascii="宋体" w:hAnsi="等线" w:eastAsia="宋体" w:cs="Times New Roman"/>
          <w:snapToGrid/>
          <w:kern w:val="2"/>
          <w:sz w:val="27"/>
          <w:szCs w:val="27"/>
          <w:lang w:val="en-US" w:eastAsia="zh-CN" w:bidi="ar"/>
        </w:rPr>
        <w:t>0分，因</w:t>
      </w:r>
      <w:r>
        <w:rPr>
          <w:rFonts w:hint="eastAsia" w:ascii="宋体" w:hAnsi="宋体" w:eastAsia="宋体" w:cs="宋体"/>
          <w:snapToGrid/>
          <w:kern w:val="2"/>
          <w:sz w:val="27"/>
          <w:szCs w:val="27"/>
          <w:lang w:val="en-US" w:eastAsia="zh-CN" w:bidi="ar"/>
        </w:rPr>
        <w:t>不动产确权登记工作尚未完成、成本控制情况一般等原因，扣</w:t>
      </w:r>
      <w:r>
        <w:rPr>
          <w:rFonts w:hint="eastAsia" w:ascii="宋体" w:hAnsi="等线" w:eastAsia="宋体" w:cs="Times New Roman"/>
          <w:snapToGrid/>
          <w:kern w:val="2"/>
          <w:sz w:val="27"/>
          <w:szCs w:val="27"/>
          <w:lang w:val="en-US" w:eastAsia="zh-CN" w:bidi="ar"/>
        </w:rPr>
        <w:t>8.27分，此项得31.73分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项目效益方面。临淄区通过开展农村房地一体不动产登记工作，对农村宅基地和集体建设用地使用权以及房屋所有权进行确认和保护，将赋予农民更多的财产权利，为农民增加财产性收入提供产权保障，为农业农村发展奠定基础，为全面实施乡村振兴战略提供支撑，社会效益及可持续影响情况良好。项目效益满分</w:t>
      </w:r>
      <w:r>
        <w:rPr>
          <w:rFonts w:hint="eastAsia" w:ascii="宋体" w:hAnsi="等线" w:eastAsia="宋体" w:cs="Times New Roman"/>
          <w:snapToGrid/>
          <w:kern w:val="2"/>
          <w:sz w:val="27"/>
          <w:szCs w:val="27"/>
          <w:lang w:val="en-US" w:eastAsia="zh-CN" w:bidi="ar"/>
        </w:rPr>
        <w:t>20分，得20分</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五、存在问题及原因分析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kern w:val="2"/>
          <w:sz w:val="27"/>
          <w:szCs w:val="27"/>
        </w:rPr>
      </w:pPr>
      <w:r>
        <w:rPr>
          <w:rFonts w:hint="eastAsia" w:ascii="宋体" w:hAnsi="宋体" w:eastAsia="宋体" w:cs="宋体"/>
          <w:b/>
          <w:bCs/>
          <w:snapToGrid/>
          <w:kern w:val="2"/>
          <w:sz w:val="27"/>
          <w:szCs w:val="27"/>
          <w:lang w:val="en-US" w:eastAsia="zh-CN" w:bidi="ar"/>
        </w:rPr>
        <w:t>（一）房地一体不动产确权登记工作进展缓慢。</w:t>
      </w:r>
      <w:r>
        <w:rPr>
          <w:rFonts w:hint="eastAsia" w:ascii="宋体" w:hAnsi="宋体" w:eastAsia="宋体" w:cs="宋体"/>
          <w:snapToGrid/>
          <w:kern w:val="2"/>
          <w:sz w:val="27"/>
          <w:szCs w:val="27"/>
          <w:lang w:val="en-US" w:eastAsia="zh-CN" w:bidi="ar"/>
        </w:rPr>
        <w:t>该项目自2</w:t>
      </w:r>
      <w:r>
        <w:rPr>
          <w:rFonts w:hint="eastAsia" w:ascii="宋体" w:hAnsi="等线" w:eastAsia="宋体" w:cs="Times New Roman"/>
          <w:snapToGrid/>
          <w:kern w:val="2"/>
          <w:sz w:val="27"/>
          <w:szCs w:val="27"/>
          <w:lang w:val="en-US" w:eastAsia="zh-CN" w:bidi="ar"/>
        </w:rPr>
        <w:t>020</w:t>
      </w:r>
      <w:r>
        <w:rPr>
          <w:rFonts w:hint="eastAsia" w:ascii="宋体" w:hAnsi="宋体" w:eastAsia="宋体" w:cs="宋体"/>
          <w:snapToGrid/>
          <w:kern w:val="2"/>
          <w:sz w:val="27"/>
          <w:szCs w:val="27"/>
          <w:lang w:val="en-US" w:eastAsia="zh-CN" w:bidi="ar"/>
        </w:rPr>
        <w:t>年</w:t>
      </w:r>
      <w:r>
        <w:rPr>
          <w:rFonts w:hint="eastAsia" w:ascii="宋体" w:hAnsi="等线" w:eastAsia="宋体" w:cs="Times New Roman"/>
          <w:snapToGrid/>
          <w:kern w:val="2"/>
          <w:sz w:val="27"/>
          <w:szCs w:val="27"/>
          <w:lang w:val="en-US" w:eastAsia="zh-CN" w:bidi="ar"/>
        </w:rPr>
        <w:t>4</w:t>
      </w:r>
      <w:r>
        <w:rPr>
          <w:rFonts w:hint="eastAsia" w:ascii="宋体" w:hAnsi="宋体" w:eastAsia="宋体" w:cs="宋体"/>
          <w:snapToGrid/>
          <w:kern w:val="2"/>
          <w:sz w:val="27"/>
          <w:szCs w:val="27"/>
          <w:lang w:val="en-US" w:eastAsia="zh-CN" w:bidi="ar"/>
        </w:rPr>
        <w:t>月开始，计划于2</w:t>
      </w:r>
      <w:r>
        <w:rPr>
          <w:rFonts w:hint="eastAsia" w:ascii="宋体" w:hAnsi="等线" w:eastAsia="宋体" w:cs="Times New Roman"/>
          <w:snapToGrid/>
          <w:kern w:val="2"/>
          <w:sz w:val="27"/>
          <w:szCs w:val="27"/>
          <w:lang w:val="en-US" w:eastAsia="zh-CN" w:bidi="ar"/>
        </w:rPr>
        <w:t>020</w:t>
      </w:r>
      <w:r>
        <w:rPr>
          <w:rFonts w:hint="eastAsia" w:ascii="宋体" w:hAnsi="宋体" w:eastAsia="宋体" w:cs="宋体"/>
          <w:snapToGrid/>
          <w:kern w:val="2"/>
          <w:sz w:val="27"/>
          <w:szCs w:val="27"/>
          <w:lang w:val="en-US" w:eastAsia="zh-CN" w:bidi="ar"/>
        </w:rPr>
        <w:t>年年底前完成全区3</w:t>
      </w:r>
      <w:r>
        <w:rPr>
          <w:rFonts w:hint="eastAsia" w:ascii="宋体" w:hAnsi="等线" w:eastAsia="宋体" w:cs="Times New Roman"/>
          <w:snapToGrid/>
          <w:kern w:val="2"/>
          <w:sz w:val="27"/>
          <w:szCs w:val="27"/>
          <w:lang w:val="en-US" w:eastAsia="zh-CN" w:bidi="ar"/>
        </w:rPr>
        <w:t>98</w:t>
      </w:r>
      <w:r>
        <w:rPr>
          <w:rFonts w:hint="eastAsia" w:ascii="宋体" w:hAnsi="宋体" w:eastAsia="宋体" w:cs="宋体"/>
          <w:snapToGrid/>
          <w:kern w:val="2"/>
          <w:sz w:val="27"/>
          <w:szCs w:val="27"/>
          <w:lang w:val="en-US" w:eastAsia="zh-CN" w:bidi="ar"/>
        </w:rPr>
        <w:t>个村的房地一体不动产确权登记工作。但截至2</w:t>
      </w:r>
      <w:r>
        <w:rPr>
          <w:rFonts w:hint="eastAsia" w:ascii="宋体" w:hAnsi="等线" w:eastAsia="宋体" w:cs="Times New Roman"/>
          <w:snapToGrid/>
          <w:kern w:val="2"/>
          <w:sz w:val="27"/>
          <w:szCs w:val="27"/>
          <w:lang w:val="en-US" w:eastAsia="zh-CN" w:bidi="ar"/>
        </w:rPr>
        <w:t>022</w:t>
      </w:r>
      <w:r>
        <w:rPr>
          <w:rFonts w:hint="eastAsia" w:ascii="宋体" w:hAnsi="宋体" w:eastAsia="宋体" w:cs="宋体"/>
          <w:snapToGrid/>
          <w:kern w:val="2"/>
          <w:sz w:val="27"/>
          <w:szCs w:val="27"/>
          <w:lang w:val="en-US" w:eastAsia="zh-CN" w:bidi="ar"/>
        </w:rPr>
        <w:t>年6月2</w:t>
      </w:r>
      <w:r>
        <w:rPr>
          <w:rFonts w:hint="eastAsia" w:ascii="宋体" w:hAnsi="等线" w:eastAsia="宋体" w:cs="Times New Roman"/>
          <w:snapToGrid/>
          <w:kern w:val="2"/>
          <w:sz w:val="27"/>
          <w:szCs w:val="27"/>
          <w:lang w:val="en-US" w:eastAsia="zh-CN" w:bidi="ar"/>
        </w:rPr>
        <w:t>5日</w:t>
      </w:r>
      <w:r>
        <w:rPr>
          <w:rFonts w:hint="eastAsia" w:ascii="宋体" w:hAnsi="宋体" w:eastAsia="宋体" w:cs="宋体"/>
          <w:snapToGrid/>
          <w:kern w:val="2"/>
          <w:sz w:val="27"/>
          <w:szCs w:val="27"/>
          <w:lang w:val="en-US" w:eastAsia="zh-CN" w:bidi="ar"/>
        </w:rPr>
        <w:t>，临淄区农村房地一体不动产确权登记工作尚未完成，全区农村宅基地登记发证率仅为</w:t>
      </w:r>
      <w:r>
        <w:rPr>
          <w:rFonts w:hint="eastAsia" w:ascii="宋体" w:hAnsi="等线" w:eastAsia="宋体" w:cs="Times New Roman"/>
          <w:snapToGrid/>
          <w:kern w:val="2"/>
          <w:sz w:val="27"/>
          <w:szCs w:val="27"/>
          <w:lang w:val="en-US" w:eastAsia="zh-CN" w:bidi="ar"/>
        </w:rPr>
        <w:t>72.46</w:t>
      </w:r>
      <w:r>
        <w:rPr>
          <w:rFonts w:hint="eastAsia" w:ascii="宋体" w:hAnsi="宋体" w:eastAsia="宋体" w:cs="宋体"/>
          <w:snapToGrid/>
          <w:kern w:val="2"/>
          <w:sz w:val="27"/>
          <w:szCs w:val="27"/>
          <w:lang w:val="en-US" w:eastAsia="zh-CN" w:bidi="ar"/>
        </w:rPr>
        <w:t>%。</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等线" w:eastAsia="宋体" w:cs="Times New Roman"/>
          <w:kern w:val="2"/>
          <w:sz w:val="27"/>
          <w:szCs w:val="27"/>
        </w:rPr>
      </w:pPr>
      <w:r>
        <w:rPr>
          <w:rFonts w:hint="eastAsia" w:ascii="宋体" w:hAnsi="宋体" w:eastAsia="宋体" w:cs="宋体"/>
          <w:snapToGrid/>
          <w:kern w:val="2"/>
          <w:sz w:val="27"/>
          <w:szCs w:val="27"/>
          <w:lang w:val="en-US" w:eastAsia="zh-CN" w:bidi="ar"/>
        </w:rPr>
        <w:t>经调查了解，主要原因一是镇办、村（社区）协同推进力度不够，作业人员进村入户收集资料、签字确认方面进展缓慢，耽误项目进度。二是作业单位人员、技术力量不足直接影响项目进度。三是疫情影响，耽误作业进度。</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kern w:val="2"/>
          <w:sz w:val="27"/>
          <w:szCs w:val="27"/>
        </w:rPr>
      </w:pPr>
      <w:r>
        <w:rPr>
          <w:rFonts w:hint="eastAsia" w:ascii="宋体" w:hAnsi="宋体" w:eastAsia="宋体" w:cs="宋体"/>
          <w:b/>
          <w:bCs w:val="0"/>
          <w:snapToGrid/>
          <w:kern w:val="2"/>
          <w:sz w:val="27"/>
          <w:szCs w:val="27"/>
          <w:lang w:val="en-US" w:eastAsia="zh-CN" w:bidi="ar"/>
        </w:rPr>
        <w:t>（二）项目监督管理工作有待进一步加强。</w:t>
      </w:r>
      <w:r>
        <w:rPr>
          <w:rFonts w:hint="eastAsia" w:ascii="宋体" w:hAnsi="宋体" w:eastAsia="宋体" w:cs="宋体"/>
          <w:snapToGrid/>
          <w:kern w:val="2"/>
          <w:sz w:val="27"/>
          <w:szCs w:val="27"/>
          <w:lang w:val="en-US" w:eastAsia="zh-CN" w:bidi="ar"/>
        </w:rPr>
        <w:t>区自然资源局通过每周定期召开调度会议，定期进行业务质量核查等措施对作业单位及监理单位进行监督调度。但区自然资源局在该项工作达到省定目标任务后，未对该工作进行调度，缺少2</w:t>
      </w:r>
      <w:r>
        <w:rPr>
          <w:rFonts w:hint="eastAsia" w:ascii="宋体" w:hAnsi="等线" w:eastAsia="宋体" w:cs="Times New Roman"/>
          <w:snapToGrid/>
          <w:kern w:val="2"/>
          <w:sz w:val="27"/>
          <w:szCs w:val="27"/>
          <w:lang w:val="en-US" w:eastAsia="zh-CN" w:bidi="ar"/>
        </w:rPr>
        <w:t>022</w:t>
      </w:r>
      <w:r>
        <w:rPr>
          <w:rFonts w:hint="eastAsia" w:ascii="宋体" w:hAnsi="宋体" w:eastAsia="宋体" w:cs="宋体"/>
          <w:snapToGrid/>
          <w:kern w:val="2"/>
          <w:sz w:val="27"/>
          <w:szCs w:val="27"/>
          <w:lang w:val="en-US" w:eastAsia="zh-CN" w:bidi="ar"/>
        </w:rPr>
        <w:t>年1月1</w:t>
      </w:r>
      <w:r>
        <w:rPr>
          <w:rFonts w:hint="eastAsia" w:ascii="宋体" w:hAnsi="等线" w:eastAsia="宋体" w:cs="Times New Roman"/>
          <w:snapToGrid/>
          <w:kern w:val="2"/>
          <w:sz w:val="27"/>
          <w:szCs w:val="27"/>
          <w:lang w:val="en-US" w:eastAsia="zh-CN" w:bidi="ar"/>
        </w:rPr>
        <w:t>5</w:t>
      </w:r>
      <w:r>
        <w:rPr>
          <w:rFonts w:hint="eastAsia" w:ascii="宋体" w:hAnsi="宋体" w:eastAsia="宋体" w:cs="宋体"/>
          <w:snapToGrid/>
          <w:kern w:val="2"/>
          <w:sz w:val="27"/>
          <w:szCs w:val="27"/>
          <w:lang w:val="en-US" w:eastAsia="zh-CN" w:bidi="ar"/>
        </w:rPr>
        <w:t>日至目前的《不动产确权登记工作进展统计表》。</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color w:val="000000"/>
          <w:kern w:val="2"/>
          <w:sz w:val="27"/>
          <w:szCs w:val="27"/>
        </w:rPr>
      </w:pPr>
      <w:r>
        <w:rPr>
          <w:rFonts w:hint="eastAsia" w:ascii="宋体" w:hAnsi="宋体" w:eastAsia="宋体" w:cs="宋体"/>
          <w:b/>
          <w:bCs/>
          <w:snapToGrid/>
          <w:kern w:val="2"/>
          <w:sz w:val="27"/>
          <w:szCs w:val="27"/>
          <w:lang w:val="en-US" w:eastAsia="zh-CN" w:bidi="ar"/>
        </w:rPr>
        <w:t>（三）绩效目标编制规范性有待提高。</w:t>
      </w:r>
      <w:r>
        <w:rPr>
          <w:rFonts w:hint="eastAsia" w:ascii="宋体" w:hAnsi="宋体" w:eastAsia="宋体" w:cs="宋体"/>
          <w:snapToGrid/>
          <w:color w:val="000000"/>
          <w:kern w:val="2"/>
          <w:sz w:val="27"/>
          <w:szCs w:val="27"/>
          <w:lang w:val="en-US" w:eastAsia="zh-CN" w:bidi="ar"/>
        </w:rPr>
        <w:t>一是该项目绩效目标设定不合理，目标设定不能够体现出该项目内容及预期将要达到的成效等内容。二是指标内容设置不全面，未体现农村房地一体不动产确权登记发证率及数据库建设等内容，不能对项目实施的内容及目标进行全面反映。</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snapToGrid/>
          <w:kern w:val="2"/>
          <w:sz w:val="30"/>
          <w:szCs w:val="30"/>
          <w:lang w:val="en-US" w:eastAsia="zh-CN" w:bidi="ar"/>
        </w:rPr>
        <w:t>六、有关建议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color w:val="000000"/>
          <w:kern w:val="2"/>
          <w:sz w:val="27"/>
          <w:szCs w:val="27"/>
        </w:rPr>
      </w:pPr>
      <w:r>
        <w:rPr>
          <w:rFonts w:hint="eastAsia" w:ascii="宋体" w:hAnsi="宋体" w:eastAsia="宋体" w:cs="宋体"/>
          <w:b/>
          <w:bCs/>
          <w:snapToGrid/>
          <w:color w:val="000000"/>
          <w:kern w:val="2"/>
          <w:sz w:val="27"/>
          <w:szCs w:val="27"/>
          <w:lang w:val="en-US" w:eastAsia="zh-CN" w:bidi="ar"/>
        </w:rPr>
        <w:t>（一）强化各方协作配合，加强督导调度，推进项目建设。</w:t>
      </w:r>
      <w:r>
        <w:rPr>
          <w:rFonts w:hint="eastAsia" w:ascii="宋体" w:hAnsi="宋体" w:eastAsia="宋体" w:cs="宋体"/>
          <w:snapToGrid/>
          <w:color w:val="000000"/>
          <w:kern w:val="2"/>
          <w:sz w:val="27"/>
          <w:szCs w:val="27"/>
          <w:lang w:val="en-US" w:eastAsia="zh-CN" w:bidi="ar"/>
        </w:rPr>
        <w:t>一是建议区自然资源局要积极协调属地乡镇政府（街道办事处）及村（社区居）委会，切实做好登记发证材料的初审工作，同时做好对作业单位的业务培训和指导工作，确保工作顺利开展。二是加强督导检查及调度，采取有力措施，提高监理单位、作业单位积极性，加快项目进度。</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color w:val="000000"/>
          <w:kern w:val="2"/>
          <w:sz w:val="27"/>
          <w:szCs w:val="27"/>
        </w:rPr>
      </w:pPr>
      <w:r>
        <w:rPr>
          <w:rFonts w:hint="eastAsia" w:ascii="宋体" w:hAnsi="宋体" w:eastAsia="宋体" w:cs="宋体"/>
          <w:b/>
          <w:bCs/>
          <w:snapToGrid/>
          <w:color w:val="000000"/>
          <w:kern w:val="2"/>
          <w:sz w:val="27"/>
          <w:szCs w:val="27"/>
          <w:lang w:val="en-US" w:eastAsia="zh-CN" w:bidi="ar"/>
        </w:rPr>
        <w:t>（二）加强制度执行力，推进项目建设。</w:t>
      </w:r>
      <w:r>
        <w:rPr>
          <w:rFonts w:hint="eastAsia" w:ascii="宋体" w:hAnsi="宋体" w:eastAsia="宋体" w:cs="宋体"/>
          <w:snapToGrid/>
          <w:color w:val="000000"/>
          <w:kern w:val="2"/>
          <w:sz w:val="27"/>
          <w:szCs w:val="27"/>
          <w:lang w:val="en-US" w:eastAsia="zh-CN" w:bidi="ar"/>
        </w:rPr>
        <w:t>建议区自然资源局严格按照中央、省、市关于做好农村房地一体不动产确权登记工作的相关文件要求，严格落实周例会、进度汇总、通报、定期巡查和不定期抽查等监督检查管理制度，以及时掌握真实的工作进展情况并研究解决不动产确权登记工作中遇到的问题，推进项目进度。</w:t>
      </w:r>
    </w:p>
    <w:p>
      <w:pPr>
        <w:keepNext w:val="0"/>
        <w:keepLines w:val="0"/>
        <w:widowControl w:val="0"/>
        <w:suppressLineNumbers w:val="0"/>
        <w:overflowPunct w:val="0"/>
        <w:adjustRightInd w:val="0"/>
        <w:snapToGrid w:val="0"/>
        <w:spacing w:before="0" w:beforeAutospacing="0" w:after="0" w:afterAutospacing="0" w:line="360" w:lineRule="auto"/>
        <w:ind w:left="0" w:right="0" w:firstLine="542" w:firstLineChars="200"/>
        <w:jc w:val="both"/>
        <w:rPr>
          <w:rFonts w:hint="eastAsia" w:ascii="宋体" w:hAnsi="等线" w:eastAsia="宋体" w:cs="Times New Roman"/>
          <w:color w:val="000000"/>
          <w:kern w:val="2"/>
          <w:sz w:val="27"/>
          <w:szCs w:val="27"/>
        </w:rPr>
      </w:pPr>
      <w:r>
        <w:rPr>
          <w:rFonts w:hint="eastAsia" w:ascii="宋体" w:hAnsi="宋体" w:eastAsia="宋体" w:cs="宋体"/>
          <w:b/>
          <w:bCs/>
          <w:snapToGrid/>
          <w:color w:val="000000"/>
          <w:kern w:val="2"/>
          <w:sz w:val="27"/>
          <w:szCs w:val="27"/>
          <w:lang w:val="en-US" w:eastAsia="zh-CN" w:bidi="ar"/>
        </w:rPr>
        <w:t>（三）提高绩效目标编制规范性。</w:t>
      </w:r>
      <w:r>
        <w:rPr>
          <w:rFonts w:hint="eastAsia" w:ascii="宋体" w:hAnsi="宋体" w:eastAsia="宋体" w:cs="宋体"/>
          <w:snapToGrid/>
          <w:color w:val="000000"/>
          <w:kern w:val="2"/>
          <w:sz w:val="27"/>
          <w:szCs w:val="27"/>
          <w:lang w:val="en-US" w:eastAsia="zh-CN" w:bidi="ar"/>
        </w:rPr>
        <w:t>绩效目标是绩效评价的对象计划在一定期限内达到的产出和效果，即长期目标为“概括和描述延续性项目在整个计划期内的总体产出和效果”，年度目标为“概括描述项目在本年度所计划达到的产出和效果”。绩效目标应符合客观实际，合理可行，指向明确，符合国民经济和社会发展规划、部门职能及事业发展规划，并与相应的财政支出范围、方向、效果紧密相关；且应从数量、质量、成本和时效等方面进行细化，尽量进行定量表述，不能以量化形式表述的，可以采用定性的分级分档形式表述。</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b/>
          <w:bCs w:val="0"/>
          <w:kern w:val="2"/>
          <w:sz w:val="44"/>
          <w:szCs w:val="44"/>
        </w:rPr>
      </w:pPr>
      <w:r>
        <w:rPr>
          <w:rFonts w:hint="eastAsia" w:ascii="宋体" w:hAnsi="宋体" w:eastAsia="宋体" w:cs="宋体"/>
          <w:snapToGrid/>
          <w:color w:val="000000"/>
          <w:kern w:val="2"/>
          <w:sz w:val="27"/>
          <w:szCs w:val="27"/>
          <w:lang w:val="en-US" w:eastAsia="zh-CN" w:bidi="ar"/>
        </w:rPr>
        <w:t>绩效目标设置作为项目入库和申请预算的前置条件，建议在后续预算编制的工作中，结合项目实际，客观、科学、全面地设置项目绩效目标，能够体现出项目实施在一定期限内达到的产出和效果，并以细化、量化、可衡量的指标予以体现。同时绩效指标设置应当与绩效目标有直接的联系，能够恰当反映目标的实现程度，系统反映项目支出所产生的社会效益、经济效益、环境效益和可持续影响，且应通俗易懂、简便易行，具有可操作性。</w:t>
      </w:r>
      <w:r>
        <w:rPr>
          <w:rFonts w:hint="eastAsia" w:ascii="宋体" w:hAnsi="宋体" w:eastAsia="宋体" w:cs="宋体"/>
          <w:b/>
          <w:bCs w:val="0"/>
          <w:snapToGrid/>
          <w:kern w:val="2"/>
          <w:sz w:val="44"/>
          <w:szCs w:val="44"/>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Calibri" w:eastAsia="宋体" w:cs="宋体"/>
          <w:b/>
          <w:bCs w:val="0"/>
          <w:kern w:val="2"/>
          <w:sz w:val="44"/>
          <w:szCs w:val="44"/>
        </w:rPr>
      </w:pPr>
      <w:r>
        <w:rPr>
          <w:rFonts w:hint="eastAsia" w:ascii="宋体" w:hAnsi="宋体" w:eastAsia="宋体" w:cs="宋体"/>
          <w:b/>
          <w:bCs w:val="0"/>
          <w:snapToGrid/>
          <w:kern w:val="2"/>
          <w:sz w:val="44"/>
          <w:szCs w:val="44"/>
          <w:lang w:val="en-US" w:eastAsia="zh-CN" w:bidi="ar"/>
        </w:rPr>
        <w:t>2021年临淄区课后服务经费项目</w:t>
      </w:r>
    </w:p>
    <w:p>
      <w:pPr>
        <w:keepNext w:val="0"/>
        <w:keepLines w:val="0"/>
        <w:widowControl w:val="0"/>
        <w:suppressLineNumbers w:val="0"/>
        <w:overflowPunct w:val="0"/>
        <w:adjustRightInd w:val="0"/>
        <w:snapToGrid w:val="0"/>
        <w:spacing w:before="0" w:beforeAutospacing="0" w:after="0" w:afterAutospacing="0" w:line="360" w:lineRule="auto"/>
        <w:ind w:left="0" w:right="0" w:firstLine="883" w:firstLineChars="200"/>
        <w:jc w:val="center"/>
        <w:rPr>
          <w:rFonts w:hint="eastAsia" w:ascii="宋体" w:hAnsi="宋体" w:eastAsia="宋体" w:cs="宋体"/>
          <w:b/>
          <w:bCs w:val="0"/>
          <w:snapToGrid/>
          <w:kern w:val="2"/>
          <w:sz w:val="44"/>
          <w:szCs w:val="44"/>
          <w:lang w:val="en-US" w:eastAsia="zh-CN" w:bidi="ar"/>
        </w:rPr>
      </w:pPr>
      <w:r>
        <w:rPr>
          <w:rFonts w:hint="eastAsia" w:ascii="宋体" w:hAnsi="宋体" w:eastAsia="宋体" w:cs="宋体"/>
          <w:b/>
          <w:bCs w:val="0"/>
          <w:snapToGrid/>
          <w:kern w:val="2"/>
          <w:sz w:val="44"/>
          <w:szCs w:val="44"/>
          <w:lang w:val="en-US" w:eastAsia="zh-CN" w:bidi="ar"/>
        </w:rPr>
        <w:t>绩效评价报告</w:t>
      </w:r>
    </w:p>
    <w:p>
      <w:pPr>
        <w:keepNext w:val="0"/>
        <w:keepLines w:val="0"/>
        <w:widowControl w:val="0"/>
        <w:suppressLineNumbers w:val="0"/>
        <w:overflowPunct w:val="0"/>
        <w:adjustRightInd w:val="0"/>
        <w:snapToGrid w:val="0"/>
        <w:spacing w:before="0" w:beforeAutospacing="0" w:after="0" w:afterAutospacing="0" w:line="360" w:lineRule="auto"/>
        <w:ind w:right="0"/>
        <w:jc w:val="both"/>
        <w:rPr>
          <w:rFonts w:hint="eastAsia" w:ascii="宋体" w:hAnsi="宋体" w:eastAsia="宋体" w:cs="宋体"/>
          <w:b/>
          <w:bCs w:val="0"/>
          <w:snapToGrid/>
          <w:kern w:val="2"/>
          <w:sz w:val="30"/>
          <w:szCs w:val="30"/>
          <w:lang w:val="en-US" w:eastAsia="zh-CN" w:bidi="ar"/>
        </w:rPr>
      </w:pP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一、项目基本情况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（一）项目立项背景及实施目的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rPr>
      </w:pPr>
      <w:r>
        <w:rPr>
          <w:rFonts w:hint="eastAsia" w:ascii="宋体" w:hAnsi="宋体" w:eastAsia="宋体" w:cs="宋体"/>
          <w:snapToGrid/>
          <w:kern w:val="2"/>
          <w:sz w:val="27"/>
          <w:szCs w:val="27"/>
          <w:lang w:val="en-US" w:eastAsia="zh-CN" w:bidi="ar"/>
        </w:rPr>
        <w:t>开展中小学生课后服务，是促进学生健康成长、帮助家长解决按时接送学生困难的重要举措，是进一步增强教育服务能力、使人民群众具有更多获得感和幸福感的民生工程。近年来，各地在课后服务工作方面积极探索，积累经验，但在一些地方还存在着中小学生课后服务没有开展、服务机制不健全、服务行为不规范等问题。</w:t>
      </w:r>
    </w:p>
    <w:p>
      <w:pPr>
        <w:pStyle w:val="13"/>
        <w:keepNext w:val="0"/>
        <w:keepLines w:val="0"/>
        <w:widowControl/>
        <w:suppressLineNumbers w:val="0"/>
        <w:snapToGrid w:val="0"/>
        <w:ind w:left="0" w:firstLine="540"/>
        <w:rPr>
          <w:rFonts w:hint="eastAsia" w:ascii="宋体" w:hAnsi="宋体" w:eastAsia="宋体" w:cs="宋体"/>
          <w:kern w:val="2"/>
          <w:sz w:val="27"/>
          <w:szCs w:val="27"/>
        </w:rPr>
      </w:pPr>
      <w:r>
        <w:rPr>
          <w:rFonts w:hint="eastAsia" w:ascii="宋体" w:hAnsi="宋体" w:eastAsia="宋体" w:cs="宋体"/>
          <w:kern w:val="2"/>
          <w:sz w:val="27"/>
          <w:szCs w:val="27"/>
        </w:rPr>
        <w:t>2019年7月12日，淄博市教育局等4部门联合印发《关于全面推进小学课后服务工作的意见》（淄教基字〔2019〕22号），要求“自2019年9月开学后第一周起，全市所有城区小学和有需求的农村小学课后服务全面开展，有需求的小学生全面保障，帮助家长解决下午放学后接管学生困难，更好促进学生全面发展，不断提升人民群众的获得感、幸福感、安全感。”</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highlight w:val="yellow"/>
        </w:rPr>
      </w:pPr>
      <w:r>
        <w:rPr>
          <w:rFonts w:hint="eastAsia" w:ascii="宋体" w:hAnsi="宋体" w:eastAsia="宋体" w:cs="宋体"/>
          <w:snapToGrid/>
          <w:kern w:val="2"/>
          <w:sz w:val="27"/>
          <w:szCs w:val="27"/>
          <w:lang w:val="en-US" w:eastAsia="zh-CN" w:bidi="ar"/>
        </w:rPr>
        <w:t>为切实落实各级文件要求，临淄区教育和体育局确立了课后服务项目，用以改善家长下班时间与孩子放学时间不匹配的问题。</w:t>
      </w:r>
    </w:p>
    <w:p>
      <w:pPr>
        <w:keepNext w:val="0"/>
        <w:keepLines w:val="0"/>
        <w:widowControl w:val="0"/>
        <w:numPr>
          <w:ilvl w:val="0"/>
          <w:numId w:val="1"/>
        </w:numPr>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项目预算安排和支出情况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highlight w:val="yellow"/>
        </w:rPr>
      </w:pPr>
      <w:r>
        <w:rPr>
          <w:rFonts w:hint="eastAsia" w:ascii="宋体" w:hAnsi="Calibri" w:eastAsia="宋体" w:cs="Times New Roman"/>
          <w:snapToGrid/>
          <w:kern w:val="2"/>
          <w:sz w:val="27"/>
          <w:szCs w:val="27"/>
          <w:lang w:val="en-US" w:eastAsia="zh-CN" w:bidi="ar"/>
        </w:rPr>
        <w:t>2021年，本项目年初预算203.88万元，当年实际到位96.51万元。截至年末，到位资金已全部拨付使用。</w:t>
      </w:r>
    </w:p>
    <w:p>
      <w:pPr>
        <w:keepNext w:val="0"/>
        <w:keepLines w:val="0"/>
        <w:widowControl w:val="0"/>
        <w:numPr>
          <w:ilvl w:val="0"/>
          <w:numId w:val="1"/>
        </w:numPr>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项目主要内容和实施情况</w:t>
      </w:r>
    </w:p>
    <w:p>
      <w:pPr>
        <w:pStyle w:val="10"/>
        <w:widowControl/>
        <w:ind w:left="0" w:firstLine="562"/>
        <w:rPr>
          <w:rFonts w:hint="eastAsia" w:ascii="楷体" w:hAnsi="楷体" w:eastAsia="楷体" w:cs="Times New Roman"/>
          <w:b/>
          <w:bCs w:val="0"/>
          <w:kern w:val="2"/>
          <w:sz w:val="28"/>
          <w:szCs w:val="28"/>
        </w:rPr>
      </w:pPr>
      <w:r>
        <w:rPr>
          <w:rFonts w:hint="eastAsia" w:ascii="楷体" w:hAnsi="楷体" w:eastAsia="楷体" w:cs="楷体"/>
          <w:b/>
          <w:bCs w:val="0"/>
          <w:kern w:val="2"/>
          <w:sz w:val="28"/>
          <w:szCs w:val="28"/>
        </w:rPr>
        <w:t>1.主要内容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highlight w:val="yellow"/>
        </w:rPr>
      </w:pPr>
      <w:r>
        <w:rPr>
          <w:rFonts w:hint="eastAsia" w:ascii="宋体" w:hAnsi="宋体" w:eastAsia="宋体" w:cs="宋体"/>
          <w:snapToGrid/>
          <w:kern w:val="2"/>
          <w:sz w:val="27"/>
          <w:szCs w:val="27"/>
          <w:lang w:val="en-US" w:eastAsia="zh-CN" w:bidi="ar"/>
        </w:rPr>
        <w:t>按照小学生每生每年80元的标准，落实全区小学课后服务工作，此次项目主要用于参与课后服务教师绩效工资分配、聘请的校外人员劳务补助、社会志愿者劳务补助、为参与课后服务人员购买的人身意外保险等，以及用于购买第三方机构服务、与开展课后服务工作相关的消耗品购置等支出。</w:t>
      </w:r>
    </w:p>
    <w:p>
      <w:pPr>
        <w:pStyle w:val="10"/>
        <w:widowControl/>
        <w:ind w:left="0" w:firstLine="562"/>
        <w:rPr>
          <w:rFonts w:hint="eastAsia" w:ascii="楷体" w:hAnsi="楷体" w:eastAsia="楷体" w:cs="Times New Roman"/>
          <w:b/>
          <w:bCs w:val="0"/>
          <w:kern w:val="2"/>
          <w:sz w:val="28"/>
          <w:szCs w:val="28"/>
        </w:rPr>
      </w:pPr>
      <w:r>
        <w:rPr>
          <w:rFonts w:hint="eastAsia" w:ascii="楷体" w:hAnsi="楷体" w:eastAsia="楷体" w:cs="楷体"/>
          <w:b/>
          <w:bCs w:val="0"/>
          <w:kern w:val="2"/>
          <w:sz w:val="28"/>
          <w:szCs w:val="28"/>
        </w:rPr>
        <w:t>2.实施情况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rPr>
      </w:pPr>
      <w:r>
        <w:rPr>
          <w:rFonts w:hint="eastAsia" w:ascii="宋体" w:hAnsi="宋体" w:eastAsia="宋体" w:cs="宋体"/>
          <w:snapToGrid/>
          <w:kern w:val="2"/>
          <w:sz w:val="27"/>
          <w:szCs w:val="27"/>
          <w:lang w:val="en-US" w:eastAsia="zh-CN" w:bidi="ar"/>
        </w:rPr>
        <w:t>各学校根据实际，编制课后服务实施方案，开展课后服务的各项工作，并将参与课后服务的人数，上报区教体局。区教体局核算应补贴资金并发放至学校账户。各学校根据区教体局拨付资金及课后服务教职工人数、考勤天数等核算补贴并及时发放。</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rPr>
      </w:pPr>
      <w:r>
        <w:rPr>
          <w:rFonts w:hint="eastAsia" w:ascii="宋体" w:hAnsi="宋体" w:eastAsia="宋体" w:cs="宋体"/>
          <w:snapToGrid/>
          <w:kern w:val="2"/>
          <w:sz w:val="27"/>
          <w:szCs w:val="27"/>
          <w:lang w:val="en-US" w:eastAsia="zh-CN" w:bidi="ar"/>
        </w:rPr>
        <w:t>2021年，区教体局共为35所学校发放了上半学期课后服务经费，共计补贴1518名教职工，惠及22753名学生。</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二、项目绩效目标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（一）总体绩效目标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促进教育长效发展，解决学习日家长无法按时接孩子问题，有效减轻义务教育阶段学生过重作业负担和校外培训负担。</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（二）2021年度绩效目标</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保障经费，提升教育质量，进一步增强教育服务能力，解除群众后顾之忧、保障学生健康安全，使区内广大家庭和居民具有更多获得感和幸福感。</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三、评价基本情况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（一）绩效评价目的、对象和范围</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1.绩效评价的目的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通过开展绩效评价，全面了解、分析本项目资金的拨付、管理和使用情况，了解资金申请、审批、发放、管理等环节是否科学、公正，项目实施过程与政策衔接是否有效，落实项目的产出和效益。根据项目完成情况，运用科学、规范的绩效评价方法，依据既定的评价指标体系，对财政资金的使用进行综合评判，客观反映其社会效益和可持续影响，进一步规范财政资金的分配和使用，强化监督管理机制，抓实措施，保障财政资金投入目标的落实。</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通过绩效评价，总结项目实施过程中的问题和经验，发现项目实施过程和资金管理中存在的问题，提出有针对性的改进意见和建议，进一步提高财政资金使用效益；总结预算管理经验，查找资金使用和管理中的薄弱环节，为进一步完善财政政策、改进预算管理、提高预算资金使用绩效提供依据，为后续财政资金安排提供重要参考。</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2.绩效评价对象和范围</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本次评价的对象是课后服务经费项目实施情况及财政资源配置效率和使用效益情况，结合项目立项、项目实施、资金管理、项目产出和绩效等，将评价对象细化为以下五方面：</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（1）课后服务经费项目决策情况，包括项目立项、绩效目标、资金投入情况。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（2）项目主管部门对项目实施过程的监督管理情况，项目管理、实施情况。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（3）项目资金管理及使用情况，包括资金到位情况、资金执行情况、资金管理情况。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（4）项目目标的实现程度及效果情况。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（5）根据项目实际情况确定的其他评价内容。</w:t>
      </w:r>
    </w:p>
    <w:p>
      <w:pPr>
        <w:keepNext w:val="0"/>
        <w:keepLines w:val="0"/>
        <w:widowControl w:val="0"/>
        <w:numPr>
          <w:ilvl w:val="0"/>
          <w:numId w:val="2"/>
        </w:numPr>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绩效评价原则、评价指标体系、评价方法、评价标准</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1.绩效评价原则</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（1）科学公正。运用科学合理的方法，按照规范的程序，对项目绩效进行客观、公正的反映。</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（2）统筹兼顾。职责明确，各有侧重，相互衔接。</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（3）激励约束。绩效评价结果与预算安排、政策调整、改进管理实质性挂钩，体现奖优罚劣和激励相容导向，有效要安排、低效要压减、无效要问责。</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（4）公开透明。绩效评价结果依法依规公开，并自觉接受社会监督。</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2.评价指标体系</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rPr>
      </w:pPr>
      <w:r>
        <w:rPr>
          <w:rFonts w:hint="eastAsia" w:ascii="宋体" w:hAnsi="宋体" w:eastAsia="宋体" w:cs="宋体"/>
          <w:snapToGrid/>
          <w:kern w:val="2"/>
          <w:sz w:val="27"/>
          <w:szCs w:val="27"/>
          <w:lang w:val="en-US" w:eastAsia="zh-CN" w:bidi="ar"/>
        </w:rPr>
        <w:t>根据绩效评价相关制度，结合本项目实际特点，我们组织专业力量成立绩效评价组进行指标体系的构建。绩效评价指标的研发遵循定量、定性相结合的原则，参照行业、专业标准及采集的相关数据材料制订评价标准，采用“突出问题导向、注重评价绩效”的评价方法，对评价项目进行逐步分解，评价资金使用的效率与效益。评价采用预期目标与实施效果比较方法，将绩效目标与其实际所产生的效益进行对比，对项目资金的使用绩效做出全面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针对项目的实施特点和过程，我们在深入分析的基础上，从决策、过程、产出和效益四个方面来设置评价指标体系对本项目进行评价。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3.评价方法</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通过研究分析本项目实施情况，采取成本效益分析法、比较法、因素分析法、最低成本法中的一种或多种方法相结合的方式进行评价。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4.评价标准</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经过深入调查、研究分析补贴资金投入使用及项目实施过程，总结归纳政策法规、管理办法、实施过程文件、参考资料和监督文件等五个方面，作为本次绩效评价的评价依据和标准。</w:t>
      </w:r>
    </w:p>
    <w:p>
      <w:pPr>
        <w:keepNext w:val="0"/>
        <w:keepLines w:val="0"/>
        <w:widowControl w:val="0"/>
        <w:numPr>
          <w:ilvl w:val="0"/>
          <w:numId w:val="2"/>
        </w:numPr>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绩效评价工作过程</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1．评价准备阶段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（1）成立绩效评价工作组。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（2）开展前期调研。</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（3）设计绩效评价指标体系。</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（4）制定评价实施方案。</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2．评价实施阶段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（1）现场评价。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（2）非现场评价。</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（3）形成评价初步结论。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3．评价总结阶段</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（1）拟定绩效评价报告初稿。</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（2）与区财政局进行沟通，根据其合理意见进行修改。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（3）形成新的绩效评价报告。</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（4）将正式绩效评价报告报送区财政局。</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四、评价结论和绩效分析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（一）综合评价结论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根据本项目绩效评价指标打分情况，课后服务经费项目评价的最终得分为87分，其中项目决策得分为7分，项目过程得分为23分，项目产出得分为37分，项目效益得分为20分。评价等级为“良”。</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（二）绩效分析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黑体" w:hAnsi="宋体" w:eastAsia="黑体" w:cs="黑体"/>
          <w:kern w:val="2"/>
          <w:sz w:val="30"/>
          <w:szCs w:val="30"/>
        </w:rPr>
      </w:pPr>
      <w:r>
        <w:rPr>
          <w:rFonts w:hint="eastAsia" w:ascii="宋体" w:hAnsi="宋体" w:eastAsia="宋体" w:cs="宋体"/>
          <w:snapToGrid/>
          <w:kern w:val="2"/>
          <w:sz w:val="27"/>
          <w:szCs w:val="27"/>
          <w:lang w:val="en-US" w:eastAsia="zh-CN" w:bidi="ar"/>
        </w:rPr>
        <w:t>经评价分析，临淄区课后服务经费项目在项目决策方面，项目立项符合国家政策和客观实际，申报、批复程序符合相关要求，但项目绩效目标和个别指标设置不合理、预算编制不够准确。在资金管理方面，项目预算执行情况良好，到位资金全部支出，资金使用合规。在组织实施方面，前期摸底全面、方案编制健全、管理制度完备、课后服务执行规范，但监督考核内容不全、部分学校课后服务档案未提供或提供不全。在项目产出方面，各学校享受政策学生数达到年初目标，补贴发放教师数覆盖所有参与课后服务的教师，补助标准合规且补助资金发放及时，学校课后服务质量符合标准，但个别学校提报资料较晚，未在当年实现补助。在项目效果方面，项目自身的社会效益显著、可持续影响长远。</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rPr>
      </w:pPr>
      <w:r>
        <w:rPr>
          <w:rFonts w:hint="eastAsia" w:ascii="黑体" w:hAnsi="宋体" w:eastAsia="黑体" w:cs="黑体"/>
          <w:snapToGrid/>
          <w:kern w:val="2"/>
          <w:sz w:val="30"/>
          <w:szCs w:val="30"/>
          <w:lang w:val="en-US" w:eastAsia="zh-CN" w:bidi="ar"/>
        </w:rPr>
        <w:t>五、存在问题及原因分析</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（一）绩效目标和指标设置不够合理</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rPr>
      </w:pPr>
      <w:r>
        <w:rPr>
          <w:rFonts w:hint="eastAsia" w:ascii="宋体" w:hAnsi="宋体" w:eastAsia="宋体" w:cs="宋体"/>
          <w:snapToGrid/>
          <w:kern w:val="2"/>
          <w:sz w:val="27"/>
          <w:szCs w:val="27"/>
          <w:lang w:val="en-US" w:eastAsia="zh-CN" w:bidi="ar"/>
        </w:rPr>
        <w:t>2021年本项目绩效目标申报表中，项目简介、项目申报可行性、项目申报必要性等内容填制完整。由于部门不重视，业务水平不高，导致目标设置不合理、指标设置不规范的问题：一是绩效目标设置不够明确，如本项目长期目标仅设置为促进教育发展，目标设置过于宏观，与本项目开展内容及预计长期实现的结果相关性不足；年度目标仅从保障经费方面设置，未清晰反映本项目实施后年度预期完成情况及实现效果；二是绩效指标设置有误，如产出指标中，时效指标设置为</w:t>
      </w:r>
      <w:r>
        <w:rPr>
          <w:rFonts w:hint="default" w:ascii="Calibri" w:hAnsi="Calibri" w:eastAsia="宋体" w:cs="Calibri"/>
          <w:snapToGrid/>
          <w:kern w:val="2"/>
          <w:sz w:val="27"/>
          <w:szCs w:val="27"/>
          <w:lang w:val="en-US" w:eastAsia="zh-CN" w:bidi="ar"/>
        </w:rPr>
        <w:t>“</w:t>
      </w:r>
      <w:r>
        <w:rPr>
          <w:rFonts w:hint="eastAsia" w:ascii="宋体" w:hAnsi="宋体" w:eastAsia="宋体" w:cs="宋体"/>
          <w:snapToGrid/>
          <w:kern w:val="2"/>
          <w:sz w:val="27"/>
          <w:szCs w:val="27"/>
          <w:lang w:val="en-US" w:eastAsia="zh-CN" w:bidi="ar"/>
        </w:rPr>
        <w:t>及时保障新时代教师队伍建设实施</w:t>
      </w:r>
      <w:r>
        <w:rPr>
          <w:rFonts w:hint="default" w:ascii="Calibri" w:hAnsi="Calibri" w:eastAsia="宋体" w:cs="Calibri"/>
          <w:snapToGrid/>
          <w:kern w:val="2"/>
          <w:sz w:val="27"/>
          <w:szCs w:val="27"/>
          <w:lang w:val="en-US" w:eastAsia="zh-CN" w:bidi="ar"/>
        </w:rPr>
        <w:t>”</w:t>
      </w:r>
      <w:r>
        <w:rPr>
          <w:rFonts w:hint="eastAsia" w:ascii="宋体" w:hAnsi="宋体" w:eastAsia="宋体" w:cs="宋体"/>
          <w:snapToGrid/>
          <w:kern w:val="2"/>
          <w:sz w:val="27"/>
          <w:szCs w:val="27"/>
          <w:lang w:val="en-US" w:eastAsia="zh-CN" w:bidi="ar"/>
        </w:rPr>
        <w:t>、质量指标设置为“保障经费使用效果，促进教育发展”，将产出指标错填为效益类指标；本项目不能产生明显、直接的经济效益和生态效益，经济效益和生态效益指标与项目匹配程度不高，属指标虚设。</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（二）预算资金编制不够准确</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区教体局按照课后服务补助标准及参加课后服务人数测算并申请本项目预算203.88万元。但根据批复绩效目标等资料，</w:t>
      </w:r>
      <w:r>
        <w:rPr>
          <w:rFonts w:hint="eastAsia" w:ascii="宋体" w:hAnsi="宋体" w:eastAsia="宋体" w:cs="Times New Roman"/>
          <w:kern w:val="2"/>
          <w:sz w:val="27"/>
          <w:szCs w:val="27"/>
        </w:rPr>
        <w:t>2021年预计参加课后服务学生人数为20016人，</w:t>
      </w:r>
      <w:r>
        <w:rPr>
          <w:rFonts w:hint="eastAsia" w:ascii="宋体" w:hAnsi="宋体" w:eastAsia="宋体" w:cs="宋体"/>
          <w:kern w:val="2"/>
          <w:sz w:val="27"/>
          <w:szCs w:val="27"/>
        </w:rPr>
        <w:t>按补助标准</w:t>
      </w:r>
      <w:r>
        <w:rPr>
          <w:rFonts w:hint="eastAsia" w:ascii="宋体" w:hAnsi="宋体" w:eastAsia="宋体" w:cs="Times New Roman"/>
          <w:kern w:val="2"/>
          <w:sz w:val="27"/>
          <w:szCs w:val="27"/>
        </w:rPr>
        <w:t>80元/人/年计算</w:t>
      </w:r>
      <w:r>
        <w:rPr>
          <w:rFonts w:hint="eastAsia" w:ascii="宋体" w:hAnsi="宋体" w:eastAsia="宋体" w:cs="宋体"/>
          <w:kern w:val="2"/>
          <w:sz w:val="27"/>
          <w:szCs w:val="27"/>
        </w:rPr>
        <w:t>，本年度实际所需资金应为</w:t>
      </w:r>
      <w:r>
        <w:rPr>
          <w:rFonts w:hint="eastAsia" w:ascii="宋体" w:hAnsi="宋体" w:eastAsia="宋体" w:cs="Times New Roman"/>
          <w:kern w:val="2"/>
          <w:sz w:val="27"/>
          <w:szCs w:val="27"/>
        </w:rPr>
        <w:t>160.13</w:t>
      </w:r>
      <w:r>
        <w:rPr>
          <w:rFonts w:hint="eastAsia" w:ascii="宋体" w:hAnsi="宋体" w:eastAsia="宋体" w:cs="宋体"/>
          <w:kern w:val="2"/>
          <w:sz w:val="27"/>
          <w:szCs w:val="27"/>
        </w:rPr>
        <w:t>万元，部门相关人员测算预算资金不够准确，导致实际数较预算申请数少</w:t>
      </w:r>
      <w:r>
        <w:rPr>
          <w:rFonts w:hint="eastAsia" w:ascii="宋体" w:hAnsi="宋体" w:eastAsia="宋体" w:cs="Times New Roman"/>
          <w:kern w:val="2"/>
          <w:sz w:val="27"/>
          <w:szCs w:val="27"/>
        </w:rPr>
        <w:t>43.75</w:t>
      </w:r>
      <w:r>
        <w:rPr>
          <w:rFonts w:hint="eastAsia" w:ascii="宋体" w:hAnsi="宋体" w:eastAsia="宋体" w:cs="宋体"/>
          <w:kern w:val="2"/>
          <w:sz w:val="27"/>
          <w:szCs w:val="27"/>
        </w:rPr>
        <w:t>万元，申请的预算资金量与工作任务不匹配。</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（三）监督考核有待进一步完善</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宋体"/>
          <w:kern w:val="2"/>
          <w:sz w:val="27"/>
          <w:szCs w:val="27"/>
        </w:rPr>
      </w:pPr>
      <w:r>
        <w:rPr>
          <w:rFonts w:hint="eastAsia" w:ascii="宋体" w:hAnsi="宋体" w:eastAsia="宋体" w:cs="宋体"/>
          <w:snapToGrid/>
          <w:kern w:val="2"/>
          <w:sz w:val="27"/>
          <w:szCs w:val="27"/>
          <w:lang w:val="en-US" w:eastAsia="zh-CN" w:bidi="ar"/>
        </w:rPr>
        <w:t>根据市教育局等4部门《关于贯彻落实&lt;山东省义务教育学校课后服务工作规范（试行）&gt;的通知》（淄教基字〔</w:t>
      </w:r>
      <w:r>
        <w:rPr>
          <w:rFonts w:hint="eastAsia" w:ascii="宋体" w:hAnsi="Calibri" w:eastAsia="宋体" w:cs="宋体"/>
          <w:snapToGrid/>
          <w:kern w:val="2"/>
          <w:sz w:val="27"/>
          <w:szCs w:val="27"/>
          <w:lang w:val="en-US" w:eastAsia="zh-CN" w:bidi="ar"/>
        </w:rPr>
        <w:t>2021〕41号</w:t>
      </w:r>
      <w:r>
        <w:rPr>
          <w:rFonts w:hint="eastAsia" w:ascii="宋体" w:hAnsi="宋体" w:eastAsia="宋体" w:cs="宋体"/>
          <w:snapToGrid/>
          <w:kern w:val="2"/>
          <w:sz w:val="27"/>
          <w:szCs w:val="27"/>
          <w:lang w:val="en-US" w:eastAsia="zh-CN" w:bidi="ar"/>
        </w:rPr>
        <w:t>），区教体局应对学校课后服务覆盖保障、质量内容、学生及家长满意度等情况进行评价。但本项目中，仅各学校开展了学生及家长满意度情况评价，区教体局并未根据以上要求开展此项工作。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（四）档案管理有不足之处</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补助项目资料是补助资金发放合规性、合理性的体现，是后续各项检查的支撑。本项目中大部分学校课后服务工作档案及经费发放资料齐全且归档及时，由于项目相关负责人在档案管理上缺少严谨性，致使在档案管理环节中，出现北金小学、召口小学等</w:t>
      </w:r>
      <w:r>
        <w:rPr>
          <w:rFonts w:hint="eastAsia" w:ascii="宋体" w:hAnsi="宋体" w:eastAsia="宋体" w:cs="Times New Roman"/>
          <w:kern w:val="2"/>
          <w:sz w:val="27"/>
          <w:szCs w:val="27"/>
        </w:rPr>
        <w:t>6所学校课后服务相关资料未提供或提供不全</w:t>
      </w:r>
      <w:r>
        <w:rPr>
          <w:rFonts w:hint="eastAsia" w:ascii="宋体" w:hAnsi="宋体" w:eastAsia="宋体" w:cs="宋体"/>
          <w:kern w:val="2"/>
          <w:sz w:val="27"/>
          <w:szCs w:val="27"/>
        </w:rPr>
        <w:t>的问题，评价组不能对课后服务开展情况进行研判，项目档案管理有待进一步完善。</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（五）课后服务经费未实现全覆盖</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Times New Roman"/>
          <w:kern w:val="2"/>
          <w:sz w:val="27"/>
          <w:szCs w:val="27"/>
        </w:rPr>
        <w:t>2021年全区共有39所公办学校开展课后服务工作，当年拨付课后服务经费的学校有35所，其余4所学校因学期结束后向区教体局提报资料</w:t>
      </w:r>
      <w:r>
        <w:rPr>
          <w:rFonts w:hint="eastAsia" w:ascii="宋体" w:hAnsi="宋体" w:eastAsia="宋体" w:cs="宋体"/>
          <w:kern w:val="2"/>
          <w:sz w:val="27"/>
          <w:szCs w:val="27"/>
        </w:rPr>
        <w:t>较晚，错过整体审核时间，导致经费未发放。补贴发放学校覆盖率为</w:t>
      </w:r>
      <w:r>
        <w:rPr>
          <w:rFonts w:hint="eastAsia" w:ascii="宋体" w:hAnsi="宋体" w:eastAsia="宋体" w:cs="Times New Roman"/>
          <w:kern w:val="2"/>
          <w:sz w:val="27"/>
          <w:szCs w:val="27"/>
        </w:rPr>
        <w:t>89.74%，未实现全覆盖。</w:t>
      </w:r>
    </w:p>
    <w:p>
      <w:pPr>
        <w:keepNext w:val="0"/>
        <w:keepLines w:val="0"/>
        <w:widowControl w:val="0"/>
        <w:suppressLineNumbers w:val="0"/>
        <w:overflowPunct w:val="0"/>
        <w:adjustRightInd w:val="0"/>
        <w:snapToGrid w:val="0"/>
        <w:spacing w:before="0" w:beforeAutospacing="0" w:after="0" w:afterAutospacing="0" w:line="360" w:lineRule="auto"/>
        <w:ind w:left="0" w:right="0" w:firstLine="600" w:firstLineChars="200"/>
        <w:jc w:val="both"/>
        <w:rPr>
          <w:rFonts w:hint="eastAsia" w:ascii="宋体" w:hAnsi="Calibri" w:eastAsia="宋体" w:cs="Times New Roman"/>
          <w:b/>
          <w:bCs/>
          <w:kern w:val="2"/>
          <w:sz w:val="28"/>
          <w:szCs w:val="28"/>
        </w:rPr>
      </w:pPr>
      <w:r>
        <w:rPr>
          <w:rFonts w:hint="eastAsia" w:ascii="黑体" w:hAnsi="宋体" w:eastAsia="黑体" w:cs="黑体"/>
          <w:snapToGrid/>
          <w:kern w:val="2"/>
          <w:sz w:val="30"/>
          <w:szCs w:val="30"/>
          <w:lang w:val="en-US" w:eastAsia="zh-CN" w:bidi="ar"/>
        </w:rPr>
        <w:t>六、有关建议</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（一）规范编制绩效目标，加强绩效目标审核</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一是项目主管部门应总结绩效目标填报经验，强化绩效目标填报培训，通过学习绩效目标理论知识和绩效目标的设置方法，提高相关人员的填报水平。</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二是负责项目实施的业务科室应会同财务部门共同修订、细化目标，项目按照确定绩效目标、分解细化指标、设置指标值等逐步分解的方式，加强一、二、三级绩效指标的有机衔接，确保任务相互匹配、指标逻辑对应、数据相互支撑。</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三是加强绩效目标审核，审核内容包括绩效目标与部门职能的相关性、绩效目标实现所采取措施的可行性、绩效指标设置的科学性、实现绩效目标所需资金的合理性等。对于填制不规范的绩效目标，提出修改意见并反馈给相关部门，充分发挥绩效目标对预算编制执行的引导约束和控制作用。</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（二）完善预算编制，加强预算编制的科学性和精细性</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一是建议主管部门做好预算编制前的准备工作，进行科学的分析与论证，确定出详尽的综合指标与定量指标。遵守“保证重点、统筹分配”的方针政策，制定出可行性强、同时又适用于单位自身的预算方案。</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二是建议业务科室前期收集相关资料，综合考虑项目的年度工作计划、项目资金测算情况、上年度预算执行情况、以前年度绩效评价结果等因素。通过调查与统计，对数据进行整合与研究，分析历年执行情况中存在的问题及其原因，根据实际需要，明确预算目标，结合新的政策要求，及时调整不合理之处，合理制定预算，提高预算的严谨性。</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三是建议编制部门通过不断总结分析并归集，科学、合理测算下一年度单位为履行职能所需的资金用量，考虑支出的合理性与必要性。同时细化各类项目资金，按零基预算编制法要求，科学预算编制，使预算内容全面完整，数字真实准确，进一步提高预算管理精准度。</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（三）建立健全监督机制，加强项目执行过程监管</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有效的监督管理可以保障项目的顺利实施，减少和预防管理漏洞，提高项目实施质量。建议主管部门一是按照上级文件要求落实监督管理责任，全面了解全区课后服务开展情况；二是根据要求制定监督管理措施，完善项目监管流程，确保课后服务工作各环节规范、高效开展；三是建立逐级递进的监管机制，对补助资金发放工作进行全过程监管，确保主管部门对各学校工作执行情况监管到位，各学校对参与课后服务教师工作情况监管到位，提高课后服务经费的使用效益；四是建议在以后工作过程中，进一步加强项目日常监管，严格落实监管措施，完善日常监管考核资料，做好监管考核资料的汇总、存档、备查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（四）完善项目资料，提高档案管理水平</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一是建议各学校进一步提高项目档案管理意识，强化档案基础管理工作，加强档案管理人员思想教育，提高档案管理重视程度；并加强档案管理人员业务培训，全面提升档案管理人员的业务水平和能力；二是档案管理人员要与主管部门密切配合，形成部门联动机制，对有关文件资料要及时收集整理，齐抓共管，确保档案的完整、准确；三是主管部门加大档案监管和检查力度，针对课后服务档案管理工作开展检查，着重检查文件资料的齐全完整程度、安全保护条件、档案整理是否规范等，对于整理不规范的学校令其限期整改。</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（五）多措并举，保证政策落实到位</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建议相关学校一是对课后服务资料提报工作进行梳理，认真分析未及时提报的原因，制定相应的工作计划和整改措施，并在后续工作中合理制定工作进度；二是充分传达课后服务经费补助政策，提高教师课后服务及资料准备的积极性；三是在主管部门要求提报资料后，合理分配工作时间，加快资料收集进度，并在规定时间内完成提报工作所有资料。</w:t>
      </w:r>
    </w:p>
    <w:p>
      <w:pPr>
        <w:pStyle w:val="9"/>
        <w:widowControl/>
        <w:ind w:left="0" w:firstLine="540"/>
        <w:rPr>
          <w:rFonts w:hint="eastAsia" w:ascii="宋体" w:hAnsi="宋体" w:eastAsia="宋体" w:cs="Times New Roman"/>
          <w:kern w:val="2"/>
          <w:sz w:val="27"/>
          <w:szCs w:val="27"/>
        </w:rPr>
      </w:pPr>
      <w:r>
        <w:rPr>
          <w:rFonts w:hint="eastAsia" w:ascii="宋体" w:hAnsi="宋体" w:eastAsia="宋体" w:cs="宋体"/>
          <w:kern w:val="2"/>
          <w:sz w:val="27"/>
          <w:szCs w:val="27"/>
        </w:rPr>
        <w:t>建议主管部门加强与各学校沟通交流，通过短信、电话、微信等多种沟通方式与学校联系，并提高沟通提醒频率，保证符合政策学校及时享受相关政策，确保政策落实到位。</w:t>
      </w:r>
    </w:p>
    <w:p>
      <w:pPr>
        <w:keepNext w:val="0"/>
        <w:keepLines w:val="0"/>
        <w:widowControl w:val="0"/>
        <w:suppressLineNumbers w:val="0"/>
        <w:overflowPunct w:val="0"/>
        <w:adjustRightInd w:val="0"/>
        <w:snapToGrid w:val="0"/>
        <w:spacing w:before="0" w:beforeAutospacing="0" w:after="0" w:afterAutospacing="0" w:line="360" w:lineRule="auto"/>
        <w:ind w:left="0" w:right="0" w:firstLine="562" w:firstLineChars="200"/>
        <w:jc w:val="both"/>
        <w:rPr>
          <w:rFonts w:hint="eastAsia" w:ascii="宋体" w:hAnsi="Calibri" w:eastAsia="宋体" w:cs="Times New Roman"/>
          <w:b/>
          <w:bCs/>
          <w:kern w:val="2"/>
          <w:sz w:val="28"/>
          <w:szCs w:val="28"/>
        </w:rPr>
      </w:pPr>
      <w:r>
        <w:rPr>
          <w:rFonts w:hint="eastAsia" w:ascii="宋体" w:hAnsi="宋体" w:eastAsia="宋体" w:cs="宋体"/>
          <w:b/>
          <w:bCs/>
          <w:snapToGrid/>
          <w:kern w:val="2"/>
          <w:sz w:val="28"/>
          <w:szCs w:val="28"/>
          <w:lang w:val="en-US" w:eastAsia="zh-CN" w:bidi="ar"/>
        </w:rPr>
        <w:t>（六）积极动员社会力量参与，构建富有实效的课后服务体系</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课后服务具有多样性、分散性等特点，管理难度大，单靠学校自身的服务和管理力量显然不够，还需要家长和社会热心人士的支持和参与。</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建议一是逐步建立一支以家长、志愿者积极参与的自愿服务队伍，满足课后服务的需要。通过家长委员会，遴选出一批工作热情高、服务能力强的家长作为相对固定的志愿者，轮流进驻课后服务现场。</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二是要发挥社会一批热心公益人士，特别是年轻人和具备一定专业教学能力的志愿者的服务热情，参与课后服务。</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三是鼓励社区、企事业单位提供人才、场所、设施等资源支持课后服务工作。</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r>
        <w:rPr>
          <w:rFonts w:hint="eastAsia" w:ascii="宋体" w:hAnsi="宋体" w:eastAsia="宋体" w:cs="宋体"/>
          <w:snapToGrid/>
          <w:kern w:val="2"/>
          <w:sz w:val="27"/>
          <w:szCs w:val="27"/>
          <w:lang w:val="en-US" w:eastAsia="zh-CN" w:bidi="ar"/>
        </w:rPr>
        <w:t>四是设置第三方机构准入门槛，优化第三方机构服务质量考评机制。探索与学校、家长建立对第三方机构的公平、公正、专业的综合监督、检查、评价体系，以学期或学年为考评阶段，设置动态奖惩激励制度，有效保障第三方机构服务质量。</w:t>
      </w:r>
    </w:p>
    <w:p>
      <w:pPr>
        <w:keepNext w:val="0"/>
        <w:keepLines w:val="0"/>
        <w:widowControl w:val="0"/>
        <w:suppressLineNumbers w:val="0"/>
        <w:overflowPunct w:val="0"/>
        <w:adjustRightInd w:val="0"/>
        <w:snapToGrid w:val="0"/>
        <w:spacing w:before="240" w:beforeAutospacing="0" w:after="0" w:afterAutospacing="0" w:line="900" w:lineRule="atLeast"/>
        <w:ind w:left="0" w:right="-328" w:rightChars="-149" w:firstLine="0" w:firstLineChars="0"/>
        <w:jc w:val="center"/>
        <w:rPr>
          <w:rFonts w:hint="eastAsia" w:ascii="宋体" w:hAnsi="宋体" w:eastAsia="宋体" w:cs="Times New Roman"/>
          <w:b/>
          <w:bCs/>
          <w:color w:val="000000"/>
          <w:kern w:val="44"/>
          <w:sz w:val="44"/>
          <w:szCs w:val="44"/>
        </w:rPr>
      </w:pPr>
      <w:r>
        <w:rPr>
          <w:rFonts w:hint="eastAsia" w:ascii="宋体" w:hAnsi="宋体" w:eastAsia="宋体" w:cs="Times New Roman"/>
          <w:b/>
          <w:bCs/>
          <w:snapToGrid/>
          <w:color w:val="000000"/>
          <w:kern w:val="44"/>
          <w:sz w:val="44"/>
          <w:szCs w:val="44"/>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宋体" w:eastAsia="宋体" w:cs="Times New Roman"/>
          <w:kern w:val="2"/>
          <w:sz w:val="27"/>
          <w:szCs w:val="27"/>
        </w:rPr>
      </w:pPr>
      <w:r>
        <w:rPr>
          <w:rFonts w:hint="eastAsia" w:ascii="宋体" w:hAnsi="宋体" w:eastAsia="宋体" w:cs="Times New Roman"/>
          <w:snapToGrid/>
          <w:kern w:val="2"/>
          <w:sz w:val="27"/>
          <w:szCs w:val="27"/>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360" w:lineRule="auto"/>
        <w:ind w:left="0" w:right="0" w:firstLine="540" w:firstLineChars="200"/>
        <w:jc w:val="both"/>
        <w:rPr>
          <w:rFonts w:hint="eastAsia" w:ascii="宋体" w:hAnsi="Calibri" w:eastAsia="宋体" w:cs="Times New Roman"/>
          <w:kern w:val="2"/>
          <w:sz w:val="27"/>
          <w:szCs w:val="27"/>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第三部分 部分部门整体绩效管理资料</w:t>
      </w: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snapToGrid/>
        <w:spacing w:after="0" w:line="560" w:lineRule="exact"/>
        <w:jc w:val="center"/>
        <w:rPr>
          <w:rFonts w:hint="eastAsia" w:ascii="方正小标宋简体" w:hAnsi="黑体" w:eastAsia="方正小标宋简体"/>
          <w:color w:val="FF0000"/>
          <w:sz w:val="44"/>
          <w:szCs w:val="44"/>
        </w:rPr>
      </w:pPr>
    </w:p>
    <w:p>
      <w:pPr>
        <w:keepNext w:val="0"/>
        <w:keepLines w:val="0"/>
        <w:widowControl w:val="0"/>
        <w:suppressLineNumbers w:val="0"/>
        <w:spacing w:before="0" w:beforeAutospacing="0" w:after="0" w:afterAutospacing="0" w:line="360" w:lineRule="auto"/>
        <w:ind w:left="0" w:right="0" w:firstLine="0" w:firstLineChars="0"/>
        <w:jc w:val="center"/>
        <w:rPr>
          <w:rFonts w:hint="eastAsia" w:ascii="华文中宋" w:hAnsi="华文中宋" w:eastAsia="华文中宋" w:cs="华文中宋"/>
          <w:b/>
          <w:bCs/>
          <w:kern w:val="2"/>
          <w:sz w:val="44"/>
          <w:szCs w:val="44"/>
        </w:rPr>
      </w:pPr>
      <w:r>
        <w:rPr>
          <w:rFonts w:hint="eastAsia" w:ascii="华文中宋" w:hAnsi="华文中宋" w:eastAsia="华文中宋" w:cs="华文中宋"/>
          <w:b/>
          <w:bCs/>
          <w:kern w:val="2"/>
          <w:sz w:val="44"/>
          <w:szCs w:val="44"/>
          <w:lang w:val="en-US" w:eastAsia="zh-CN" w:bidi="ar"/>
        </w:rPr>
        <w:t>2021年度临淄区妇女联合会</w:t>
      </w:r>
    </w:p>
    <w:p>
      <w:pPr>
        <w:keepNext w:val="0"/>
        <w:keepLines w:val="0"/>
        <w:widowControl w:val="0"/>
        <w:suppressLineNumbers w:val="0"/>
        <w:spacing w:before="0" w:beforeAutospacing="0" w:after="0" w:afterAutospacing="0" w:line="360" w:lineRule="auto"/>
        <w:ind w:left="0" w:right="0" w:firstLine="0" w:firstLineChars="0"/>
        <w:jc w:val="center"/>
        <w:rPr>
          <w:rFonts w:hint="default" w:ascii="Calibri" w:hAnsi="Calibri" w:cs="Calibri"/>
          <w:kern w:val="2"/>
          <w:sz w:val="27"/>
          <w:szCs w:val="27"/>
        </w:rPr>
      </w:pPr>
      <w:r>
        <w:rPr>
          <w:rFonts w:hint="eastAsia" w:ascii="华文中宋" w:hAnsi="华文中宋" w:eastAsia="华文中宋" w:cs="华文中宋"/>
          <w:b/>
          <w:bCs/>
          <w:kern w:val="2"/>
          <w:sz w:val="44"/>
          <w:szCs w:val="44"/>
          <w:lang w:val="en-US" w:eastAsia="zh-CN" w:bidi="ar"/>
        </w:rPr>
        <w:t>整体绩效评价报告</w:t>
      </w:r>
    </w:p>
    <w:p>
      <w:pPr>
        <w:pStyle w:val="4"/>
        <w:keepNext w:val="0"/>
        <w:keepLines w:val="0"/>
        <w:widowControl w:val="0"/>
        <w:suppressLineNumbers w:val="0"/>
        <w:adjustRightInd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lang w:val="en-US" w:eastAsia="zh-CN" w:bidi="ar"/>
        </w:rPr>
      </w:pPr>
    </w:p>
    <w:p>
      <w:pPr>
        <w:pStyle w:val="4"/>
        <w:keepNext w:val="0"/>
        <w:keepLines w:val="0"/>
        <w:widowControl w:val="0"/>
        <w:suppressLineNumbers w:val="0"/>
        <w:adjustRightInd w:val="0"/>
        <w:snapToGrid w:val="0"/>
        <w:spacing w:before="0" w:beforeAutospacing="0" w:after="0" w:afterAutospacing="0" w:line="360" w:lineRule="auto"/>
        <w:ind w:left="0" w:right="0" w:firstLine="600" w:firstLineChars="200"/>
        <w:jc w:val="both"/>
        <w:rPr>
          <w:rFonts w:hint="eastAsia" w:ascii="宋体" w:hAnsi="宋体" w:eastAsia="黑体" w:cs="宋体"/>
          <w:kern w:val="2"/>
          <w:sz w:val="30"/>
          <w:szCs w:val="30"/>
        </w:rPr>
      </w:pPr>
      <w:r>
        <w:rPr>
          <w:rFonts w:hint="eastAsia" w:ascii="黑体" w:hAnsi="宋体" w:eastAsia="黑体" w:cs="黑体"/>
          <w:kern w:val="2"/>
          <w:sz w:val="30"/>
          <w:szCs w:val="30"/>
          <w:lang w:val="en-US" w:eastAsia="zh-CN" w:bidi="ar"/>
        </w:rPr>
        <w:t>一、部门概述</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临淄区妇女联合会主要承担为妇女儿童服务、为基层服务、代表妇女参与社会事务的民主管理和民主监督服务工作的职责，设2个内设部室，事业人员编制6名，配备主席1名，副主席2名。</w:t>
      </w:r>
    </w:p>
    <w:p>
      <w:pPr>
        <w:pStyle w:val="4"/>
        <w:keepNext w:val="0"/>
        <w:keepLines w:val="0"/>
        <w:widowControl w:val="0"/>
        <w:suppressLineNumbers w:val="0"/>
        <w:adjustRightInd w:val="0"/>
        <w:snapToGrid w:val="0"/>
        <w:spacing w:before="0" w:beforeAutospacing="0" w:after="0" w:afterAutospacing="0" w:line="360" w:lineRule="auto"/>
        <w:ind w:left="0" w:right="0" w:firstLine="600" w:firstLineChars="200"/>
        <w:jc w:val="both"/>
        <w:rPr>
          <w:rFonts w:hint="eastAsia" w:ascii="宋体" w:hAnsi="宋体" w:eastAsia="黑体" w:cs="宋体"/>
          <w:kern w:val="2"/>
          <w:sz w:val="30"/>
          <w:szCs w:val="30"/>
        </w:rPr>
      </w:pPr>
      <w:r>
        <w:rPr>
          <w:rFonts w:hint="eastAsia" w:ascii="黑体" w:hAnsi="宋体" w:eastAsia="黑体" w:cs="黑体"/>
          <w:kern w:val="2"/>
          <w:sz w:val="30"/>
          <w:szCs w:val="30"/>
          <w:lang w:val="en-US" w:eastAsia="zh-CN" w:bidi="ar"/>
        </w:rPr>
        <w:t>二、评价结论和绩效分析</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经评价分析，2021年度临淄区妇女联合会整体绩效目标方面，整体战略设定合理，部门职责填写不够细化，绩效指标设定不够规范。资源配置方面，预算编制规范、细化，政府采购预算编制完整，预算执行情况良好，结转结余资金控制良好，收入预算编制完整，绩效管理各环节工作及时开展并完成，部门预算约束力良好，在职人员数量未超出编制数，个别环节绩效工作结果资料质量有待进一步提高。部门管理方面，资产管理较为规范，资产利用较好，内控制度有待完善，但未开展固定资产清查工作。运行成本控制方面，项目支出、培训会议费、公用经费、“三公”经费控制良好。履职效能方面，美学教育情况、家庭文明建设情况、搭建创新平台情况、助力女性就业情况、女干部参会服务情况、党史学习工作均达到了年初目标，但妇女儿童权益维护工作情况未能按时开展。可持续发展能力方面，部门组织在职人员思想、业务等方面培训，人员素质能力得以提升。满意度方面，受益对象表示满意，2021年度部门区直机关绩效考核等级为优秀。</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2021年度临淄区妇女联合会整体绩效评价的最终得分为88.25分，绩效评价等级为“良”。</w:t>
      </w:r>
    </w:p>
    <w:p>
      <w:pPr>
        <w:pStyle w:val="4"/>
        <w:keepNext w:val="0"/>
        <w:keepLines w:val="0"/>
        <w:widowControl w:val="0"/>
        <w:suppressLineNumbers w:val="0"/>
        <w:adjustRightInd w:val="0"/>
        <w:snapToGrid w:val="0"/>
        <w:spacing w:before="0" w:beforeAutospacing="0" w:after="0" w:afterAutospacing="0" w:line="360" w:lineRule="auto"/>
        <w:ind w:left="0" w:right="0" w:firstLine="600" w:firstLineChars="200"/>
        <w:jc w:val="both"/>
        <w:rPr>
          <w:rFonts w:hint="eastAsia" w:ascii="宋体" w:hAnsi="宋体" w:eastAsia="黑体" w:cs="宋体"/>
          <w:kern w:val="2"/>
          <w:sz w:val="30"/>
          <w:szCs w:val="30"/>
        </w:rPr>
      </w:pPr>
      <w:r>
        <w:rPr>
          <w:rFonts w:hint="eastAsia" w:ascii="黑体" w:hAnsi="宋体" w:eastAsia="黑体" w:cs="黑体"/>
          <w:kern w:val="2"/>
          <w:sz w:val="30"/>
          <w:szCs w:val="30"/>
          <w:lang w:val="en-US" w:eastAsia="zh-CN" w:bidi="ar"/>
        </w:rPr>
        <w:t>三、存在问题</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（一）部门整体和项目绩效目标编制不够规范</w:t>
      </w:r>
    </w:p>
    <w:p>
      <w:pPr>
        <w:keepNext w:val="0"/>
        <w:keepLines w:val="0"/>
        <w:widowControl w:val="0"/>
        <w:suppressLineNumbers w:val="0"/>
        <w:spacing w:before="0" w:beforeAutospacing="0" w:after="0" w:afterAutospacing="0" w:line="360" w:lineRule="auto"/>
        <w:ind w:left="0" w:right="0" w:firstLine="540" w:firstLineChars="200"/>
        <w:jc w:val="both"/>
        <w:rPr>
          <w:rFonts w:hint="default" w:ascii="Calibri" w:hAnsi="Calibri" w:cs="Calibri"/>
          <w:kern w:val="2"/>
          <w:sz w:val="27"/>
          <w:szCs w:val="27"/>
        </w:rPr>
      </w:pPr>
      <w:r>
        <w:rPr>
          <w:rFonts w:hint="eastAsia" w:ascii="宋体" w:hAnsi="宋体" w:eastAsia="宋体" w:cs="宋体"/>
          <w:kern w:val="2"/>
          <w:sz w:val="27"/>
          <w:szCs w:val="27"/>
          <w:lang w:val="en-US" w:eastAsia="zh-CN" w:bidi="ar"/>
        </w:rPr>
        <w:t>部门整体绩效方面：区妇联编制的2021年度部门整体绩效目标表中，部门整体职责设置不够规范，将“三定”方案职责内容直接复制填写，未对“三定”方案的职责进行细化、分解、归并后简要概况描述。</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项目支出绩效方面：项目支出绩效目标编制不够规范，如定量指标中指标值符号缺失；社会效益指标的指标值错填为“是”。</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（二）内控制度有待完善</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区妇联按照财政部《行政事业单位内部控制规范（试行）》和单位内部控制有关要求，成立了内控小组及风险评估小组，开展了风险评估工作，但是该现有内控制度未覆盖部门所有岗位及工作任务，内控管理水平有待完善。</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（三）年度固定资产清查盘点工作未开展</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区妇联制定的《资产管理制度》要求“每年至少</w:t>
      </w:r>
      <w:r>
        <w:rPr>
          <w:rFonts w:hint="default" w:ascii="Calibri" w:hAnsi="Calibri" w:eastAsia="宋体" w:cs="Calibri"/>
          <w:kern w:val="2"/>
          <w:sz w:val="27"/>
          <w:szCs w:val="27"/>
          <w:lang w:val="en-US" w:eastAsia="zh-CN" w:bidi="ar"/>
        </w:rPr>
        <w:t>2</w:t>
      </w:r>
      <w:r>
        <w:rPr>
          <w:rFonts w:hint="eastAsia" w:ascii="宋体" w:hAnsi="宋体" w:eastAsia="宋体" w:cs="宋体"/>
          <w:kern w:val="2"/>
          <w:sz w:val="27"/>
          <w:szCs w:val="27"/>
          <w:lang w:val="en-US" w:eastAsia="zh-CN" w:bidi="ar"/>
        </w:rPr>
        <w:t>次进行内部资产检查”，但2021年度内未开展固定资产清查盘点工作，无法判断资产的账账、账实相符程度。</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（四）个别工作未按计划完成</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黑体" w:hAnsi="宋体" w:eastAsia="黑体" w:cs="黑体"/>
          <w:kern w:val="2"/>
          <w:sz w:val="30"/>
          <w:szCs w:val="30"/>
        </w:rPr>
      </w:pPr>
      <w:r>
        <w:rPr>
          <w:rFonts w:hint="eastAsia" w:ascii="宋体" w:hAnsi="宋体" w:eastAsia="宋体" w:cs="宋体"/>
          <w:kern w:val="2"/>
          <w:sz w:val="27"/>
          <w:szCs w:val="27"/>
          <w:lang w:val="en-US" w:eastAsia="zh-CN" w:bidi="ar"/>
        </w:rPr>
        <w:t>2021年，区妇联能够按计划完成家家幸福安康工程、创新创业工作和党史教育工作，工作完成情况良好，但妇女儿童权益维护和女干部参会工作未按年初计划完成。</w:t>
      </w:r>
    </w:p>
    <w:p>
      <w:pPr>
        <w:pStyle w:val="4"/>
        <w:keepNext w:val="0"/>
        <w:keepLines w:val="0"/>
        <w:widowControl w:val="0"/>
        <w:suppressLineNumbers w:val="0"/>
        <w:adjustRightInd w:val="0"/>
        <w:snapToGrid w:val="0"/>
        <w:spacing w:before="0" w:beforeAutospacing="0" w:after="0" w:afterAutospacing="0" w:line="360" w:lineRule="auto"/>
        <w:ind w:left="0" w:right="0" w:firstLine="600" w:firstLineChars="200"/>
        <w:jc w:val="both"/>
        <w:rPr>
          <w:rFonts w:hint="eastAsia" w:ascii="宋体" w:hAnsi="宋体" w:eastAsia="宋体" w:cs="宋体"/>
          <w:kern w:val="2"/>
          <w:sz w:val="27"/>
          <w:szCs w:val="27"/>
        </w:rPr>
      </w:pPr>
      <w:r>
        <w:rPr>
          <w:rFonts w:hint="eastAsia" w:ascii="黑体" w:hAnsi="宋体" w:eastAsia="黑体" w:cs="黑体"/>
          <w:kern w:val="2"/>
          <w:sz w:val="30"/>
          <w:szCs w:val="30"/>
          <w:lang w:val="en-US" w:eastAsia="zh-CN" w:bidi="ar"/>
        </w:rPr>
        <w:t>四、相关建议</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（一）强化部门预算绩效管理，提高预算绩效管理水平</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一是严格按照绩效目标管理相关要求，充分考虑项目实际，准确、全面的完成报告编制工作；二是总结绩效管理工作经验，进一步强化预算绩效管理培训，通过学习相关理论知识，提高相关人员的填报水平；三是加强绩效目标审核，对于评估不到位、填制不规范的，提出修改意见并反馈相关部门，确保绩效管理工作落到实处。</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（二）完善内控制度内容，实现内控全覆盖</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一是建立完善内控制度体系，根据国家、省、市最新政策、单位自身实际和发展战略，对内控制度内容进行调整和优化，制定满足最新政策、贴合单位需求，与单位内各科室工作相协调的内控制度体系。二是全面梳理各业务工作流程，完善内控风险评估制度，并开展内部控制风险评估工作，评估范围应全面覆盖单位和业务层面。三是通过内部控制业务流程以及单位组织架构的信息化搭建，借助信息系统提供风险管控，加强内部控制信息系统互联互通建设，做到各业务系统模块之间的数据信息同步与实时共享，逐步实现内部控制信息化的全面覆盖。</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（三）严格执行国有资产管理规定，保障国有资产安全</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一是进一步加强和改善对固定资产管理工作的组织领导，进一步理顺固定资产管理体制，明确资产归口管理科室、使用科室和资产使用人员的岗位职责分工，确定专职或兼职管理人员，将管理和使用责任具体落实到人；二是盘点小组对各科室固定资产进行实地盘点后，填写清楚“固定资产盘点明细表”，并将盘点表和固定资产台账进行核对，出现盘盈、盘亏、以及固定资产使用状态和资产台账记录状态不相符的，由固定资产使用科室、办公室共同查明原因，并提出处理意见；三是及时对盘点材料进行整理，确保盘点过程中获取或形成的材料全部立卷归档。</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（四）查找问题原因，加快工作任务落实</w:t>
      </w:r>
    </w:p>
    <w:p>
      <w:pPr>
        <w:keepNext w:val="0"/>
        <w:keepLines w:val="0"/>
        <w:widowControl w:val="0"/>
        <w:suppressLineNumbers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对未完成工作进行梳理，认真分析未完成的原因，制定相应的工作计划和整改措施，并在后续工作中，合理制定进度计划，将年初计划的内容分解到每个时间节点，定期核查进度计划，当进度晚于计划时，及时调整进度，保证在计划期内完成所有工作任务。</w:t>
      </w:r>
    </w:p>
    <w:p>
      <w:pPr>
        <w:rPr>
          <w:rFonts w:hint="default" w:ascii="Calibri" w:hAnsi="Calibri" w:cs="Calibri"/>
          <w:kern w:val="2"/>
          <w:sz w:val="21"/>
          <w:szCs w:val="21"/>
        </w:rPr>
        <w:sectPr>
          <w:pgSz w:w="12242" w:h="15842"/>
          <w:pgMar w:top="1440" w:right="1083" w:bottom="1440" w:left="1083" w:header="708" w:footer="708" w:gutter="0"/>
          <w:pgBorders w:offsetFrom="page">
            <w:top w:val="none" w:sz="0" w:space="0"/>
            <w:left w:val="none" w:sz="0" w:space="0"/>
            <w:bottom w:val="none" w:sz="0" w:space="0"/>
            <w:right w:val="none" w:sz="0" w:space="0"/>
          </w:pgBorders>
          <w:cols w:space="708" w:num="1"/>
          <w:docGrid w:linePitch="360" w:charSpace="0"/>
        </w:sectPr>
      </w:pPr>
    </w:p>
    <w:p>
      <w:pPr>
        <w:keepNext w:val="0"/>
        <w:keepLines w:val="0"/>
        <w:widowControl w:val="0"/>
        <w:suppressLineNumbers w:val="0"/>
        <w:spacing w:before="0" w:beforeAutospacing="0" w:after="0" w:afterAutospacing="0" w:line="360" w:lineRule="auto"/>
        <w:ind w:left="0" w:right="0" w:firstLine="0" w:firstLineChars="0"/>
        <w:jc w:val="center"/>
        <w:rPr>
          <w:rFonts w:hint="eastAsia" w:ascii="华文中宋" w:hAnsi="华文中宋" w:eastAsia="华文中宋" w:cs="华文中宋"/>
          <w:b/>
          <w:bCs/>
          <w:kern w:val="2"/>
          <w:sz w:val="44"/>
          <w:szCs w:val="44"/>
        </w:rPr>
      </w:pPr>
      <w:r>
        <w:rPr>
          <w:rFonts w:hint="eastAsia" w:ascii="华文中宋" w:hAnsi="华文中宋" w:eastAsia="华文中宋" w:cs="华文中宋"/>
          <w:b/>
          <w:bCs/>
          <w:kern w:val="2"/>
          <w:sz w:val="44"/>
          <w:szCs w:val="44"/>
          <w:lang w:val="en-US" w:eastAsia="zh-CN" w:bidi="ar"/>
        </w:rPr>
        <w:t>2021年度临淄区应急管理局</w:t>
      </w:r>
    </w:p>
    <w:p>
      <w:pPr>
        <w:keepNext w:val="0"/>
        <w:keepLines w:val="0"/>
        <w:widowControl w:val="0"/>
        <w:suppressLineNumbers w:val="0"/>
        <w:spacing w:before="0" w:beforeAutospacing="0" w:after="0" w:afterAutospacing="0" w:line="360" w:lineRule="auto"/>
        <w:ind w:left="0" w:right="0" w:firstLine="0" w:firstLineChars="0"/>
        <w:jc w:val="center"/>
        <w:rPr>
          <w:rFonts w:hint="eastAsia" w:ascii="华文中宋" w:hAnsi="华文中宋" w:eastAsia="华文中宋" w:cs="华文中宋"/>
          <w:b/>
          <w:bCs/>
          <w:kern w:val="2"/>
          <w:sz w:val="44"/>
          <w:szCs w:val="44"/>
        </w:rPr>
      </w:pPr>
      <w:r>
        <w:rPr>
          <w:rFonts w:hint="eastAsia" w:ascii="华文中宋" w:hAnsi="华文中宋" w:eastAsia="华文中宋" w:cs="华文中宋"/>
          <w:b/>
          <w:bCs/>
          <w:kern w:val="2"/>
          <w:sz w:val="44"/>
          <w:szCs w:val="44"/>
          <w:lang w:val="en-US" w:eastAsia="zh-CN" w:bidi="ar"/>
        </w:rPr>
        <w:t>整体绩效评价报告</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黑体" w:hAnsi="宋体" w:eastAsia="黑体" w:cs="黑体"/>
          <w:kern w:val="2"/>
          <w:sz w:val="30"/>
          <w:szCs w:val="30"/>
          <w:lang w:val="en-US" w:eastAsia="zh-CN" w:bidi="ar"/>
        </w:rPr>
      </w:pP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kern w:val="2"/>
          <w:sz w:val="30"/>
          <w:szCs w:val="30"/>
          <w:lang w:val="en-US" w:eastAsia="zh-CN" w:bidi="ar"/>
        </w:rPr>
        <w:t>一、部门概述</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临淄区应急管理局是区政府正科级工作部门，主要承担指导全区应对安全生产类、自然灾害类等突发事件和综合防灾减灾救灾工作，贯彻执行应急管理、安全生产、防灾减灾救灾有关法律法规和方针政策，建立完善全区事故灾难和自然灾害分级应对制度等工作职责，内设11个机构，代管参公事业单位1个，事业单位1个，分别为临淄区应急管理综合行政执法大队、临淄区应急救援指挥保障服务中心。编制82名，2021年在编人员68人。</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kern w:val="2"/>
          <w:sz w:val="30"/>
          <w:szCs w:val="30"/>
          <w:lang w:val="en-US" w:eastAsia="zh-CN" w:bidi="ar"/>
        </w:rPr>
        <w:t>二、评价结论和绩效分析</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整体绩效目标方面，部门整体战略及年度整体绩效目标设定合理，但存在个别绩效指标表述冗长的问题。资源配置方面，部门预算编制规范、细化，政府采购预算编制完整情况较好，预算执行情况良好，预决算差异较小，结转结余资金变动较小，预算调整率较低，本年度审计过程中未发现重大问题，收入预算编制规范，在职人员控制情况较好，但在项目绩效目标编制、部门绩效监控、部门绩效评价及自评等方面的规范性和分析透彻性有待提高，且未制定本部门预算绩效管理实施细则的问题。部门管理方面，资产管理规范，固定资产利用率高，政府采购执行率较好、采购过程规范，内控机制运行规范。运行成本控制方面，人均公用经费变动较小，“三公”经费控制情况较好，但培训费、会议费变动较大。履职效能方面，部门安全整治、双重预防体系评估、应急救援、治安管理工作开展情况较好，符合计划并能够达到预期目标，但临淄智慧应急管理云平台预期目标实现成效一般。可持续发展能力方面，部门教育培训持续性不明确。满意度方面，受益对象对部门服务的满意度较高，2021年度部门区级机关绩效考核等级为优秀。</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综上所述，2021年度临淄区应急管理局整体绩效评价的最终得分为89.49分，绩效评价等级为“良”。</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kern w:val="2"/>
          <w:sz w:val="30"/>
          <w:szCs w:val="30"/>
          <w:lang w:val="en-US" w:eastAsia="zh-CN" w:bidi="ar"/>
        </w:rPr>
        <w:t>三、主要经验及做法</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（一）推动企业机械化自动化水平提升。一是承办全省、全市的危险化学品安全生产“机械化换人、自动化减人”现场会。二是开展全区涉及可燃液体、液化烃、沥青类液体罐区和汽车装卸设施改造。</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（二）组织全区124家危化品生产、储存企业开展风险外溢安全评估；组织全区8家涉氯企业实施液氯储存装置及其配套设施的安全改造。</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（三）组织开展“大学习、大培训、大考试”“安全生产大讲堂”等教育培训。</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（四）推动工贸企业双体系建设，开展标杆企业创建工作。</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kern w:val="2"/>
          <w:sz w:val="30"/>
          <w:szCs w:val="30"/>
          <w:lang w:val="en-US" w:eastAsia="zh-CN" w:bidi="ar"/>
        </w:rPr>
        <w:t>四、存在问题</w:t>
      </w:r>
    </w:p>
    <w:p>
      <w:pPr>
        <w:pStyle w:val="4"/>
        <w:keepNext w:val="0"/>
        <w:keepLines w:val="0"/>
        <w:widowControl w:val="0"/>
        <w:suppressLineNumbers w:val="0"/>
        <w:adjustRightInd w:val="0"/>
        <w:snapToGrid w:val="0"/>
        <w:spacing w:before="0" w:beforeAutospacing="0" w:after="0" w:afterAutospacing="0" w:line="360" w:lineRule="auto"/>
        <w:ind w:left="0" w:right="0" w:firstLine="562" w:firstLineChars="200"/>
        <w:jc w:val="both"/>
        <w:rPr>
          <w:rFonts w:hint="eastAsia" w:ascii="宋体" w:hAnsi="宋体" w:eastAsia="宋体" w:cs="宋体"/>
          <w:b/>
          <w:bCs w:val="0"/>
          <w:kern w:val="2"/>
          <w:sz w:val="28"/>
          <w:szCs w:val="28"/>
        </w:rPr>
      </w:pPr>
      <w:r>
        <w:rPr>
          <w:rFonts w:hint="eastAsia" w:ascii="宋体" w:hAnsi="宋体" w:eastAsia="宋体" w:cs="宋体"/>
          <w:b/>
          <w:bCs w:val="0"/>
          <w:kern w:val="2"/>
          <w:sz w:val="28"/>
          <w:szCs w:val="28"/>
          <w:lang w:val="en-US" w:eastAsia="zh-CN" w:bidi="ar"/>
        </w:rPr>
        <w:t>（一）个别部门整体绩效指标表述不规范</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区应急管理局设定的绩效指标细化、可衡量，未设置无压力指标，但个别绩效指标存在表述冗长的问题，如“安全生产宣传”职责的绩效指标设置为“依托齐文化安全生产理念，与安全生产、应急处置等现代元素相融合，向市民群众宣传、科普安全生产、应急知识。”</w:t>
      </w:r>
    </w:p>
    <w:p>
      <w:pPr>
        <w:pStyle w:val="4"/>
        <w:keepNext w:val="0"/>
        <w:keepLines w:val="0"/>
        <w:widowControl w:val="0"/>
        <w:suppressLineNumbers w:val="0"/>
        <w:adjustRightInd w:val="0"/>
        <w:snapToGrid w:val="0"/>
        <w:spacing w:before="0" w:beforeAutospacing="0" w:after="0" w:afterAutospacing="0" w:line="360" w:lineRule="auto"/>
        <w:ind w:left="0" w:right="0" w:firstLine="562" w:firstLineChars="200"/>
        <w:jc w:val="both"/>
        <w:rPr>
          <w:rFonts w:hint="eastAsia" w:ascii="宋体" w:hAnsi="宋体" w:eastAsia="宋体" w:cs="宋体"/>
          <w:b/>
          <w:bCs w:val="0"/>
          <w:kern w:val="2"/>
          <w:sz w:val="28"/>
          <w:szCs w:val="28"/>
        </w:rPr>
      </w:pPr>
      <w:r>
        <w:rPr>
          <w:rFonts w:hint="eastAsia" w:ascii="宋体" w:hAnsi="宋体" w:eastAsia="宋体" w:cs="宋体"/>
          <w:b/>
          <w:bCs w:val="0"/>
          <w:kern w:val="2"/>
          <w:sz w:val="28"/>
          <w:szCs w:val="28"/>
          <w:lang w:val="en-US" w:eastAsia="zh-CN" w:bidi="ar"/>
        </w:rPr>
        <w:t>（二）预算绩效管理水平有待提高</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1.绩效目标申报表中，存在绩效目标设置不合理的问题。年度目标方面，“办公楼提升项目”“临淄智慧应急云平台软件开发项目”“企业驻厂(矿)安全监督员专项经费项目”“灾害民生综合保险项目”的绩效年度目标均设置不规范，无法反映项目的预期产出和效益情况；“应急管理及安全生产监察经费项目”的绩效年度目标未阐述预期效益情况。</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绩效指标方面，一是个别绩效指标值设置不规范，如“办公楼提升项目”中时效指标的指标值填写为“是”；“企业驻厂(矿)安全监督员专项经费项目”中社会效益指标的指标值设置为“是”等，无法反映项目的预期效益情况。二是个别绩效指标设置不规范，如“临淄智慧应急云平台软件开发项目”中设置的数量指标指标名称与指标值杂糅；设置的成本指标、可持续影响指标，内容表述冗长。</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2.个别项目绩效评价工作开展不深入、分析不透彻，项目决策情况、项目过程情况等内容分析较为简洁，未针对项目开展进行全面、透彻的分析，无法通过报告了解项目的具体实施情况，如“应急管理及安全生产监察经费”“临淄区企业驻厂（矿）安全监督员专项经费”等项目。</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3.个别项目监控分析报告内容不完整，缺少项目实施情况、项目资金安排情况等内容。如“办公楼提升项目”“临淄智慧应急云平台软件开发项目”等。</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4.个别项目《项目支出绩效自评表》中的年度预期目标、绩效指标与《项目支出绩效目标批复表》中的目标、指标不一致，如“临淄智慧应急云平台软件开发项目”“企业驻厂(矿)安全监督员专项经费项目”“应急管理及安全生产监察经费项目”等。</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5.未制定本部门预算绩效管理实施细则。</w:t>
      </w:r>
    </w:p>
    <w:p>
      <w:pPr>
        <w:pStyle w:val="4"/>
        <w:keepNext w:val="0"/>
        <w:keepLines w:val="0"/>
        <w:widowControl w:val="0"/>
        <w:suppressLineNumbers w:val="0"/>
        <w:adjustRightInd w:val="0"/>
        <w:snapToGrid w:val="0"/>
        <w:spacing w:before="0" w:beforeAutospacing="0" w:after="0" w:afterAutospacing="0" w:line="360" w:lineRule="auto"/>
        <w:ind w:left="0" w:right="0" w:firstLine="562" w:firstLineChars="200"/>
        <w:jc w:val="both"/>
        <w:rPr>
          <w:rFonts w:hint="eastAsia" w:ascii="宋体" w:hAnsi="宋体" w:eastAsia="宋体" w:cs="宋体"/>
          <w:b/>
          <w:bCs w:val="0"/>
          <w:kern w:val="2"/>
          <w:sz w:val="28"/>
          <w:szCs w:val="28"/>
        </w:rPr>
      </w:pPr>
      <w:r>
        <w:rPr>
          <w:rFonts w:hint="eastAsia" w:ascii="宋体" w:hAnsi="宋体" w:eastAsia="宋体" w:cs="宋体"/>
          <w:b/>
          <w:bCs w:val="0"/>
          <w:kern w:val="2"/>
          <w:sz w:val="28"/>
          <w:szCs w:val="28"/>
          <w:lang w:val="en-US" w:eastAsia="zh-CN" w:bidi="ar"/>
        </w:rPr>
        <w:t>（三）临淄智慧应急管理云平台建设存在不足</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临淄智慧应急管理云平台建设缺乏相应的硬件基础，完全依靠硬件租赁，由开发公司24小时进行维保，不利于平台的长期稳定，且在资源信息共性方面，该平台无法整合跨部门的信息资源，在一定程度上容易影响数据的质量。</w:t>
      </w: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黑体" w:hAnsi="宋体" w:eastAsia="黑体" w:cs="Times New Roman"/>
          <w:kern w:val="2"/>
          <w:sz w:val="30"/>
          <w:szCs w:val="30"/>
        </w:rPr>
      </w:pPr>
      <w:r>
        <w:rPr>
          <w:rFonts w:hint="eastAsia" w:ascii="黑体" w:hAnsi="宋体" w:eastAsia="黑体" w:cs="黑体"/>
          <w:kern w:val="2"/>
          <w:sz w:val="30"/>
          <w:szCs w:val="30"/>
          <w:lang w:val="en-US" w:eastAsia="zh-CN" w:bidi="ar"/>
        </w:rPr>
        <w:t>五、相关建议</w:t>
      </w:r>
    </w:p>
    <w:p>
      <w:pPr>
        <w:pStyle w:val="4"/>
        <w:keepNext w:val="0"/>
        <w:keepLines w:val="0"/>
        <w:widowControl w:val="0"/>
        <w:suppressLineNumbers w:val="0"/>
        <w:adjustRightInd w:val="0"/>
        <w:snapToGrid w:val="0"/>
        <w:spacing w:before="0" w:beforeAutospacing="0" w:after="0" w:afterAutospacing="0" w:line="360" w:lineRule="auto"/>
        <w:ind w:left="0" w:right="0" w:firstLine="562" w:firstLineChars="200"/>
        <w:jc w:val="both"/>
        <w:rPr>
          <w:rFonts w:hint="eastAsia" w:ascii="宋体" w:hAnsi="宋体" w:eastAsia="宋体" w:cs="宋体"/>
          <w:b/>
          <w:bCs w:val="0"/>
          <w:kern w:val="2"/>
          <w:sz w:val="28"/>
          <w:szCs w:val="28"/>
        </w:rPr>
      </w:pPr>
      <w:r>
        <w:rPr>
          <w:rFonts w:hint="eastAsia" w:ascii="宋体" w:hAnsi="宋体" w:eastAsia="宋体" w:cs="宋体"/>
          <w:b/>
          <w:bCs w:val="0"/>
          <w:kern w:val="2"/>
          <w:sz w:val="28"/>
          <w:szCs w:val="28"/>
          <w:lang w:val="en-US" w:eastAsia="zh-CN" w:bidi="ar"/>
        </w:rPr>
        <w:t>（一）提高绩效目标编制水平，规范设置整体绩效指标</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根据相关要求，规范设置绩效指标：首先，要与部门职能职责相对应，能够直接反映部门履职内容；其次，根据对部门职能的梳理，概括、提炼出能够反映工作职责的关键性指标；再次，设置能够准确、合理衡量绩效目标完成程度和尺度的指标，尽量定量设置；最后，精炼语句，准确且简明的表述所衡量的内容。</w:t>
      </w:r>
    </w:p>
    <w:p>
      <w:pPr>
        <w:pStyle w:val="4"/>
        <w:keepNext w:val="0"/>
        <w:keepLines w:val="0"/>
        <w:widowControl w:val="0"/>
        <w:suppressLineNumbers w:val="0"/>
        <w:adjustRightInd w:val="0"/>
        <w:snapToGrid w:val="0"/>
        <w:spacing w:before="0" w:beforeAutospacing="0" w:after="0" w:afterAutospacing="0" w:line="360" w:lineRule="auto"/>
        <w:ind w:left="0" w:right="0" w:firstLine="562" w:firstLineChars="200"/>
        <w:jc w:val="both"/>
        <w:rPr>
          <w:rFonts w:hint="eastAsia" w:ascii="宋体" w:hAnsi="宋体" w:eastAsia="宋体" w:cs="宋体"/>
          <w:b/>
          <w:bCs w:val="0"/>
          <w:kern w:val="2"/>
          <w:sz w:val="28"/>
          <w:szCs w:val="28"/>
        </w:rPr>
      </w:pPr>
      <w:r>
        <w:rPr>
          <w:rFonts w:hint="eastAsia" w:ascii="宋体" w:hAnsi="宋体" w:eastAsia="宋体" w:cs="宋体"/>
          <w:b/>
          <w:bCs w:val="0"/>
          <w:kern w:val="2"/>
          <w:sz w:val="28"/>
          <w:szCs w:val="28"/>
          <w:lang w:val="en-US" w:eastAsia="zh-CN" w:bidi="ar"/>
        </w:rPr>
        <w:t>（二）强化预算绩效管理，提高一体化管理水平</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一是总结绩效管理工作经验，进一步强化预算绩效管理培训，通过学习理论知识，提高相关人员的绩效目标填报水平；二是严格按照项目支出绩效评价相关要求，结合项目实际，针对项目的具体开展情况，从项目决策、过程、产出、效益方面进行深入分析，准确、全面地完成报告编制工作；三是规范开展项目绩效运行监控和项目支出绩效自评工作，对照《项目支出绩效目标批复表》填写《运行监控分析报告》和《项目支出绩效自评表》，完善项目计划管理，落实年初目标的完成情况，总结先进经验及存在的问题，及时整改问题，确保项目达到预期目标；四是加强对绩效目标、事前绩效评估、运行监控、绩效自评等全过程绩效管理工作的管理与审核，将审核中发现的问题，及时提出意见并反馈至相关部门；五是根据相关工作要求并结合部门实际制定部门预算绩效管理实施细则，并严格执行，确保绩效管理工作落到实处。</w:t>
      </w:r>
    </w:p>
    <w:p>
      <w:pPr>
        <w:pStyle w:val="4"/>
        <w:keepNext w:val="0"/>
        <w:keepLines w:val="0"/>
        <w:widowControl w:val="0"/>
        <w:suppressLineNumbers w:val="0"/>
        <w:adjustRightInd w:val="0"/>
        <w:snapToGrid w:val="0"/>
        <w:spacing w:before="0" w:beforeAutospacing="0" w:after="0" w:afterAutospacing="0" w:line="360" w:lineRule="auto"/>
        <w:ind w:left="0" w:right="0" w:firstLine="562" w:firstLineChars="200"/>
        <w:jc w:val="both"/>
        <w:rPr>
          <w:rFonts w:hint="eastAsia" w:ascii="宋体" w:hAnsi="宋体" w:eastAsia="宋体" w:cs="宋体"/>
          <w:b/>
          <w:bCs w:val="0"/>
          <w:kern w:val="2"/>
          <w:sz w:val="28"/>
          <w:szCs w:val="28"/>
        </w:rPr>
      </w:pPr>
      <w:r>
        <w:rPr>
          <w:rFonts w:hint="eastAsia" w:ascii="宋体" w:hAnsi="宋体" w:eastAsia="宋体" w:cs="宋体"/>
          <w:b/>
          <w:bCs w:val="0"/>
          <w:kern w:val="2"/>
          <w:sz w:val="28"/>
          <w:szCs w:val="28"/>
          <w:lang w:val="en-US" w:eastAsia="zh-CN" w:bidi="ar"/>
        </w:rPr>
        <w:t>（三）优化应急资源配置，健全应急管理体系</w:t>
      </w:r>
    </w:p>
    <w:p>
      <w:pPr>
        <w:pStyle w:val="4"/>
        <w:keepNext w:val="0"/>
        <w:keepLines w:val="0"/>
        <w:widowControl w:val="0"/>
        <w:suppressLineNumbers w:val="0"/>
        <w:adjustRightInd w:val="0"/>
        <w:snapToGrid w:val="0"/>
        <w:spacing w:before="0" w:beforeAutospacing="0" w:after="0" w:afterAutospacing="0" w:line="360" w:lineRule="auto"/>
        <w:ind w:left="0" w:right="0" w:firstLine="540" w:firstLineChars="200"/>
        <w:jc w:val="both"/>
        <w:rPr>
          <w:rFonts w:hint="eastAsia" w:ascii="宋体" w:hAnsi="宋体" w:eastAsia="宋体" w:cs="宋体"/>
          <w:kern w:val="2"/>
          <w:sz w:val="27"/>
          <w:szCs w:val="27"/>
        </w:rPr>
      </w:pPr>
      <w:r>
        <w:rPr>
          <w:rFonts w:hint="eastAsia" w:ascii="宋体" w:hAnsi="宋体" w:eastAsia="宋体" w:cs="宋体"/>
          <w:kern w:val="2"/>
          <w:sz w:val="27"/>
          <w:szCs w:val="27"/>
          <w:lang w:val="en-US" w:eastAsia="zh-CN" w:bidi="ar"/>
        </w:rPr>
        <w:t>一是建议后期在建设类似项目时，对项目进行全面、综合的考虑，充分进行前期调研和评估，针对可能出现的风险状况制定相应的防范措施，确保项目建设完成后能够达到预期目标；二是创新应急管理方法，整合应急管理资源，通过对系统的优化升级，有效利用各部门的信息资料，实现跨部门的资源信息共享，切实防范突发事件，提升应急管理水平，确保公众及时获取应急通知信息、应急救援、物资救助等；三是加快智慧应急管理平台推广，推进政务服务信息化。</w:t>
      </w:r>
    </w:p>
    <w:p>
      <w:pPr>
        <w:pStyle w:val="4"/>
        <w:keepNext w:val="0"/>
        <w:keepLines w:val="0"/>
        <w:widowControl w:val="0"/>
        <w:suppressLineNumbers w:val="0"/>
        <w:tabs>
          <w:tab w:val="left" w:pos="7547"/>
        </w:tabs>
        <w:adjustRightInd w:val="0"/>
        <w:snapToGrid w:val="0"/>
        <w:spacing w:before="0" w:beforeAutospacing="0" w:after="0" w:afterAutospacing="0" w:line="360" w:lineRule="auto"/>
        <w:ind w:left="0" w:right="0" w:firstLine="880" w:firstLineChars="200"/>
        <w:jc w:val="both"/>
        <w:rPr>
          <w:rFonts w:hint="eastAsia" w:ascii="方正小标宋简体" w:hAnsi="黑体" w:eastAsia="方正小标宋简体"/>
          <w:color w:val="FF0000"/>
          <w:sz w:val="44"/>
          <w:szCs w:val="44"/>
        </w:rPr>
      </w:pPr>
    </w:p>
    <w:sectPr>
      <w:pgSz w:w="11906" w:h="16838"/>
      <w:pgMar w:top="1440" w:right="1083" w:bottom="1440" w:left="1083" w:header="708" w:footer="708" w:gutter="0"/>
      <w:pgBorders w:offsetFrom="page">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CADCD"/>
    <w:multiLevelType w:val="multilevel"/>
    <w:tmpl w:val="E4DCADCD"/>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6B49415"/>
    <w:multiLevelType w:val="multilevel"/>
    <w:tmpl w:val="16B49415"/>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TVlMjBkNjJiMjZjZDgzNDFjY2QzMjE2MzgzYTQifQ=="/>
  </w:docVars>
  <w:rsids>
    <w:rsidRoot w:val="00D31D50"/>
    <w:rsid w:val="00050147"/>
    <w:rsid w:val="000711DD"/>
    <w:rsid w:val="00306F59"/>
    <w:rsid w:val="00323B43"/>
    <w:rsid w:val="00383D01"/>
    <w:rsid w:val="003D37D8"/>
    <w:rsid w:val="00425B82"/>
    <w:rsid w:val="00426133"/>
    <w:rsid w:val="004358AB"/>
    <w:rsid w:val="0054222F"/>
    <w:rsid w:val="0057536B"/>
    <w:rsid w:val="007957C8"/>
    <w:rsid w:val="0088081F"/>
    <w:rsid w:val="008B7726"/>
    <w:rsid w:val="0094056F"/>
    <w:rsid w:val="00996392"/>
    <w:rsid w:val="00B24857"/>
    <w:rsid w:val="00D31D50"/>
    <w:rsid w:val="00D63BD5"/>
    <w:rsid w:val="00F26ECF"/>
    <w:rsid w:val="0121140F"/>
    <w:rsid w:val="033923C2"/>
    <w:rsid w:val="044C647B"/>
    <w:rsid w:val="076A3B02"/>
    <w:rsid w:val="0B0976F9"/>
    <w:rsid w:val="0C3C5A14"/>
    <w:rsid w:val="0D8B27AF"/>
    <w:rsid w:val="0DFD3A2F"/>
    <w:rsid w:val="0E394610"/>
    <w:rsid w:val="0EF32D02"/>
    <w:rsid w:val="108005C5"/>
    <w:rsid w:val="120538FB"/>
    <w:rsid w:val="1364253C"/>
    <w:rsid w:val="15161464"/>
    <w:rsid w:val="15424009"/>
    <w:rsid w:val="18E67433"/>
    <w:rsid w:val="1A493720"/>
    <w:rsid w:val="23B24AC2"/>
    <w:rsid w:val="269E30FB"/>
    <w:rsid w:val="28ED236C"/>
    <w:rsid w:val="2C8114F5"/>
    <w:rsid w:val="2DC32DE5"/>
    <w:rsid w:val="30FD4EC2"/>
    <w:rsid w:val="35150A2C"/>
    <w:rsid w:val="36981915"/>
    <w:rsid w:val="37221294"/>
    <w:rsid w:val="39321EB8"/>
    <w:rsid w:val="3AAF547F"/>
    <w:rsid w:val="3C8A61A4"/>
    <w:rsid w:val="3C906C91"/>
    <w:rsid w:val="3D3E0D3C"/>
    <w:rsid w:val="3EB7402D"/>
    <w:rsid w:val="457277D5"/>
    <w:rsid w:val="47440A0F"/>
    <w:rsid w:val="4F61335F"/>
    <w:rsid w:val="518F6F1E"/>
    <w:rsid w:val="530C5752"/>
    <w:rsid w:val="53170FCA"/>
    <w:rsid w:val="56F93F54"/>
    <w:rsid w:val="59F64A21"/>
    <w:rsid w:val="5B461BB6"/>
    <w:rsid w:val="5CDF71E6"/>
    <w:rsid w:val="6B3E3B32"/>
    <w:rsid w:val="6E99525C"/>
    <w:rsid w:val="6FBD157A"/>
    <w:rsid w:val="709E3D80"/>
    <w:rsid w:val="72D761FB"/>
    <w:rsid w:val="76B56870"/>
    <w:rsid w:val="77040325"/>
    <w:rsid w:val="7E431733"/>
    <w:rsid w:val="7E8E2BC8"/>
    <w:rsid w:val="7FB1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keepNext w:val="0"/>
      <w:keepLines w:val="0"/>
      <w:widowControl w:val="0"/>
      <w:suppressLineNumbers w:val="0"/>
      <w:spacing w:before="0" w:beforeAutospacing="0" w:after="0" w:afterAutospacing="0" w:line="240" w:lineRule="auto"/>
      <w:ind w:left="0" w:right="0" w:firstLine="0" w:firstLineChars="0"/>
      <w:jc w:val="both"/>
    </w:pPr>
    <w:rPr>
      <w:rFonts w:hint="default" w:ascii="Calibri" w:hAnsi="Calibri" w:cs="Calibri"/>
      <w:kern w:val="2"/>
      <w:sz w:val="21"/>
      <w:szCs w:val="21"/>
      <w:lang w:val="en-US" w:eastAsia="zh-CN" w:bidi="ar"/>
    </w:rPr>
  </w:style>
  <w:style w:type="paragraph" w:styleId="3">
    <w:name w:val="toc 1"/>
    <w:basedOn w:val="1"/>
    <w:next w:val="1"/>
    <w:semiHidden/>
    <w:unhideWhenUsed/>
    <w:qFormat/>
    <w:uiPriority w:val="39"/>
    <w:pPr>
      <w:keepNext w:val="0"/>
      <w:keepLines w:val="0"/>
      <w:widowControl w:val="0"/>
      <w:suppressLineNumbers w:val="0"/>
      <w:spacing w:before="120" w:beforeAutospacing="0" w:after="120" w:afterAutospacing="0" w:line="360" w:lineRule="auto"/>
      <w:ind w:firstLine="200" w:firstLineChars="200"/>
      <w:jc w:val="left"/>
    </w:pPr>
    <w:rPr>
      <w:rFonts w:hint="default" w:ascii="Calibri" w:hAnsi="Calibri" w:cs="Calibri"/>
      <w:b/>
      <w:bCs/>
      <w:caps/>
      <w:kern w:val="2"/>
      <w:sz w:val="20"/>
      <w:szCs w:val="20"/>
      <w:lang w:val="en-US" w:eastAsia="zh-CN" w:bidi="ar"/>
    </w:rPr>
  </w:style>
  <w:style w:type="paragraph" w:styleId="4">
    <w:name w:val="Normal (Web)"/>
    <w:basedOn w:val="1"/>
    <w:semiHidden/>
    <w:unhideWhenUsed/>
    <w:qFormat/>
    <w:uiPriority w:val="99"/>
    <w:rPr>
      <w:sz w:val="24"/>
    </w:rPr>
  </w:style>
  <w:style w:type="paragraph" w:styleId="5">
    <w:name w:val="Title"/>
    <w:basedOn w:val="1"/>
    <w:qFormat/>
    <w:uiPriority w:val="0"/>
    <w:pPr>
      <w:keepNext w:val="0"/>
      <w:keepLines w:val="0"/>
      <w:widowControl w:val="0"/>
      <w:suppressLineNumbers w:val="0"/>
      <w:adjustRightInd w:val="0"/>
      <w:snapToGrid w:val="0"/>
      <w:spacing w:before="0" w:beforeAutospacing="0" w:after="0" w:afterAutospacing="0" w:line="360" w:lineRule="auto"/>
      <w:ind w:left="0" w:right="0" w:firstLine="0" w:firstLineChars="0"/>
      <w:jc w:val="center"/>
      <w:outlineLvl w:val="0"/>
    </w:pPr>
    <w:rPr>
      <w:rFonts w:hint="eastAsia" w:ascii="华文中宋" w:hAnsi="Calibri Light" w:eastAsia="华文中宋" w:cs="宋体"/>
      <w:b/>
      <w:bCs/>
      <w:kern w:val="2"/>
      <w:sz w:val="44"/>
      <w:szCs w:val="44"/>
      <w:lang w:val="en-US" w:eastAsia="zh-CN" w:bidi="ar"/>
    </w:rPr>
  </w:style>
  <w:style w:type="paragraph" w:customStyle="1" w:styleId="8">
    <w:name w:val="Table Paragraph"/>
    <w:basedOn w:val="1"/>
    <w:qFormat/>
    <w:uiPriority w:val="0"/>
    <w:pPr>
      <w:widowControl w:val="0"/>
      <w:autoSpaceDE w:val="0"/>
      <w:autoSpaceDN w:val="0"/>
      <w:adjustRightInd/>
      <w:snapToGrid/>
      <w:spacing w:after="0"/>
    </w:pPr>
    <w:rPr>
      <w:rFonts w:hint="eastAsia" w:ascii="宋体" w:hAnsi="宋体" w:eastAsia="宋体" w:cs="Times New Roman"/>
    </w:rPr>
  </w:style>
  <w:style w:type="paragraph" w:customStyle="1" w:styleId="9">
    <w:name w:val="报告正文"/>
    <w:basedOn w:val="1"/>
    <w:qFormat/>
    <w:uiPriority w:val="0"/>
    <w:pPr>
      <w:keepNext w:val="0"/>
      <w:keepLines w:val="0"/>
      <w:widowControl w:val="0"/>
      <w:suppressLineNumbers w:val="0"/>
      <w:overflowPunct/>
      <w:adjustRightInd w:val="0"/>
      <w:snapToGrid w:val="0"/>
      <w:spacing w:before="0" w:beforeAutospacing="0" w:after="0" w:afterAutospacing="0" w:line="360" w:lineRule="auto"/>
      <w:ind w:left="0" w:right="0" w:firstLine="200" w:firstLineChars="200"/>
      <w:jc w:val="both"/>
    </w:pPr>
    <w:rPr>
      <w:rFonts w:hint="eastAsia" w:ascii="宋体" w:hAnsi="宋体" w:eastAsia="宋体" w:cs="Times New Roman"/>
      <w:snapToGrid/>
      <w:kern w:val="2"/>
      <w:sz w:val="27"/>
      <w:szCs w:val="27"/>
      <w:lang w:val="en-US" w:eastAsia="zh-CN" w:bidi="ar"/>
    </w:rPr>
  </w:style>
  <w:style w:type="paragraph" w:customStyle="1" w:styleId="10">
    <w:name w:val="报告三级标题"/>
    <w:basedOn w:val="1"/>
    <w:qFormat/>
    <w:uiPriority w:val="0"/>
    <w:pPr>
      <w:keepNext w:val="0"/>
      <w:keepLines w:val="0"/>
      <w:widowControl/>
      <w:suppressLineNumbers w:val="0"/>
      <w:overflowPunct/>
      <w:adjustRightInd/>
      <w:snapToGrid w:val="0"/>
      <w:spacing w:before="0" w:beforeAutospacing="0" w:after="0" w:afterAutospacing="0" w:line="360" w:lineRule="auto"/>
      <w:ind w:left="0" w:right="0" w:firstLine="200" w:firstLineChars="200"/>
      <w:jc w:val="left"/>
      <w:outlineLvl w:val="2"/>
    </w:pPr>
    <w:rPr>
      <w:rFonts w:hint="eastAsia" w:ascii="楷体" w:hAnsi="楷体" w:eastAsia="楷体" w:cs="Times New Roman"/>
      <w:b/>
      <w:snapToGrid/>
      <w:kern w:val="2"/>
      <w:sz w:val="28"/>
      <w:szCs w:val="28"/>
      <w:lang w:val="en-US" w:eastAsia="zh-CN" w:bidi="ar"/>
    </w:rPr>
  </w:style>
  <w:style w:type="character" w:customStyle="1" w:styleId="11">
    <w:name w:val="10"/>
    <w:basedOn w:val="7"/>
    <w:qFormat/>
    <w:uiPriority w:val="0"/>
    <w:rPr>
      <w:rFonts w:hint="default" w:ascii="Calibri" w:hAnsi="Calibri" w:cs="Calibri"/>
    </w:rPr>
  </w:style>
  <w:style w:type="character" w:customStyle="1" w:styleId="12">
    <w:name w:val="15"/>
    <w:basedOn w:val="7"/>
    <w:qFormat/>
    <w:uiPriority w:val="0"/>
    <w:rPr>
      <w:rFonts w:hint="eastAsia" w:ascii="黑体" w:hAnsi="宋体" w:eastAsia="黑体" w:cs="黑体"/>
      <w:sz w:val="30"/>
      <w:szCs w:val="30"/>
    </w:rPr>
  </w:style>
  <w:style w:type="paragraph" w:customStyle="1" w:styleId="13">
    <w:name w:val="正文格式"/>
    <w:basedOn w:val="1"/>
    <w:qFormat/>
    <w:uiPriority w:val="0"/>
    <w:pPr>
      <w:widowControl/>
      <w:overflowPunct/>
      <w:adjustRightInd/>
      <w:snapToGrid/>
      <w:spacing w:before="0" w:beforeAutospacing="0" w:after="0" w:afterAutospacing="0" w:line="360" w:lineRule="auto"/>
      <w:ind w:left="0" w:right="0" w:firstLine="200" w:firstLineChars="200"/>
      <w:jc w:val="left"/>
    </w:pPr>
    <w:rPr>
      <w:rFonts w:hint="eastAsia" w:ascii="宋体" w:hAnsi="宋体" w:eastAsia="宋体" w:cs="Times New Roman"/>
      <w:snapToGrid/>
      <w:kern w:val="2"/>
      <w:sz w:val="28"/>
      <w:szCs w:val="28"/>
      <w:lang w:val="en-US" w:eastAsia="zh-CN" w:bidi="ar"/>
    </w:rPr>
  </w:style>
  <w:style w:type="paragraph" w:customStyle="1" w:styleId="14">
    <w:name w:val="样式1"/>
    <w:qFormat/>
    <w:uiPriority w:val="0"/>
    <w:pPr>
      <w:keepNext/>
      <w:keepLines/>
      <w:widowControl w:val="0"/>
      <w:suppressLineNumbers w:val="0"/>
      <w:adjustRightInd w:val="0"/>
      <w:snapToGrid w:val="0"/>
      <w:spacing w:before="0" w:beforeAutospacing="0" w:after="0" w:afterAutospacing="0" w:line="360" w:lineRule="auto"/>
      <w:ind w:left="0" w:right="0" w:firstLine="0" w:firstLineChars="0"/>
      <w:jc w:val="center"/>
      <w:outlineLvl w:val="0"/>
    </w:pPr>
    <w:rPr>
      <w:rFonts w:hint="eastAsia" w:ascii="华文中宋" w:hAnsi="华文中宋" w:eastAsia="华文中宋" w:cs="华文中宋"/>
      <w:b/>
      <w:bCs/>
      <w:snapToGrid/>
      <w:kern w:val="44"/>
      <w:sz w:val="44"/>
      <w:szCs w:val="4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38406</Words>
  <Characters>39907</Characters>
  <Lines>1</Lines>
  <Paragraphs>1</Paragraphs>
  <TotalTime>14</TotalTime>
  <ScaleCrop>false</ScaleCrop>
  <LinksUpToDate>false</LinksUpToDate>
  <CharactersWithSpaces>39937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rain</cp:lastModifiedBy>
  <dcterms:modified xsi:type="dcterms:W3CDTF">2025-02-28T06:55:43Z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13FC34EBE6CC40538D8DA66607C8F953_13</vt:lpwstr>
  </property>
</Properties>
</file>