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2020年度随机抽查工作计划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区政府关于“双随机、一公开”监管工作部署要求，根据区“双随机、一公开”监管工作领导小组《关于编制2020年度随机抽查工作计划的通知》要求，为了更好地开展落实我局本年度“双随机、一公开”监管工作，制定本抽查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贯彻落实国务院、省、市、区政府关于“双随机、一公开”监管工作的部署要求，积极推进监管改革与创新，确保我区生产安全态势持续稳定。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被检查单位抽取：本行政区域内代理记账机构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2.执法人员抽取：在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全局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执法人员中随机抽取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4名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采取查阅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资料与检查现场相结合的方式进行检查.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1.代理记账机构资格条件；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2.代理记账机构从事代理记账业务情况；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3.代理记账机构制度建设情况；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4.当前代理记账行业发展面临的普遍性和倾向性问题，以及对促进行业更好发展的意见和建议。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46EE7"/>
    <w:rsid w:val="30046EE7"/>
    <w:rsid w:val="66C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398</Characters>
  <Lines>0</Lines>
  <Paragraphs>0</Paragraphs>
  <TotalTime>1</TotalTime>
  <ScaleCrop>false</ScaleCrop>
  <LinksUpToDate>false</LinksUpToDate>
  <CharactersWithSpaces>398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2021-02-04T08:23:00Z</dcterms:created>
  <dc:creator>zi煊f☆☆彡</dc:creator>
  <cp:lastModifiedBy>Administrator</cp:lastModifiedBy>
  <dcterms:modified xsi:type="dcterms:W3CDTF">2021-02-05T00:28:40Z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