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临淄区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2019</w:t>
      </w:r>
      <w:r>
        <w:rPr>
          <w:rFonts w:hint="eastAsia" w:ascii="方正小标宋简体" w:hAnsi="文星标宋" w:eastAsia="方正小标宋简体" w:cs="文星标宋"/>
          <w:sz w:val="32"/>
          <w:szCs w:val="32"/>
        </w:rPr>
        <w:t>年度行政执法结果统计表</w:t>
      </w:r>
    </w:p>
    <w:p>
      <w:pPr>
        <w:spacing w:line="480" w:lineRule="exact"/>
        <w:jc w:val="center"/>
        <w:rPr>
          <w:rFonts w:ascii="文星标宋" w:hAnsi="文星标宋" w:eastAsia="文星标宋" w:cs="文星标宋"/>
          <w:sz w:val="44"/>
          <w:szCs w:val="44"/>
        </w:rPr>
      </w:pPr>
    </w:p>
    <w:tbl>
      <w:tblPr>
        <w:tblStyle w:val="4"/>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tcPr>
          <w:p>
            <w:pPr>
              <w:spacing w:line="300" w:lineRule="exact"/>
              <w:rPr>
                <w:rFonts w:ascii="文星标宋" w:hAnsi="文星标宋" w:eastAsia="文星标宋" w:cs="文星标宋"/>
                <w:sz w:val="44"/>
                <w:szCs w:val="44"/>
              </w:rPr>
            </w:pPr>
          </w:p>
        </w:tc>
        <w:tc>
          <w:tcPr>
            <w:tcW w:w="708" w:type="dxa"/>
          </w:tcPr>
          <w:p>
            <w:pPr>
              <w:spacing w:line="300" w:lineRule="exact"/>
              <w:rPr>
                <w:rFonts w:ascii="文星标宋" w:hAnsi="文星标宋" w:eastAsia="文星标宋" w:cs="文星标宋"/>
                <w:sz w:val="44"/>
                <w:szCs w:val="44"/>
              </w:rPr>
            </w:pPr>
          </w:p>
        </w:tc>
        <w:tc>
          <w:tcPr>
            <w:tcW w:w="937"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40"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829" w:type="dxa"/>
          </w:tcPr>
          <w:p>
            <w:pPr>
              <w:spacing w:line="300" w:lineRule="exact"/>
              <w:rPr>
                <w:rFonts w:ascii="文星标宋" w:hAnsi="文星标宋" w:eastAsia="文星标宋" w:cs="文星标宋"/>
                <w:sz w:val="44"/>
                <w:szCs w:val="44"/>
              </w:rPr>
            </w:pPr>
          </w:p>
        </w:tc>
        <w:tc>
          <w:tcPr>
            <w:tcW w:w="850" w:type="dxa"/>
          </w:tcPr>
          <w:p>
            <w:pPr>
              <w:spacing w:line="300" w:lineRule="exact"/>
              <w:rPr>
                <w:rFonts w:ascii="文星标宋" w:hAnsi="文星标宋" w:eastAsia="文星标宋" w:cs="文星标宋"/>
                <w:sz w:val="44"/>
                <w:szCs w:val="44"/>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E9"/>
    <w:rsid w:val="005802E9"/>
    <w:rsid w:val="00642B98"/>
    <w:rsid w:val="006A100D"/>
    <w:rsid w:val="0085287D"/>
    <w:rsid w:val="00DA5913"/>
    <w:rsid w:val="00F62DE2"/>
    <w:rsid w:val="0D5663CA"/>
    <w:rsid w:val="3276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Words>
  <Characters>593</Characters>
  <Lines>4</Lines>
  <Paragraphs>1</Paragraphs>
  <TotalTime>2</TotalTime>
  <ScaleCrop>false</ScaleCrop>
  <LinksUpToDate>false</LinksUpToDate>
  <CharactersWithSpaces>696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2020-12-21T08:55:00Z</dcterms:created>
  <dc:creator>Administrator</dc:creator>
  <cp:lastModifiedBy>Administrator</cp:lastModifiedBy>
  <dcterms:modified xsi:type="dcterms:W3CDTF">2021-01-04T07:10:35Z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